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04" w:type="dxa"/>
        <w:tblCellMar>
          <w:top w:w="0" w:type="dxa"/>
          <w:left w:w="0" w:type="dxa"/>
          <w:bottom w:w="0" w:type="dxa"/>
          <w:right w:w="0" w:type="dxa"/>
        </w:tblCellMar>
      </w:tblPr>
      <w:tr>
        <w:trPr>
          <w:trHeight w:val="212"/>
        </w:trPr>
        <w:tc>
          <w:tcPr>
            <w:tcW w:w="412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right"/>
              <w:ind w:right="959"/>
              <w:spacing w:after="0"/>
              <w:rPr>
                <w:sz w:val="20"/>
                <w:szCs w:val="20"/>
                <w:color w:val="auto"/>
              </w:rPr>
            </w:pPr>
            <w:r>
              <w:rPr>
                <w:rFonts w:ascii="Arial" w:cs="Arial" w:eastAsia="Arial" w:hAnsi="Arial"/>
                <w:sz w:val="18"/>
                <w:szCs w:val="18"/>
                <w:b w:val="1"/>
                <w:bCs w:val="1"/>
                <w:color w:val="auto"/>
              </w:rPr>
              <w:t>001-39059</w:t>
            </w:r>
          </w:p>
        </w:tc>
        <w:tc>
          <w:tcPr>
            <w:tcW w:w="3840" w:type="dxa"/>
            <w:vAlign w:val="bottom"/>
          </w:tcPr>
          <w:p>
            <w:pPr>
              <w:jc w:val="right"/>
              <w:ind w:right="1119"/>
              <w:spacing w:after="0"/>
              <w:rPr>
                <w:sz w:val="20"/>
                <w:szCs w:val="20"/>
                <w:color w:val="auto"/>
              </w:rPr>
            </w:pPr>
            <w:r>
              <w:rPr>
                <w:rFonts w:ascii="Arial" w:cs="Arial" w:eastAsia="Arial" w:hAnsi="Arial"/>
                <w:sz w:val="18"/>
                <w:szCs w:val="18"/>
                <w:b w:val="1"/>
                <w:bCs w:val="1"/>
                <w:color w:val="auto"/>
              </w:rPr>
              <w:t>85-1021707</w:t>
            </w:r>
          </w:p>
        </w:tc>
      </w:tr>
      <w:tr>
        <w:trPr>
          <w:trHeight w:val="186"/>
        </w:trPr>
        <w:tc>
          <w:tcPr>
            <w:tcW w:w="4120" w:type="dxa"/>
            <w:vAlign w:val="bottom"/>
          </w:tcPr>
          <w:p>
            <w:pPr>
              <w:jc w:val="center"/>
              <w:ind w:right="1297"/>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2420" w:type="dxa"/>
            <w:vAlign w:val="bottom"/>
          </w:tcPr>
          <w:p>
            <w:pPr>
              <w:jc w:val="center"/>
              <w:ind w:right="339"/>
              <w:spacing w:after="0"/>
              <w:rPr>
                <w:sz w:val="20"/>
                <w:szCs w:val="20"/>
                <w:color w:val="auto"/>
              </w:rPr>
            </w:pPr>
            <w:r>
              <w:rPr>
                <w:rFonts w:ascii="Arial" w:cs="Arial" w:eastAsia="Arial" w:hAnsi="Arial"/>
                <w:sz w:val="14"/>
                <w:szCs w:val="14"/>
                <w:b w:val="1"/>
                <w:bCs w:val="1"/>
                <w:color w:val="auto"/>
                <w:w w:val="94"/>
              </w:rPr>
              <w:t>(Commission File Number)</w:t>
            </w:r>
          </w:p>
        </w:tc>
        <w:tc>
          <w:tcPr>
            <w:tcW w:w="3840" w:type="dxa"/>
            <w:vAlign w:val="bottom"/>
          </w:tcPr>
          <w:p>
            <w:pPr>
              <w:jc w:val="center"/>
              <w:ind w:left="49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6540" w:type="dxa"/>
            <w:vAlign w:val="bottom"/>
            <w:gridSpan w:val="2"/>
          </w:tcPr>
          <w:p>
            <w:pPr>
              <w:jc w:val="center"/>
              <w:ind w:right="79"/>
              <w:spacing w:after="0"/>
              <w:rPr>
                <w:sz w:val="20"/>
                <w:szCs w:val="20"/>
                <w:color w:val="auto"/>
              </w:rPr>
            </w:pPr>
            <w:r>
              <w:rPr>
                <w:rFonts w:ascii="Arial" w:cs="Arial" w:eastAsia="Arial" w:hAnsi="Arial"/>
                <w:sz w:val="18"/>
                <w:szCs w:val="18"/>
                <w:b w:val="1"/>
                <w:bCs w:val="1"/>
                <w:color w:val="auto"/>
                <w:w w:val="89"/>
              </w:rPr>
              <w:t>28159 Avenue Stanford, Suite 220,</w:t>
            </w:r>
          </w:p>
        </w:tc>
        <w:tc>
          <w:tcPr>
            <w:tcW w:w="3840" w:type="dxa"/>
            <w:vAlign w:val="bottom"/>
          </w:tcPr>
          <w:p>
            <w:pPr>
              <w:spacing w:after="0"/>
              <w:rPr>
                <w:sz w:val="24"/>
                <w:szCs w:val="24"/>
                <w:color w:val="auto"/>
              </w:rPr>
            </w:pPr>
          </w:p>
        </w:tc>
      </w:tr>
      <w:tr>
        <w:trPr>
          <w:trHeight w:val="225"/>
        </w:trPr>
        <w:tc>
          <w:tcPr>
            <w:tcW w:w="4120" w:type="dxa"/>
            <w:vAlign w:val="bottom"/>
          </w:tcPr>
          <w:p>
            <w:pPr>
              <w:jc w:val="center"/>
              <w:ind w:left="2177"/>
              <w:spacing w:after="0"/>
              <w:rPr>
                <w:sz w:val="20"/>
                <w:szCs w:val="20"/>
                <w:color w:val="auto"/>
              </w:rPr>
            </w:pPr>
            <w:r>
              <w:rPr>
                <w:rFonts w:ascii="Arial" w:cs="Arial" w:eastAsia="Arial" w:hAnsi="Arial"/>
                <w:sz w:val="18"/>
                <w:szCs w:val="18"/>
                <w:b w:val="1"/>
                <w:bCs w:val="1"/>
                <w:color w:val="auto"/>
                <w:w w:val="91"/>
              </w:rPr>
              <w:t>Valencia, CA 91355</w:t>
            </w:r>
          </w:p>
        </w:tc>
        <w:tc>
          <w:tcPr>
            <w:tcW w:w="2420" w:type="dxa"/>
            <w:vAlign w:val="bottom"/>
          </w:tcPr>
          <w:p>
            <w:pPr>
              <w:spacing w:after="0"/>
              <w:rPr>
                <w:sz w:val="19"/>
                <w:szCs w:val="19"/>
                <w:color w:val="auto"/>
              </w:rPr>
            </w:pPr>
          </w:p>
        </w:tc>
        <w:tc>
          <w:tcPr>
            <w:tcW w:w="3840" w:type="dxa"/>
            <w:vAlign w:val="bottom"/>
          </w:tcPr>
          <w:p>
            <w:pPr>
              <w:jc w:val="right"/>
              <w:ind w:right="1059"/>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65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3840" w:type="dxa"/>
            <w:vAlign w:val="bottom"/>
          </w:tcPr>
          <w:p>
            <w:pPr>
              <w:jc w:val="center"/>
              <w:ind w:left="4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83"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AVITA Medical, Inc. (the “Company”) entered into an Executive Employment Agreement (the “Agreement”) with Michael Holder, with an effective date of March 22, 2021 (the “Effective Date”) as described in Item 5.02 below, which description shall be incorporated into this Item 1.01.</w:t>
      </w:r>
    </w:p>
    <w:p>
      <w:pPr>
        <w:spacing w:after="0" w:line="12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description of the terms of the Agreement is qualified in its entirety by the full text of the Agreement, filed herewith as Exhibit 10.1 and incorporated herein by reference.</w:t>
      </w:r>
    </w:p>
    <w:p>
      <w:pPr>
        <w:spacing w:after="0" w:line="2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22, 2021, the Company announced the appointment of Michael Holder as Chief Financial Officer, effective March 22, 2021. Mr. Holder will assume responsibility for overseeing the global finance, accounting, M&amp;A, and investor relations functions and will be based in the Company’s Valencia office in California. Mr. Holder is a seasoned executive with more than 25 years of experience having served in senior financial, executive management, and board roles with leading private and public companies in the medtech, biotech, and pharma related industries. Most recently, Mr. Holder served as Chief Financial Officer with ImmuneCyte, Inc., a global clinical stage biopharmaceutical company with innovative cell and gene immune-oncology therapeutics. Prior to ImmuneCyte, Inc. Mr. Holder was Chief Executive Officer and Portfolio Manager at Carolina Longevity Institute, LLC, a global investment company focused on investments in medtech, biotech and pharma companies that improve health span and longevity. Prior to Carolina Longevity Institute, LLC, Mr. Holder was initially Chief Financial Officer and later Chairman and Chief Executive Officer at Organ Transport Systems, Inc., a medical device company, where he built the company from early stage through multiple financing rounds as well as research, regulatory, and commercial launch activities. Prior to Organ Transport Systems, Inc., Mr. Holder was the Chief Financial Officer of three public or private medtech and pharma related companies. Mr. Holder holds a Master of Business Administration from the Wharton School of Business at the University of Pennsylvania, a Bachelor of Science in Business Administration from the Kenan-Flagler Business School at the University of North Carolina., and previously obtained his CPA.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is attached hereto as Exhibit 99.1 and incorporated herein by reference.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entered into the Agreement with Mr. Holder, effective as of March 22, 2021, related to Mr. Holder’s service as the Chief Financial Officer. The Agreement has no specified term and will be on an at-will basis.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Mr. Holder will be paid an annual base salary of $425,000.00 per year, subject to applicable tax deductions and withholdings, beginning on</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 Date of the Agreement and payable in regular installments in accordance with the customary payroll practices of the Company.</w:t>
      </w:r>
    </w:p>
    <w:p>
      <w:pPr>
        <w:ind w:right="240"/>
        <w:spacing w:after="0" w:line="260" w:lineRule="auto"/>
        <w:rPr>
          <w:sz w:val="20"/>
          <w:szCs w:val="20"/>
          <w:color w:val="auto"/>
        </w:rPr>
      </w:pPr>
      <w:r>
        <w:rPr>
          <w:rFonts w:ascii="Arial" w:cs="Arial" w:eastAsia="Arial" w:hAnsi="Arial"/>
          <w:sz w:val="18"/>
          <w:szCs w:val="18"/>
          <w:color w:val="auto"/>
        </w:rPr>
        <w:t>Mr. Holder’s salary will be subject to annual review by the Company’s Board of Directors and may be increased in the sole discretion of the Board of Directors.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Annual Performance Bonus</w:t>
      </w:r>
      <w:r>
        <w:rPr>
          <w:rFonts w:ascii="Arial" w:cs="Arial" w:eastAsia="Arial" w:hAnsi="Arial"/>
          <w:sz w:val="17"/>
          <w:szCs w:val="17"/>
          <w:color w:val="auto"/>
        </w:rPr>
        <w:t>. In addition to the base salary, Mr. Holder shall be eligible to receive an annual performance bonus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performance and Mr. Holder’s performance for the preceding year as measured against certain performance targets as mutually established. The annual performance bonus, if earned, shall be paid on or around the March timeframe of the following year. The amount of the annual performance bonus shall be 40% of Mr. Holder’s base salary. For 2021, Mr. Holder will be eligible to receive an annual performance bonus of up to 40% of the pro-rata share of the base salary (excluding any other bonus or compensation) Mr. Holder earned in 2021. At the sole discretion of the Company’s Board of Directors, Mr. Holder may be entitled to an additional amount of up to 50% of annual performance bonus based upon performance. For the annual performance bonus to be deemed earned, and in order to be eligible and entitled to receive any annual performance bonus payment, Mr. Holder must be employed by and not have given notice of resignation to the Company or have been given notice of termination by the Company at the time the annual performance bonus is determined and paid to Mr. Holder.</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Relocation Expense</w:t>
      </w:r>
      <w:r>
        <w:rPr>
          <w:rFonts w:ascii="Arial" w:cs="Arial" w:eastAsia="Arial" w:hAnsi="Arial"/>
          <w:sz w:val="17"/>
          <w:szCs w:val="17"/>
          <w:color w:val="auto"/>
        </w:rPr>
        <w:t>. Mr. Holder shall be given a lump sum of $30,000 grossed up as subject to applicable federal, state, local taxes, and withholdings.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Mr. Holder will be required to move to the Valencia area upon the opening up of business by the Governor of California or when employees are required to return to the workplace, whichever is earlier. Mr. Holder will be required to reimburse the Company in full should he fail to relocate to the Valencia area within three (3) months of the Company returning to the workplace following the current pandemic.</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Equity</w:t>
      </w:r>
      <w:r>
        <w:rPr>
          <w:rFonts w:ascii="Arial" w:cs="Arial" w:eastAsia="Arial" w:hAnsi="Arial"/>
          <w:sz w:val="18"/>
          <w:szCs w:val="18"/>
          <w:color w:val="auto"/>
        </w:rPr>
        <w:t>. Subject to approval of the Company’s Board of Directors, Mr. Holder shall be eligible for 150,000 options which will vest as follows: 112,500</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will vest based on Mr. Holder achieving certain established metrics as agreed upon between Mr. Holder and the Chief Executive Officer of the Company; 37,500 options will vest based on Mr. Holder’s continued employment with the Company at a rate of 9,375 per year for four (4) years, commencing with the first 9,375 option installment, which will vest upon the completion of Mr. Holder’s first year of service. Any such equity grants shall be subject to the terms of a Share Purchase Agreement and the Company’s 2020 Omnibus Incentive Plan, which will be provided to Mr. Holder within thirty (30) days of the Effective Date.</w:t>
      </w:r>
    </w:p>
    <w:p>
      <w:pPr>
        <w:sectPr>
          <w:pgSz w:w="11900" w:h="16838" w:orient="portrait"/>
          <w:cols w:equalWidth="0" w:num="1">
            <w:col w:w="11000"/>
          </w:cols>
          <w:pgMar w:left="440" w:top="270" w:right="459" w:bottom="1440" w:gutter="0" w:footer="0" w:header="0"/>
        </w:sectPr>
      </w:pPr>
    </w:p>
    <w:bookmarkStart w:id="2" w:name="page3"/>
    <w:bookmarkEnd w:id="2"/>
    <w:p>
      <w:pPr>
        <w:ind w:righ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description of the terms of the Agreement is qualified in its entirety by the full text of the Agreement, filed herewith as Exhibit 10.1 and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Mr. Holder’s appointment as Chief Financial Officer described above, the Company has entered into an indemnification agreement with Mr. Holder in the form previously adopted by the Company’s Board of Directors for entry into with the Company’s directors and executive officers, which generally provides for the indemnification of such persons for all reasonable expenses and liabilities, including attorneys’ fees, judgments, penalties, fines and settlement amounts, incurred in connection with any action or proceeding brought against them by reason of the fact that they are or were serving in such capacity, to the extent indemnifiable under the law. The foregoing description of the Company’s standard form of indemnification agreement is a summary only and is qualified in its entirety by reference to the full text thereof, a copy of which was filed as Exhibit 10.1 to the Form 8-K12B filed by the Company with the Securities and Exchange Commission on June 30, 2020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304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41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Executive Employment Agreement with Michael Holder.</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44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Press Release of AVITA Medical, Inc. dated March 22, 2021.</w:t>
              </w:r>
            </w:hyperlink>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Shiroma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Donna Shiroma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This EXECUTIVE EMPLOYMENT AGREEMENT (the “Agreement”) is made and entered into by and between AVITA Medical, Inc. and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AVITA Medical Americas, LLC. (collectively, the “Company”) and Michael Holder, an individual (the “Executive”) with reference to the following:</w:t>
      </w:r>
    </w:p>
    <w:p>
      <w:pPr>
        <w:spacing w:after="0" w:line="200" w:lineRule="exact"/>
        <w:rPr>
          <w:sz w:val="20"/>
          <w:szCs w:val="20"/>
          <w:color w:val="auto"/>
        </w:rPr>
      </w:pPr>
    </w:p>
    <w:p>
      <w:pPr>
        <w:spacing w:after="0" w:line="23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Company desires to employ Executive to serve as the Chief Financial Officer of the Company;</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WHEREAS, the Executive is willing to serve in the role of Chief Financial Officer of the Company and provide services to the Company and its subsidiaries and affiliates under the terms and conditions stated herein,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the Executive would serve as Chief Financial Officer of the Company, effective as of March 22, 2021 (the “Effective Date”),</w:t>
      </w:r>
    </w:p>
    <w:p>
      <w:pPr>
        <w:spacing w:after="0" w:line="237"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promises contained herein, and intending to be legally bound, it is hereby agreed by and between the parties hereto as follows:</w:t>
      </w:r>
    </w:p>
    <w:p>
      <w:pPr>
        <w:spacing w:after="0" w:line="31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and Duties</w:t>
      </w:r>
    </w:p>
    <w:p>
      <w:pPr>
        <w:spacing w:after="0" w:line="121"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employs the Executive as the Chief Financial Officer of the Company and the Executive hereby accepts such employment as of the Effective Date pursuant to the terms and conditions set forth herein. The Executive shall report directly to the Chief Executive Officer (“CEO”).</w:t>
      </w:r>
    </w:p>
    <w:p>
      <w:pPr>
        <w:spacing w:after="0" w:line="184"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Duties</w:t>
      </w:r>
      <w:r>
        <w:rPr>
          <w:rFonts w:ascii="Arial" w:cs="Arial" w:eastAsia="Arial" w:hAnsi="Arial"/>
          <w:sz w:val="17"/>
          <w:szCs w:val="17"/>
          <w:color w:val="auto"/>
        </w:rPr>
        <w:t>. The Executive shall perform, to the best of h is ability and in a manner satisfactory to the CEO, all such duties that are consistent with Executive’s title and position, and such other duties as may reasonably be assigned to him by the CEO. The Executive’s duties will be conducted principally from the Company’s North America office, currently located in Valencia, California, or at such other location as determined by the CEO (but subject to the terms of this Agreement), with travel to such other locations from time to time as reasonably required.</w:t>
      </w:r>
    </w:p>
    <w:p>
      <w:pPr>
        <w:spacing w:after="0" w:line="171" w:lineRule="exact"/>
        <w:rPr>
          <w:sz w:val="20"/>
          <w:szCs w:val="20"/>
          <w:color w:val="auto"/>
        </w:rPr>
      </w:pPr>
    </w:p>
    <w:p>
      <w:pPr>
        <w:ind w:left="4" w:right="200" w:firstLine="440"/>
        <w:spacing w:after="0" w:line="25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Time and Efforts</w:t>
      </w:r>
      <w:r>
        <w:rPr>
          <w:rFonts w:ascii="Arial" w:cs="Arial" w:eastAsia="Arial" w:hAnsi="Arial"/>
          <w:sz w:val="18"/>
          <w:szCs w:val="18"/>
          <w:color w:val="auto"/>
        </w:rPr>
        <w:t>. The Executive shall devote his full business time and provide his best efforts, attention, and energies to the business of the Company, and its subsidiaries and affiliates, and to the performance of Executive’s duties hereunder, and Executive shall not engage in any other business, profession or occupation for compensation or otherwise during the employment period without the prior written consent of the Board of Directors (the “Board”); provided that, nothing herein shall preclude Executive from serving in any capacity with any civic, educational, or charitable organization, and provided, further that, in each case, and in the aggregate, such services do not materially conflict or interfere with Executive’s obligations to the Company, and its subsidiaries and affiliates hereunder and such service is disclosed in advance by Executive to the Board. Notwithstanding the above, the Executive may serve as outside</w:t>
      </w:r>
    </w:p>
    <w:p>
      <w:pPr>
        <w:sectPr>
          <w:pgSz w:w="11900" w:h="16838" w:orient="portrait"/>
          <w:cols w:equalWidth="0" w:num="1">
            <w:col w:w="11024"/>
          </w:cols>
          <w:pgMar w:left="436" w:top="121" w:right="439" w:bottom="1440" w:gutter="0" w:footer="0" w:header="0"/>
        </w:sectPr>
      </w:pPr>
    </w:p>
    <w:bookmarkStart w:id="5" w:name="page6"/>
    <w:bookmarkEnd w:id="5"/>
    <w:p>
      <w:pPr>
        <w:ind w:left="4"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of up to two (2) corporate or advisory boards subject to CEO approval and provided that such service does not materially conflict or interfere with Executive’s obligations to the Company and there are no real or perceived conflicts of interest.</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Executive further acknowledges that he owes the Company both a fiduciary duty and a duty of loyalty while employed during the employment period to act at all times in the best interests of the Company, and its subsidiaries and affiliates.</w:t>
      </w:r>
    </w:p>
    <w:p>
      <w:pPr>
        <w:spacing w:after="0" w:line="31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As the total consideration for the Executive’s services rendered hereunder, Executive shall be entitled to the following:</w:t>
      </w:r>
    </w:p>
    <w:p>
      <w:pPr>
        <w:spacing w:after="0" w:line="22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Base Salary</w:t>
      </w:r>
      <w:r>
        <w:rPr>
          <w:rFonts w:ascii="Arial" w:cs="Arial" w:eastAsia="Arial" w:hAnsi="Arial"/>
          <w:sz w:val="18"/>
          <w:szCs w:val="18"/>
          <w:color w:val="auto"/>
        </w:rPr>
        <w:t>. The Executive shall be paid an annual base salary of Four Hundred Twenty Five Thousand Dollars ($425,000.00) per year (“Base Salary”), subject to applicable tax deductions and withholdings, beginning on the Effective Date of the Agreement and payable in regular installments in accordance with the customary payroll practices of the Company. The Executive’s salary will be subject to annual review by the Board and may be increased in the sole discretion of the Board.</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Bonus and Relocation Expenses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9" w:lineRule="auto"/>
        <w:tabs>
          <w:tab w:leader="none" w:pos="689"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Annual Performance Bonus</w:t>
      </w:r>
      <w:r>
        <w:rPr>
          <w:rFonts w:ascii="Arial" w:cs="Arial" w:eastAsia="Arial" w:hAnsi="Arial"/>
          <w:sz w:val="16"/>
          <w:szCs w:val="16"/>
          <w:color w:val="auto"/>
        </w:rPr>
        <w:t>. In addition to Base Salary, the Executive shall be eligible to receive an annual performance bonus (“Annual Bonus”) based upon the Company’s performance and Executive’s performance for the preceding year as measured against certain performance targets as mutually established by the parties to this Agreement as determined by the Board and CEO. The Annual Bonus, if earned, shall be paid on or around the March timeframe of the following year. The amount of the Annual Bonus shall be forty percent (40%) of Executive’s Base Salary (“Target Bonus”). For 2021, Executive will be eligible to receive an Annual Bonus of up to forty percent (40%) of the pro-rata share of the Base Salary (excluding any other bonus or compensation) Executive earned in 2021. At the sole discretion of the Board, Executive may be entitled to an additional amount of up to fifty percent (50%) of the Target Bonus based upon performance. For the Annual Bonus to be deemed earned, and in order to be eligible and entitled to receive any Annual Bonus payment, the Executive must be employed by, and not have given notice of resignation to the Company, or have been given notice of termination by the Company at the time the Annual Bonus is determined and paid to Executive.</w:t>
      </w:r>
    </w:p>
    <w:p>
      <w:pPr>
        <w:spacing w:after="0" w:line="166" w:lineRule="exact"/>
        <w:rPr>
          <w:rFonts w:ascii="Arial" w:cs="Arial" w:eastAsia="Arial" w:hAnsi="Arial"/>
          <w:sz w:val="16"/>
          <w:szCs w:val="16"/>
          <w:color w:val="auto"/>
        </w:rPr>
      </w:pPr>
    </w:p>
    <w:p>
      <w:pPr>
        <w:ind w:left="4" w:right="80" w:firstLine="436"/>
        <w:spacing w:after="0" w:line="301" w:lineRule="auto"/>
        <w:tabs>
          <w:tab w:leader="none" w:pos="699"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Relocation Expenses</w:t>
      </w:r>
      <w:r>
        <w:rPr>
          <w:rFonts w:ascii="Arial" w:cs="Arial" w:eastAsia="Arial" w:hAnsi="Arial"/>
          <w:sz w:val="16"/>
          <w:szCs w:val="16"/>
          <w:color w:val="auto"/>
        </w:rPr>
        <w:t>. Executive shall be given a lump sum of Thirty Thousand Dollars ($30,000) grossed up as subject to applicable federal, state, local taxes, and withholdings. Executive will be required to move to the Valencia area upon the opening up of businesses by the Governor of California or when employees are required to return to the workplace, whichever is earlier. Executive will be required to reimburse the Company in full should he fail to relocate to the Valencia area within three (3) months of the Company returning to the workplace following the current pandemic.</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6" w:name="page7"/>
    <w:bookmarkEnd w:id="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Equity</w:t>
      </w:r>
      <w:r>
        <w:rPr>
          <w:rFonts w:ascii="Arial" w:cs="Arial" w:eastAsia="Arial" w:hAnsi="Arial"/>
          <w:sz w:val="18"/>
          <w:szCs w:val="18"/>
          <w:color w:val="auto"/>
        </w:rPr>
        <w:t>. Subject to approval of the Company’s Board, Executive shall be eligible for 150,000 options which will vest as follows:</w:t>
      </w:r>
    </w:p>
    <w:p>
      <w:pPr>
        <w:spacing w:after="0" w:line="131" w:lineRule="exact"/>
        <w:rPr>
          <w:sz w:val="20"/>
          <w:szCs w:val="20"/>
          <w:color w:val="auto"/>
        </w:rPr>
      </w:pPr>
    </w:p>
    <w:p>
      <w:pPr>
        <w:ind w:left="964" w:hanging="424"/>
        <w:spacing w:after="0"/>
        <w:tabs>
          <w:tab w:leader="none" w:pos="964" w:val="left"/>
        </w:tabs>
        <w:numPr>
          <w:ilvl w:val="0"/>
          <w:numId w:val="5"/>
        </w:numPr>
        <w:rPr>
          <w:rFonts w:ascii="Arial" w:cs="Arial" w:eastAsia="Arial" w:hAnsi="Arial"/>
          <w:sz w:val="16"/>
          <w:szCs w:val="16"/>
          <w:color w:val="auto"/>
        </w:rPr>
      </w:pPr>
      <w:r>
        <w:rPr>
          <w:rFonts w:ascii="Arial" w:cs="Arial" w:eastAsia="Arial" w:hAnsi="Arial"/>
          <w:sz w:val="16"/>
          <w:szCs w:val="16"/>
          <w:color w:val="auto"/>
        </w:rPr>
        <w:t>112,500 options will vest based upon Executive achieving certain established metrics as agreed upon between Executive and the CEO;</w:t>
      </w:r>
    </w:p>
    <w:p>
      <w:pPr>
        <w:spacing w:after="0" w:line="153" w:lineRule="exact"/>
        <w:rPr>
          <w:rFonts w:ascii="Arial" w:cs="Arial" w:eastAsia="Arial" w:hAnsi="Arial"/>
          <w:sz w:val="16"/>
          <w:szCs w:val="16"/>
          <w:color w:val="auto"/>
        </w:rPr>
      </w:pPr>
    </w:p>
    <w:p>
      <w:pPr>
        <w:ind w:left="964" w:right="420" w:hanging="424"/>
        <w:spacing w:after="0" w:line="342" w:lineRule="auto"/>
        <w:tabs>
          <w:tab w:leader="none" w:pos="964" w:val="left"/>
        </w:tabs>
        <w:numPr>
          <w:ilvl w:val="0"/>
          <w:numId w:val="5"/>
        </w:numPr>
        <w:rPr>
          <w:rFonts w:ascii="Arial" w:cs="Arial" w:eastAsia="Arial" w:hAnsi="Arial"/>
          <w:sz w:val="16"/>
          <w:szCs w:val="16"/>
          <w:color w:val="auto"/>
        </w:rPr>
      </w:pPr>
      <w:r>
        <w:rPr>
          <w:rFonts w:ascii="Arial" w:cs="Arial" w:eastAsia="Arial" w:hAnsi="Arial"/>
          <w:sz w:val="16"/>
          <w:szCs w:val="16"/>
          <w:color w:val="auto"/>
        </w:rPr>
        <w:t>37,500 options will vest based on Executive’s continued employment with the Company at a rate of 9,375 per year for four (4) years, commencing with the first 9,375 option installment, which will vest upon the completion of Executive’s first year of service.</w:t>
      </w:r>
    </w:p>
    <w:p>
      <w:pPr>
        <w:spacing w:after="0" w:line="124"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Any such equity grants shall be subject to the terms of a Share Option Agreement and the governing equity plan which will be provided to the Executive within thirty (30) days of his Effective Date. In addition, Executive shall be eligible for the annual equity grants under the 2020 Omnibus Incentive Plan once the plan has been implemented.</w:t>
      </w:r>
    </w:p>
    <w:p>
      <w:pPr>
        <w:spacing w:after="0" w:line="184"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employment, the Executive is entitled to reimbursement for reasonable and necessary business expenses incurred by Executive in connection with the performance of Executive’s duties, subject to proper documentation and approval as required pursuant to the applicable Company expense reimbursement policies.</w:t>
      </w:r>
    </w:p>
    <w:p>
      <w:pPr>
        <w:spacing w:after="0" w:line="184"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Fringe Benefits</w:t>
      </w:r>
      <w:r>
        <w:rPr>
          <w:rFonts w:ascii="Arial" w:cs="Arial" w:eastAsia="Arial" w:hAnsi="Arial"/>
          <w:sz w:val="18"/>
          <w:szCs w:val="18"/>
          <w:color w:val="auto"/>
        </w:rPr>
        <w:t>. The Executive shall be entitled to fringe benefits in accordance with the plans, practices, programs and policies applicable to other peer executives of the Company.</w:t>
      </w:r>
    </w:p>
    <w:p>
      <w:pPr>
        <w:spacing w:after="0" w:line="170"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Vacation</w:t>
      </w:r>
      <w:r>
        <w:rPr>
          <w:rFonts w:ascii="Arial" w:cs="Arial" w:eastAsia="Arial" w:hAnsi="Arial"/>
          <w:sz w:val="16"/>
          <w:szCs w:val="16"/>
          <w:color w:val="auto"/>
        </w:rPr>
        <w:t>. The Executive shall be entitled each year to a vacation, during which time his compensation 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CEO, and the Company.</w:t>
      </w:r>
    </w:p>
    <w:p>
      <w:pPr>
        <w:spacing w:after="0" w:line="157"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Health Insurance and Benefits</w:t>
      </w:r>
      <w:r>
        <w:rPr>
          <w:rFonts w:ascii="Arial" w:cs="Arial" w:eastAsia="Arial" w:hAnsi="Arial"/>
          <w:sz w:val="18"/>
          <w:szCs w:val="18"/>
          <w:color w:val="auto"/>
        </w:rPr>
        <w:t>. The Executive shall be eligible to participate in the Company’s health, dental and vision plans, as well as the Company’s 401k program, pursuant to the terms of these plans and programs.</w:t>
      </w:r>
    </w:p>
    <w:p>
      <w:pPr>
        <w:spacing w:after="0" w:line="315"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 of Employment</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the Executive hereby agree that the Executive’s employment by the Company shall be “at-will” and for an indefinite period of time. 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left="4" w:firstLine="987"/>
        <w:spacing w:after="0" w:line="282"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For purposes of this Agreement, “Cause” shall mean the occurrence of one or more of the following: (i) conviction of, or a plea</w:t>
      </w:r>
      <w:r>
        <w:rPr>
          <w:rFonts w:ascii="Arial" w:cs="Arial" w:eastAsia="Arial" w:hAnsi="Arial"/>
          <w:sz w:val="18"/>
          <w:szCs w:val="18"/>
          <w:b w:val="1"/>
          <w:bCs w:val="1"/>
          <w:color w:val="auto"/>
        </w:rPr>
        <w:t xml:space="preserve"> </w:t>
      </w:r>
      <w:r>
        <w:rPr>
          <w:rFonts w:ascii="Arial" w:cs="Arial" w:eastAsia="Arial" w:hAnsi="Arial"/>
          <w:sz w:val="18"/>
          <w:szCs w:val="18"/>
          <w:color w:val="auto"/>
        </w:rPr>
        <w:t>of guilty or nolo contendere to, a felony or crime involving moral turpitude; (ii) participation in an act of fraud</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theft against the Company; (iii) willful and material breach of any contractual, statutory, fiduciary, or common law duty owed to the Company including without limitation Section 4.1 of this Agreement; (iv) intentional and repeated failure of Executive to perform Executive’s job duties after receiving notice of the stated deficiencies and Executive willfully failing to address the deficiencies and deliberately continuing to not perform stated job duties; or (v) any willful, deliberate, premeditated act by Executive that materially and demonstrably injures the reputation, business, or a business relationship of the Company.</w:t>
      </w:r>
    </w:p>
    <w:p>
      <w:pPr>
        <w:spacing w:after="0" w:line="184" w:lineRule="exact"/>
        <w:rPr>
          <w:sz w:val="20"/>
          <w:szCs w:val="20"/>
          <w:color w:val="auto"/>
        </w:rPr>
      </w:pPr>
    </w:p>
    <w:p>
      <w:pPr>
        <w:ind w:right="40" w:firstLine="987"/>
        <w:spacing w:after="0" w:line="254"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Good Reason</w:t>
      </w:r>
      <w:r>
        <w:rPr>
          <w:rFonts w:ascii="Arial" w:cs="Arial" w:eastAsia="Arial" w:hAnsi="Arial"/>
          <w:sz w:val="18"/>
          <w:szCs w:val="18"/>
          <w:color w:val="auto"/>
        </w:rPr>
        <w:t>. For purposes of this Agreement, “Good Reason” shall mean: (i) a material diminution in Executive’s authority, duties,</w:t>
      </w:r>
      <w:r>
        <w:rPr>
          <w:rFonts w:ascii="Arial" w:cs="Arial" w:eastAsia="Arial" w:hAnsi="Arial"/>
          <w:sz w:val="18"/>
          <w:szCs w:val="18"/>
          <w:b w:val="1"/>
          <w:bCs w:val="1"/>
          <w:color w:val="auto"/>
        </w:rPr>
        <w:t xml:space="preserve"> </w:t>
      </w:r>
      <w:r>
        <w:rPr>
          <w:rFonts w:ascii="Arial" w:cs="Arial" w:eastAsia="Arial" w:hAnsi="Arial"/>
          <w:sz w:val="18"/>
          <w:szCs w:val="18"/>
          <w:color w:val="auto"/>
        </w:rPr>
        <w:t>or responsibilities in effect at the 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or (v) the occurrence of a Change in Control of the Company as defined in Section 3.2(c) below,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and such notice shall be given within thirty (30) days of the occurrence of such event or conduct.</w:t>
      </w:r>
    </w:p>
    <w:p>
      <w:pPr>
        <w:spacing w:after="0" w:line="191" w:lineRule="exact"/>
        <w:rPr>
          <w:rFonts w:ascii="Arial" w:cs="Arial" w:eastAsia="Arial" w:hAnsi="Arial"/>
          <w:sz w:val="18"/>
          <w:szCs w:val="18"/>
          <w:color w:val="auto"/>
        </w:rPr>
      </w:pPr>
    </w:p>
    <w:p>
      <w:pPr>
        <w:jc w:val="both"/>
        <w:ind w:right="180" w:firstLine="987"/>
        <w:spacing w:after="0" w:line="303" w:lineRule="auto"/>
        <w:tabs>
          <w:tab w:leader="none" w:pos="1236"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For purposes of this Agreement, “Change in Control” shall mean any of the following events occurring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this Agreement: (i) a sale or transfer of all or substantially all of the assets of the Company; (ii) any merger, consolidation or acquisition of the Company with, by or into another corporation, entity or person; (iii) any change in ownership of more than fifty percent (50%) of the voting capital stock of Company in one or more related transactions such as a buy out or exit of the Company (but excluding any change in stock listing).</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1" w:lineRule="exact"/>
        <w:rPr>
          <w:sz w:val="20"/>
          <w:szCs w:val="20"/>
          <w:color w:val="auto"/>
        </w:rPr>
      </w:pPr>
    </w:p>
    <w:p>
      <w:pPr>
        <w:ind w:firstLine="987"/>
        <w:spacing w:after="0" w:line="261"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Termination for Cause or Resignation without Good Reason</w:t>
      </w:r>
      <w:r>
        <w:rPr>
          <w:rFonts w:ascii="Arial" w:cs="Arial" w:eastAsia="Arial" w:hAnsi="Arial"/>
          <w:sz w:val="18"/>
          <w:szCs w:val="18"/>
          <w:color w:val="auto"/>
        </w:rPr>
        <w:t>. In the event that the Company terminates the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Cause or the Executive resigns his employment without Good Reason, this Agreement will terminate without further obligations to Executive other than the following: Executive shall be entitled to receive his unpaid base salary earned through his last day of employment, accrued but unused vacation pay, and vested benefits through and including Executive’s last day of employment.</w:t>
      </w:r>
    </w:p>
    <w:p>
      <w:pPr>
        <w:spacing w:after="0" w:line="179" w:lineRule="exact"/>
        <w:rPr>
          <w:rFonts w:ascii="Arial" w:cs="Arial" w:eastAsia="Arial" w:hAnsi="Arial"/>
          <w:sz w:val="18"/>
          <w:szCs w:val="18"/>
          <w:color w:val="auto"/>
        </w:rPr>
      </w:pPr>
    </w:p>
    <w:p>
      <w:pPr>
        <w:ind w:right="220" w:firstLine="987"/>
        <w:spacing w:after="0" w:line="261" w:lineRule="auto"/>
        <w:tabs>
          <w:tab w:leader="none" w:pos="124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Involuntary Termination Without Cause or Resignation With Good Reason</w:t>
      </w:r>
      <w:r>
        <w:rPr>
          <w:rFonts w:ascii="Arial" w:cs="Arial" w:eastAsia="Arial" w:hAnsi="Arial"/>
          <w:sz w:val="18"/>
          <w:szCs w:val="18"/>
          <w:color w:val="auto"/>
        </w:rPr>
        <w:t>. In the event of either an involuntary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employment Without Cause or a voluntary resignation by the Executive for Good Reason, in exchange for the Executive signing a separation and release of all claims agreement in a form acceptable to the Company, the Company shall provide the Executive with the following severance benefits in accordance with the timing set forth in Section 3.3(b)(v) below:</w:t>
      </w:r>
    </w:p>
    <w:p>
      <w:pPr>
        <w:spacing w:after="0" w:line="89" w:lineRule="exact"/>
        <w:rPr>
          <w:rFonts w:ascii="Arial" w:cs="Arial" w:eastAsia="Arial" w:hAnsi="Arial"/>
          <w:sz w:val="18"/>
          <w:szCs w:val="18"/>
          <w:color w:val="auto"/>
        </w:rPr>
      </w:pPr>
    </w:p>
    <w:p>
      <w:pPr>
        <w:jc w:val="both"/>
        <w:ind w:left="1960" w:hanging="533"/>
        <w:spacing w:after="0" w:line="263"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the Executive the equivalent of nine (9) months of the Executive’s annual base salary in effect at the time of the termination Without Cause or resignation with Good Reason in one lump sum payment, less standard deductions and withholdings.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left="1964" w:right="80" w:hanging="533"/>
        <w:spacing w:after="0" w:line="263" w:lineRule="auto"/>
        <w:tabs>
          <w:tab w:leader="none" w:pos="1964"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Three Months Notice</w:t>
      </w:r>
      <w:r>
        <w:rPr>
          <w:rFonts w:ascii="Arial" w:cs="Arial" w:eastAsia="Arial" w:hAnsi="Arial"/>
          <w:sz w:val="18"/>
          <w:szCs w:val="18"/>
          <w:color w:val="auto"/>
        </w:rPr>
        <w:t>: The Company shall provide the Executive three (3) months prior written notice in the event of an involuntary termination of the Executive’s employment Without Cause or a voluntary resignation by the Executive for Good Reason.</w:t>
      </w:r>
    </w:p>
    <w:p>
      <w:pPr>
        <w:spacing w:after="0" w:line="89" w:lineRule="exact"/>
        <w:rPr>
          <w:rFonts w:ascii="Arial" w:cs="Arial" w:eastAsia="Arial" w:hAnsi="Arial"/>
          <w:sz w:val="18"/>
          <w:szCs w:val="18"/>
          <w:color w:val="auto"/>
        </w:rPr>
      </w:pPr>
    </w:p>
    <w:p>
      <w:pPr>
        <w:ind w:left="1964" w:hanging="533"/>
        <w:spacing w:after="0" w:line="263" w:lineRule="auto"/>
        <w:tabs>
          <w:tab w:leader="none" w:pos="1964"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Benefits Coverage</w:t>
      </w:r>
      <w:r>
        <w:rPr>
          <w:rFonts w:ascii="Arial" w:cs="Arial" w:eastAsia="Arial" w:hAnsi="Arial"/>
          <w:sz w:val="18"/>
          <w:szCs w:val="18"/>
          <w:color w:val="auto"/>
        </w:rPr>
        <w:t>. The Company shall continue to provide group health, vision, and dental plan benefits to the Executive for a period of nine (9) months from and after the date of termination, with the cost of all regular premiums for such benefits paid by the Company (or its successor).</w:t>
      </w:r>
    </w:p>
    <w:p>
      <w:pPr>
        <w:spacing w:after="0" w:line="89" w:lineRule="exact"/>
        <w:rPr>
          <w:rFonts w:ascii="Arial" w:cs="Arial" w:eastAsia="Arial" w:hAnsi="Arial"/>
          <w:sz w:val="18"/>
          <w:szCs w:val="18"/>
          <w:color w:val="auto"/>
        </w:rPr>
      </w:pPr>
    </w:p>
    <w:p>
      <w:pPr>
        <w:ind w:left="1964" w:right="100" w:hanging="533"/>
        <w:spacing w:after="0" w:line="263" w:lineRule="auto"/>
        <w:tabs>
          <w:tab w:leader="none" w:pos="1964"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Executive’s stock options shall immediately accelerate so that 100% of any then unvested stock options shall immediately vest and become exercisable upon the date of Executive’s termination Without Cause or resignation with Good Reason and shall continue to be exercisable for three (3) months</w:t>
      </w:r>
    </w:p>
    <w:p>
      <w:pPr>
        <w:spacing w:after="0" w:line="89" w:lineRule="exact"/>
        <w:rPr>
          <w:rFonts w:ascii="Arial" w:cs="Arial" w:eastAsia="Arial" w:hAnsi="Arial"/>
          <w:sz w:val="18"/>
          <w:szCs w:val="18"/>
          <w:color w:val="auto"/>
        </w:rPr>
      </w:pPr>
    </w:p>
    <w:p>
      <w:pPr>
        <w:ind w:left="1964" w:right="100" w:hanging="533"/>
        <w:spacing w:after="0" w:line="263" w:lineRule="auto"/>
        <w:tabs>
          <w:tab w:leader="none" w:pos="1964"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The severance benefits in the above subsection 3.3(b)(i) shall be paid to Executive no later than fifteen (15) days from the date the Executive signs the severance and release agreement and the revocation period, if any, has expired.</w:t>
      </w:r>
    </w:p>
    <w:p>
      <w:pPr>
        <w:spacing w:after="0" w:line="183" w:lineRule="exact"/>
        <w:rPr>
          <w:rFonts w:ascii="Arial" w:cs="Arial" w:eastAsia="Arial" w:hAnsi="Arial"/>
          <w:sz w:val="18"/>
          <w:szCs w:val="18"/>
          <w:color w:val="auto"/>
        </w:rPr>
      </w:pPr>
    </w:p>
    <w:p>
      <w:pPr>
        <w:jc w:val="both"/>
        <w:ind w:left="4" w:right="120" w:firstLine="987"/>
        <w:spacing w:after="0" w:line="263" w:lineRule="auto"/>
        <w:tabs>
          <w:tab w:leader="none" w:pos="12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Termination or Resignation In Connection With Change In Control. In the event Executive is terminated or resigns in connection with or within one (1) year following a Change in Control or for Good Reason as defined in 3.2(b) and 3.2(c), respectively, the Executive shall be entitled to all of the severance benefits set forth in Section 3.3(b) above.</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w:t>
      </w:r>
    </w:p>
    <w:p>
      <w:pPr>
        <w:spacing w:after="0" w:line="121"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The Executive acknowledges that: (i) the Executive has a major responsibility for the operation, development and growth of the Company’s business, and its subsidiaries and affiliates; (ii) the Executive’s work for the Company, and its subsidiaries, and affiliates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affiliates, and that the Company will not enter into this Agreement but for such agreements and covenants. Accordingly, the Executive covenants and agrees to the following:</w:t>
      </w:r>
    </w:p>
    <w:p>
      <w:pPr>
        <w:spacing w:after="0" w:line="16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Both during the term of the Executive’s employment under this Agreement and indefinitely after the Executive is no longer employed as Chief Financial Officer of the Company, the Executive shall not, directly or indirectly, (i) knowingly use for an improper personal benefit any “Confidential Information” that was acquired by,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9" w:name="page10"/>
    <w:bookmarkEnd w:id="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learned by or disclosed to Executive by reason of the Executive’s employment as Chief Financial Officer of the Company (before or after the date of this Agreement), or (ii) disclose any such Confidential Information to any person, business or entity, except in the proper course of the Executive’s duties as Chief Financial Officer, of the Company. As used in this Agreement, “Confidential Information” means any and all confidential or proprietary information of the Company, and its subsidiaries and affiliates that is not generally known to the public, including, without limitation, business, financial, marketing, technical, developmental, operating, performance, know-how, and process information, drawings and 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 Section 4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Proprietary Information Agreement protecting the trade secrets and other intellectual property of the Company. </w:t>
      </w:r>
      <w:r>
        <w:rPr>
          <w:rFonts w:ascii="Arial" w:cs="Arial" w:eastAsia="Arial" w:hAnsi="Arial"/>
          <w:sz w:val="16"/>
          <w:szCs w:val="16"/>
          <w:b w:val="1"/>
          <w:bCs w:val="1"/>
          <w:i w:val="1"/>
          <w:iCs w:val="1"/>
          <w:color w:val="auto"/>
        </w:rPr>
        <w:t>Defend Trade Secrets Act Notice</w:t>
      </w:r>
      <w:r>
        <w:rPr>
          <w:rFonts w:ascii="Arial" w:cs="Arial" w:eastAsia="Arial" w:hAnsi="Arial"/>
          <w:sz w:val="16"/>
          <w:szCs w:val="16"/>
          <w:color w:val="auto"/>
        </w:rPr>
        <w:t>. Executive is hereby notified in accordance with the Defend Trade Secrets Act of 2016 that he will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Executive is further notified that if Executive files a lawsuit for retaliation by an employer for reporting a suspected violation of law, Executive may disclose the employer’s trade secrets to Executive’s attorney and use the trade secret information in the court proceeding if Executive: (i) files any document containing the trade secret under seal; and (ii) does not disclose the trade secret, except pursuant to court order.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right="10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6"/>
          <w:szCs w:val="16"/>
          <w:u w:val="single" w:color="auto"/>
          <w:color w:val="auto"/>
        </w:rPr>
        <w:t>Duty of Loyalty and Non-Competition</w:t>
      </w:r>
      <w:r>
        <w:rPr>
          <w:rFonts w:ascii="Arial" w:cs="Arial" w:eastAsia="Arial" w:hAnsi="Arial"/>
          <w:sz w:val="16"/>
          <w:szCs w:val="16"/>
          <w:color w:val="auto"/>
        </w:rPr>
        <w:t>. While employed by the Company, the Executive shall not, 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 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 outstanding stock of a publicly held company. At all times following the termination of Executive’s employment as Chief Financial Officer of the Company for any reason, Executive shall not, either directly or indirectly, engage in any unlawful competitive activities or use confidential trade secret information for any purpose.</w:t>
      </w:r>
    </w:p>
    <w:p>
      <w:pPr>
        <w:spacing w:after="0" w:line="168"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Non-Solicitation</w:t>
      </w:r>
      <w:r>
        <w:rPr>
          <w:rFonts w:ascii="Arial" w:cs="Arial" w:eastAsia="Arial" w:hAnsi="Arial"/>
          <w:sz w:val="18"/>
          <w:szCs w:val="18"/>
          <w:color w:val="auto"/>
        </w:rPr>
        <w:t>. For a period beginning on the Effective Date and ending two (2) years after the date on which the Executive is no longer employed as Chief Financial Officer of the Company (the “Non-Solicitation Period”), the Executive shall not in any capacity, either separately or in association with others: (i) unlawfully solicit for employment or endeavor in any way to unlawfully entice away from employment with the Company, its subsidiaries or affiliates any employee of the Company, its subsidiaries or its affiliates, or any person or entity that had been an employee of the Company or its subsidiaries or affiliates within the six (6)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or affiliates to discontinue, reduce or modify such relationship with the Company or its subsidiaries or affiliates.</w:t>
      </w:r>
    </w:p>
    <w:p>
      <w:pPr>
        <w:spacing w:after="0" w:line="19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Non-disparagement</w:t>
      </w:r>
      <w:r>
        <w:rPr>
          <w:rFonts w:ascii="Arial" w:cs="Arial" w:eastAsia="Arial" w:hAnsi="Arial"/>
          <w:sz w:val="17"/>
          <w:szCs w:val="17"/>
          <w:color w:val="auto"/>
        </w:rPr>
        <w:t>. The Executive agrees (whether during or after Executive’s employment as Chief Financial Officer of the Company) not to issue, circulate, publish or utter any comments or statements to the press or other media, or to any third parties, or to any employees of the Company, and its subsidiaries and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ind w:left="4"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Arial" w:cs="Arial" w:eastAsia="Arial" w:hAnsi="Arial"/>
          <w:sz w:val="18"/>
          <w:szCs w:val="18"/>
          <w:u w:val="single" w:color="auto"/>
          <w:color w:val="auto"/>
        </w:rPr>
        <w:t>Return of Property</w:t>
      </w:r>
      <w:r>
        <w:rPr>
          <w:rFonts w:ascii="Arial" w:cs="Arial" w:eastAsia="Arial" w:hAnsi="Arial"/>
          <w:sz w:val="18"/>
          <w:szCs w:val="18"/>
          <w:color w:val="auto"/>
        </w:rPr>
        <w:t>. Upon termination of his employment as Chief Financial Officer of the Company or at any time as the Company requests, the Executive will promptly deliver to the Company all documents (whether prepared by the Company, a subsidiary, an affiliate, the Executive or a third party) relating to the Company, any of its subsidiaries or affiliates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spacing w:after="0" w:line="188"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Remedies</w:t>
      </w:r>
      <w:r>
        <w:rPr>
          <w:rFonts w:ascii="Arial" w:cs="Arial" w:eastAsia="Arial" w:hAnsi="Arial"/>
          <w:sz w:val="16"/>
          <w:szCs w:val="16"/>
          <w:color w:val="auto"/>
        </w:rPr>
        <w:t>. The Executive acknowledges that (i) the Executive has had an opportunity to seek the advice 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 (v) specific performance in the form of injunctive relief would be an appropriate remedy for the Company. If the Executive breaches or threatens to breach any of these provisions, the Company shall be entitled, in addition to all other remedies, to seek an injunction restraining any such breach, without any bond or other security being required and without the necessity of showing actual damages.</w:t>
      </w:r>
    </w:p>
    <w:p>
      <w:pPr>
        <w:spacing w:after="0" w:line="309"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This Agreement is personal in nature, and neither this Agreement nor any part of any obligation herein shall be assignable by Executive. The Company shall be entitled to assign this Agreement to any subsidiary or affiliate of the Company or any entity that assumes the ownership and control of the business of the Company.</w:t>
      </w:r>
    </w:p>
    <w:p>
      <w:pPr>
        <w:spacing w:after="0" w:line="328"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ind w:left="4" w:right="580" w:firstLine="440"/>
        <w:spacing w:after="0" w:line="263" w:lineRule="auto"/>
        <w:rPr>
          <w:sz w:val="20"/>
          <w:szCs w:val="20"/>
          <w:color w:val="auto"/>
        </w:rPr>
      </w:pPr>
      <w:r>
        <w:rPr>
          <w:rFonts w:ascii="Arial" w:cs="Arial" w:eastAsia="Arial" w:hAnsi="Arial"/>
          <w:sz w:val="18"/>
          <w:szCs w:val="18"/>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328"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Binding Arbitration</w:t>
      </w:r>
    </w:p>
    <w:p>
      <w:pPr>
        <w:spacing w:after="0" w:line="121"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 xml:space="preserve">Any and all disputes which involve or relate in any way to this Agreement and/or to Executive’s employment or termination of employment as Chief Financial Officer of the Company, whether initiated by Executive or by the Company and whether based on contract, tort, statute, or common law, shall be submitted to and resolved by final, binding and confidential arbitration as the exclusive method for resolving all such disputes. The arbitration shall be private and confidential and conducted in Los Angeles, California pursuant to the Federal Arbitration Act and applicable California law, and pursuant to the applicable rules of the Judicial Arbitration and Mediation Services (“JAMS”) relating to employment disputes, unless the parties otherwise mutually agree to modify the JAMS Rules. A copy of the AAA Employment Rules are available for review at </w:t>
      </w:r>
      <w:r>
        <w:rPr>
          <w:rFonts w:ascii="Arial" w:cs="Arial" w:eastAsia="Arial" w:hAnsi="Arial"/>
          <w:sz w:val="17"/>
          <w:szCs w:val="17"/>
          <w:u w:val="single" w:color="auto"/>
          <w:color w:val="auto"/>
        </w:rPr>
        <w:t>https://www.jamsadr.com/rules-employment-arbitration</w:t>
      </w:r>
      <w:r>
        <w:rPr>
          <w:rFonts w:ascii="Arial" w:cs="Arial" w:eastAsia="Arial" w:hAnsi="Arial"/>
          <w:sz w:val="17"/>
          <w:szCs w:val="17"/>
          <w:color w:val="auto"/>
        </w:rPr>
        <w:t xml:space="preserve"> and are incorporated herein by reference.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12" w:name="page13"/>
    <w:bookmarkEnd w:id="12"/>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Federal Arbitration Act relating to the arbitration of disputes, except as expressly limited or otherwise provided in this Agreement. The parties shall have the right to reasonable discovery. The parties agree 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 except as otherwise provided in this Agreement to the prevailing party.</w:t>
      </w:r>
    </w:p>
    <w:p>
      <w:pPr>
        <w:spacing w:after="0" w:line="19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arbitrator may award, if properly proven, any damages or remedy that a party could recover in a civil litigation and shall award costs and reasonable attorneys’ fees to the prevailing party as provided by law. The award of the arbitrator shall be issued in writing, setting forth the basis for the decision, and shall be binding on the parties to the fullest extent permitted by law, subject to any limited statutory right to appeal as provided by law. Judgment upon the award of the arbitrator may be entered in any state or federal court sitting in Los Angeles, California.</w:t>
      </w:r>
    </w:p>
    <w:p>
      <w:pPr>
        <w:spacing w:after="0" w:line="171"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6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 General Act of 2004. Executive will not be subject to any retaliation 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3" w:name="page14"/>
    <w:bookmarkEnd w:id="13"/>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p>
    <w:p>
      <w:pPr>
        <w:spacing w:after="0" w:line="121"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328"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21"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AVITA Medical Americas, LLC</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28159 Avenue Stanford</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Suite 220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Valencia, CA 91355</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Executive:</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Michael Holder</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 current home address on file with the Company</w:t>
      </w:r>
    </w:p>
    <w:p>
      <w:pPr>
        <w:spacing w:after="0" w:line="355"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Binding Agreement</w:t>
      </w:r>
      <w:r>
        <w:rPr>
          <w:rFonts w:ascii="Arial" w:cs="Arial" w:eastAsia="Arial" w:hAnsi="Arial"/>
          <w:sz w:val="17"/>
          <w:szCs w:val="17"/>
          <w:color w:val="auto"/>
        </w:rPr>
        <w:t>. This Agreement shall inure to the benefit of and shall be binding upon the Company, its successors and assigns.</w:t>
      </w:r>
    </w:p>
    <w:p>
      <w:pPr>
        <w:spacing w:after="0" w:line="23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Entire Agreemen</w:t>
      </w:r>
      <w:r>
        <w:rPr>
          <w:rFonts w:ascii="Arial" w:cs="Arial" w:eastAsia="Arial" w:hAnsi="Arial"/>
          <w:sz w:val="18"/>
          <w:szCs w:val="18"/>
          <w:color w:val="auto"/>
        </w:rPr>
        <w:t>t. This Agreement contains the entire agreement of the parties relating to the 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84"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Executive and the Company hereby represent and warrant to the other that: (a) he or it has full power, authority and capacity to execute and deliver this Agreement, and to perform his or its obligations hereunder; (b) such execution, delivery and performance will not (and with the giving of notice or lapse of time or both would not) result in the breach of any agreements or other obligations to which he or it is a party or he or it is otherwise bound; (c) this Agreement is a valid and binding obligation in accordance with its terms for both parties;</w:t>
      </w:r>
    </w:p>
    <w:p>
      <w:pPr>
        <w:spacing w:after="0" w:line="1" w:lineRule="exact"/>
        <w:rPr>
          <w:sz w:val="20"/>
          <w:szCs w:val="20"/>
          <w:color w:val="auto"/>
        </w:rPr>
      </w:pPr>
    </w:p>
    <w:p>
      <w:pPr>
        <w:ind w:left="5424" w:right="2180" w:hanging="5424"/>
        <w:spacing w:after="0" w:line="433" w:lineRule="auto"/>
        <w:tabs>
          <w:tab w:leader="none" w:pos="2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represents and warrants that he is under no other obligations, contractual or otherwise, that could impair his 10</w:t>
      </w:r>
    </w:p>
    <w:p>
      <w:pPr>
        <w:sectPr>
          <w:pgSz w:w="11900" w:h="16838" w:orient="portrait"/>
          <w:cols w:equalWidth="0" w:num="1">
            <w:col w:w="10924"/>
          </w:cols>
          <w:pgMar w:left="436" w:top="270" w:right="5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ability to perform fully and satisfactorily all of his obligations under this Agreement; (e) Executive has had full opportunity to review this Agreement, to obtain all legal advice 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that any party shall bring an action or proceeding in connection with the performance, breach or interpretation of this Agreement, then the prevailing party in any such action or proceeding, as determined by the court , arbitrator or other body having jurisdiction, shall be entitled to recover from the losing party all reasonable costs and expenses of such action or proceeding, including reasonable attorneys’ fees and court costs.</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on separate copies, any one of which need not contain signatures of more than one party but all of which taken together shall constitute one and the same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to follow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is executed as of March 11, 2021.</w:t>
      </w:r>
    </w:p>
    <w:p>
      <w:pPr>
        <w:spacing w:after="0" w:line="25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AVITA Medical, Inc.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AVITA Medical Americas, LLC</w:t>
      </w:r>
    </w:p>
    <w:p>
      <w:pPr>
        <w:spacing w:after="0" w:line="2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Dr. 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Dr. Michael S. Perry</w:t>
      </w:r>
    </w:p>
    <w:p>
      <w:pPr>
        <w:spacing w:after="0" w:line="117"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14605</wp:posOffset>
            </wp:positionV>
            <wp:extent cx="22028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24"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Date:</w:t>
        <w:tab/>
        <w:t>March 12, 2021</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Michael Holder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Michael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24"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Date:</w:t>
        <w:tab/>
        <w:t>March 11, 2021</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579"/>
          </w:cols>
          <w:pgMar w:left="880" w:top="274"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45920" cy="617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59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Medical, Inc. Names Michael Holder as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VALENCIA, Calif. and MELBOURNE, Australia, March 22, 2021 (GLOBE NEWSWIRE) — AVITA Medical, Inc. (Nasdaq: RCEL; ASX: AVH) (“AVITA Medical”), a regenerative medicine company that is developing and commercializing a technology platform that enables point-of-care autologous skin restoration for multiple unmet needs, announced today the appointment of Michael Holder as Chief Financial Officer effective March 22, 2021. Mr. Holder will assume responsibility for overseeing the global finance, accounting, M&amp;A, and investor relations functions and will be based in AVITA’s Valencia office in California.</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“Michael’s extensive background in finance, M&amp;A, business development, strategy, and operations, along with his demonstrated track record of creating and realizing shareholder value for private and public companies in the cell and gene therapy and other industries, will certainly strengthen our leadership team,” said Dr. Mike Perry, AVITA Medical’s Chief Executive Officer.</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Mr. Holder commented, “I am excited to join the AVITA Medical team. I believe the opportunity for growth at Avita Medical is tremendous given its initial FDA approved burn indication, promising clinical portfolio, development pipeline, M&amp;A related opportunities, and its smart and dedicated team operating with Dr. Perry’s leadership.”</w:t>
      </w:r>
    </w:p>
    <w:p>
      <w:pPr>
        <w:spacing w:after="0" w:line="1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 seasoned executive with more than 25 years of experience, Mr. Holder has served in senior financial, executive management, and board roles with leading private and public companies in the medtech, biotech, and pharma related industries. Most recently, he served as Chief Financial Officer with ImmuneCyte, Inc., a global clinical stage biopharmaceutical company with innovative cell and gene immune-oncology therapeutics. At ImmuneCyte, Inc., Mr. Holder led preparations for a major IPO or SPAC transaction and was responsible for the development of financial team and infrastructure capital raises, M&amp;A, and external audits.</w:t>
      </w:r>
    </w:p>
    <w:p>
      <w:pPr>
        <w:spacing w:after="0" w:line="18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Prior to ImmuneCyte, Inc., Mr. Holder was CEO and Portfolio Manager at Carolina Longevity Institute, LLC, a global investment company focused on investments in medtech, biotech and pharma companies that improve healthspan and longevity. At Carolina Longevity Institute, LLC, Mr. Holder managed all investment, financial, administrative, corporate development, and operational activities. Prior to Carolina Longevity Institute, LLC,</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Holder was initially CFO and later Chairman and CEO at Organ Transport Systems, Inc., a medical device company, where he built the company from early stage through multiple financing rounds as well as research, regulatory, and commercial launch activities. Prior to Organ Transport Systems, Inc., Mr. Holder was the CFO of three public or private medtech and pharma related companies.</w:t>
      </w:r>
    </w:p>
    <w:p>
      <w:pPr>
        <w:spacing w:after="0" w:line="19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Mr. Holder holds a Master of Business Administration from the Wharton School of Business at the University of Pennsylvania, a Bachelor of Science in Business Administration from the Kenan-Flagler Business School at the University of North Carolina., and previously obtained his CPA.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AVITA Medical, Inc.:</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AVITA Medical is a regenerative medicine company with a technology platform positioned to address unmet medical needs in burns, chronic wounds, and aesthetics indications. AVITA Medical’s proprietary collection and application technology provides innovative treatment solutions derived from the regenerative properties of a patient’s own skin. The medical devices work by preparing a RES </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AVITA Medical’s first U.S. product, the RECELL </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3"/>
          <w:szCs w:val="13"/>
          <w:color w:val="auto"/>
        </w:rPr>
        <w:t>®</w:t>
      </w:r>
      <w:r>
        <w:rPr>
          <w:rFonts w:ascii="Arial" w:cs="Arial" w:eastAsia="Arial" w:hAnsi="Arial"/>
          <w:sz w:val="16"/>
          <w:szCs w:val="16"/>
          <w:color w:val="auto"/>
        </w:rPr>
        <w:t xml:space="preserve"> Autologous Cell Harvesting Device for a full description of indications for use and important safety information including contraindications, warnings and precautions.</w:t>
      </w:r>
    </w:p>
    <w:p>
      <w:pPr>
        <w:spacing w:after="0" w:line="16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ectPr>
          <w:pgSz w:w="11900" w:h="16838" w:orient="portrait"/>
          <w:cols w:equalWidth="0" w:num="1">
            <w:col w:w="11020"/>
          </w:cols>
          <w:pgMar w:left="440" w:top="121"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For Further Information:</w:t>
            </w:r>
          </w:p>
        </w:tc>
        <w:tc>
          <w:tcPr>
            <w:tcW w:w="200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465"/>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120" w:type="dxa"/>
            <w:vAlign w:val="bottom"/>
          </w:tcPr>
          <w:p>
            <w:pPr>
              <w:ind w:left="176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Sam Brown, Inc.</w:t>
            </w:r>
          </w:p>
        </w:tc>
        <w:tc>
          <w:tcPr>
            <w:tcW w:w="4120" w:type="dxa"/>
            <w:vAlign w:val="bottom"/>
          </w:tcPr>
          <w:p>
            <w:pPr>
              <w:ind w:left="1760"/>
              <w:spacing w:after="0"/>
              <w:rPr>
                <w:sz w:val="20"/>
                <w:szCs w:val="20"/>
                <w:color w:val="auto"/>
              </w:rPr>
            </w:pPr>
            <w:r>
              <w:rPr>
                <w:rFonts w:ascii="Arial" w:cs="Arial" w:eastAsia="Arial" w:hAnsi="Arial"/>
                <w:sz w:val="18"/>
                <w:szCs w:val="18"/>
                <w:color w:val="auto"/>
              </w:rPr>
              <w:t>Westwicke Partners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4120" w:type="dxa"/>
            <w:vAlign w:val="bottom"/>
          </w:tcPr>
          <w:p>
            <w:pPr>
              <w:ind w:left="1760"/>
              <w:spacing w:after="0"/>
              <w:rPr>
                <w:sz w:val="20"/>
                <w:szCs w:val="20"/>
                <w:color w:val="auto"/>
              </w:rPr>
            </w:pPr>
            <w:r>
              <w:rPr>
                <w:rFonts w:ascii="Arial" w:cs="Arial" w:eastAsia="Arial" w:hAnsi="Arial"/>
                <w:sz w:val="18"/>
                <w:szCs w:val="18"/>
                <w:color w:val="auto"/>
              </w:rPr>
              <w:t>Caroline Corner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Phone +1-615-414-8668</w:t>
            </w:r>
          </w:p>
        </w:tc>
        <w:tc>
          <w:tcPr>
            <w:tcW w:w="4120" w:type="dxa"/>
            <w:vAlign w:val="bottom"/>
          </w:tcPr>
          <w:p>
            <w:pPr>
              <w:ind w:left="1760"/>
              <w:spacing w:after="0"/>
              <w:rPr>
                <w:sz w:val="20"/>
                <w:szCs w:val="20"/>
                <w:color w:val="auto"/>
              </w:rPr>
            </w:pPr>
            <w:r>
              <w:rPr>
                <w:rFonts w:ascii="Arial" w:cs="Arial" w:eastAsia="Arial" w:hAnsi="Arial"/>
                <w:sz w:val="18"/>
                <w:szCs w:val="18"/>
                <w:color w:val="auto"/>
              </w:rPr>
              <w:t>Phone +1-415-202-5678</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christycurran@sambrown.com</w:t>
            </w:r>
          </w:p>
        </w:tc>
        <w:tc>
          <w:tcPr>
            <w:tcW w:w="4120" w:type="dxa"/>
            <w:vAlign w:val="bottom"/>
          </w:tcPr>
          <w:p>
            <w:pPr>
              <w:ind w:left="1760"/>
              <w:spacing w:after="0"/>
              <w:rPr>
                <w:sz w:val="20"/>
                <w:szCs w:val="20"/>
                <w:color w:val="auto"/>
              </w:rPr>
            </w:pPr>
            <w:r>
              <w:rPr>
                <w:rFonts w:ascii="Arial" w:cs="Arial" w:eastAsia="Arial" w:hAnsi="Arial"/>
                <w:sz w:val="18"/>
                <w:szCs w:val="18"/>
                <w:color w:val="auto"/>
                <w:w w:val="90"/>
              </w:rPr>
              <w:t>caroline.corner@westwicke.com</w:t>
            </w:r>
          </w:p>
        </w:tc>
      </w:tr>
      <w:tr>
        <w:trPr>
          <w:trHeight w:val="445"/>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120" w:type="dxa"/>
            <w:vAlign w:val="bottom"/>
          </w:tcPr>
          <w:p>
            <w:pPr>
              <w:spacing w:after="0"/>
              <w:rPr>
                <w:sz w:val="24"/>
                <w:szCs w:val="24"/>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12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12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Mobile +61 (0)411 402 737</w:t>
            </w:r>
          </w:p>
        </w:tc>
        <w:tc>
          <w:tcPr>
            <w:tcW w:w="4120" w:type="dxa"/>
            <w:vAlign w:val="bottom"/>
          </w:tcPr>
          <w:p>
            <w:pPr>
              <w:spacing w:after="0"/>
              <w:rPr>
                <w:sz w:val="18"/>
                <w:szCs w:val="18"/>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rudim@monsoon.com.au</w:t>
            </w:r>
          </w:p>
        </w:tc>
        <w:tc>
          <w:tcPr>
            <w:tcW w:w="41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019"/>
      </w:cols>
      <w:pgMar w:left="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2"/>
    </w:lvl>
  </w:abstractNum>
  <w:abstractNum w:abstractNumId="8">
    <w:nsid w:val="DED7263"/>
    <w:multiLevelType w:val="hybridMultilevel"/>
    <w:lvl w:ilvl="0">
      <w:lvlJc w:val="left"/>
      <w:lvlText w:val="(%1)"/>
      <w:numFmt w:val="lowerLetter"/>
      <w:start w:val="1"/>
    </w:lvl>
    <w:lvl w:ilvl="1">
      <w:lvlJc w:val="left"/>
      <w:lvlText w:val="(%2)"/>
      <w:numFmt w:val="lowerRoman"/>
      <w:start w:val="1"/>
    </w:lvl>
  </w:abstractNum>
  <w:abstractNum w:abstractNumId="9">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
    <w:nsid w:val="1BEFD79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
    <w:nsid w:val="41A7C4C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decimal"/>
      <w:start w:val="6"/>
    </w:lvl>
  </w:abstractNum>
  <w:abstractNum w:abstractNumId="14">
    <w:nsid w:val="25E45D32"/>
    <w:multiLevelType w:val="hybridMultilevel"/>
    <w:lvl w:ilvl="0">
      <w:lvlJc w:val="left"/>
      <w:lvlText w:val="%1."/>
      <w:numFmt w:val="decimal"/>
      <w:start w:val="7"/>
    </w:lvl>
  </w:abstractNum>
  <w:abstractNum w:abstractNumId="15">
    <w:nsid w:val="519B500D"/>
    <w:multiLevelType w:val="hybridMultilevel"/>
    <w:lvl w:ilvl="0">
      <w:lvlJc w:val="left"/>
      <w:lvlText w:val="%1."/>
      <w:numFmt w:val="decimal"/>
      <w:start w:val="8"/>
    </w:lvl>
  </w:abstractNum>
  <w:abstractNum w:abstractNumId="16">
    <w:nsid w:val="431BD7B7"/>
    <w:multiLevelType w:val="hybridMultilevel"/>
    <w:lvl w:ilvl="0">
      <w:lvlJc w:val="left"/>
      <w:lvlText w:val="%1."/>
      <w:numFmt w:val="decimal"/>
      <w:start w:val="9"/>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2021-03-25T18:42:12Z</dcterms:created>
  <dcterms:modified xsi:type="dcterms:W3CDTF">2021-03-25T18:42:12Z</dcterms:modified>
</cp:coreProperties>
</file>