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07,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28159 Avenue Stanford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220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Valencia,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661 367-9170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RCEL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August 7, 2025, affiliates of OrbiMed Advisors, LLC (the “Lenders”) and AVITA Medical, Inc. (the “Company”) agreed to a fifth amendment (the “Fifth Amendment”) to the Credit Agreement, dated October 18, 2023, as previously amended (the “Credit Agreement”).</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Fifth Amendment modifies certain financial covenants under the Credit Agreement, including adjustments to the trailing 12-month revenue covenant as follows:</w:t>
      </w:r>
    </w:p>
    <w:p>
      <w:pPr>
        <w:spacing w:after="0" w:line="54"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million for the quarter ending September 30,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million for the quarter ending December 31,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million for the quarter ending March 31, 2026;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million for the quarter ending June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previously established $115 million revenue covenant for all subsequent quarters through the maturity date of the debt remains in effect.</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condition to the execution of the Fifth Amendment, the Company will issue to the Lenders 400,000 shares of the Company’s common stock, par value $0.0001 per share (the “Shares”). The offer and sale of Shares will be registered pursuant to the Company’s Registration Statement on Form S-3 (File No. 333-271276) (the “Registration Statement”) and a prospectus supplement to be filed by the Company in connection therewith. A copy of the opinion of K&amp;L Gates LLP relating to the legality of the issuance of the Shares is attached as Exhibit 5.1 hereto.</w:t>
      </w:r>
    </w:p>
    <w:p>
      <w:pPr>
        <w:spacing w:after="0" w:line="18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the Shares, nor shall there be any offer, solicitation or sale of the Shares in any state or country in which such offer, solicitation or sale would be unlawful prior to registration or qualification under the securities laws of any such state or country.</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Fifth Amendment and the share issuance is qualified in its entirety by the full text of the Fifth Amendment, a copy of which is attached hereto as Exhibit 10.1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August 7, 2025, the Company issued a press release announcing its financial results for the second quarter ended June 30, 2025. A copy of the press release is furnished as Exhibit 99.1 to this Current Report on Form 8-K.</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Item 2.02,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5.1</w:t>
            </w:r>
          </w:p>
        </w:tc>
        <w:tc>
          <w:tcPr>
            <w:tcW w:w="972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FF"/>
              </w:rPr>
              <w:t>Opinion of K&amp;L Gates LLP</w:t>
            </w:r>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1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97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Waiver and Fifth Amendment to the Credit Agreement between the Lender and the Company, dated August 7, 2025</w:t>
            </w:r>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1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97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Consent of K&amp;L Gates LLP with respect to Exhibit 5.1 (included in Exhibit 5.1)</w:t>
            </w:r>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r>
      <w:tr>
        <w:trPr>
          <w:trHeight w:val="196"/>
        </w:trPr>
        <w:tc>
          <w:tcPr>
            <w:tcW w:w="1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97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August 7, 2025, issued by AVITA Medical, Inc.</w:t>
            </w:r>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4920" w:type="dxa"/>
            <w:vAlign w:val="bottom"/>
            <w:tcBorders>
              <w:right w:val="single" w:sz="8" w:color="0000EE"/>
            </w:tcBorders>
            <w:gridSpan w:val="2"/>
            <w:shd w:val="clear" w:color="auto" w:fill="0000FF"/>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r>
      <w:tr>
        <w:trPr>
          <w:trHeight w:val="237"/>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43"/>
        </w:trPr>
        <w:tc>
          <w:tcPr>
            <w:tcW w:w="15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August 7, 2025</w:t>
      </w:r>
      <w:r>
        <w:rPr>
          <w:sz w:val="20"/>
          <w:szCs w:val="20"/>
          <w:color w:val="auto"/>
        </w:rPr>
        <w:tab/>
      </w:r>
      <w:r>
        <w:rPr>
          <w:rFonts w:ascii="Times New Roman" w:cs="Times New Roman" w:eastAsia="Times New Roman" w:hAnsi="Times New Roman"/>
          <w:sz w:val="18"/>
          <w:szCs w:val="18"/>
          <w:color w:val="auto"/>
        </w:rPr>
        <w:t>By:</w:t>
        <w:tab/>
        <w:t>/s/ David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O’Toole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268730" cy="10883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6873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260"/>
        <w:spacing w:after="0"/>
        <w:rPr>
          <w:sz w:val="20"/>
          <w:szCs w:val="20"/>
          <w:color w:val="auto"/>
        </w:rPr>
      </w:pPr>
      <w:r>
        <w:rPr>
          <w:rFonts w:ascii="Arial" w:cs="Arial" w:eastAsia="Arial" w:hAnsi="Arial"/>
          <w:sz w:val="19"/>
          <w:szCs w:val="19"/>
          <w:b w:val="1"/>
          <w:bCs w:val="1"/>
          <w:color w:val="auto"/>
        </w:rPr>
        <w:t>Exhibit 5.1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August 7, 2025</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AVITA M</w:t>
      </w:r>
      <w:r>
        <w:rPr>
          <w:rFonts w:ascii="Arial" w:cs="Arial" w:eastAsia="Arial" w:hAnsi="Arial"/>
          <w:sz w:val="13"/>
          <w:szCs w:val="13"/>
          <w:color w:val="auto"/>
        </w:rPr>
        <w:t>edical</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29" w:lineRule="auto"/>
        <w:rPr>
          <w:sz w:val="20"/>
          <w:szCs w:val="20"/>
          <w:color w:val="auto"/>
        </w:rPr>
      </w:pPr>
      <w:r>
        <w:rPr>
          <w:rFonts w:ascii="Arial" w:cs="Arial" w:eastAsia="Arial" w:hAnsi="Arial"/>
          <w:sz w:val="20"/>
          <w:szCs w:val="20"/>
          <w:color w:val="auto"/>
        </w:rPr>
        <w:t>28159 Avenue Stanford, Suite 220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Valencia, CA 91355</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0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9"/>
          <w:szCs w:val="19"/>
          <w:color w:val="auto"/>
        </w:rPr>
        <w:t>We have acted as counsel to AVITA Medical,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in connection with the issuance and sale by the Company today of 400,000 shares (the “</w:t>
      </w:r>
      <w:r>
        <w:rPr>
          <w:rFonts w:ascii="Arial" w:cs="Arial" w:eastAsia="Arial" w:hAnsi="Arial"/>
          <w:sz w:val="19"/>
          <w:szCs w:val="19"/>
          <w:u w:val="single" w:color="auto"/>
          <w:color w:val="auto"/>
        </w:rPr>
        <w:t>Shares</w:t>
      </w:r>
      <w:r>
        <w:rPr>
          <w:rFonts w:ascii="Arial" w:cs="Arial" w:eastAsia="Arial" w:hAnsi="Arial"/>
          <w:sz w:val="19"/>
          <w:szCs w:val="19"/>
          <w:color w:val="auto"/>
        </w:rPr>
        <w:t>”) of common stock, par value $0.0001 per share, of the Company (“</w:t>
      </w:r>
      <w:r>
        <w:rPr>
          <w:rFonts w:ascii="Arial" w:cs="Arial" w:eastAsia="Arial" w:hAnsi="Arial"/>
          <w:sz w:val="19"/>
          <w:szCs w:val="19"/>
          <w:u w:val="single" w:color="auto"/>
          <w:color w:val="auto"/>
        </w:rPr>
        <w:t>Common Stock</w:t>
      </w:r>
      <w:r>
        <w:rPr>
          <w:rFonts w:ascii="Arial" w:cs="Arial" w:eastAsia="Arial" w:hAnsi="Arial"/>
          <w:sz w:val="19"/>
          <w:szCs w:val="19"/>
          <w:color w:val="auto"/>
        </w:rPr>
        <w:t>”), pursuant to the Waiver and Fifth Amendment to Credit Agreement, dated as of August 7, 2025 (the “</w:t>
      </w:r>
      <w:r>
        <w:rPr>
          <w:rFonts w:ascii="Arial" w:cs="Arial" w:eastAsia="Arial" w:hAnsi="Arial"/>
          <w:sz w:val="19"/>
          <w:szCs w:val="19"/>
          <w:u w:val="single" w:color="auto"/>
          <w:color w:val="auto"/>
        </w:rPr>
        <w:t>Fifth Amendment</w:t>
      </w:r>
      <w:r>
        <w:rPr>
          <w:rFonts w:ascii="Arial" w:cs="Arial" w:eastAsia="Arial" w:hAnsi="Arial"/>
          <w:sz w:val="19"/>
          <w:szCs w:val="19"/>
          <w:color w:val="auto"/>
        </w:rPr>
        <w:t>”), which Fifth Amendment amends that certain Credit Agreement, dated as of October 18, 2023, as the Borrower (as defined therein), and ORCO IV LLC and ORBIMED ROYALTY &amp; CREDIT OPPORTUNITIES IV OFFSHORE LP, as the Lenders (as defined therein, the “</w:t>
      </w:r>
      <w:r>
        <w:rPr>
          <w:rFonts w:ascii="Arial" w:cs="Arial" w:eastAsia="Arial" w:hAnsi="Arial"/>
          <w:sz w:val="19"/>
          <w:szCs w:val="19"/>
          <w:u w:val="single" w:color="auto"/>
          <w:color w:val="auto"/>
        </w:rPr>
        <w:t>Lenders</w:t>
      </w:r>
      <w:r>
        <w:rPr>
          <w:rFonts w:ascii="Arial" w:cs="Arial" w:eastAsia="Arial" w:hAnsi="Arial"/>
          <w:sz w:val="19"/>
          <w:szCs w:val="19"/>
          <w:color w:val="auto"/>
        </w:rPr>
        <w:t>”), and ORCO IV LLC, as the Administrative Agent (as defined therein), as amended by that certain Waiver and First Amendment to Credit Agreement, dated as of November 30, 2023, as amended by that certain Second Amendment to Credit Agreement, dated as of May 28, 2024, as amended by that certain Third Amendment to Credit Agreement, dated as of November 7, 2024, as amended by that certain Fourth Amendment to Credit Agreement, dated as of February 13, 2025, as modified by that certain Waiver, effective as of March 31, 2025, and as modified by that certain Waiver, effective as of June 30, 2025 (as so amended and modified,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In accordance with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and the rules and regulations promulgated thereunder, the Company has prepared and filed with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the registration statement on Form S-3 (File No. 333-271276), filed with the Commission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including each of the Company’s reports that have been filed with the Commission under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that are incorporated by reference in such registration statement (the “</w:t>
      </w:r>
      <w:r>
        <w:rPr>
          <w:rFonts w:ascii="Arial" w:cs="Arial" w:eastAsia="Arial" w:hAnsi="Arial"/>
          <w:sz w:val="19"/>
          <w:szCs w:val="19"/>
          <w:u w:val="single" w:color="auto"/>
          <w:color w:val="auto"/>
        </w:rPr>
        <w:t>Registration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Statement</w:t>
      </w:r>
      <w:r>
        <w:rPr>
          <w:rFonts w:ascii="Arial" w:cs="Arial" w:eastAsia="Arial" w:hAnsi="Arial"/>
          <w:sz w:val="19"/>
          <w:szCs w:val="19"/>
          <w:color w:val="auto"/>
        </w:rPr>
        <w:t>”), and the base prospectus, dated April 25, 2023 (the “</w:t>
      </w:r>
      <w:r>
        <w:rPr>
          <w:rFonts w:ascii="Arial" w:cs="Arial" w:eastAsia="Arial" w:hAnsi="Arial"/>
          <w:sz w:val="19"/>
          <w:szCs w:val="19"/>
          <w:u w:val="single" w:color="auto"/>
          <w:color w:val="auto"/>
        </w:rPr>
        <w:t>Base Prospectus</w:t>
      </w:r>
      <w:r>
        <w:rPr>
          <w:rFonts w:ascii="Arial" w:cs="Arial" w:eastAsia="Arial" w:hAnsi="Arial"/>
          <w:sz w:val="19"/>
          <w:szCs w:val="19"/>
          <w:color w:val="auto"/>
        </w:rPr>
        <w:t>”), insofar as it pertains to the offering of the Shares, as supplemented by the prospectus supplement, dated August 7, 2025, relating to the offering of the Shares, to be filed by the Company with the Commission pursuant to Rule 424(b) under the Securities Act (the “</w:t>
      </w:r>
      <w:r>
        <w:rPr>
          <w:rFonts w:ascii="Arial" w:cs="Arial" w:eastAsia="Arial" w:hAnsi="Arial"/>
          <w:sz w:val="19"/>
          <w:szCs w:val="19"/>
          <w:u w:val="single" w:color="auto"/>
          <w:color w:val="auto"/>
        </w:rPr>
        <w:t>Prospectus</w:t>
      </w:r>
      <w:r>
        <w:rPr>
          <w:rFonts w:ascii="Arial" w:cs="Arial" w:eastAsia="Arial" w:hAnsi="Arial"/>
          <w:sz w:val="19"/>
          <w:szCs w:val="19"/>
          <w:color w:val="auto"/>
        </w:rPr>
        <w:t>”).</w:t>
      </w:r>
    </w:p>
    <w:p>
      <w:pPr>
        <w:spacing w:after="0" w:line="18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This opinion letter is being delivered in accordance with the requirements of Item 601(b)(5)(i) of Regulation S-K under the Securities Act.</w:t>
      </w:r>
    </w:p>
    <w:p>
      <w:pPr>
        <w:spacing w:after="0" w:line="15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In connection with rendering the opinions set forth below, we have examined (i) the Registration Statement; (ii) the Base Prospectus base prospectus dated April 25, 2023 included in the Registration Statement; (iii) the Prospectus; (iv) the Fifth Amendment; (v) the Credit Agreement; (vi) the Certificate of Incorporation of the Company as filed with the Secretary of State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both"/>
        <w:spacing w:after="0" w:line="231" w:lineRule="auto"/>
        <w:rPr>
          <w:sz w:val="20"/>
          <w:szCs w:val="20"/>
          <w:color w:val="auto"/>
        </w:rPr>
      </w:pPr>
      <w:r>
        <w:rPr>
          <w:rFonts w:ascii="Arial" w:cs="Arial" w:eastAsia="Arial" w:hAnsi="Arial"/>
          <w:sz w:val="20"/>
          <w:szCs w:val="20"/>
          <w:color w:val="auto"/>
        </w:rPr>
        <w:t>of the State of Delaware on April 17, 2020, as amended by the Certificate of Amendment of Certificate of Incorporation as filed with the Secretary of State of the State of Delaware on December 2, 2020 (the “</w:t>
      </w:r>
      <w:r>
        <w:rPr>
          <w:rFonts w:ascii="Arial" w:cs="Arial" w:eastAsia="Arial" w:hAnsi="Arial"/>
          <w:sz w:val="20"/>
          <w:szCs w:val="20"/>
          <w:u w:val="single" w:color="auto"/>
          <w:color w:val="auto"/>
        </w:rPr>
        <w:t>Certificate of Incorporation</w:t>
      </w:r>
      <w:r>
        <w:rPr>
          <w:rFonts w:ascii="Arial" w:cs="Arial" w:eastAsia="Arial" w:hAnsi="Arial"/>
          <w:sz w:val="20"/>
          <w:szCs w:val="20"/>
          <w:color w:val="auto"/>
        </w:rPr>
        <w:t>”), (vii) the Amended and Restated Bylaws of the Company, adopted and effective as of May 15, 2025 (the “</w:t>
      </w:r>
      <w:r>
        <w:rPr>
          <w:rFonts w:ascii="Arial" w:cs="Arial" w:eastAsia="Arial" w:hAnsi="Arial"/>
          <w:sz w:val="20"/>
          <w:szCs w:val="20"/>
          <w:u w:val="single" w:color="auto"/>
          <w:color w:val="auto"/>
        </w:rPr>
        <w:t>Bylaws</w:t>
      </w:r>
      <w:r>
        <w:rPr>
          <w:rFonts w:ascii="Arial" w:cs="Arial" w:eastAsia="Arial" w:hAnsi="Arial"/>
          <w:sz w:val="20"/>
          <w:szCs w:val="20"/>
          <w:color w:val="auto"/>
        </w:rPr>
        <w:t>” and, together with the Certificate of Incorporation, the “</w:t>
      </w:r>
      <w:r>
        <w:rPr>
          <w:rFonts w:ascii="Arial" w:cs="Arial" w:eastAsia="Arial" w:hAnsi="Arial"/>
          <w:sz w:val="20"/>
          <w:szCs w:val="20"/>
          <w:u w:val="single" w:color="auto"/>
          <w:color w:val="auto"/>
        </w:rPr>
        <w:t>Company Organizational Documents</w:t>
      </w:r>
      <w:r>
        <w:rPr>
          <w:rFonts w:ascii="Arial" w:cs="Arial" w:eastAsia="Arial" w:hAnsi="Arial"/>
          <w:sz w:val="20"/>
          <w:szCs w:val="20"/>
          <w:color w:val="auto"/>
        </w:rPr>
        <w:t>”), (viii) resolutions adopted by the Company’s Board of Directors (the “</w:t>
      </w:r>
      <w:r>
        <w:rPr>
          <w:rFonts w:ascii="Arial" w:cs="Arial" w:eastAsia="Arial" w:hAnsi="Arial"/>
          <w:sz w:val="20"/>
          <w:szCs w:val="20"/>
          <w:u w:val="single" w:color="auto"/>
          <w:color w:val="auto"/>
        </w:rPr>
        <w:t>Board of Directors</w:t>
      </w:r>
      <w:r>
        <w:rPr>
          <w:rFonts w:ascii="Arial" w:cs="Arial" w:eastAsia="Arial" w:hAnsi="Arial"/>
          <w:sz w:val="20"/>
          <w:szCs w:val="20"/>
          <w:color w:val="auto"/>
        </w:rPr>
        <w:t>”) on August 6, 2025 (the “</w:t>
      </w:r>
      <w:r>
        <w:rPr>
          <w:rFonts w:ascii="Arial" w:cs="Arial" w:eastAsia="Arial" w:hAnsi="Arial"/>
          <w:sz w:val="20"/>
          <w:szCs w:val="20"/>
          <w:u w:val="single" w:color="auto"/>
          <w:color w:val="auto"/>
        </w:rPr>
        <w:t>Resolutions</w:t>
      </w:r>
      <w:r>
        <w:rPr>
          <w:rFonts w:ascii="Arial" w:cs="Arial" w:eastAsia="Arial" w:hAnsi="Arial"/>
          <w:sz w:val="20"/>
          <w:szCs w:val="20"/>
          <w:color w:val="auto"/>
        </w:rPr>
        <w:t>”), relating to the issuance and sale of the Shares pursuant to the Fifth Amendment, (ix) a certificate of good standing with respect to the Company obtained from the Secretary of State of the State of Delaware on August 6, 2025 (the “</w:t>
      </w:r>
      <w:r>
        <w:rPr>
          <w:rFonts w:ascii="Arial" w:cs="Arial" w:eastAsia="Arial" w:hAnsi="Arial"/>
          <w:sz w:val="20"/>
          <w:szCs w:val="20"/>
          <w:u w:val="single" w:color="auto"/>
          <w:color w:val="auto"/>
        </w:rPr>
        <w:t>Good Standing Certificate</w:t>
      </w:r>
      <w:r>
        <w:rPr>
          <w:rFonts w:ascii="Arial" w:cs="Arial" w:eastAsia="Arial" w:hAnsi="Arial"/>
          <w:sz w:val="20"/>
          <w:szCs w:val="20"/>
          <w:color w:val="auto"/>
        </w:rPr>
        <w:t>”), and (x) a fact certificate executed and delivered by an officer of the Company with respect to certain matters (the “</w:t>
      </w:r>
      <w:r>
        <w:rPr>
          <w:rFonts w:ascii="Arial" w:cs="Arial" w:eastAsia="Arial" w:hAnsi="Arial"/>
          <w:sz w:val="20"/>
          <w:szCs w:val="20"/>
          <w:u w:val="single" w:color="auto"/>
          <w:color w:val="auto"/>
        </w:rPr>
        <w:t>Fact Certificate</w:t>
      </w:r>
      <w:r>
        <w:rPr>
          <w:rFonts w:ascii="Arial" w:cs="Arial" w:eastAsia="Arial" w:hAnsi="Arial"/>
          <w:sz w:val="20"/>
          <w:szCs w:val="20"/>
          <w:color w:val="auto"/>
        </w:rPr>
        <w:t>”).</w:t>
      </w:r>
    </w:p>
    <w:p>
      <w:pPr>
        <w:spacing w:after="0" w:line="173"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For purposes of this opinion letter, we have not examined any documents other than the documents listed above and assume there exists no provision in any document relating to the matters covered by our opinions below that we have not examined that is inconsistent with the documents listed above or our opinions below. We have conducted no independent factual investigation of our own but rather have relied solely upon our examination of the aforesaid documents, the statements and information set forth therein, including, without limitation, the representations and warranties of the parties to the parties made in the documents listed above and the additional matters recited or assumed in this opinion letter, all of which we assume to be true, complete and accurate in all respects. We have not independently established any of the facts so relied on.</w:t>
      </w:r>
    </w:p>
    <w:p>
      <w:pPr>
        <w:spacing w:after="0" w:line="17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9"/>
          <w:szCs w:val="19"/>
          <w:color w:val="auto"/>
        </w:rPr>
        <w:t>For the purposes of this opinion letter we have made assumptions that are customary in opinion letters of this kind, including the assumptions that each document examined by us is accurate and complete, that each such document that is an original is authentic, that each such document that is a copy conforms to an authentic original, that all signatures on each such document are genuine, that no changes in the facts certified in the Fact Certificate have occurred or will occur after the date of the Fact Certificate and the legal capacity of all natural persons. We have further assumed that, except as expressly opined below as to the Company: (a) each party to the documents examined by us (i) is duly organized, validly existing and in good standing under the laws of its jurisdiction of organization, (ii) has the legal capacity, power and authority to execute, deliver, and perform its obligations under such documents, (iii) has taken all action necessary to duly authorize the execution and delivery of, and the performance of its obligations under, such documents, and (iv) has duly executed and delivered such documents; and</w:t>
      </w:r>
    </w:p>
    <w:p>
      <w:pPr>
        <w:spacing w:after="0" w:line="4" w:lineRule="exact"/>
        <w:rPr>
          <w:sz w:val="20"/>
          <w:szCs w:val="20"/>
          <w:color w:val="auto"/>
        </w:rPr>
      </w:pPr>
    </w:p>
    <w:p>
      <w:pPr>
        <w:ind w:firstLine="8"/>
        <w:spacing w:after="0" w:line="239" w:lineRule="auto"/>
        <w:tabs>
          <w:tab w:leader="none" w:pos="303" w:val="left"/>
        </w:tabs>
        <w:numPr>
          <w:ilvl w:val="0"/>
          <w:numId w:val="3"/>
        </w:numPr>
        <w:rPr>
          <w:rFonts w:ascii="Arial" w:cs="Arial" w:eastAsia="Arial" w:hAnsi="Arial"/>
          <w:sz w:val="20"/>
          <w:szCs w:val="20"/>
          <w:color w:val="auto"/>
        </w:rPr>
      </w:pPr>
      <w:r>
        <w:rPr>
          <w:rFonts w:ascii="Arial" w:cs="Arial" w:eastAsia="Arial" w:hAnsi="Arial"/>
          <w:sz w:val="20"/>
          <w:szCs w:val="20"/>
          <w:color w:val="auto"/>
        </w:rPr>
        <w:t>each of the documents examined by us constitutes the legal, valid, and binding obligation of each party thereto, enforceable against each such party in accordance with its terms.</w:t>
      </w:r>
    </w:p>
    <w:p>
      <w:pPr>
        <w:spacing w:after="0" w:line="172" w:lineRule="exact"/>
        <w:rPr>
          <w:sz w:val="20"/>
          <w:szCs w:val="20"/>
          <w:color w:val="auto"/>
        </w:rPr>
      </w:pPr>
    </w:p>
    <w:p>
      <w:pPr>
        <w:jc w:val="both"/>
        <w:ind w:firstLine="749"/>
        <w:spacing w:after="0" w:line="227" w:lineRule="auto"/>
        <w:rPr>
          <w:sz w:val="20"/>
          <w:szCs w:val="20"/>
          <w:color w:val="auto"/>
        </w:rPr>
      </w:pPr>
      <w:r>
        <w:rPr>
          <w:rFonts w:ascii="Arial" w:cs="Arial" w:eastAsia="Arial" w:hAnsi="Arial"/>
          <w:sz w:val="20"/>
          <w:szCs w:val="20"/>
          <w:color w:val="auto"/>
        </w:rPr>
        <w:t>In rendering our opinions below, we also have assumed that: (a) the issuance of all Shares will be duly recorded in the Company’s stock ledger upon issuance; (b) in accordance with Section 158 of the General Corporation Law of the State of Delaware (the “</w:t>
      </w:r>
      <w:r>
        <w:rPr>
          <w:rFonts w:ascii="Arial" w:cs="Arial" w:eastAsia="Arial" w:hAnsi="Arial"/>
          <w:sz w:val="20"/>
          <w:szCs w:val="20"/>
          <w:u w:val="single" w:color="auto"/>
          <w:color w:val="auto"/>
        </w:rPr>
        <w:t>DGCL</w:t>
      </w:r>
      <w:r>
        <w:rPr>
          <w:rFonts w:ascii="Arial" w:cs="Arial" w:eastAsia="Arial" w:hAnsi="Arial"/>
          <w:sz w:val="20"/>
          <w:szCs w:val="20"/>
          <w:color w:val="auto"/>
        </w:rPr>
        <w:t>”), the Shares will be evidenced by certificates, duly executed and delivered, or the Board of Directors will adopt resolutions providing that all shares of Common Stock shall be uncertificated prior to the issuance of the Shares and, within a reasonable time after the issuance of any such Shares, the registered owner of such Shares will be given notice in writing or by electronic transmission in compliance with Section 151(f) of the DGCL; (c) there are no contracts with one or more current or prospective stockholders of the Company (or one or more beneficial owners of stock of the Company), in its or their capacity as such, within the meaning of Section 122(18) of the DGCL; (d) the consideration for the issuance of the Shares pursuant to the Fifth Amendment will equal or exceed the then par value of a share of Common Stock; and (e) the issuance of the Shares will not (A) have the effect,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5" w:name="page6"/>
    <w:bookmarkEnd w:id="5"/>
    <w:p>
      <w:pPr>
        <w:jc w:val="both"/>
        <w:spacing w:after="0" w:line="234" w:lineRule="auto"/>
        <w:rPr>
          <w:sz w:val="20"/>
          <w:szCs w:val="20"/>
          <w:color w:val="auto"/>
        </w:rPr>
      </w:pPr>
      <w:r>
        <w:rPr>
          <w:rFonts w:ascii="Arial" w:cs="Arial" w:eastAsia="Arial" w:hAnsi="Arial"/>
          <w:sz w:val="20"/>
          <w:szCs w:val="20"/>
          <w:color w:val="auto"/>
        </w:rPr>
        <w:t>directly or indirectly, of increasing the proportionate shares of stock or securities convertible into stock, in each case, of the Company held by an interested stockholder (within the meaning of Section 203(c) of the DGCL) or (B) confer a benefit, directly or indirectly (except proportionately as a stockholder of the Company) of any loans, advanced, guarantees, pledges or other financial benefits (other than those expressly permitted in paragraphs (c)(3)(i)-(iv) of Section 203 of the DGCL) on an interested stockholder (within the meaning of Section 203(c) of the DGCL). We have not verified any of the foregoing assumptions.</w:t>
      </w:r>
    </w:p>
    <w:p>
      <w:pPr>
        <w:spacing w:after="0" w:line="17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Our opinion set forth below is limited to the General Corporation Law of the State of Delaware (the “</w:t>
      </w:r>
      <w:r>
        <w:rPr>
          <w:rFonts w:ascii="Arial" w:cs="Arial" w:eastAsia="Arial" w:hAnsi="Arial"/>
          <w:sz w:val="20"/>
          <w:szCs w:val="20"/>
          <w:u w:val="single" w:color="auto"/>
          <w:color w:val="auto"/>
        </w:rPr>
        <w:t>DGCL</w:t>
      </w:r>
      <w:r>
        <w:rPr>
          <w:rFonts w:ascii="Arial" w:cs="Arial" w:eastAsia="Arial" w:hAnsi="Arial"/>
          <w:sz w:val="20"/>
          <w:szCs w:val="20"/>
          <w:color w:val="auto"/>
        </w:rPr>
        <w:t>”) and reported judicial decisions interpreting the DGCL. We express no opinion as to the laws, rules or regulations of any other jurisdiction, including, without limitation, the federal laws of the United States of America or any state securities or blue sky laws; we express no opinion with respect to the Corporate Transparency Act.</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The Shares have been duly authorized for issuance by the Company and, upon issuance by the Company in consideration of the Lenders’ execution and delivery of the Fifth Amendment in accordance with the terms of the Fifth Amendment, will be validly issued, fully-paid and non-assessable.</w:t>
      </w:r>
    </w:p>
    <w:p>
      <w:pPr>
        <w:spacing w:after="0" w:line="171"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color w:val="auto"/>
        </w:rPr>
        <w:t>We hereby consent to the filing of this opinion letter with the Commission as Exhibit 5.1 to the Company’s Current Report on Form 8-K and to the reference to this firm under the heading “Legal Matters” in the Prospectus Supplement. In giving this consent, we do not hereby admit that we are experts with respect to any part of the Registration Statement within the meaning of the term “expert” as used in Section 11 of the Securities Act or the rules and regulations promulgated thereunder by the category of persons whose consent is required under Section 7 of the Securities Act or the rules and regulations of the SEC promulgated thereunder.</w:t>
      </w:r>
    </w:p>
    <w:p>
      <w:pPr>
        <w:spacing w:after="0" w:line="172"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Yours truly,</w:t>
      </w:r>
    </w:p>
    <w:p>
      <w:pPr>
        <w:spacing w:after="0" w:line="216" w:lineRule="exact"/>
        <w:rPr>
          <w:sz w:val="20"/>
          <w:szCs w:val="20"/>
          <w:color w:val="auto"/>
        </w:rPr>
      </w:pPr>
    </w:p>
    <w:p>
      <w:pPr>
        <w:ind w:left="6120"/>
        <w:spacing w:after="0"/>
        <w:rPr>
          <w:sz w:val="20"/>
          <w:szCs w:val="20"/>
          <w:color w:val="auto"/>
        </w:rPr>
      </w:pPr>
      <w:r>
        <w:rPr>
          <w:rFonts w:ascii="Arial" w:cs="Arial" w:eastAsia="Arial" w:hAnsi="Arial"/>
          <w:sz w:val="20"/>
          <w:szCs w:val="20"/>
          <w:color w:val="auto"/>
        </w:rPr>
        <w:t>/s/ K&amp;L Gates LLP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WAIVER AND FIFTH AMENDMENT TO CREDIT AGREEMENT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This WAIVER AND </w:t>
      </w:r>
      <w:r>
        <w:rPr>
          <w:rFonts w:ascii="Times New Roman" w:cs="Times New Roman" w:eastAsia="Times New Roman" w:hAnsi="Times New Roman"/>
          <w:sz w:val="22"/>
          <w:szCs w:val="22"/>
          <w:b w:val="1"/>
          <w:bCs w:val="1"/>
          <w:color w:val="auto"/>
        </w:rPr>
        <w:t>FIFTH AMENDMENT TO CREDIT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is made and entered into as of August 7, 2025 by and among </w:t>
      </w:r>
      <w:r>
        <w:rPr>
          <w:rFonts w:ascii="Times New Roman" w:cs="Times New Roman" w:eastAsia="Times New Roman" w:hAnsi="Times New Roman"/>
          <w:sz w:val="22"/>
          <w:szCs w:val="22"/>
          <w:b w:val="1"/>
          <w:bCs w:val="1"/>
          <w:color w:val="auto"/>
        </w:rPr>
        <w:t>AVITA MEDICAL, INC.</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ORCO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IV LLC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ORBIMED ROYALTY &amp; CREDIT OPPORTUNITIES IV OFFSHORE, LP</w:t>
      </w:r>
      <w:r>
        <w:rPr>
          <w:rFonts w:ascii="Times New Roman" w:cs="Times New Roman" w:eastAsia="Times New Roman" w:hAnsi="Times New Roman"/>
          <w:sz w:val="22"/>
          <w:szCs w:val="22"/>
          <w:color w:val="auto"/>
        </w:rPr>
        <w:t>, as Lenders, and</w:t>
      </w:r>
      <w:r>
        <w:rPr>
          <w:rFonts w:ascii="Times New Roman" w:cs="Times New Roman" w:eastAsia="Times New Roman" w:hAnsi="Times New Roman"/>
          <w:sz w:val="22"/>
          <w:szCs w:val="22"/>
          <w:b w:val="1"/>
          <w:bCs w:val="1"/>
          <w:color w:val="auto"/>
        </w:rPr>
        <w:t xml:space="preserve"> ORCO IV LLC</w:t>
      </w:r>
      <w:r>
        <w:rPr>
          <w:rFonts w:ascii="Times New Roman" w:cs="Times New Roman" w:eastAsia="Times New Roman" w:hAnsi="Times New Roman"/>
          <w:sz w:val="22"/>
          <w:szCs w:val="22"/>
          <w:color w:val="auto"/>
        </w:rPr>
        <w:t>, as administrative agent for the Lenders (together with its Affiliates, successors, transferees and assignees,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Borrower, the Lenders and the Administrative Agent entered into a Credit Agreement, dated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October 18, 2023, as amended by that certain Waiver and First Amendment to Credit Agreement, dated as of November 30, 2023, as amended by that certain Second Amendment to Credit Agreement, dated as of May 28, 2024, as amended by that certain Third Amendment to Credit Agreement, dated as of November 7, 2024, as amended by that certain Fourth Amendment to Credit Agreement, dated as of February 13, 2025, as modified by that certain Waiver, effective as of March 31, 2025, and as modified by that certain Waiver, effective as of June 30, 2025 (as so amended and modified,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pursuant to which the Lenders have extended credit to the Borrower on the terms set forth therein;</w:t>
      </w:r>
    </w:p>
    <w:p>
      <w:pPr>
        <w:spacing w:after="0" w:line="176" w:lineRule="exact"/>
        <w:rPr>
          <w:sz w:val="20"/>
          <w:szCs w:val="20"/>
          <w:color w:val="auto"/>
        </w:rPr>
      </w:pPr>
    </w:p>
    <w:p>
      <w:pPr>
        <w:jc w:val="both"/>
        <w:ind w:firstLine="1083"/>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 pursuant to Section 10.1 of the Credit Agreement, the Credit Agreement may be amended by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instrument in writing signed by each of the Borrower and the Lenders and acknowledged by the Administrative Agent;</w:t>
      </w:r>
    </w:p>
    <w:p>
      <w:pPr>
        <w:spacing w:after="0" w:line="4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undersigned Lenders comprise all Lenders under the Credit Agreement; and</w:t>
      </w:r>
    </w:p>
    <w:p>
      <w:pPr>
        <w:spacing w:after="0" w:line="98"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Borrower and the Lenders desire to amend certain provisions of the Credit Agreement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in this Amendment.</w:t>
      </w:r>
    </w:p>
    <w:p>
      <w:pPr>
        <w:spacing w:after="0" w:line="150"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agreements herein contained, and for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the parties hereto agree as follows:</w:t>
      </w:r>
    </w:p>
    <w:p>
      <w:pPr>
        <w:spacing w:after="0" w:line="150" w:lineRule="exact"/>
        <w:rPr>
          <w:sz w:val="20"/>
          <w:szCs w:val="20"/>
          <w:color w:val="auto"/>
        </w:rPr>
      </w:pPr>
    </w:p>
    <w:p>
      <w:pPr>
        <w:jc w:val="both"/>
        <w:ind w:firstLine="1505"/>
        <w:spacing w:after="0" w:line="246" w:lineRule="auto"/>
        <w:tabs>
          <w:tab w:leader="none" w:pos="203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 Loan Document</w:t>
      </w:r>
      <w:r>
        <w:rPr>
          <w:rFonts w:ascii="Times New Roman" w:cs="Times New Roman" w:eastAsia="Times New Roman" w:hAnsi="Times New Roman"/>
          <w:sz w:val="22"/>
          <w:szCs w:val="22"/>
          <w:color w:val="auto"/>
        </w:rPr>
        <w:t>. Capitalized terms used herein without definition shall have the meanings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assigned to such terms in the Credit Agreement. This Amendment shall constitute a Loan Document for all purposes of the Credit Agreement and the other Loan Documents.</w:t>
      </w:r>
    </w:p>
    <w:p>
      <w:pPr>
        <w:spacing w:after="0" w:line="167" w:lineRule="exact"/>
        <w:rPr>
          <w:rFonts w:ascii="Times New Roman" w:cs="Times New Roman" w:eastAsia="Times New Roman" w:hAnsi="Times New Roman"/>
          <w:sz w:val="22"/>
          <w:szCs w:val="22"/>
          <w:color w:val="auto"/>
        </w:rPr>
      </w:pPr>
    </w:p>
    <w:p>
      <w:pPr>
        <w:jc w:val="both"/>
        <w:ind w:firstLine="1505"/>
        <w:spacing w:after="0" w:line="263" w:lineRule="auto"/>
        <w:tabs>
          <w:tab w:leader="none" w:pos="2036"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Waiver</w:t>
      </w:r>
      <w:r>
        <w:rPr>
          <w:rFonts w:ascii="Times New Roman" w:cs="Times New Roman" w:eastAsia="Times New Roman" w:hAnsi="Times New Roman"/>
          <w:sz w:val="21"/>
          <w:szCs w:val="21"/>
          <w:color w:val="auto"/>
        </w:rPr>
        <w:t>. Subject to the effectiveness of this Amendment and the terms and conditions set forth herein,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Lenders agree to waive the requirement under Section 7.1(b) of the Credit Agreement requiring the absence of any qualification or statement which is of a “going concern” or similar nature, solely with respect to the Fiscal Quarter ended June 30, 2025.</w:t>
      </w:r>
    </w:p>
    <w:p>
      <w:pPr>
        <w:spacing w:after="0" w:line="151"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 to Section 1.1</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548"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 of the Credit Agreement is hereby amended by inserting the following new defined term therein in the proper alphabetical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ind w:left="216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Fifth Amendment</w:t>
      </w:r>
      <w:r>
        <w:rPr>
          <w:rFonts w:ascii="Times New Roman" w:cs="Times New Roman" w:eastAsia="Times New Roman" w:hAnsi="Times New Roman"/>
          <w:sz w:val="22"/>
          <w:szCs w:val="22"/>
          <w:color w:val="auto"/>
        </w:rPr>
        <w:t>” means the Fifth Amendment to the Agreement, dated as of the Fifth Amendment Effective Date, among the Borrower, the Lenders and the Administrative Agent.</w:t>
      </w:r>
    </w:p>
    <w:p>
      <w:pPr>
        <w:spacing w:after="0" w:line="15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Fifth Amendment Effective Date</w:t>
      </w:r>
      <w:r>
        <w:rPr>
          <w:rFonts w:ascii="Times New Roman" w:cs="Times New Roman" w:eastAsia="Times New Roman" w:hAnsi="Times New Roman"/>
          <w:sz w:val="22"/>
          <w:szCs w:val="22"/>
          <w:color w:val="auto"/>
        </w:rPr>
        <w:t>” means August 7, 2025.</w:t>
      </w:r>
    </w:p>
    <w:p>
      <w:pPr>
        <w:spacing w:after="0" w:line="206" w:lineRule="exact"/>
        <w:rPr>
          <w:sz w:val="20"/>
          <w:szCs w:val="20"/>
          <w:color w:val="auto"/>
        </w:rPr>
      </w:pPr>
    </w:p>
    <w:p>
      <w:pPr>
        <w:ind w:left="1500" w:firstLine="754"/>
        <w:spacing w:after="0" w:line="258" w:lineRule="auto"/>
        <w:tabs>
          <w:tab w:leader="none" w:pos="2548"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“Loan Documents” in Section 1.1 of the Credit Agreement is hereby amended by inserting “the Fifth Amendment,” immediately after the phrase “the Fourth Amendment,”.</w:t>
      </w:r>
    </w:p>
    <w:p>
      <w:pPr>
        <w:spacing w:after="0" w:line="154" w:lineRule="exact"/>
        <w:rPr>
          <w:rFonts w:ascii="Times New Roman" w:cs="Times New Roman" w:eastAsia="Times New Roman" w:hAnsi="Times New Roman"/>
          <w:sz w:val="22"/>
          <w:szCs w:val="22"/>
          <w:color w:val="auto"/>
        </w:rPr>
      </w:pPr>
    </w:p>
    <w:p>
      <w:pPr>
        <w:ind w:right="280" w:firstLine="1505"/>
        <w:spacing w:after="0" w:line="262" w:lineRule="auto"/>
        <w:tabs>
          <w:tab w:leader="none" w:pos="203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 to Section 3.2</w:t>
      </w:r>
      <w:r>
        <w:rPr>
          <w:rFonts w:ascii="Times New Roman" w:cs="Times New Roman" w:eastAsia="Times New Roman" w:hAnsi="Times New Roman"/>
          <w:sz w:val="22"/>
          <w:szCs w:val="22"/>
          <w:color w:val="auto"/>
        </w:rPr>
        <w:t>. Section 3.2 of the Credit Agreement is hereby amended by replacing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chart therein in its entirety with the following:</w:t>
      </w:r>
    </w:p>
    <w:p>
      <w:pPr>
        <w:spacing w:after="0" w:line="181" w:lineRule="exact"/>
        <w:rPr>
          <w:sz w:val="20"/>
          <w:szCs w:val="20"/>
          <w:color w:val="auto"/>
        </w:rPr>
      </w:pPr>
    </w:p>
    <w:tbl>
      <w:tblPr>
        <w:tblLayout w:type="fixed"/>
        <w:tblInd w:w="840" w:type="dxa"/>
        <w:tblCellMar>
          <w:top w:w="0" w:type="dxa"/>
          <w:left w:w="0" w:type="dxa"/>
          <w:bottom w:w="0" w:type="dxa"/>
          <w:right w:w="0" w:type="dxa"/>
        </w:tblCellMar>
      </w:tblPr>
      <w:tr>
        <w:trPr>
          <w:trHeight w:val="279"/>
        </w:trPr>
        <w:tc>
          <w:tcPr>
            <w:tcW w:w="4580" w:type="dxa"/>
            <w:vAlign w:val="bottom"/>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Test Dates (Fiscal Quarter Ending)</w:t>
            </w:r>
          </w:p>
        </w:tc>
        <w:tc>
          <w:tcPr>
            <w:tcW w:w="49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Product Revenue Base for the 12-month period</w:t>
            </w:r>
          </w:p>
        </w:tc>
      </w:tr>
      <w:tr>
        <w:trPr>
          <w:trHeight w:val="286"/>
        </w:trPr>
        <w:tc>
          <w:tcPr>
            <w:tcW w:w="4580" w:type="dxa"/>
            <w:vAlign w:val="bottom"/>
            <w:shd w:val="clear" w:color="auto" w:fill="D9D9D9"/>
          </w:tcPr>
          <w:p>
            <w:pPr>
              <w:spacing w:after="0"/>
              <w:rPr>
                <w:sz w:val="24"/>
                <w:szCs w:val="24"/>
                <w:color w:val="auto"/>
              </w:rPr>
            </w:pPr>
          </w:p>
        </w:tc>
        <w:tc>
          <w:tcPr>
            <w:tcW w:w="4960" w:type="dxa"/>
            <w:vAlign w:val="bottom"/>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ending on such Test Date</w:t>
            </w:r>
          </w:p>
        </w:tc>
      </w:tr>
      <w:tr>
        <w:trPr>
          <w:trHeight w:val="69"/>
        </w:trPr>
        <w:tc>
          <w:tcPr>
            <w:tcW w:w="4580" w:type="dxa"/>
            <w:vAlign w:val="bottom"/>
            <w:shd w:val="clear" w:color="auto" w:fill="D9D9D9"/>
          </w:tcPr>
          <w:p>
            <w:pPr>
              <w:spacing w:after="0"/>
              <w:rPr>
                <w:sz w:val="6"/>
                <w:szCs w:val="6"/>
                <w:color w:val="auto"/>
              </w:rPr>
            </w:pPr>
          </w:p>
        </w:tc>
        <w:tc>
          <w:tcPr>
            <w:tcW w:w="4960" w:type="dxa"/>
            <w:vAlign w:val="bottom"/>
            <w:shd w:val="clear" w:color="auto" w:fill="D9D9D9"/>
          </w:tcPr>
          <w:p>
            <w:pPr>
              <w:spacing w:after="0"/>
              <w:rPr>
                <w:sz w:val="6"/>
                <w:szCs w:val="6"/>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rPr>
              <w:t>September 30, 2025</w:t>
            </w:r>
          </w:p>
        </w:tc>
        <w:tc>
          <w:tcPr>
            <w:tcW w:w="496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$73,000,000</w:t>
            </w:r>
          </w:p>
        </w:tc>
      </w:tr>
      <w:tr>
        <w:trPr>
          <w:trHeight w:val="243"/>
        </w:trPr>
        <w:tc>
          <w:tcPr>
            <w:tcW w:w="4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December 31, 2025</w:t>
            </w:r>
          </w:p>
        </w:tc>
        <w:tc>
          <w:tcPr>
            <w:tcW w:w="49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$77,000,000</w:t>
            </w:r>
          </w:p>
        </w:tc>
      </w:tr>
      <w:tr>
        <w:trPr>
          <w:trHeight w:val="243"/>
        </w:trPr>
        <w:tc>
          <w:tcPr>
            <w:tcW w:w="4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March 31, 2026</w:t>
            </w:r>
          </w:p>
        </w:tc>
        <w:tc>
          <w:tcPr>
            <w:tcW w:w="49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8"/>
              </w:rPr>
              <w:t>$90,000,000</w:t>
            </w:r>
          </w:p>
        </w:tc>
      </w:tr>
      <w:tr>
        <w:trPr>
          <w:trHeight w:val="243"/>
        </w:trPr>
        <w:tc>
          <w:tcPr>
            <w:tcW w:w="4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June 30, 2026</w:t>
            </w:r>
          </w:p>
        </w:tc>
        <w:tc>
          <w:tcPr>
            <w:tcW w:w="49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$103,000,000</w:t>
            </w:r>
          </w:p>
        </w:tc>
      </w:tr>
      <w:tr>
        <w:trPr>
          <w:trHeight w:val="243"/>
        </w:trPr>
        <w:tc>
          <w:tcPr>
            <w:tcW w:w="4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September 30, 2026 and each Fiscal Quarter ending</w:t>
            </w:r>
          </w:p>
        </w:tc>
        <w:tc>
          <w:tcPr>
            <w:tcW w:w="49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$115,000,000</w:t>
            </w:r>
          </w:p>
        </w:tc>
      </w:tr>
      <w:tr>
        <w:trPr>
          <w:trHeight w:val="282"/>
        </w:trPr>
        <w:tc>
          <w:tcPr>
            <w:tcW w:w="4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thereafter</w:t>
            </w:r>
          </w:p>
        </w:tc>
        <w:tc>
          <w:tcPr>
            <w:tcW w:w="4960" w:type="dxa"/>
            <w:vAlign w:val="bottom"/>
          </w:tcPr>
          <w:p>
            <w:pPr>
              <w:spacing w:after="0"/>
              <w:rPr>
                <w:sz w:val="24"/>
                <w:szCs w:val="24"/>
                <w:color w:val="auto"/>
              </w:rPr>
            </w:pPr>
          </w:p>
        </w:tc>
      </w:tr>
    </w:tbl>
    <w:p>
      <w:pPr>
        <w:spacing w:after="0" w:line="308" w:lineRule="exact"/>
        <w:rPr>
          <w:sz w:val="20"/>
          <w:szCs w:val="20"/>
          <w:color w:val="auto"/>
        </w:rPr>
      </w:pPr>
    </w:p>
    <w:p>
      <w:pPr>
        <w:ind w:left="2040" w:hanging="535"/>
        <w:spacing w:after="0"/>
        <w:tabs>
          <w:tab w:leader="none" w:pos="20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Conditions to Effectiveness of Amendment</w:t>
      </w:r>
      <w:r>
        <w:rPr>
          <w:rFonts w:ascii="Times New Roman" w:cs="Times New Roman" w:eastAsia="Times New Roman" w:hAnsi="Times New Roman"/>
          <w:sz w:val="22"/>
          <w:szCs w:val="22"/>
          <w:color w:val="auto"/>
        </w:rPr>
        <w:t>. This Amendment shall become effective upon receipt by:</w:t>
      </w:r>
    </w:p>
    <w:p>
      <w:pPr>
        <w:spacing w:after="0" w:line="210" w:lineRule="exact"/>
        <w:rPr>
          <w:sz w:val="20"/>
          <w:szCs w:val="20"/>
          <w:color w:val="auto"/>
        </w:rPr>
      </w:pPr>
    </w:p>
    <w:p>
      <w:pPr>
        <w:jc w:val="both"/>
        <w:ind w:left="2260" w:hanging="755"/>
        <w:spacing w:after="0" w:line="244" w:lineRule="auto"/>
        <w:tabs>
          <w:tab w:leader="none" w:pos="2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the Administrative Agent and the Borrower of a counterpart signature of the other to this Amendment duly executed and delivered by each of the Lenders, the Administrative Agent and the Borrower;</w:t>
      </w:r>
    </w:p>
    <w:p>
      <w:pPr>
        <w:spacing w:after="0" w:line="173"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OrbiMed Royalty &amp; Credit Opportunities IV, LP and OrbiMed Royalty &amp; Credit Opportunities IV Offshore, LP (together, the “</w:t>
      </w:r>
      <w:r>
        <w:rPr>
          <w:rFonts w:ascii="Times New Roman" w:cs="Times New Roman" w:eastAsia="Times New Roman" w:hAnsi="Times New Roman"/>
          <w:sz w:val="22"/>
          <w:szCs w:val="22"/>
          <w:u w:val="single" w:color="auto"/>
          <w:color w:val="auto"/>
        </w:rPr>
        <w:t>Shareholders</w:t>
      </w:r>
      <w:r>
        <w:rPr>
          <w:rFonts w:ascii="Times New Roman" w:cs="Times New Roman" w:eastAsia="Times New Roman" w:hAnsi="Times New Roman"/>
          <w:sz w:val="22"/>
          <w:szCs w:val="22"/>
          <w:color w:val="auto"/>
        </w:rPr>
        <w:t>”) of:</w:t>
      </w:r>
    </w:p>
    <w:p>
      <w:pPr>
        <w:spacing w:after="0" w:line="158" w:lineRule="exact"/>
        <w:rPr>
          <w:rFonts w:ascii="Times New Roman" w:cs="Times New Roman" w:eastAsia="Times New Roman" w:hAnsi="Times New Roman"/>
          <w:sz w:val="22"/>
          <w:szCs w:val="22"/>
          <w:color w:val="auto"/>
        </w:rPr>
      </w:pPr>
    </w:p>
    <w:p>
      <w:pPr>
        <w:jc w:val="both"/>
        <w:ind w:left="3000" w:firstLine="3"/>
        <w:spacing w:after="0" w:line="239" w:lineRule="auto"/>
        <w:tabs>
          <w:tab w:leader="none" w:pos="356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aggregate of 400,000 shares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of common stock of the Borrower, $0.0001 par value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issued pursuant to the Borrower’s registration statement (File No. 333-271276) (the “</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under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3000" w:firstLine="3"/>
        <w:spacing w:after="0" w:line="261" w:lineRule="auto"/>
        <w:tabs>
          <w:tab w:leader="none" w:pos="3569"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prospectus supplement, complying with Rule 424(b) under the Securities Act, relating to the offer and sale of the Shares to the Shareholders and filed with the SEC prior to, on, or within two Business Days of the date of this Amendment (the “</w:t>
      </w:r>
      <w:r>
        <w:rPr>
          <w:rFonts w:ascii="Times New Roman" w:cs="Times New Roman" w:eastAsia="Times New Roman" w:hAnsi="Times New Roman"/>
          <w:sz w:val="21"/>
          <w:szCs w:val="21"/>
          <w:u w:val="single" w:color="auto"/>
          <w:color w:val="auto"/>
        </w:rPr>
        <w:t>Prospectus Supplement</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21"/>
          <w:szCs w:val="21"/>
          <w:color w:val="auto"/>
        </w:rPr>
      </w:pPr>
    </w:p>
    <w:p>
      <w:pPr>
        <w:ind w:left="3000" w:firstLine="3"/>
        <w:spacing w:after="0" w:line="258" w:lineRule="auto"/>
        <w:tabs>
          <w:tab w:leader="none" w:pos="356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executed, irrevocable instructions from the Borrower to Computershare Trust Company, N.A. to deliver the Shares to the Shareholders;</w:t>
      </w:r>
    </w:p>
    <w:p>
      <w:pPr>
        <w:spacing w:after="0" w:line="32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 w:name="page9"/>
    <w:bookmarkEnd w:id="8"/>
    <w:p>
      <w:pPr>
        <w:ind w:left="3000" w:right="20" w:firstLine="3"/>
        <w:spacing w:after="0" w:line="258" w:lineRule="auto"/>
        <w:tabs>
          <w:tab w:leader="none" w:pos="356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a good standing certificate of the Borrower, dated a date reasonably close to the date of this Amendment;</w:t>
      </w:r>
    </w:p>
    <w:p>
      <w:pPr>
        <w:spacing w:after="0" w:line="158" w:lineRule="exact"/>
        <w:rPr>
          <w:rFonts w:ascii="Times New Roman" w:cs="Times New Roman" w:eastAsia="Times New Roman" w:hAnsi="Times New Roman"/>
          <w:sz w:val="22"/>
          <w:szCs w:val="22"/>
          <w:color w:val="auto"/>
        </w:rPr>
      </w:pPr>
    </w:p>
    <w:p>
      <w:pPr>
        <w:jc w:val="both"/>
        <w:ind w:left="3000" w:firstLine="3"/>
        <w:spacing w:after="0" w:line="236" w:lineRule="auto"/>
        <w:tabs>
          <w:tab w:leader="none" w:pos="356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dated as of the date of this Amendment, duly executed and delivered by the Secretary of the Borrower, as to (A) resolutions of the board of directors of the Borrower authorizing the execution, delivery and performance of this Amendment and the transactions contemplated hereby; (B) the incumbency and signatures of the Borrower’s officers authorized to act with respect to this Amendment and (C) the full force and validity of the Borrower’s certificate of incorporation and bylaws and copies thereof;</w:t>
      </w:r>
    </w:p>
    <w:p>
      <w:pPr>
        <w:spacing w:after="0" w:line="181" w:lineRule="exact"/>
        <w:rPr>
          <w:rFonts w:ascii="Times New Roman" w:cs="Times New Roman" w:eastAsia="Times New Roman" w:hAnsi="Times New Roman"/>
          <w:sz w:val="22"/>
          <w:szCs w:val="22"/>
          <w:color w:val="auto"/>
        </w:rPr>
      </w:pPr>
    </w:p>
    <w:p>
      <w:pPr>
        <w:jc w:val="both"/>
        <w:ind w:left="3000" w:firstLine="3"/>
        <w:spacing w:after="0" w:line="244" w:lineRule="auto"/>
        <w:tabs>
          <w:tab w:leader="none" w:pos="356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opinion, dated the date of this Amendment and addressed to the Shareholders, from K&amp;L Gates LLP, counsel to the Borrower, in form and substance reasonably satisfactory to the Shareholders.</w:t>
      </w:r>
    </w:p>
    <w:p>
      <w:pPr>
        <w:spacing w:after="0" w:line="169"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Existing Warrants</w:t>
      </w:r>
      <w:r>
        <w:rPr>
          <w:rFonts w:ascii="Times New Roman" w:cs="Times New Roman" w:eastAsia="Times New Roman" w:hAnsi="Times New Roman"/>
          <w:sz w:val="22"/>
          <w:szCs w:val="22"/>
          <w:color w:val="auto"/>
        </w:rPr>
        <w:t>. Each Shareholder and the Borrower hereby agree that Section 4(1)(b) of each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Warrants and the Fourth Amendment Warrants shall not apply to the issuance of the Shares.</w:t>
      </w:r>
    </w:p>
    <w:p>
      <w:pPr>
        <w:spacing w:after="0" w:line="149"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color w:val="auto"/>
        </w:rPr>
        <w:t>. The Borrower agrees to pay on demand all expenses of the Administrative Agent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Lenders (including, without limitation, the fees and out-of-pocket expenses of Covington &amp; Burling LLP, counsel to the Administrative Agent and the Lenders) incurred in connection with the negotiation, preparation, execution and delivery of this Amendment.</w:t>
      </w:r>
    </w:p>
    <w:p>
      <w:pPr>
        <w:spacing w:after="0" w:line="171"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color w:val="auto"/>
        </w:rPr>
        <w:t>. The Borrower represents and warrants to the Lenders,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of this Amendment, as follows:</w:t>
      </w:r>
    </w:p>
    <w:p>
      <w:pPr>
        <w:spacing w:after="0" w:line="154" w:lineRule="exact"/>
        <w:rPr>
          <w:sz w:val="20"/>
          <w:szCs w:val="20"/>
          <w:color w:val="auto"/>
        </w:rPr>
      </w:pPr>
    </w:p>
    <w:p>
      <w:pPr>
        <w:jc w:val="both"/>
        <w:ind w:firstLine="1505"/>
        <w:spacing w:after="0" w:line="236" w:lineRule="auto"/>
        <w:tabs>
          <w:tab w:leader="none" w:pos="20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Representations</w:t>
      </w:r>
      <w:r>
        <w:rPr>
          <w:rFonts w:ascii="Times New Roman" w:cs="Times New Roman" w:eastAsia="Times New Roman" w:hAnsi="Times New Roman"/>
          <w:sz w:val="22"/>
          <w:szCs w:val="22"/>
          <w:color w:val="auto"/>
        </w:rPr>
        <w:t>. After giving effect to this Amendment, the representations and warranties of the Borrower and the Subsidiaries contained in the Credit Agreement or any other Loan Document are true and correct in all material respects as of the date hereof (except (i) with respect to representations and warranties expressly made as of an earlier date, in which case such representations and warranties are true and correct in all material respects as of such earlier date and (ii) if any such representation or warranty contains any materiality qualifier, such representation or warranty is true and correct in all respects).</w:t>
      </w:r>
    </w:p>
    <w:p>
      <w:pPr>
        <w:spacing w:after="0" w:line="20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After giving effect to this Amendment, no Default or Event of Default under the Credit Agreement has occurred and is continuing or would result from the effectiveness of this Amendment.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w:t>
      </w:r>
      <w:r>
        <w:rPr>
          <w:rFonts w:ascii="Times New Roman" w:cs="Times New Roman" w:eastAsia="Times New Roman" w:hAnsi="Times New Roman"/>
          <w:sz w:val="22"/>
          <w:szCs w:val="22"/>
          <w:color w:val="auto"/>
        </w:rPr>
        <w:t>. The Shares are duly authorized and, when issued, sold and delivered in accordance with the terms in this Amendment, will be validly issued, fully paid and non-assessable, free and clear of all Liens, and will not be subject to preemptive rights or other similar rights of stockholders of the Borrower.</w:t>
      </w:r>
    </w:p>
    <w:p>
      <w:pPr>
        <w:spacing w:after="0" w:line="33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 w:name="page10"/>
    <w:bookmarkEnd w:id="9"/>
    <w:p>
      <w:pPr>
        <w:jc w:val="both"/>
        <w:ind w:firstLine="1505"/>
        <w:spacing w:after="0" w:line="232" w:lineRule="auto"/>
        <w:tabs>
          <w:tab w:leader="none" w:pos="203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The Borrower has prepared and filed the Registration Statement in conformity with the requirements of the Securities Act. The Registration Statement is effective under the Securities Act and no stop order suspending the effectiveness of the Registration Statement or preventing or suspending the use of the Prospectus Supplement has been issued by the SEC and no proceedings for that purpose or pursuant to Section 8A under the Securities Act have been instituted or are threatened. The Borrower has filed or will file the Prospectus Supplement with the SEC pursuant to Rule 424(b) within the time period required under Rule 424(b), and in no event later than the date of this Amendment. At the time the Registration Statement and any amendments thereto were declared effective, and as of the date of this Amendment,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Supplement and any amendments or supplements thereto, as of the date of the Prospectus Supplement or any amendment or supplement thereto and as of the date of this Amendment, conformed and will conform in all material respects to the requirements of the Securities Act and the applicable rules and regulations of the SEC thereunder and did not and will not contain an untrue statement of a material fact or omit to state a material fact necessary in order to make the statements therein, in the light of the circumstances under which they were made, not misleading. The Borrower was at the time of the filing of the Registration Statement and is, as of the date of this Amendment, eligible to use a registration statement on Form S-3 under the Securities Act.</w:t>
      </w:r>
    </w:p>
    <w:p>
      <w:pPr>
        <w:spacing w:after="0" w:line="191"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w:t>
      </w:r>
      <w:r>
        <w:rPr>
          <w:rFonts w:ascii="Times New Roman" w:cs="Times New Roman" w:eastAsia="Times New Roman" w:hAnsi="Times New Roman"/>
          <w:sz w:val="22"/>
          <w:szCs w:val="22"/>
          <w:color w:val="auto"/>
        </w:rPr>
        <w:t>. The Common Stock is registered pursuant to Section 12(b)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listed on The Nasdaq Capital Market or any successor thereto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and the Borrower has taken no action designed to, or that to its knowledge is likely to have the effect of, terminating the registration of the Common Stock under the Exchange Act or delisting the Common Stock from Nasdaq. The Borrower has not received any notification that, and has no knowledge that, the SEC or Nasdaq is contemplating terminating such registration or listing.</w:t>
      </w:r>
    </w:p>
    <w:p>
      <w:pPr>
        <w:spacing w:after="0" w:line="176"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Capitalization</w:t>
      </w:r>
      <w:r>
        <w:rPr>
          <w:rFonts w:ascii="Times New Roman" w:cs="Times New Roman" w:eastAsia="Times New Roman" w:hAnsi="Times New Roman"/>
          <w:sz w:val="22"/>
          <w:szCs w:val="22"/>
          <w:color w:val="auto"/>
        </w:rPr>
        <w:t>. The capitalization of the Borrower is as set forth in the SEC Reports (as defined below). The Borrower has not issued any securities since its most recently filed audited financial statements, other than (i) pursuant to the exercise of outstanding stock options and the vesting of outstanding restricted stock units issued under the Borrower’s equity incentive plans or otherwise approved by the Borrower’s stockholders and (ii) pursuant to that certain Sales Agreement, dated April 14, 2023, by and between the Borrower and Cowen and Company LLC. No Person has any right of first refusal, preemptive right, right of participation, or any similar right to participate in the transactions contemplated by this Amendment. Except as set forth in the SEC Reports, there are no outstanding options, warrants, subscription rights to subscribe to, calls or commitments of any character whatsoever relating to, or securities, rights or obligations convertible into or exercisable or exchangeable for, or giving any Person any right to subscribe for or acquire, any Common Stock or other securities of the Borrower or its Subsidiaries, or contracts, commitments, understandings or arrangements by which the Borrower or any of its Subsidiaries is or may become bound to issue additional Common Stock or other securities of the Borrower or its Subsidiaries. All of the outstanding shares of capital stock of the Borrower are duly authorized, validly issued, fully paid and non-assessable, and have been issued in compliance</w:t>
      </w:r>
    </w:p>
    <w:p>
      <w:pPr>
        <w:spacing w:after="0" w:line="34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 w:name="page11"/>
    <w:bookmarkEnd w:id="10"/>
    <w:p>
      <w:pPr>
        <w:spacing w:after="0" w:line="258" w:lineRule="auto"/>
        <w:rPr>
          <w:sz w:val="20"/>
          <w:szCs w:val="20"/>
          <w:color w:val="auto"/>
        </w:rPr>
      </w:pPr>
      <w:r>
        <w:rPr>
          <w:rFonts w:ascii="Times New Roman" w:cs="Times New Roman" w:eastAsia="Times New Roman" w:hAnsi="Times New Roman"/>
          <w:sz w:val="22"/>
          <w:szCs w:val="22"/>
          <w:color w:val="auto"/>
        </w:rPr>
        <w:t>with all federal and state securities laws, and none of such outstanding shares was issued in violation of any preemptive rights or similar rights to subscribe for or purchase securities.</w:t>
      </w:r>
    </w:p>
    <w:p>
      <w:pPr>
        <w:spacing w:after="0" w:line="158" w:lineRule="exact"/>
        <w:rPr>
          <w:sz w:val="20"/>
          <w:szCs w:val="20"/>
          <w:color w:val="auto"/>
        </w:rPr>
      </w:pPr>
    </w:p>
    <w:p>
      <w:pPr>
        <w:jc w:val="both"/>
        <w:ind w:firstLine="1505"/>
        <w:spacing w:after="0" w:line="232" w:lineRule="auto"/>
        <w:tabs>
          <w:tab w:leader="none" w:pos="20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 Reports; Financial Statements</w:t>
      </w:r>
      <w:r>
        <w:rPr>
          <w:rFonts w:ascii="Times New Roman" w:cs="Times New Roman" w:eastAsia="Times New Roman" w:hAnsi="Times New Roman"/>
          <w:sz w:val="22"/>
          <w:szCs w:val="22"/>
          <w:color w:val="auto"/>
        </w:rPr>
        <w:t>. The Borrower has filed all reports, schedules, forms, statements and other documents required to be filed by the Borrower under the Securities Act and the Exchange Act, including pursuant to Section 13(a) or 15(d) thereof, for the two years preceding the date hereof (the foregoing materials and including, for purposes of this Amendment, the Borrower’s Form 10-Q for its fiscal quarter ended June 30, 2025, including the exhibits thereto and documents incorporated by reference therein, collectively, the “</w:t>
      </w:r>
      <w:r>
        <w:rPr>
          <w:rFonts w:ascii="Times New Roman" w:cs="Times New Roman" w:eastAsia="Times New Roman" w:hAnsi="Times New Roman"/>
          <w:sz w:val="22"/>
          <w:szCs w:val="22"/>
          <w:u w:val="single" w:color="auto"/>
          <w:color w:val="auto"/>
        </w:rPr>
        <w:t>SEC Reports</w:t>
      </w:r>
      <w:r>
        <w:rPr>
          <w:rFonts w:ascii="Times New Roman" w:cs="Times New Roman" w:eastAsia="Times New Roman" w:hAnsi="Times New Roman"/>
          <w:sz w:val="22"/>
          <w:szCs w:val="22"/>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Borrower included in the SEC Reports comply in all material respects with applicable accounting requirements and the rules and regulations of the Commission with respect thereto as in effect at the time of filing. Such financial statements have been prepared in accordance with GAAP, except as may be otherwise specified in such financial statements or the notes thereto and except that unaudited financial statements may not contain all footnotes required by GAAP, and fairly present in all material respects the financial position of the Borrower and its Subsidiaries as of and for the dates thereof and the results of operations and cash flows for the periods then ended, subject, in the case of unaudited statements, to normal, immaterial, year-end audit adjustments. The Borrower maintains internal control over financial reporting as defined in Rule 13a-15(f) under the Exchange Act. The Borrower has implemented “disclosure controls and procedures” (as defined in Rules 13a-15(e) and 15d-15(e) under the Exchange Act, respectively) required in order for the principal executive officer and principal financial officer of the Borrower to engage in the review and evaluation process mandated by the Exchange Act, and is in compliance with such disclosure controls and procedures in all material respects. Each of the principal executive officer and the principal financial officer of the Borrower has made all certifications required by Sections 302 and 906 of the Sarbanes-Oxley Act of 2002 with respect to all reports, schedules, forms, statements and other documents required to be filed by the Borrower with the SEC.</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Accountants</w:t>
      </w:r>
      <w:r>
        <w:rPr>
          <w:rFonts w:ascii="Times New Roman" w:cs="Times New Roman" w:eastAsia="Times New Roman" w:hAnsi="Times New Roman"/>
          <w:sz w:val="22"/>
          <w:szCs w:val="22"/>
          <w:color w:val="auto"/>
        </w:rPr>
        <w:t>. The Borrower’s accountants who certified the financial statements and supporting schedules included or incorporated by reference in the Registration Statement and the Prospectus Supplement or otherwise in the SEC Reports is an independent registered public accounting firm within the meaning of the Securities Act and the applicable rules and regulations thereunder adopted by the SEC and the Public Company Accounting Oversight Board (United States) with respect to the Borrower.</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 an Ineligible Issuer</w:t>
      </w:r>
      <w:r>
        <w:rPr>
          <w:rFonts w:ascii="Times New Roman" w:cs="Times New Roman" w:eastAsia="Times New Roman" w:hAnsi="Times New Roman"/>
          <w:sz w:val="22"/>
          <w:szCs w:val="22"/>
          <w:color w:val="auto"/>
        </w:rPr>
        <w:t>. At the time of filing the Registration Statement and any post-effective amendment thereto, at the earliest time thereafter that the Borrower or another offering participant made a bona fide offer (within the meaning of Rule 164(h)(2) of the Securities Act) of the Shares and as of the date of this Amendment, the Borrower was not and is not an “ineligible issuer,” as defined in Rules 164, 405, and 433 under the Securities Act (without taking account of any determination by the SEC pursuant to Rule 405 that it is not necessary that the</w:t>
      </w:r>
    </w:p>
    <w:p>
      <w:pPr>
        <w:spacing w:after="0" w:line="3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 w:name="page12"/>
    <w:bookmarkEnd w:id="11"/>
    <w:p>
      <w:pPr>
        <w:jc w:val="both"/>
        <w:spacing w:after="0" w:line="238" w:lineRule="auto"/>
        <w:rPr>
          <w:sz w:val="20"/>
          <w:szCs w:val="20"/>
          <w:color w:val="auto"/>
        </w:rPr>
      </w:pPr>
      <w:r>
        <w:rPr>
          <w:rFonts w:ascii="Times New Roman" w:cs="Times New Roman" w:eastAsia="Times New Roman" w:hAnsi="Times New Roman"/>
          <w:sz w:val="22"/>
          <w:szCs w:val="22"/>
          <w:color w:val="auto"/>
        </w:rPr>
        <w:t>Borrower be considered an ineligible issuer). Any free writing prospectus that the Borrower is required to file pursuant to Rule 433(d) under the Securities Act has been, or will be, filed with the SEC in accordance with the requirements of the Securities Act and the applicable rules and regulations of the SEC thereunder and complies or will comply, as of the date of such filing, in all material respects with the applicable requirements of the Securities Act and the applicable rules and regulations of the SEC thereunder.</w:t>
      </w:r>
    </w:p>
    <w:p>
      <w:pPr>
        <w:spacing w:after="0" w:line="177" w:lineRule="exact"/>
        <w:rPr>
          <w:sz w:val="20"/>
          <w:szCs w:val="20"/>
          <w:color w:val="auto"/>
        </w:rPr>
      </w:pPr>
    </w:p>
    <w:p>
      <w:pPr>
        <w:jc w:val="both"/>
        <w:ind w:firstLine="1505"/>
        <w:spacing w:after="0" w:line="244" w:lineRule="auto"/>
        <w:tabs>
          <w:tab w:leader="none" w:pos="20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Brokers.</w:t>
      </w:r>
      <w:r>
        <w:rPr>
          <w:rFonts w:ascii="Times New Roman" w:cs="Times New Roman" w:eastAsia="Times New Roman" w:hAnsi="Times New Roman"/>
          <w:sz w:val="22"/>
          <w:szCs w:val="22"/>
          <w:color w:val="auto"/>
        </w:rPr>
        <w:t xml:space="preserve"> The Borrower has not engaged any brokers, finders or agents, or incurred, or will incur, directly or indirectly, any liability for brokerage or finder’s fees or agents’ commissions or any similar charges in connection with this Amendment and the transactions contemplated hereby.</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Rights</w:t>
      </w:r>
      <w:r>
        <w:rPr>
          <w:rFonts w:ascii="Times New Roman" w:cs="Times New Roman" w:eastAsia="Times New Roman" w:hAnsi="Times New Roman"/>
          <w:sz w:val="22"/>
          <w:szCs w:val="22"/>
          <w:color w:val="auto"/>
        </w:rPr>
        <w:t>. No Person has any right to cause the Borrower to effect the registration under the Securities Act of any securities of the Borrower or any of its Subsidiaries in connection with the filing of the Registration Statement or the Prospectus Supplement.</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w:t>
      </w:r>
      <w:r>
        <w:rPr>
          <w:rFonts w:ascii="Times New Roman" w:cs="Times New Roman" w:eastAsia="Times New Roman" w:hAnsi="Times New Roman"/>
          <w:sz w:val="22"/>
          <w:szCs w:val="22"/>
          <w:color w:val="auto"/>
        </w:rPr>
        <w:t>. The Borrower acknowledges that the Shareholders are not acting as a financial advisor or fiduciary of the Borrower (or in any similar capacity) with respect to this Amendment and the transactions contemplated hereby. The Borrower’s decision to enter into this Amendment has been based solely on the independent evaluation of the transactions contemplated hereby by the Borrower and its representatives.</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Regulation M Compliance</w:t>
      </w:r>
      <w:r>
        <w:rPr>
          <w:rFonts w:ascii="Times New Roman" w:cs="Times New Roman" w:eastAsia="Times New Roman" w:hAnsi="Times New Roman"/>
          <w:sz w:val="22"/>
          <w:szCs w:val="22"/>
          <w:color w:val="auto"/>
        </w:rPr>
        <w:t>. The Borrower has not, and to its knowledge no one acting on its behalf has taken, directly or indirectly, any action designed to cause or to result in the stabilization or manipulation of the price of any security of the Borrower in a violation of Regulation M under the Exchange Act.</w:t>
      </w:r>
    </w:p>
    <w:p>
      <w:pPr>
        <w:spacing w:after="0" w:line="169" w:lineRule="exact"/>
        <w:rPr>
          <w:sz w:val="20"/>
          <w:szCs w:val="20"/>
          <w:color w:val="auto"/>
        </w:rPr>
      </w:pPr>
    </w:p>
    <w:p>
      <w:pPr>
        <w:ind w:left="2040" w:hanging="535"/>
        <w:spacing w:after="0"/>
        <w:tabs>
          <w:tab w:leader="none" w:pos="20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Covenants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505"/>
        <w:spacing w:after="0" w:line="239" w:lineRule="auto"/>
        <w:tabs>
          <w:tab w:leader="none" w:pos="20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The Borrower shall not sell, offer for sale or solicit offers to buy or otherwise negotiate in respect of any security (as defined in Section 2 of the Securities Act) that would be integrated with the offer or sale of the Shares for purposes of the rules and regulations of Nasdaq such that it would require stockholder approval prior to the closing of such other transaction unless stockholder approval is obtained before the closing of such subsequent transaction.</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Market Listing</w:t>
      </w:r>
      <w:r>
        <w:rPr>
          <w:rFonts w:ascii="Times New Roman" w:cs="Times New Roman" w:eastAsia="Times New Roman" w:hAnsi="Times New Roman"/>
          <w:sz w:val="22"/>
          <w:szCs w:val="22"/>
          <w:color w:val="auto"/>
        </w:rPr>
        <w:t>. The Borrower shall use its reasonable best efforts to maintain the listing and trading of the Common Stock on Nasdaq, to list the Shares on Nasdaq and to maintain the eligibility of the Common Stock for electronic transfer through the Depository Trust Company or another established clearing corporation.</w:t>
      </w:r>
    </w:p>
    <w:p>
      <w:pPr>
        <w:spacing w:after="0" w:line="1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Public Disclosure</w:t>
      </w:r>
      <w:r>
        <w:rPr>
          <w:rFonts w:ascii="Times New Roman" w:cs="Times New Roman" w:eastAsia="Times New Roman" w:hAnsi="Times New Roman"/>
          <w:sz w:val="22"/>
          <w:szCs w:val="22"/>
          <w:color w:val="auto"/>
        </w:rPr>
        <w:t>. The Borrower shall file a Current Report on Form 8-K with the SEC within the time period required by such form and including such disclosures as required by such form with respect to this Amendment and the transactions contemplated herein, such Current Report on Form 8-K to be in a form mutually agreed to by the Borrower and the Shareholders. No other written release, public announcement, disclosure or filing concerning the Shares, this Amendment or the transactions contemplated hereby shall be issued, filed or furnished, as the case may be, by any party without the prior written consent of the other party (which consent</w:t>
      </w:r>
    </w:p>
    <w:p>
      <w:pPr>
        <w:spacing w:after="0" w:line="34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22"/>
          <w:szCs w:val="22"/>
          <w:color w:val="auto"/>
        </w:rPr>
        <w:t>shall not be unreasonably withheld, conditioned or delayed), provided that the foregoing shall not prevent a party from making disclosures to comply with applicable law.</w:t>
      </w:r>
    </w:p>
    <w:p>
      <w:pPr>
        <w:spacing w:after="0" w:line="158" w:lineRule="exact"/>
        <w:rPr>
          <w:sz w:val="20"/>
          <w:szCs w:val="20"/>
          <w:color w:val="auto"/>
        </w:rPr>
      </w:pPr>
    </w:p>
    <w:p>
      <w:pPr>
        <w:jc w:val="both"/>
        <w:ind w:firstLine="1505"/>
        <w:spacing w:after="0" w:line="235" w:lineRule="auto"/>
        <w:tabs>
          <w:tab w:leader="none" w:pos="203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Except with respect to the material terms and conditions of the transactions contemplated by this Amendment or in accordance with the terms and provisions of the Credit Agreement, the Borrower agrees that neither it, nor any other Person acting on its behalf will provide the Shareholders or their agents or counsel with any information that constitutes, or the Borrower reasonably believes constitutes, material non-public information, unless the Shareholders have consented to the receipt of such information and agreed with the Borrower to keep such information confidential. The Borrower understands and confirms that the Shareholders shall be relying on the foregoing covenant in effecting transactions in securities of the Borrower.</w:t>
      </w:r>
    </w:p>
    <w:p>
      <w:pPr>
        <w:spacing w:after="0" w:line="183"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203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The Borrower will at its cost and expense execute any documents, agreements and instruments, and take all further action that may be required under applicable law (including federal and state securities laws), or that the Shareholders may reasonably request, in order to effectuate the transactions contemplated hereby.</w:t>
      </w:r>
    </w:p>
    <w:p>
      <w:pPr>
        <w:spacing w:after="0" w:line="169" w:lineRule="exact"/>
        <w:rPr>
          <w:sz w:val="20"/>
          <w:szCs w:val="20"/>
          <w:color w:val="auto"/>
        </w:rPr>
      </w:pPr>
    </w:p>
    <w:p>
      <w:pPr>
        <w:jc w:val="both"/>
        <w:ind w:firstLine="1505"/>
        <w:spacing w:after="0" w:line="236" w:lineRule="auto"/>
        <w:tabs>
          <w:tab w:leader="none" w:pos="203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Implied Amendment or Waiver</w:t>
      </w:r>
      <w:r>
        <w:rPr>
          <w:rFonts w:ascii="Times New Roman" w:cs="Times New Roman" w:eastAsia="Times New Roman" w:hAnsi="Times New Roman"/>
          <w:sz w:val="22"/>
          <w:szCs w:val="22"/>
          <w:color w:val="auto"/>
        </w:rPr>
        <w:t>. Except as expressly set forth in this Amendment, this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by implication or otherwise, limit, impair, constitute a waiver of or otherwise affect any rights or remedies of the Administrative Agent and the Lenders under the Credit Agreement or the other Loan Documents, or alter, modify, amend or in any way affect any of the terms, obligations or covenants contained in the Credit Agreement or the other Loan Documents, all of which shall continue in full force and effect. Nothing in this Amendment shall be construed to imply any willingness on the part of the Administrative Agent or any Lender to agree to or grant any similar or future amendment, consent or waiver of any of the terms and conditions of the Credit Agreement or the other Loan Documents.</w:t>
      </w:r>
    </w:p>
    <w:p>
      <w:pPr>
        <w:spacing w:after="0" w:line="175"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and Release</w:t>
      </w:r>
      <w:r>
        <w:rPr>
          <w:rFonts w:ascii="Times New Roman" w:cs="Times New Roman" w:eastAsia="Times New Roman" w:hAnsi="Times New Roman"/>
          <w:sz w:val="22"/>
          <w:szCs w:val="22"/>
          <w:color w:val="auto"/>
        </w:rPr>
        <w:t>. TO INDUCE THE ADMINISTRATIVE AGENT AND THE LENDERS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TO THE TERMS OF THIS AMENDMENT, THE BORROWER AND ITS AFFILIATES (COLLECTIVELY, THE “</w:t>
      </w:r>
      <w:r>
        <w:rPr>
          <w:rFonts w:ascii="Times New Roman" w:cs="Times New Roman" w:eastAsia="Times New Roman" w:hAnsi="Times New Roman"/>
          <w:sz w:val="22"/>
          <w:szCs w:val="22"/>
          <w:b w:val="1"/>
          <w:bCs w:val="1"/>
          <w:color w:val="auto"/>
        </w:rPr>
        <w:t>RELEASING PARTIES</w:t>
      </w:r>
      <w:r>
        <w:rPr>
          <w:rFonts w:ascii="Times New Roman" w:cs="Times New Roman" w:eastAsia="Times New Roman" w:hAnsi="Times New Roman"/>
          <w:sz w:val="22"/>
          <w:szCs w:val="22"/>
          <w:color w:val="auto"/>
        </w:rPr>
        <w:t>”) REPRESENT AND WARRANT THAT, AS OF THE DATE HEREOF, THERE ARE NO CLAIMS OR OFFSETS AGAINST, OR RIGHTS OF RECOUPMENT WITH RESPECT TO, OR DISPUTES OF, OR DEFENSES OR COUNTERCLAIMS TO, THEIR OBLIGATIONS UNDER THE LOAN DOCUMENTS, AND IN ACCORDANCE THEREWITH THE RELEASING PARTIES:</w:t>
      </w:r>
    </w:p>
    <w:p>
      <w:pPr>
        <w:spacing w:after="0" w:line="179" w:lineRule="exact"/>
        <w:rPr>
          <w:rFonts w:ascii="Times New Roman" w:cs="Times New Roman" w:eastAsia="Times New Roman" w:hAnsi="Times New Roman"/>
          <w:sz w:val="22"/>
          <w:szCs w:val="22"/>
          <w:color w:val="auto"/>
        </w:rPr>
      </w:pPr>
    </w:p>
    <w:p>
      <w:pPr>
        <w:jc w:val="both"/>
        <w:ind w:left="840" w:firstLine="665"/>
        <w:spacing w:after="0" w:line="244" w:lineRule="auto"/>
        <w:tabs>
          <w:tab w:leader="none" w:pos="203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ANY AND ALL SUCH CLAIMS, OFFSETS, RIGHTS OF RECOUPMENT, DISPUTES, DEFENSES AND COUNTERCLAIMS, WHETHER KNOWN OR UNKNOWN, ARISING PRIOR TO THE DATE HEREOF.</w:t>
      </w:r>
    </w:p>
    <w:p>
      <w:pPr>
        <w:spacing w:after="0" w:line="173" w:lineRule="exact"/>
        <w:rPr>
          <w:rFonts w:ascii="Times New Roman" w:cs="Times New Roman" w:eastAsia="Times New Roman" w:hAnsi="Times New Roman"/>
          <w:sz w:val="22"/>
          <w:szCs w:val="22"/>
          <w:color w:val="auto"/>
        </w:rPr>
      </w:pPr>
    </w:p>
    <w:p>
      <w:pPr>
        <w:jc w:val="both"/>
        <w:ind w:left="840" w:firstLine="665"/>
        <w:spacing w:after="0" w:line="238" w:lineRule="auto"/>
        <w:tabs>
          <w:tab w:leader="none" w:pos="203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FOREVER RELEASE, RELIEVE, AND DISCHARGE THE ADMINISTRATIVE AGENT, THE LENDERS, THEIR AFFILIATES AND THEIR RESPECTIVE OFFICERS, DIRECTORS, SHAREHOLDERS, MEMBERS, PARTNERS, PREDECESSORS, SUCCESSORS, ASSIGNS, ATTORNEYS, ACCOUNTANTS, AGENTS, EMPLOYEES, AND REPRESENTATIVES (COLLECTIVELY, THE “</w:t>
      </w:r>
      <w:r>
        <w:rPr>
          <w:rFonts w:ascii="Times New Roman" w:cs="Times New Roman" w:eastAsia="Times New Roman" w:hAnsi="Times New Roman"/>
          <w:sz w:val="22"/>
          <w:szCs w:val="22"/>
          <w:b w:val="1"/>
          <w:bCs w:val="1"/>
          <w:color w:val="auto"/>
        </w:rPr>
        <w:t>RELEASED PARTIES</w:t>
      </w:r>
      <w:r>
        <w:rPr>
          <w:rFonts w:ascii="Times New Roman" w:cs="Times New Roman" w:eastAsia="Times New Roman" w:hAnsi="Times New Roman"/>
          <w:sz w:val="22"/>
          <w:szCs w:val="22"/>
          <w:color w:val="auto"/>
        </w:rPr>
        <w:t>”), AND EACH OF THEM, FROM</w:t>
      </w:r>
    </w:p>
    <w:p>
      <w:pPr>
        <w:spacing w:after="0" w:line="3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 w:name="page14"/>
    <w:bookmarkEnd w:id="13"/>
    <w:p>
      <w:pPr>
        <w:jc w:val="both"/>
        <w:spacing w:after="0" w:line="246" w:lineRule="auto"/>
        <w:rPr>
          <w:sz w:val="20"/>
          <w:szCs w:val="20"/>
          <w:color w:val="auto"/>
        </w:rPr>
      </w:pPr>
      <w:r>
        <w:rPr>
          <w:rFonts w:ascii="Times New Roman" w:cs="Times New Roman" w:eastAsia="Times New Roman" w:hAnsi="Times New Roman"/>
          <w:sz w:val="21"/>
          <w:szCs w:val="21"/>
          <w:color w:val="auto"/>
        </w:rPr>
        <w:t>ANY AND ALL CLAIMS, LIABILITIES, DEMANDS, CAUSES OF ACTION, DEBTS, OBLIGATIONS, PROMISES, ACTS, AGREEMENTS, AND DAMAGES, OF WHATEVER KIND OR NATURE, WHETHER KNOWN OR UNKNOWN, SUSPECTED OR UNSUSPECTED, CONTINGENT OR FIXED, LIQUIDATED OR UNLIQUIDATED, MATURED OR UNMATURED, WHETHER AT LAW OR IN EQUITY, WHICH THE RELEASING PARTIES EVER HAD, NOW HAVE, OR MAY, SHALL, OR CAN HEREAFTER HAVE, DIRECTLY OR INDIRECTLY ARISING OUT OF OR IN ANY WAY BASED UPON, CONNECTED WITH, OR RELATED TO MATTERS, THINGS, ACTS, CONDUCT, AND/OR OMISSIONS AT ANY TIME FROM THE BEGINNING OF THE WORLD THROUGH AND INCLUDING THE DATE HEREOF, INCLUDING WITHOUT LIMITATION ANY AND ALL CLAIMS AGAINST THE RELEASED PARTIES ARISING UNDER OR RELATED TO ANY OF THE LOAN DOCUMENTS OR ANY OF THE TRANSACTIONS CONTEMPLATED THEREBY.</w:t>
      </w:r>
    </w:p>
    <w:p>
      <w:pPr>
        <w:spacing w:after="0" w:line="171" w:lineRule="exact"/>
        <w:rPr>
          <w:sz w:val="20"/>
          <w:szCs w:val="20"/>
          <w:color w:val="auto"/>
        </w:rPr>
      </w:pPr>
    </w:p>
    <w:p>
      <w:pPr>
        <w:jc w:val="both"/>
        <w:ind w:firstLine="665"/>
        <w:spacing w:after="0" w:line="246" w:lineRule="auto"/>
        <w:tabs>
          <w:tab w:leader="none" w:pos="119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RELEASE CONTAINED HEREIN, ACKNOWLEDGE THAT THEY ARE AWARE THAT THEY MAY HEREAFTER DISCOVER CLAIMS PRESENTLY UNKNOWN OR UNSUSPECTED, OR FACTS IN ADDITION TO OR DIFFERENT FROM THOSE WHICH THEY KNOW OR BELIEVE TO BE TRUE, WITH RESPECT TO THE MATTERS RELEASED HEREIN. NEVERTHELESS, IT IS THE INTENTION OF THE RELEASING PARTIES, THROUGH THIS AMENDMENT AND WITH ADVICE OF COUNSEL, FULLY, FINALLY, AND FOREVER TO RELEASE ALL SUCH MATTERS, AND ALL CLAIMS RELATED THERETO, WHICH DO NOW EXIST, OR HERETOFORE HAVE EXISTED. IN FURTHERANCE OF SUCH INTENTION, THE RELEASES HEREIN GIVEN SHALL BE AND REMAIN IN EFFECT AS A FULL AND COMPLETE RELEASE OR WITHDRAWAL OF SUCH MATTERS NOTWITHSTANDING THE DISCOVERY OR EXISTENCE OF ANY SUCH ADDITIONAL OR DIFFERENT CLAIMS OR FACTS RELATED THERETO.</w:t>
      </w:r>
    </w:p>
    <w:p>
      <w:pPr>
        <w:spacing w:after="0" w:line="170" w:lineRule="exact"/>
        <w:rPr>
          <w:rFonts w:ascii="Times New Roman" w:cs="Times New Roman" w:eastAsia="Times New Roman" w:hAnsi="Times New Roman"/>
          <w:sz w:val="21"/>
          <w:szCs w:val="21"/>
          <w:color w:val="auto"/>
        </w:rPr>
      </w:pPr>
    </w:p>
    <w:p>
      <w:pPr>
        <w:jc w:val="both"/>
        <w:ind w:firstLine="665"/>
        <w:spacing w:after="0" w:line="239" w:lineRule="auto"/>
        <w:tabs>
          <w:tab w:leader="none" w:pos="119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 AND AGREE NOT TO BRING ANY CLAIM, ACTION, SUIT, OR PROCEEDING AGAINST THE RELEASED PARTIES, DIRECTLY OR INDIRECTLY, REGARDING OR RELATED IN ANY MANNER TO THE MATTERS RELEASED HEREBY, AND FURTHER COVENANT AND AGREE THAT THIS AMENDMENT IS A BAR TO ANY SUCH CLAIM, ACTION, SUIT, OR PROCEEDING.</w:t>
      </w:r>
    </w:p>
    <w:p>
      <w:pPr>
        <w:spacing w:after="0" w:line="180" w:lineRule="exact"/>
        <w:rPr>
          <w:rFonts w:ascii="Times New Roman" w:cs="Times New Roman" w:eastAsia="Times New Roman" w:hAnsi="Times New Roman"/>
          <w:sz w:val="22"/>
          <w:szCs w:val="22"/>
          <w:color w:val="auto"/>
        </w:rPr>
      </w:pPr>
    </w:p>
    <w:p>
      <w:pPr>
        <w:jc w:val="both"/>
        <w:ind w:firstLine="665"/>
        <w:spacing w:after="0" w:line="244" w:lineRule="auto"/>
        <w:tabs>
          <w:tab w:leader="none" w:pos="119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 AND WARRANT TO THE RELEASED PARTIES THAT THEY HAVE NOT HERETOFORE ASSIGNED OR TRANSFERRED, OR PURPORTED TO ASSIGN OR TRANSFER, TO ANY PERSON OR ENTITY ANY CLAIMS OR OTHER MATTERS HEREIN RELEASED.</w:t>
      </w:r>
    </w:p>
    <w:p>
      <w:pPr>
        <w:spacing w:after="0" w:line="173" w:lineRule="exact"/>
        <w:rPr>
          <w:rFonts w:ascii="Times New Roman" w:cs="Times New Roman" w:eastAsia="Times New Roman" w:hAnsi="Times New Roman"/>
          <w:sz w:val="22"/>
          <w:szCs w:val="22"/>
          <w:color w:val="auto"/>
        </w:rPr>
      </w:pPr>
    </w:p>
    <w:p>
      <w:pPr>
        <w:jc w:val="both"/>
        <w:ind w:firstLine="665"/>
        <w:spacing w:after="0" w:line="239" w:lineRule="auto"/>
        <w:tabs>
          <w:tab w:leader="none" w:pos="119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 THAT THEY HAVE HAD THE BENEFIT OF INDEPENDENT LEGAL ADVICE WITH RESPECT TO THE ADVISABILITY OF ENTERING INTO THIS RELEASE AND HEREBY KNOWINGLY, AND UPON SUCH ADVICE OF COUNSEL, WAIVE ANY AND ALL APPLICABLE RIGHTS AND BENEFITS UNDER, AND PROTECTIONS OF, CALIFORNIA CIVIL CODE</w:t>
      </w:r>
    </w:p>
    <w:p>
      <w:pPr>
        <w:spacing w:after="0" w:line="34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632460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1160" w:top="1408" w:right="339" w:bottom="1440" w:gutter="0" w:footer="0" w:header="0"/>
        </w:sectPr>
      </w:pPr>
    </w:p>
    <w:bookmarkStart w:id="14" w:name="page15"/>
    <w:bookmarkEnd w:id="14"/>
    <w:p>
      <w:pPr>
        <w:ind w:left="840" w:right="20"/>
        <w:spacing w:after="0" w:line="258" w:lineRule="auto"/>
        <w:rPr>
          <w:sz w:val="20"/>
          <w:szCs w:val="20"/>
          <w:color w:val="auto"/>
        </w:rPr>
      </w:pPr>
      <w:r>
        <w:rPr>
          <w:rFonts w:ascii="Times New Roman" w:cs="Times New Roman" w:eastAsia="Times New Roman" w:hAnsi="Times New Roman"/>
          <w:sz w:val="22"/>
          <w:szCs w:val="22"/>
          <w:color w:val="auto"/>
        </w:rPr>
        <w:t>SECTION 1542, AND ANY AND ALL STATUTES AND DOCTRINES OF SIMILAR EFFECT. CALIFORNIA CIVIL CODE SECTION 1542 PROVIDES AS FOLLOWS:</w:t>
      </w:r>
    </w:p>
    <w:p>
      <w:pPr>
        <w:spacing w:after="0" w:line="154" w:lineRule="exact"/>
        <w:rPr>
          <w:sz w:val="20"/>
          <w:szCs w:val="20"/>
          <w:color w:val="auto"/>
        </w:rPr>
      </w:pPr>
    </w:p>
    <w:p>
      <w:pPr>
        <w:jc w:val="both"/>
        <w:ind w:left="1500"/>
        <w:spacing w:after="0" w:line="246" w:lineRule="auto"/>
        <w:rPr>
          <w:sz w:val="20"/>
          <w:szCs w:val="20"/>
          <w:color w:val="auto"/>
        </w:rPr>
      </w:pPr>
      <w:r>
        <w:rPr>
          <w:rFonts w:ascii="Times New Roman" w:cs="Times New Roman" w:eastAsia="Times New Roman" w:hAnsi="Times New Roman"/>
          <w:sz w:val="22"/>
          <w:szCs w:val="22"/>
          <w:i w:val="1"/>
          <w:iCs w:val="1"/>
          <w:u w:val="single" w:color="auto"/>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0" w:lineRule="exact"/>
        <w:rPr>
          <w:sz w:val="20"/>
          <w:szCs w:val="20"/>
          <w:color w:val="auto"/>
        </w:rPr>
      </w:pPr>
    </w:p>
    <w:p>
      <w:pPr>
        <w:spacing w:after="0" w:line="210" w:lineRule="exact"/>
        <w:rPr>
          <w:sz w:val="20"/>
          <w:szCs w:val="20"/>
          <w:color w:val="auto"/>
        </w:rPr>
      </w:pPr>
    </w:p>
    <w:p>
      <w:pPr>
        <w:jc w:val="both"/>
        <w:ind w:firstLine="1505"/>
        <w:spacing w:after="0" w:line="236" w:lineRule="auto"/>
        <w:tabs>
          <w:tab w:leader="none" w:pos="203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 Governing Law</w:t>
      </w:r>
      <w:r>
        <w:rPr>
          <w:rFonts w:ascii="Times New Roman" w:cs="Times New Roman" w:eastAsia="Times New Roman" w:hAnsi="Times New Roman"/>
          <w:sz w:val="22"/>
          <w:szCs w:val="22"/>
          <w:color w:val="auto"/>
        </w:rPr>
        <w:t>. This Amendment may be executed by the parties hereto in several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counterparts, each of which shall be an original and all of which shall constitute together but one and the same agreement. Delivery of an executed counterpart of a signature page to this Amendment by email (e.g., “pdf” or “tiff”) or telecopy shall be effective as delivery of a manually executed counterpart of this Amendment. THIS AMENDMENT SHALL BE GOVERNED BY, AND CONSTRUED IN ACCORDANCE WITH, THE LAWS OF THE STATE OF NEW YORK (INCLUDING FOR SUCH PURPOSE SECTIONS 5-1401 AND 5-1402 OF THE GENERAL OBLIGATIONS LAW OF THE STATE OF NEW YORK).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6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 w:name="page16"/>
    <w:bookmarkEnd w:id="15"/>
    <w:p>
      <w:pPr>
        <w:ind w:firstLine="1083"/>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Amendment to be executed by their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thereunto duly authorized as of the day and year first above written.</w:t>
      </w:r>
    </w:p>
    <w:p>
      <w:pPr>
        <w:spacing w:after="0" w:line="39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AVITA MEDICAL, INC.</w:t>
      </w:r>
    </w:p>
    <w:p>
      <w:pPr>
        <w:spacing w:after="0" w:line="1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0" w:lineRule="exact"/>
        <w:rPr>
          <w:sz w:val="20"/>
          <w:szCs w:val="20"/>
          <w:color w:val="auto"/>
        </w:rPr>
      </w:pP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 James Corbett</w:t>
      </w:r>
    </w:p>
    <w:p>
      <w:pPr>
        <w:ind w:left="3940"/>
        <w:spacing w:after="0"/>
        <w:tabs>
          <w:tab w:leader="none" w:pos="46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[Signature Page to Waiver and Fifth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404" w:right="899" w:bottom="1440" w:gutter="0" w:footer="0" w:header="0"/>
        </w:sectPr>
      </w:pPr>
    </w:p>
    <w:bookmarkStart w:id="16" w:name="page17"/>
    <w:bookmarkEnd w:id="16"/>
    <w:p>
      <w:pPr>
        <w:spacing w:after="0" w:line="18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b w:val="1"/>
          <w:bCs w:val="1"/>
          <w:color w:val="auto"/>
        </w:rPr>
        <w:t>ORCO IV LLC</w:t>
      </w:r>
    </w:p>
    <w:p>
      <w:pPr>
        <w:spacing w:after="0" w:line="1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as Lender</w:t>
      </w:r>
    </w:p>
    <w:p>
      <w:pPr>
        <w:spacing w:after="0" w:line="18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By: OrbiMed Royalty &amp; Credit Opportunities IV, LP,</w:t>
      </w:r>
    </w:p>
    <w:p>
      <w:pPr>
        <w:spacing w:after="0" w:line="1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its Member</w:t>
      </w:r>
    </w:p>
    <w:p>
      <w:pPr>
        <w:spacing w:after="0" w:line="20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1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27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 Matthew Rizzo</w:t>
      </w:r>
    </w:p>
    <w:p>
      <w:pPr>
        <w:ind w:left="2620"/>
        <w:spacing w:after="0"/>
        <w:tabs>
          <w:tab w:leader="none" w:pos="32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6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ORBIMED ROYALTY &amp; CREDIT OPPORTUNITIES IV OFFSHORE, LP, </w:t>
      </w:r>
      <w:r>
        <w:rPr>
          <w:rFonts w:ascii="Times New Roman" w:cs="Times New Roman" w:eastAsia="Times New Roman" w:hAnsi="Times New Roman"/>
          <w:sz w:val="22"/>
          <w:szCs w:val="22"/>
          <w:color w:val="auto"/>
        </w:rPr>
        <w:t>as Lender</w:t>
      </w:r>
    </w:p>
    <w:p>
      <w:pPr>
        <w:spacing w:after="0" w:line="18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1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27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 Matthew Rizzo</w:t>
      </w:r>
    </w:p>
    <w:p>
      <w:pPr>
        <w:ind w:left="2620"/>
        <w:spacing w:after="0"/>
        <w:tabs>
          <w:tab w:leader="none" w:pos="32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[Signature Page to Waiver and Fifth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632460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440" w:top="1440" w:right="699" w:bottom="1440" w:gutter="0" w:footer="0" w:header="0"/>
        </w:sectPr>
      </w:pPr>
    </w:p>
    <w:bookmarkStart w:id="17" w:name="page18"/>
    <w:bookmarkEnd w:id="17"/>
    <w:p>
      <w:pPr>
        <w:ind w:left="2640"/>
        <w:spacing w:after="0"/>
        <w:rPr>
          <w:sz w:val="20"/>
          <w:szCs w:val="20"/>
          <w:color w:val="auto"/>
        </w:rPr>
      </w:pPr>
      <w:r>
        <w:rPr>
          <w:rFonts w:ascii="Times New Roman" w:cs="Times New Roman" w:eastAsia="Times New Roman" w:hAnsi="Times New Roman"/>
          <w:sz w:val="22"/>
          <w:szCs w:val="22"/>
          <w:color w:val="auto"/>
        </w:rPr>
        <w:t>Solely for purposes of Section 6:</w:t>
      </w:r>
    </w:p>
    <w:p>
      <w:pPr>
        <w:spacing w:after="0" w:line="200" w:lineRule="exact"/>
        <w:rPr>
          <w:sz w:val="20"/>
          <w:szCs w:val="20"/>
          <w:color w:val="auto"/>
        </w:rPr>
      </w:pPr>
    </w:p>
    <w:p>
      <w:pPr>
        <w:spacing w:after="0" w:line="245" w:lineRule="exact"/>
        <w:rPr>
          <w:sz w:val="20"/>
          <w:szCs w:val="20"/>
          <w:color w:val="auto"/>
        </w:rPr>
      </w:pPr>
    </w:p>
    <w:p>
      <w:pPr>
        <w:ind w:left="2620" w:right="51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ORBIMED ROYALTY &amp; CREDIT OPPORTUNITIES IV, LP, </w:t>
      </w:r>
      <w:r>
        <w:rPr>
          <w:rFonts w:ascii="Times New Roman" w:cs="Times New Roman" w:eastAsia="Times New Roman" w:hAnsi="Times New Roman"/>
          <w:sz w:val="22"/>
          <w:szCs w:val="22"/>
          <w:color w:val="auto"/>
        </w:rPr>
        <w:t>as Lender</w:t>
      </w:r>
    </w:p>
    <w:p>
      <w:pPr>
        <w:spacing w:after="0" w:line="18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1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1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27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 Matthew Rizzo</w:t>
      </w:r>
    </w:p>
    <w:p>
      <w:pPr>
        <w:ind w:left="2620"/>
        <w:spacing w:after="0"/>
        <w:tabs>
          <w:tab w:leader="none" w:pos="32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Waiver and Fifth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640080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8" w:name="page19"/>
    <w:bookmarkEnd w:id="18"/>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BY: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ORCO IV LLC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the Administrative Agent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OrbiMed Royalty &amp; Credit Opportunities IV, LP,</w:t>
      </w:r>
    </w:p>
    <w:p>
      <w:pPr>
        <w:spacing w:after="0" w:line="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its Sole Member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OrbiMed ROF IV LLC,</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By: OrbiMed Advisors LLC,</w:t>
      </w:r>
    </w:p>
    <w:p>
      <w:pPr>
        <w:spacing w:after="0" w:line="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its Managing Member</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Matthew Rizzo</w:t>
      </w: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Member</w:t>
      </w:r>
    </w:p>
    <w:p>
      <w:pPr>
        <w:spacing w:after="0" w:line="200" w:lineRule="exact"/>
        <w:rPr>
          <w:sz w:val="20"/>
          <w:szCs w:val="20"/>
          <w:color w:val="auto"/>
        </w:rPr>
      </w:pPr>
    </w:p>
    <w:p>
      <w:pPr>
        <w:spacing w:after="0" w:line="374" w:lineRule="exact"/>
        <w:rPr>
          <w:sz w:val="20"/>
          <w:szCs w:val="20"/>
          <w:color w:val="auto"/>
        </w:rPr>
      </w:pPr>
    </w:p>
    <w:p>
      <w:pPr>
        <w:jc w:val="right"/>
        <w:ind w:right="1439"/>
        <w:spacing w:after="0"/>
        <w:rPr>
          <w:sz w:val="20"/>
          <w:szCs w:val="20"/>
          <w:color w:val="auto"/>
        </w:rPr>
      </w:pPr>
      <w:r>
        <w:rPr>
          <w:rFonts w:ascii="Times New Roman" w:cs="Times New Roman" w:eastAsia="Times New Roman" w:hAnsi="Times New Roman"/>
          <w:sz w:val="22"/>
          <w:szCs w:val="22"/>
          <w:color w:val="auto"/>
        </w:rPr>
        <w:t>[Signature Page to Waiver and Fifth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632460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96925" cy="9512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9692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AVITA Medical Reports Second Quarter 2025 Financial Results, Updates Full-Year Guidance, and Highlights Continued Clinical Innovation</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VALENCIA, Calif., August 7, 2025 </w:t>
      </w:r>
      <w:r>
        <w:rPr>
          <w:rFonts w:ascii="Times New Roman" w:cs="Times New Roman" w:eastAsia="Times New Roman" w:hAnsi="Times New Roman"/>
          <w:sz w:val="18"/>
          <w:szCs w:val="18"/>
          <w:color w:val="auto"/>
        </w:rPr>
        <w:t>(GLOBE NEWSWIRE) — AVITA Medical, Inc. (NASDAQ: RCEL, ASX: AVH), a leading therapeutic acute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wound care company delivering transformative solutions, today reported financial results for the second quarter ended June 30,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w:t>
      </w:r>
    </w:p>
    <w:p>
      <w:pPr>
        <w:spacing w:after="0" w:line="117"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Commercial revenue of $18.4 million: </w:t>
      </w:r>
      <w:r>
        <w:rPr>
          <w:rFonts w:ascii="Times New Roman" w:cs="Times New Roman" w:eastAsia="Times New Roman" w:hAnsi="Times New Roman"/>
          <w:sz w:val="18"/>
          <w:szCs w:val="18"/>
          <w:color w:val="auto"/>
        </w:rPr>
        <w:t>Representing an increase of approximately 21% compared to the same period in 2024.</w:t>
      </w:r>
    </w:p>
    <w:p>
      <w:pPr>
        <w:spacing w:after="0" w:line="63"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improvement: </w:t>
      </w:r>
      <w:r>
        <w:rPr>
          <w:rFonts w:ascii="Times New Roman" w:cs="Times New Roman" w:eastAsia="Times New Roman" w:hAnsi="Times New Roman"/>
          <w:sz w:val="18"/>
          <w:szCs w:val="18"/>
          <w:color w:val="auto"/>
        </w:rPr>
        <w:t>Net loss for Q2 2025 was $9.9 million, or a loss of $0.38 per basic and diluted share, an improvement from a net loss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$15.4 million, or a loss of $0.60 per basic and diluted share, in Q2 2024.</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 reduction: </w:t>
      </w:r>
      <w:r>
        <w:rPr>
          <w:rFonts w:ascii="Times New Roman" w:cs="Times New Roman" w:eastAsia="Times New Roman" w:hAnsi="Times New Roman"/>
          <w:sz w:val="18"/>
          <w:szCs w:val="18"/>
          <w:color w:val="auto"/>
        </w:rPr>
        <w:t>Total operating expenses decreased to $26.1 million in Q2 2025 from $28.7 million in Q2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117" w:lineRule="exact"/>
        <w:rPr>
          <w:sz w:val="20"/>
          <w:szCs w:val="20"/>
          <w:color w:val="auto"/>
        </w:rPr>
      </w:pPr>
    </w:p>
    <w:p>
      <w:pPr>
        <w:ind w:left="760" w:right="300" w:hanging="378"/>
        <w:spacing w:after="0" w:line="298" w:lineRule="auto"/>
        <w:tabs>
          <w:tab w:leader="none" w:pos="7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Significant headwind from a temporary gap in Medicare Administrative Contractor (MAC) payments </w:t>
      </w:r>
      <w:r>
        <w:rPr>
          <w:rFonts w:ascii="Times New Roman" w:cs="Times New Roman" w:eastAsia="Times New Roman" w:hAnsi="Times New Roman"/>
          <w:sz w:val="17"/>
          <w:szCs w:val="17"/>
          <w:color w:val="auto"/>
        </w:rPr>
        <w:t>to providers for the use of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flagship RECELL® System, which led to a weakening in demand. Multiple MACs initiated payments in July with resolution expected in Q3.</w:t>
      </w: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AVITA amends credit terms with OrbiMed</w:t>
      </w:r>
      <w:r>
        <w:rPr>
          <w:rFonts w:ascii="Times New Roman" w:cs="Times New Roman" w:eastAsia="Times New Roman" w:hAnsi="Times New Roman"/>
          <w:sz w:val="18"/>
          <w:szCs w:val="18"/>
          <w:color w:val="auto"/>
        </w:rPr>
        <w:t>: lowers revenue covenants, issues AVITA common stock in lieu of a cash payment.</w:t>
      </w:r>
    </w:p>
    <w:p>
      <w:pPr>
        <w:spacing w:after="0" w:line="63" w:lineRule="exact"/>
        <w:rPr>
          <w:rFonts w:ascii="Times New Roman" w:cs="Times New Roman" w:eastAsia="Times New Roman" w:hAnsi="Times New Roman"/>
          <w:sz w:val="18"/>
          <w:szCs w:val="18"/>
          <w:color w:val="auto"/>
        </w:rPr>
      </w:pPr>
    </w:p>
    <w:p>
      <w:pPr>
        <w:ind w:left="760" w:right="80" w:hanging="378"/>
        <w:spacing w:after="0" w:line="28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Strengthening Board with proven healthcare leader</w:t>
      </w:r>
      <w:r>
        <w:rPr>
          <w:rFonts w:ascii="Times New Roman" w:cs="Times New Roman" w:eastAsia="Times New Roman" w:hAnsi="Times New Roman"/>
          <w:sz w:val="18"/>
          <w:szCs w:val="18"/>
          <w:color w:val="auto"/>
        </w:rPr>
        <w:t>: Appointed Michael Tarnoff, MD, FACS, former Chief Physician Executive and CEO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Tufts Medical Center in Boston, and senior executive at Medtronic and Covidien, to its Board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Highlights</w:t>
      </w:r>
    </w:p>
    <w:p>
      <w:pPr>
        <w:spacing w:after="0" w:line="117"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RECELL </w:t>
      </w:r>
      <w:r>
        <w:rPr>
          <w:rFonts w:ascii="Times New Roman" w:cs="Times New Roman" w:eastAsia="Times New Roman" w:hAnsi="Times New Roman"/>
          <w:sz w:val="18"/>
          <w:szCs w:val="18"/>
          <w:color w:val="auto"/>
        </w:rPr>
        <w:t>reduces hospital stays by 36% in real-world analysis of the national burn registry over five years.</w:t>
      </w:r>
    </w:p>
    <w:p>
      <w:pPr>
        <w:spacing w:after="0" w:line="63" w:lineRule="exact"/>
        <w:rPr>
          <w:rFonts w:ascii="Times New Roman" w:cs="Times New Roman" w:eastAsia="Times New Roman" w:hAnsi="Times New Roman"/>
          <w:sz w:val="18"/>
          <w:szCs w:val="18"/>
          <w:color w:val="auto"/>
        </w:rPr>
      </w:pPr>
    </w:p>
    <w:p>
      <w:pPr>
        <w:ind w:left="760" w:right="4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Centers for Medicare and Medicaid Services (CMS) approves </w:t>
      </w:r>
      <w:r>
        <w:rPr>
          <w:rFonts w:ascii="Times New Roman" w:cs="Times New Roman" w:eastAsia="Times New Roman" w:hAnsi="Times New Roman"/>
          <w:sz w:val="18"/>
          <w:szCs w:val="18"/>
          <w:b w:val="1"/>
          <w:bCs w:val="1"/>
          <w:color w:val="auto"/>
        </w:rPr>
        <w:t>New Technology Add-on Payment (NTAP)</w:t>
      </w:r>
      <w:r>
        <w:rPr>
          <w:rFonts w:ascii="Times New Roman" w:cs="Times New Roman" w:eastAsia="Times New Roman" w:hAnsi="Times New Roman"/>
          <w:sz w:val="18"/>
          <w:szCs w:val="18"/>
          <w:color w:val="auto"/>
        </w:rPr>
        <w:t xml:space="preserve"> for the </w:t>
      </w:r>
      <w:r>
        <w:rPr>
          <w:rFonts w:ascii="Times New Roman" w:cs="Times New Roman" w:eastAsia="Times New Roman" w:hAnsi="Times New Roman"/>
          <w:sz w:val="18"/>
          <w:szCs w:val="18"/>
          <w:b w:val="1"/>
          <w:bCs w:val="1"/>
          <w:color w:val="auto"/>
        </w:rPr>
        <w:t>RECELL System</w:t>
      </w:r>
      <w:r>
        <w:rPr>
          <w:rFonts w:ascii="Times New Roman" w:cs="Times New Roman" w:eastAsia="Times New Roman" w:hAnsi="Times New Roman"/>
          <w:sz w:val="18"/>
          <w:szCs w:val="18"/>
          <w:color w:val="auto"/>
        </w:rPr>
        <w:t xml:space="preserve"> when performed on trauma wounds in the hospital inpatient setting.</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Cohealyx™ </w:t>
      </w:r>
      <w:r>
        <w:rPr>
          <w:rFonts w:ascii="Times New Roman" w:cs="Times New Roman" w:eastAsia="Times New Roman" w:hAnsi="Times New Roman"/>
          <w:sz w:val="18"/>
          <w:szCs w:val="18"/>
          <w:color w:val="auto"/>
        </w:rPr>
        <w:t>achieves autograft readiness in as little as five days, first clinical results published.</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PermeaDerm® </w:t>
      </w:r>
      <w:r>
        <w:rPr>
          <w:rFonts w:ascii="Times New Roman" w:cs="Times New Roman" w:eastAsia="Times New Roman" w:hAnsi="Times New Roman"/>
          <w:sz w:val="18"/>
          <w:szCs w:val="18"/>
          <w:color w:val="auto"/>
        </w:rPr>
        <w:t>featured in 10 U.S. burn conferences, including first multi-center randomized controlled trial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Jim Corbett, Chief Executive Officer of AVITA Medical, commented: “Although the first half of 2025 tested our resilience and slowed our pace, a resolution is now underway and our strategic direction hasn’t changed. The data tells the story: RECELL reduces hospital stays by 36%, Cohealyx achieves graft readiness in as little as five days. We’re also grateful for CMS’s support in expanding access to RECELL for Medicare beneficiaries with inpatient trauma wounds with the NTAP. We’re accelerating time to heal, time to recover, and time to deliver value, to patients and providers alike.”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 Delay in provider payment dampened RECELL demand in the first half of 2025</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November 2024, the Centers for Medicare and Medicaid Services (CMS) announced new Category I CPT codes for the use of RECELL as part of its 2025 rule update. Unlike the standard process, CMS did not assign a national payment rate. Instead, it assigned pricing responsibility to the Medicare Administrative Contractors (MACs) under a process known as contractor pricing, an approach CMS occasionally uses when initiating long-term code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0" w:name="page21"/>
    <w:bookmarkEnd w:id="20"/>
    <w:p>
      <w:pPr>
        <w:ind w:right="60"/>
        <w:spacing w:after="0" w:line="256" w:lineRule="auto"/>
        <w:rPr>
          <w:sz w:val="20"/>
          <w:szCs w:val="20"/>
          <w:color w:val="auto"/>
        </w:rPr>
      </w:pPr>
      <w:r>
        <w:rPr>
          <w:rFonts w:ascii="Times New Roman" w:cs="Times New Roman" w:eastAsia="Times New Roman" w:hAnsi="Times New Roman"/>
          <w:sz w:val="18"/>
          <w:szCs w:val="18"/>
          <w:color w:val="auto"/>
        </w:rPr>
        <w:t>Following the implementation of the new codes, claims for the use of RECELL were submitted starting in January 2025. Under the contractor pricing model, it is the MACs' responsibility to adjudicate claims by either assigning a payment rate and reimbursing the claim, or denying the claim, which would allow the provider to appeal and trigger an adjudication through that process. However, in this instance, MACs neither assigned a price or assigned an inadequate price and failed to adjudicate claims in a timely manner. As a result, claims accumulated from January through June, creating a significant backlog of unpaid claims and inadequately paid claims to providers for RECELL procedures. This lack of resolution created uncertainty among providers regarding payment expectations and timelines, which led to a reduction in RECELL utilization during the first half of the year.</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While AVITA continued receiving payment for RECELL, this provider reimbursement issue constrained demand meaningfully impacting revenue. For example, across AVITA’s top ten hospital accounts, RECELL revenue declined by approximately $5 million when comparing the second half of 2024 to the first half of 2025. The Company estimates that overall demand for RECELL declined by approximately 20% with revenue declining by approximately $10 million during this period.</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Encouragingly, multi-jurisdictional efforts by the American Medical Association and industry stakeholders have resulted in meaningful progress. In July, multiple MACs have indicated their intent to adjudicate and pay claims under the new codes and the remaining MACs are expected to follow. In light of this development, AVITA anticipates continued resolution of this issue, with RECELL demand recovering in the second half of 2025 as the MACs adjudicate the claims backlog.</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result of slower than expected sales in the first half, significantly compounded by the ongoing reimbursement issue, AVITA has adjusted its full-year guidance as follows:</w:t>
      </w:r>
    </w:p>
    <w:p>
      <w:pPr>
        <w:spacing w:after="0" w:line="54" w:lineRule="exact"/>
        <w:rPr>
          <w:sz w:val="20"/>
          <w:szCs w:val="20"/>
          <w:color w:val="auto"/>
        </w:rPr>
      </w:pPr>
    </w:p>
    <w:p>
      <w:pPr>
        <w:ind w:left="760" w:right="18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Full-year 2025 revenue guidance to a range of $76 million to $81 million compared to previous guidance of $100 million to $106 million. This new guidance reflects growth of approximately 19% to 27% over full-year 2024 revenue.</w:t>
      </w:r>
    </w:p>
    <w:p>
      <w:pPr>
        <w:spacing w:after="0" w:line="53"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break-even in the second quarter of 2026 and GAAP profitability in the third quarter of 2026, instead of the previously anticipated second half of 2025 and fourth quarter of 2025, respectively.</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David O'Toole, Chief Financial Officer of AVITA Medical, commented: “While we’ve revised our 2025 guidance, our long-term outlook remains intact. We’re pleased to have OrbiMed’s continued partnership and their willingness to accept equity in lieu of a cash fee reflects strong alignment with our long-term strategy and confidence in the value of the business we’re building. Regarding gross margin and gross profit, our gross margin percentage will decline, and gross profit will increase as revenue from PermeaDerm and Cohealyx grows. With our disciplined cost structure, together with stronger revenue expected in the second half of the year, we now anticipate reaching cash flow break-even and GAAP profitability in 2026 as reimbursement pathways stabilize and adoption progresses.”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Results</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Commercial revenue was $18.4 million in the three-months ended June 30, 2025, an increase of $3.2 million, or 21%, compared to $15.2 million in the corresponding period in the prior year. The growth in commercial revenue was largely driven by deeper penetration within customer accounts, new accounts for trauma wounds and, to a lesser extent, new product launches.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Gross profit margin was 81.2% compared to 86.1% in the corresponding period in the prior year. The gross margin for only RECELL products was 84.3% for the quarter, which the Company expects to remain in this range for future quarters. The decrease in the overall gross margin percentage from the prior year was primarily caused by product mix, higher inventory reserve, and other adjustments. The Company shares the average sales price for Cohealyx at 50% and for PermeaDerm at 60%. Although these arrangements are highly beneficial, they inevitably result in an overall decrease in the gross margin percentage. Therefore, the product mix is expected to continue to have an impact on the overall gross margin percentage while increasing the gross profit and, given that expenses associated with this revenue do not increase significantly, operating profit on a quarterly basis.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Total operating expenses for the quarter were $26.1 million, compared to $28.7 million in the same period in 2024. The decrease is primarily attributable to a $2.0 million reduction in sales and marketing expenses, which resulted from lower employee-related costs such as salaries, benefits and stock-based compensation due to cost reduction initiatives. Additionally, G&amp;A expenses decreased by $0.8 million, also attributable to lower salaries, benefits and stock-based compensation. These decreases were partially offset by increased R&amp;D costs of $0.2 million, because of an increase in headcount. Due to the recent commercial field transformation and additional operational efficiencies that were</w:t>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633730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implemented, the Company expects to continue to reduce operating expenses by approximately $2.5 million per quarter going forward.</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Other income, net increased by $0.9 million, resulting in an income of $2.5 million compared to $1.6 million in the prior period. In the current period, other income, net includes non-cash gains of $1.2 million from the change in fair value of warrants, $0.9 million from the change in fair value of debt, and $0.4 million from our investments. In the prior period, income consisted of a non-cash gain of $2.1 million from the change in fair value of warrant liability and $0.7 million from our investments, which was offset by a non-cash charge of $1.2 million due to the change in fair value of debt.</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Net loss was $9.9 million, or a loss of $0.38 per basic and diluted share, compared to a net loss of $15.4 million, or a loss of $0.60 per basic and diluted share, in the same period in 2024.</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June 30, 2025, AVITA received a waiver for the trailing 12-month net revenue covenant under its credit agreement with OrbiMed, related to the second quarter of 2025, which had been set at $78.0 million. On August 7, 2025, the Company entered into its fifth amendment to its credit agreement with OrbiMed, revising the trailing 12-month (“TTM”) revenue covenants for the period spanning July 1, 2025, through June 30, 2026. Under the amended terms, the TTM revenue covenant thresholds are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Q3 2025: $73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Q4 2025: $77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Q1 2026: $90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Q2 2026: $103 million</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Beginning in Q3 2026, the TTM revenue covenant will be $115 million and will remain at that level for all subsequent quarters through the maturity of the debt. In consideration for this fifth amendment to the OrbiMed credit agreement, AVITA agreed to issue 400,000 unrestricted common shares to OrbiMed in lieu of a cash fee.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Company had approximately $15.7 million in cash,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AVITA Medical will host a conference call on Thursday, August 7, 2025, at 1:30 p.m. Pacific Time (Friday, August 8, 2025, at 6:30 a.m. Australian Eastern Standard Time) to discuss its second quarter 2025 financial results and recent business and clinical highlights. The live webcast will be available under the Events &amp; Presentations section of the AVITA Medical website at ir.avitamedical.com. To participate by telephone, please register in advance to receive dial-in details and a personal PIN at https://register-conf.media-server.com/register/BI2760d86b79a7479f830f23dd916bd991. A replay of the webcast will be available shortly after the live event.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Medical, Inc.</w:t>
      </w:r>
    </w:p>
    <w:p>
      <w:pPr>
        <w:spacing w:after="0" w:line="236"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8"/>
          <w:szCs w:val="18"/>
          <w:color w:val="auto"/>
        </w:rPr>
        <w:t>AVITA Medical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a leading therapeutic acute wound care company delivering transformative solutions. Our technologies are designed to optimize wound healing, effectively accelerating the time to patient recovery. At the forefront of our platform is the RECELL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System, approved by the FDA for the treatment of thermal burn and trauma wounds. RECELL harnesses the healing properties of a patient’s own skin to create Spray-On Skin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Cells, offering an innovative solution for improved clinical outcomes at the point-of-care. In the U.S., AVITA Medical also holds the exclusive rights to manufacture, market, sell, and distribute PermeaDerm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biosynthetic wound matrix, and the exclusive rights to market, sell, and distribute Cohealyx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 AVITA Medical-branded collagen-based dermal matrix.</w:t>
      </w:r>
    </w:p>
    <w:p>
      <w:pPr>
        <w:spacing w:after="0" w:line="199"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In international markets, the RECELL System is approved to promote skin healing in a wide range of applications including burns and full-thickness skin defects. The RECELL System, excluding RECELL GO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is TGA-registered in Australia, has received CE mark approval in Europe, and has PMDA approval in Japan.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visit www.avitamedical.com.</w:t>
      </w: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404040"/>
        </w:rPr>
        <w:t>Th</w:t>
      </w:r>
      <w:r>
        <w:rPr>
          <w:rFonts w:ascii="Times New Roman" w:cs="Times New Roman" w:eastAsia="Times New Roman" w:hAnsi="Times New Roman"/>
          <w:sz w:val="18"/>
          <w:szCs w:val="18"/>
          <w:i w:val="1"/>
          <w:iCs w:val="1"/>
          <w:color w:val="000000"/>
        </w:rPr>
        <w:t>is press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“believe,” “continue,” “could,” “estimate,” “expect,” “forecast,” “future,” “goal,” “guidance,” “intend,” “look forward,” “may,” “outlook,” “project,” “target,” “will,” “would,” and similar words or expressions, and the use of future dates. Forward-looking statements include, but are not limited to, statements relating to the timing and realization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as well as other economic or political conditions outside of the Company’s control. These statements are made as of the date of this release,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Atkins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+1-805 341 1571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investor@avitamedical.com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media@avitamedical.com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 for release by the Chief Financial Officer of AVITA Medical, Inc.</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18"/>
                <w:szCs w:val="18"/>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 and equipment,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Corporate-owned life insurance (“COLI”) asset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58,134</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722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LIABILITIES, NON-QUALIFIED DEFERRED COMPENSATION PLAN SHARE AWARDS</w:t>
            </w: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AND STOCKHOLDERS’ EQUITY (DEFICIT)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wages and fringe benefits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 facility</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non-qualified deferred compensation (“NQDC”) liability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Contingent liability</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62,602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 facility - long-term</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Non-qualified deferred compensation liability</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liability, long-term</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70,981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Non-qualified deferred compensation plan share awards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200,000,000 shares authorized, 26,613,678 and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26,354,042, shares issued and outstanding at June 30, 2025 and December 31, 2024, respectively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2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 shares issued or</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at June 30, 2025 and December 31, 2024</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common stock held by the non-qualified deferred compensation plan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(1,296)</w:t>
            </w:r>
          </w:p>
        </w:tc>
        <w:tc>
          <w:tcPr>
            <w:tcW w:w="1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374,073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367,568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(2,079)</w:t>
            </w:r>
          </w:p>
        </w:tc>
        <w:tc>
          <w:tcPr>
            <w:tcW w:w="1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(383,593)</w:t>
            </w: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(359,814)</w:t>
            </w:r>
          </w:p>
        </w:tc>
        <w:tc>
          <w:tcPr>
            <w:tcW w:w="0" w:type="dxa"/>
            <w:vAlign w:val="bottom"/>
          </w:tcPr>
          <w:p>
            <w:pPr>
              <w:spacing w:after="0"/>
              <w:rPr>
                <w:sz w:val="1"/>
                <w:szCs w:val="1"/>
                <w:color w:val="auto"/>
              </w:rPr>
            </w:pPr>
          </w:p>
        </w:tc>
      </w:tr>
      <w:tr>
        <w:trPr>
          <w:trHeight w:val="20"/>
        </w:trPr>
        <w:tc>
          <w:tcPr>
            <w:tcW w:w="7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(12,892)</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2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liabilities, non-qualified deferred compensation plan share awards and stockholders’ equity</w:t>
            </w:r>
          </w:p>
        </w:tc>
        <w:tc>
          <w:tcPr>
            <w:tcW w:w="3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58,134</w:t>
            </w:r>
          </w:p>
        </w:tc>
        <w:tc>
          <w:tcPr>
            <w:tcW w:w="24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2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(deficit)</w:t>
            </w:r>
          </w:p>
        </w:tc>
        <w:tc>
          <w:tcPr>
            <w:tcW w:w="340" w:type="dxa"/>
            <w:vAlign w:val="bottom"/>
            <w:gridSpan w:val="2"/>
            <w:vMerge w:val="continue"/>
            <w:shd w:val="clear" w:color="auto" w:fill="CFF0FC"/>
          </w:tcPr>
          <w:p>
            <w:pPr>
              <w:spacing w:after="0"/>
              <w:rPr>
                <w:sz w:val="18"/>
                <w:szCs w:val="18"/>
                <w:color w:val="auto"/>
              </w:rPr>
            </w:pPr>
          </w:p>
        </w:tc>
        <w:tc>
          <w:tcPr>
            <w:tcW w:w="15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6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-4182745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-4165600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-4182745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-4165600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-2091055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-427990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6"/>
          </w:tcPr>
          <w:p>
            <w:pPr>
              <w:jc w:val="right"/>
              <w:ind w:right="1340"/>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180" w:type="dxa"/>
            <w:vAlign w:val="bottom"/>
          </w:tcPr>
          <w:p>
            <w:pPr>
              <w:spacing w:after="0"/>
              <w:rPr>
                <w:sz w:val="18"/>
                <w:szCs w:val="18"/>
                <w:color w:val="auto"/>
              </w:rPr>
            </w:pPr>
          </w:p>
        </w:tc>
        <w:tc>
          <w:tcPr>
            <w:tcW w:w="3440" w:type="dxa"/>
            <w:vAlign w:val="bottom"/>
            <w:gridSpan w:val="6"/>
          </w:tcPr>
          <w:p>
            <w:pPr>
              <w:jc w:val="right"/>
              <w:ind w:right="1220"/>
              <w:spacing w:after="0"/>
              <w:rPr>
                <w:sz w:val="20"/>
                <w:szCs w:val="20"/>
                <w:color w:val="auto"/>
              </w:rPr>
            </w:pPr>
            <w:r>
              <w:rPr>
                <w:rFonts w:ascii="Times New Roman" w:cs="Times New Roman" w:eastAsia="Times New Roman" w:hAnsi="Times New Roman"/>
                <w:sz w:val="16"/>
                <w:szCs w:val="16"/>
                <w:b w:val="1"/>
                <w:bCs w:val="1"/>
                <w:color w:val="auto"/>
              </w:rPr>
              <w:t>Six-Months Ended</w:t>
            </w:r>
          </w:p>
        </w:tc>
      </w:tr>
      <w:tr>
        <w:trPr>
          <w:trHeight w:val="215"/>
        </w:trPr>
        <w:tc>
          <w:tcPr>
            <w:tcW w:w="3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r>
      <w:tr>
        <w:trPr>
          <w:trHeight w:val="210"/>
        </w:trPr>
        <w:tc>
          <w:tcPr>
            <w:tcW w:w="3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Sales 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18,226</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36,551</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26,287</w:t>
            </w:r>
          </w:p>
        </w:tc>
        <w:tc>
          <w:tcPr>
            <w:tcW w:w="100" w:type="dxa"/>
            <w:vAlign w:val="bottom"/>
            <w:shd w:val="clear" w:color="auto" w:fill="CFF0FC"/>
          </w:tcPr>
          <w:p>
            <w:pPr>
              <w:spacing w:after="0"/>
              <w:rPr>
                <w:sz w:val="18"/>
                <w:szCs w:val="18"/>
                <w:color w:val="auto"/>
              </w:rPr>
            </w:pPr>
          </w:p>
        </w:tc>
      </w:tr>
      <w:tr>
        <w:trPr>
          <w:trHeight w:val="216"/>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revenue</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26,299</w:t>
            </w:r>
          </w:p>
        </w:tc>
        <w:tc>
          <w:tcPr>
            <w:tcW w:w="10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(2,111)</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(3,624)</w:t>
            </w:r>
          </w:p>
        </w:tc>
      </w:tr>
      <w:tr>
        <w:trPr>
          <w:trHeight w:val="209"/>
        </w:trPr>
        <w:tc>
          <w:tcPr>
            <w:tcW w:w="3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14,949</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30,629</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(14,314)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(16,302)</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(29,147)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(28,942)</w:t>
            </w:r>
          </w:p>
        </w:tc>
      </w:tr>
      <w:tr>
        <w:trPr>
          <w:trHeight w:val="216"/>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(7,519)</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(16,481)</w:t>
            </w:r>
          </w:p>
        </w:tc>
      </w:tr>
      <w:tr>
        <w:trPr>
          <w:trHeight w:val="216"/>
        </w:trPr>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(5,117)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(4,887)</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(10,081)</w:t>
            </w:r>
          </w:p>
        </w:tc>
      </w:tr>
      <w:tr>
        <w:trPr>
          <w:trHeight w:val="20"/>
        </w:trPr>
        <w:tc>
          <w:tcPr>
            <w:tcW w:w="37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(28,708)</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(55,504)</w:t>
            </w:r>
          </w:p>
        </w:tc>
      </w:tr>
      <w:tr>
        <w:trPr>
          <w:trHeight w:val="20"/>
        </w:trPr>
        <w:tc>
          <w:tcPr>
            <w:tcW w:w="3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(11,148)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(15,624)</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(22,975)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(32,829)</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(1,347)</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(2,703)</w:t>
            </w:r>
          </w:p>
        </w:tc>
      </w:tr>
      <w:tr>
        <w:trPr>
          <w:trHeight w:val="216"/>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(15,360)</w:t>
            </w: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(33,988)</w:t>
            </w: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37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(9,920)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(23,779)</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(34,051)</w:t>
            </w:r>
          </w:p>
        </w:tc>
      </w:tr>
      <w:tr>
        <w:trPr>
          <w:trHeight w:val="20"/>
        </w:trPr>
        <w:tc>
          <w:tcPr>
            <w:tcW w:w="3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w:t>
            </w: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26,367,548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25,760,278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26,400,366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25,699,030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-2136775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-2136775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-2136775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-2136775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-1579880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-1579880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-1579880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-1579880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-1014095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-1014095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-1014095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-1014095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-730885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-730885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-730885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-730885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Letter"/>
      <w:start w:val="2"/>
    </w:lvl>
  </w:abstractNum>
  <w:abstractNum w:abstractNumId="3">
    <w:nsid w:val="7FDCC233"/>
    <w:multiLevelType w:val="hybridMultilevel"/>
    <w:lvl w:ilvl="0">
      <w:lvlJc w:val="left"/>
      <w:lvlText w:val="%1."/>
      <w:numFmt w:val="decimal"/>
      <w:start w:val="1"/>
    </w:lvl>
    <w:lvl w:ilvl="1">
      <w:lvlJc w:val="left"/>
      <w:lvlText w:val="(%2)"/>
      <w:numFmt w:val="lowerLetter"/>
      <w:start w:val="1"/>
    </w:lvl>
  </w:abstractNum>
  <w:abstractNum w:abstractNumId="4">
    <w:nsid w:val="1BEFD79F"/>
    <w:multiLevelType w:val="hybridMultilevel"/>
    <w:lvl w:ilvl="0">
      <w:lvlJc w:val="left"/>
      <w:lvlText w:val="%1"/>
      <w:numFmt w:val="decimal"/>
      <w:start w:val="1"/>
    </w:lvl>
    <w:lvl w:ilvl="1">
      <w:lvlJc w:val="left"/>
      <w:lvlText w:val="(%2)"/>
      <w:numFmt w:val="lowerLetter"/>
      <w:start w:val="2"/>
    </w:lvl>
  </w:abstractNum>
  <w:abstractNum w:abstractNumId="5">
    <w:nsid w:val="41A7C4C9"/>
    <w:multiLevelType w:val="hybridMultilevel"/>
    <w:lvl w:ilvl="0">
      <w:lvlJc w:val="left"/>
      <w:lvlText w:val="%1."/>
      <w:numFmt w:val="decimal"/>
      <w:start w:val="4"/>
    </w:lvl>
    <w:lvl w:ilvl="1">
      <w:lvlJc w:val="left"/>
      <w:lvlText w:val="%2"/>
      <w:numFmt w:val="lowerLetter"/>
      <w:start w:val="1"/>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lowerLetter"/>
      <w:start w:val="1"/>
    </w:lvl>
    <w:lvl w:ilvl="1">
      <w:lvlJc w:val="left"/>
      <w:lvlText w:val="(%2)"/>
      <w:numFmt w:val="lowerRoman"/>
      <w:start w:val="1"/>
    </w:lvl>
  </w:abstractNum>
  <w:abstractNum w:abstractNumId="8">
    <w:nsid w:val="25E45D32"/>
    <w:multiLevelType w:val="hybridMultilevel"/>
    <w:lvl w:ilvl="0">
      <w:lvlJc w:val="left"/>
      <w:lvlText w:val="%1"/>
      <w:numFmt w:val="decimal"/>
      <w:start w:val="1"/>
    </w:lvl>
    <w:lvl w:ilvl="1">
      <w:lvlJc w:val="left"/>
      <w:lvlText w:val="(%2)"/>
      <w:numFmt w:val="lowerRoman"/>
      <w:start w:val="4"/>
    </w:lvl>
  </w:abstractNum>
  <w:abstractNum w:abstractNumId="9">
    <w:nsid w:val="519B500D"/>
    <w:multiLevelType w:val="hybridMultilevel"/>
    <w:lvl w:ilvl="0">
      <w:lvlJc w:val="left"/>
      <w:lvlText w:val="%1."/>
      <w:numFmt w:val="decimal"/>
      <w:start w:val="6"/>
    </w:lvl>
    <w:lvl w:ilvl="1">
      <w:lvlJc w:val="left"/>
      <w:lvlText w:val="%2"/>
      <w:numFmt w:val="lowerRoman"/>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4"/>
    </w:lvl>
  </w:abstractNum>
  <w:abstractNum w:abstractNumId="12">
    <w:nsid w:val="7C83E458"/>
    <w:multiLevelType w:val="hybridMultilevel"/>
    <w:lvl w:ilvl="0">
      <w:lvlJc w:val="left"/>
      <w:lvlText w:val="(%1)"/>
      <w:numFmt w:val="lowerLetter"/>
      <w:start w:val="7"/>
    </w:lvl>
  </w:abstractNum>
  <w:abstractNum w:abstractNumId="13">
    <w:nsid w:val="257130A3"/>
    <w:multiLevelType w:val="hybridMultilevel"/>
    <w:lvl w:ilvl="0">
      <w:lvlJc w:val="left"/>
      <w:lvlText w:val="(%1)"/>
      <w:numFmt w:val="lowerLetter"/>
      <w:start w:val="10"/>
    </w:lvl>
  </w:abstractNum>
  <w:abstractNum w:abstractNumId="14">
    <w:nsid w:val="62BBD95A"/>
    <w:multiLevelType w:val="hybridMultilevel"/>
    <w:lvl w:ilvl="0">
      <w:lvlJc w:val="left"/>
      <w:lvlText w:val="%1."/>
      <w:numFmt w:val="decimal"/>
      <w:start w:val="9"/>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4"/>
    </w:lvl>
  </w:abstractNum>
  <w:abstractNum w:abstractNumId="17">
    <w:nsid w:val="333AB105"/>
    <w:multiLevelType w:val="hybridMultilevel"/>
    <w:lvl w:ilvl="0">
      <w:lvlJc w:val="left"/>
      <w:lvlText w:val="%1"/>
      <w:numFmt w:val="lowerLetter"/>
      <w:start w:val="1"/>
    </w:lvl>
    <w:lvl w:ilvl="1">
      <w:lvlJc w:val="left"/>
      <w:lvlText w:val="%2."/>
      <w:numFmt w:val="decimal"/>
      <w:start w:val="10"/>
    </w:lvl>
  </w:abstractNum>
  <w:abstractNum w:abstractNumId="18">
    <w:nsid w:val="721DA317"/>
    <w:multiLevelType w:val="hybridMultilevel"/>
    <w:lvl w:ilvl="0">
      <w:lvlJc w:val="left"/>
      <w:lvlText w:val="(%1)"/>
      <w:numFmt w:val="lowerLetter"/>
      <w:start w:val="1"/>
    </w:lvl>
    <w:lvl w:ilvl="1">
      <w:lvlJc w:val="left"/>
      <w:lvlText w:val="%2"/>
      <w:numFmt w:val="decimal"/>
      <w:start w:val="1"/>
    </w:lvl>
  </w:abstractNum>
  <w:abstractNum w:abstractNumId="19">
    <w:nsid w:val="2443A858"/>
    <w:multiLevelType w:val="hybridMultilevel"/>
    <w:lvl w:ilvl="0">
      <w:lvlJc w:val="left"/>
      <w:lvlText w:val="(%1)"/>
      <w:numFmt w:val="lowerLetter"/>
      <w:start w:val="3"/>
    </w:lvl>
  </w:abstractNum>
  <w:abstractNum w:abstractNumId="20">
    <w:nsid w:val="2D1D5AE9"/>
    <w:multiLevelType w:val="hybridMultilevel"/>
    <w:lvl w:ilvl="0">
      <w:lvlJc w:val="left"/>
      <w:lvlText w:val="%1."/>
      <w:numFmt w:val="decimal"/>
      <w:start w:val="12"/>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2025-08-07T15:36:01Z</dcterms:created>
  <dcterms:modified xsi:type="dcterms:W3CDTF">2025-08-07T15:36:01Z</dcterms:modified>
</cp:coreProperties>
</file>