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27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AVITA MEDICAL,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205740</wp:posOffset>
            </wp:positionV>
            <wp:extent cx="664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428625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651510</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866140</wp:posOffset>
            </wp:positionV>
            <wp:extent cx="6643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1089025</wp:posOffset>
            </wp:positionV>
            <wp:extent cx="6643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1285875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1329055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3695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Security 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2022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Security Holders,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AVITA Medical, Inc.’s (the “Company”) 2022 Annual Meeting of Stockholders which is being held on December 12, 2022, at 2:00 pm Pacific Standard Time (being December 13, 2022, at 9:00 am Australian Eastern Daylight Time).</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Company’s 2022 Annual Meeting is being held by way of a virtual meeting conducted via live webcast with an online voting platform at meetnow.global/MRZS45W.</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All holders of the Company’s shares of common stock (“Common Stock”) and CHESS Depositary Interests (“CDIs”) are invited to attend the 2022 Annual Meeting virtually by visiting the online platform at meetnow.global/MRZS45W.</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Common Stock will be able to vote their Common Stock via the online voting platform and submit questions. Holders of CDIs will not be able to vote during the Annual Meeting via the online voting platform but will be able to ask questions virtually. Holders of CDIs can, however, direct CHESS Depositary Nominees Pty Ltd (“CDN”) to vote the Common Stock underlying their CDIs. Further details regarding how holders of Common Stock and CDIs can vote are set out in this Proxy Statement.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formal Notice of the Annual Meeting follows on the next page. Details regarding how to attend the meeting online and the business to be conducted at the Annual Meeting are more fully described in the accompanying Notice of Annual Meeting and Proxy Statement.</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hopes that all holders of the Company’s Common Stock and CDIs will be able to attend the Annual Meeting virtually. Whether or not you expect to virtually attend the Annual Meeting, you are urged to vote or submit your proxy card or CDI Voting Instruction Form as soon as possible after you have finished reading the Notice of Annual Meeting and Proxy Statement so that your shares of Common Stock (or shares of Common Stock underlying your CDIs) can be voted at the Annual Meeting in accordance with your instructions.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vote your shares of Common Stock (or direct CDN to vote for you if you hold your shares of Common Stock in the form of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 of Common Stock.</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Please vote, sign, and return the enclosed proxy card or CDI Voting Instruction Form (as applicable) as soon as possible, whether or not you plan to virtually attend the Annual Meeting. Your vote is important.</w:t>
      </w:r>
    </w:p>
    <w:p>
      <w:pPr>
        <w:spacing w:after="0" w:line="18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Lou Panaccio</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3695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40" w:right="1740"/>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DECEMBER 12, 2022 AT 2:00 PM (PACIFIC STANDARD TIME) (BEING DECEMBER 13, 2022 AT 9:00 AM (AUSTRALIAN EASTERN DAYLIGHT TIME (“AEDT”))</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7"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NOTICE IS HEREBY GIVEN that the Annual Meeting of Stockholders of AVITA Medical, Inc. (the “Company”), a Delaware corporation, will be held on December 12, 2022, at 2:00 pm Pacific Standard Time (being December 13, 2022, at 9:00 am Australian Eastern Daylight Time (“AEDT”)), by way of a virtual meeting conducted via live webcast with an online voting platform at meetnow.global/MRZS45W for the following purposes:</w:t>
      </w:r>
    </w:p>
    <w:p>
      <w:pPr>
        <w:spacing w:after="0" w:line="63"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serve for a one-year term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1080" w:right="9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December 31, 2022;</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Certificate of Incorporation and Amended and Restated Bylaws to reduce the quorum requirement for stockholder meetings;</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Louis Panaccio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Professor Suzanne Crowe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Jeremy Curnock Cook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Ms. Jan Stern Reed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options to acquire shares of common stock of the Company (which may be represented by CDIs) equal in value to US$1,000,000 (at the time of the grant) to Mr. James Corbett on the terms and conditions set out in this Proxy Statement, pursuant to and for the purposes of ASX Listing Rule 10.11;</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the Company’s named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5:00 p.m. on October 19, 2022 (Pacific Daylight Time) (being 11:00 a.m. on October 20, 2022 (AEDT)) as the record date for the Annual Meeting and only record holders of shares of the Company’s common stock at that time will be entitled to receive notice of, and to electronically vote at, the Annual Meeting or any adjournment or adjournments thereof. Holders of CDIs of the Company at that time will be entitled to receive notice of, and to virtually attend (but not vote at), the Annual Meeting or any adjournment or adjournments thereof. This Proxy Statement and the accompanying proxy and CDI Voting Instruction Form will be mailed on or about October 25, 2022.</w:t>
      </w: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Valencia, CA October 18, 2022</w:t>
      </w:r>
    </w:p>
    <w:p>
      <w:pPr>
        <w:sectPr>
          <w:pgSz w:w="11900" w:h="16838" w:orient="portrait"/>
          <w:cols w:equalWidth="0" w:num="1">
            <w:col w:w="10980"/>
          </w:cols>
          <w:pgMar w:left="320" w:top="455"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460"/>
        <w:spacing w:after="0" w:line="259" w:lineRule="auto"/>
        <w:rPr>
          <w:sz w:val="20"/>
          <w:szCs w:val="20"/>
          <w:color w:val="auto"/>
        </w:rPr>
      </w:pPr>
      <w:r>
        <w:rPr>
          <w:rFonts w:ascii="Times New Roman" w:cs="Times New Roman" w:eastAsia="Times New Roman" w:hAnsi="Times New Roman"/>
          <w:sz w:val="18"/>
          <w:szCs w:val="18"/>
          <w:b w:val="1"/>
          <w:bCs w:val="1"/>
          <w:color w:val="auto"/>
        </w:rPr>
        <w:t>THE 2022 ANNUAL MEETING WILL BE HELD BY WAY OF A VIRTUAL MEETING CONDUCTED VIA LIVE WEBCAST. IT IS REQUESTED THAT YOU INDICATE YOUR VOTE ON THE RESOLUTIONS INCLUDED ON THE ENCLOSED PROXY CARD OR CDI VOTING INSTRUCTION FORM (AS APPLICABLE) AND DATE, SIGN AND MAIL IT IN THE ENCLOSED SELF-ADDRESSED</w:t>
      </w:r>
    </w:p>
    <w:p>
      <w:pPr>
        <w:jc w:val="center"/>
        <w:ind w:left="480" w:right="80"/>
        <w:spacing w:after="0" w:line="265" w:lineRule="auto"/>
        <w:rPr>
          <w:sz w:val="20"/>
          <w:szCs w:val="20"/>
          <w:color w:val="auto"/>
        </w:rPr>
      </w:pPr>
      <w:r>
        <w:rPr>
          <w:rFonts w:ascii="Times New Roman" w:cs="Times New Roman" w:eastAsia="Times New Roman" w:hAnsi="Times New Roman"/>
          <w:sz w:val="17"/>
          <w:szCs w:val="17"/>
          <w:b w:val="1"/>
          <w:bCs w:val="1"/>
          <w:color w:val="auto"/>
        </w:rPr>
        <w:t>ENVELOPE WHICH REQUIRES NO POSTAGE IF MAILED IN THE UNITED STATES (IN RELATION TO THE PROXY CARD) AND WHICH REQUIRES NO POSTAGE IF MAILED IN AUSTRALIA (IN RELATION TO THE CDI VOTING INSTRUCTION FORM).</w:t>
      </w:r>
    </w:p>
    <w:p>
      <w:pPr>
        <w:jc w:val="center"/>
        <w:ind w:left="460" w:right="60"/>
        <w:spacing w:after="0" w:line="253" w:lineRule="auto"/>
        <w:rPr>
          <w:sz w:val="20"/>
          <w:szCs w:val="20"/>
          <w:color w:val="auto"/>
        </w:rPr>
      </w:pPr>
      <w:r>
        <w:rPr>
          <w:rFonts w:ascii="Times New Roman" w:cs="Times New Roman" w:eastAsia="Times New Roman" w:hAnsi="Times New Roman"/>
          <w:sz w:val="18"/>
          <w:szCs w:val="18"/>
          <w:b w:val="1"/>
          <w:bCs w:val="1"/>
          <w:color w:val="auto"/>
        </w:rPr>
        <w:t>HOLDERS OF THE COMPANY’S COMMON STOCK MAY ALSO VOTE AT THE MEETING VIRTUALLY BY THE ONLINE VOTING PLATFORM. HOLDERS OF CDIS WILL NOT BE ABLE TO VOTE DURING THE ANNUAL MEETING VIA THE ONLINE VOTING PLATFORM, HOWEVER HOLDERS OF CDIS CAN DIRECT CHESS DEPOSITARY NOMINEES TO VOTE THE COMMON STOCK UNDERLYING THEIR CDIS AT THE ANNUAL MEETING BY COMPLETING THE CDI VOTING INSTRUCTION FORM.</w:t>
      </w:r>
    </w:p>
    <w:p>
      <w:pPr>
        <w:spacing w:after="0" w:line="185" w:lineRule="exact"/>
        <w:rPr>
          <w:sz w:val="20"/>
          <w:szCs w:val="20"/>
          <w:color w:val="auto"/>
        </w:rPr>
      </w:pPr>
    </w:p>
    <w:p>
      <w:pPr>
        <w:jc w:val="center"/>
        <w:ind w:left="480"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TO BE HELD ON DECEMBER 12, 2022, AT 2:00 PM (PACIFIC STANDARD TIME) (BEING DECEMBER 13, 2022, AT 9:00 AM (AEDT)): </w:t>
      </w:r>
      <w:r>
        <w:rPr>
          <w:rFonts w:ascii="Times New Roman" w:cs="Times New Roman" w:eastAsia="Times New Roman" w:hAnsi="Times New Roman"/>
          <w:sz w:val="18"/>
          <w:szCs w:val="18"/>
          <w:color w:val="auto"/>
        </w:rPr>
        <w:t>The Notice of Annual Meeting of Stockholders, Proxy Statement and the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are available on the following website: </w:t>
      </w:r>
      <w:r>
        <w:rPr>
          <w:rFonts w:ascii="Times New Roman" w:cs="Times New Roman" w:eastAsia="Times New Roman" w:hAnsi="Times New Roman"/>
          <w:sz w:val="18"/>
          <w:szCs w:val="18"/>
          <w:b w:val="1"/>
          <w:bCs w:val="1"/>
          <w:i w:val="1"/>
          <w:iCs w:val="1"/>
          <w:color w:val="auto"/>
        </w:rPr>
        <w:t>http://www.edocumentview.com/RCEL</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11"/>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8"/>
            <w:vMerge w:val="restart"/>
          </w:tcPr>
          <w:p>
            <w:pPr>
              <w:spacing w:after="0"/>
              <w:rPr>
                <w:sz w:val="20"/>
                <w:szCs w:val="20"/>
                <w:color w:val="auto"/>
              </w:rPr>
            </w:pPr>
            <w:r>
              <w:rPr>
                <w:rFonts w:ascii="Times New Roman" w:cs="Times New Roman" w:eastAsia="Times New Roman" w:hAnsi="Times New Roman"/>
                <w:sz w:val="18"/>
                <w:szCs w:val="18"/>
                <w:color w:val="0000EE"/>
              </w:rPr>
              <w:t>ABOUT THE MEETING</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3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Business Experience</w:t>
            </w:r>
          </w:p>
        </w:tc>
        <w:tc>
          <w:tcPr>
            <w:tcW w:w="73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Committee Table</w:t>
            </w:r>
          </w:p>
        </w:tc>
        <w:tc>
          <w:tcPr>
            <w:tcW w:w="260" w:type="dxa"/>
            <w:vAlign w:val="bottom"/>
            <w:tcBorders>
              <w:top w:val="single" w:sz="8" w:color="0000EE"/>
            </w:tcBorders>
            <w:gridSpan w:val="2"/>
          </w:tcPr>
          <w:p>
            <w:pPr>
              <w:spacing w:after="0"/>
              <w:rPr>
                <w:sz w:val="17"/>
                <w:szCs w:val="17"/>
                <w:color w:val="auto"/>
              </w:rPr>
            </w:pPr>
          </w:p>
        </w:tc>
        <w:tc>
          <w:tcPr>
            <w:tcW w:w="880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904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Nominating &amp; Corporate Governance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Process for Nominating Potential Director Candidates</w:t>
            </w:r>
          </w:p>
        </w:tc>
        <w:tc>
          <w:tcPr>
            <w:tcW w:w="64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Diversity Matrix</w:t>
            </w:r>
          </w:p>
        </w:tc>
        <w:tc>
          <w:tcPr>
            <w:tcW w:w="86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Meetings</w:t>
            </w:r>
          </w:p>
        </w:tc>
        <w:tc>
          <w:tcPr>
            <w:tcW w:w="914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Oversight</w:t>
            </w:r>
          </w:p>
        </w:tc>
        <w:tc>
          <w:tcPr>
            <w:tcW w:w="832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Stockholder and Interested Party Communications with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w:t>
            </w:r>
          </w:p>
        </w:tc>
        <w:tc>
          <w:tcPr>
            <w:tcW w:w="16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Pre-Approval Practice</w:t>
            </w:r>
          </w:p>
        </w:tc>
        <w:tc>
          <w:tcPr>
            <w:tcW w:w="870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022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4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AND OTHER INFORMATION CONCERNING OUR EXECUTIVE OFFICERS AND DIRECTORS</w:t>
            </w:r>
          </w:p>
        </w:tc>
        <w:tc>
          <w:tcPr>
            <w:tcW w:w="18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Employment Contracts</w:t>
            </w:r>
          </w:p>
        </w:tc>
        <w:tc>
          <w:tcPr>
            <w:tcW w:w="80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Compensation Principles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1660" w:type="dxa"/>
            <w:vAlign w:val="bottom"/>
            <w:tcBorders>
              <w:top w:val="single" w:sz="8" w:color="0000EE"/>
            </w:tcBorders>
            <w:gridSpan w:val="10"/>
          </w:tcPr>
          <w:p>
            <w:pPr>
              <w:spacing w:after="0"/>
              <w:rPr>
                <w:sz w:val="17"/>
                <w:szCs w:val="17"/>
                <w:color w:val="auto"/>
              </w:rPr>
            </w:pPr>
          </w:p>
        </w:tc>
        <w:tc>
          <w:tcPr>
            <w:tcW w:w="69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3 AMENDMENT TO CERTIFICATE OF INCORPORATION TO REDUCE THE QUORUM REQUIREMENT FOR</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STOCKHOLDER MEETINGS</w:t>
            </w:r>
          </w:p>
        </w:tc>
        <w:tc>
          <w:tcPr>
            <w:tcW w:w="11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PROPOSALS 4 – 7 APPROVAL OF THE GRANT OF OPTIONS AND RESTRICTED STOCK UNITS TO NON-EXECUTIVE</w:t>
            </w:r>
          </w:p>
        </w:tc>
        <w:tc>
          <w:tcPr>
            <w:tcW w:w="124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DIRECTORS</w:t>
            </w:r>
          </w:p>
        </w:tc>
        <w:tc>
          <w:tcPr>
            <w:tcW w:w="948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8 APPROVAL OF THE GRANT OF OPTIONS TO MR. JAMES CORBETT, PRESIDENT AND CEO OF THE COMPANY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886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9 ADVISORY VOTE TO APPROVE THE COMPENSATION OF OUR NAMED EXECUTIVE OFFICERS</w:t>
            </w:r>
          </w:p>
        </w:tc>
        <w:tc>
          <w:tcPr>
            <w:tcW w:w="1220" w:type="dxa"/>
            <w:vAlign w:val="bottom"/>
            <w:tcBorders>
              <w:top w:val="single" w:sz="8" w:color="0000EE"/>
            </w:tcBorders>
            <w:gridSpan w:val="5"/>
          </w:tcPr>
          <w:p>
            <w:pPr>
              <w:spacing w:after="0"/>
              <w:rPr>
                <w:sz w:val="17"/>
                <w:szCs w:val="17"/>
                <w:color w:val="auto"/>
              </w:rPr>
            </w:pPr>
          </w:p>
        </w:tc>
        <w:tc>
          <w:tcPr>
            <w:tcW w:w="5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ANNUAL REPORT</w:t>
            </w:r>
          </w:p>
        </w:tc>
        <w:tc>
          <w:tcPr>
            <w:tcW w:w="918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8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REQUIREMENTS FOR STOCKHOLDER PROPOSALS TO BE BROUGHT BEFORE THE 2023 ANNUAL MEETING</w:t>
            </w:r>
          </w:p>
        </w:tc>
        <w:tc>
          <w:tcPr>
            <w:tcW w:w="17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50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74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208280</wp:posOffset>
            </wp:positionV>
            <wp:extent cx="103695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December 12, 2022, at 2:00 pm (Pacific Standard Time)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(being December 13, 2022, at 9:00 am (Australian Eastern Daylight Time (“AEDT”))</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SOLICITATION OF PROXY</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Directors”) of AVITA Medical, Inc., a Delaware corporation (“AVITA” or the “Company”), for use at the annual meeting of stockholders of the Company (the “Annual Meeting”) to be held at 2:00 pm Pacific Standard Time on December 12, 2022 (being 9:00 am AEDT on December 13, 2022) by way of a virtual meeting conducted via live webcast with an online voting platform at meetnow.global/MRZS45. This Proxy Statement contains information about the matters to be considered at the meeting or any adjournments or postponements of the meeting. In addition to mail, proxies may be solicited by personal interview, telephone or telegraph by our officers and regular employees, without additional compensation. We will bear the cost of solicitation of proxies. Brokerage houses, banks and other custodians, nominees and fiduciaries will be reimbursed for out-of-pocket and reasonable expenses incurred in forwarding proxies and proxy statements.</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announced in December 2021, the Company changed its fiscal year from June 30 to December 31. As a result of this change, the Company reported a six-month Transition Period. The Transition Period is from July 1, 2021 to December 31, 2021. As a result of the change from fiscal year to calendar year, the proposals contained in the Annual Meeting will, where applicable, relate to the period ending December 31, 2022.</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set 5:00 pm Pacific Daylight Time on October 19, 2022 (being 11:00 am AEDT on October 20 2022) as the record date (the “Record Date”) to determine those holders of record of Common Stock, par value US$0.0001, who are entitled to notice of, and to electronically vote at, the Annual Meeting and those holders of CHESS Depositary Interests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25,030,902 shares of Common Stock outstanding (including the underlying shares of Common Stock represented by CDIs). On or about October 25, 2022, this Proxy Statement, the proxy card (the “Proxy Card” or “Proxy”) and the CDI Voting Instruction Form (as applicable) are being mailed to stockholders and CDI holders of record as of the Record Date.</w:t>
      </w:r>
    </w:p>
    <w:p>
      <w:pPr>
        <w:spacing w:after="0" w:line="188"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virtual Annual Meeting, you may vote via the online platform at meetnow.global/MRZS45W- if you qualify to do so, even if you have previously voted your shares of Common Stock, except that CDI holders may only instruct CDN to vote on their behalf by completing and signing the CDI Voting Instruction Form and may not electronically vote during the virtual Annual Meeting.</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meeting?</w:t>
      </w:r>
    </w:p>
    <w:p>
      <w:pPr>
        <w:spacing w:after="0" w:line="121"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election of five directors, each to serve until the next annual meeting;</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The ratification of the appointment of Grant Thornton LLP as our independent public accountants for the fiscal year ending December 31, 2022;</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approve the amendment of the Company’s Certificate of Incorporation and Amended and Restated Bylaws to reduce the quorum requirement for stockholder meetings;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Louis Panaccio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Professor Suzanne Crowe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Jeremy Curnock Cook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Ms. Jan Stern Reed on the terms and conditions set out in this Proxy Statement, pursuant to and for the purposes of ASX Listing Rule 10.11; and</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To approve the grant of options to acquire shares of common stock of the Company (which may be represented by CDIs) equal in value to US$1,000,000 (at the time of grant) to Mr. James Corbett on the terms and conditions set out in this Proxy Statement, pursuant to and for the purposes of ASX Listing Rule 10.11;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9: Advisory vote to approve the compensation of the Company’s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(including Common Stock represented by CDIs) on the Record Date. Each share of Common Stock is entitled to one vote. Each CDI holder is entitled to direct CDN to vote one vote for every five CDIs held by such holder on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Australian Securities Exchange (the “ASX”). If you own the Company’s CDIs, then you are the beneficial owner of one share of Common Stock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every five CDIs that you own. CDN or its custodian is considered the shareholder of record for the purposes of voting at our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Under the rules governing CDIs, CDN is not permitted to vote on your behalf on any matter to be considered at the Annual Meeting unless you specifically instruct CDN how to vote. We encourage you to communicate your voting decisions to CDN in advance of the Annual Meeting to ensure that your vote will be counted by completing the enclosed CDI Voting Instruction Form and returning it to the address specified on that form.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virtually and vote via the online platform at meetnow.global/MRZS45W (in the case of holders of Common Stock) or if you properly return a Proxy or CDI Voting Instruction Form by mail. To conduct our meeting, a majority of the combined voting power of our capital stock as of October 19, 2022 (United States) must be present at the meeting. This is referred to as a quorum. On October 19, 2022 (United States), there were 25,030,902 outstanding shares of Common Stock (including Common Stock represented by CDIs)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vote in two ways:</w:t>
      </w:r>
    </w:p>
    <w:p>
      <w:pPr>
        <w:spacing w:after="0" w:line="131" w:lineRule="exact"/>
        <w:rPr>
          <w:sz w:val="20"/>
          <w:szCs w:val="20"/>
          <w:color w:val="auto"/>
        </w:rPr>
      </w:pPr>
    </w:p>
    <w:p>
      <w:pPr>
        <w:ind w:left="1080" w:right="3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virtually via live webcast and voting using the online voting platform at meetnow.global/MRZS45W using the 16-digit Control Number provided in the Notice of Annual Meeting to log in to the website, and beneficial owners of shares held in street name will need to follow the instructions provided by the broker, bank or other nominee that holds their shares;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CDI holder is entitled to direct CDN to vote one vote for every five CDIs held by such holder. Those persons holding CDIs are entitled to receive notice of and to attend the Annual Meeting virtually and any adjournment or postponement thereof. Holders of CDIs may direct CDN to vote their underlying shares of Common Stock at the Annual Meeting by returning the CDI Voting Instruction Form to Computershare Australia, the agent the Company has designated for the collection and processing of voting instructions from the Company’s CDI holders. Votes must be received by Computershare Australia by no later than 2:00 pm (Pacific Standard Time) / 5:00 pm (Eastern Standard Time) on December 6, 2022 (being 9:00 am (AEDT) on December 7, 2022) in accordance with the instructions on such form. Doing so permits CDI holders to instruct CDN to vote on their behalf in accordance with their written directions.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Alternatively, CDI holders can inform CDN via the CDI Voting Instruction Form that they wish to nominate themselves or another person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Chair of the Annual Meeting) to be appointed as CDN’s proxy for the purposes of virtually attending and voting at the Annual Meeting.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CDIs must comply with the instructions above if they wish to have their votes cast at the Annual Meeting.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 or CDI Voting Instruction 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can do this by</w:t>
      </w:r>
    </w:p>
    <w:p>
      <w:pPr>
        <w:spacing w:after="0" w:line="27" w:lineRule="exact"/>
        <w:rPr>
          <w:sz w:val="20"/>
          <w:szCs w:val="20"/>
          <w:color w:val="auto"/>
        </w:rPr>
      </w:pPr>
    </w:p>
    <w:p>
      <w:pPr>
        <w:ind w:left="120" w:right="180" w:hanging="4"/>
        <w:spacing w:after="0" w:line="255"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 and submitting it in the same manner as the prior Proxy was submitted; (2) if you hold your shares in your name, voting again at the meeting via the online voting platform; or (3) if you hold your shares in street name, arranging with your broker to vote your shares at the Annual Meeting.</w:t>
      </w:r>
    </w:p>
    <w:p>
      <w:pPr>
        <w:spacing w:after="0" w:line="18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(AEDT) on December 7, 2022 (being 2.00 pm (Pacific Standard Time) / 5.00 pm (Eastern Standard Time) on December 6,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or CDIs be voted if I do not provide my Proxy or CDI Voting Instruction Form?</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including approval of the appointment of independent public accountants. When a brokerage firm votes its customer’s unvoted shares, these shares are counted for the purposes of establishing a quorum. At the Annual Meeting, these shares will be counted as voted by the brokerage firm in relation to the approval of the appointment of our independent public accountants.</w:t>
      </w:r>
    </w:p>
    <w:p>
      <w:pPr>
        <w:spacing w:after="0" w:line="187"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(AEDT) on December 7, 2022 (being 2.00 pm (Pacific Standard Time) / 5.00 pm (Eastern Standard Time) on December 6, 2022).</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Since the proposal to amend our Certificate of Incorporation and Amended and Restated Bylaws (“Bylaws”) to reduce the quorum requirement for stockholder meetings requires the affirmative vote of a majority of all outstanding shares of Common Stock, whether or not voted at the Annual Meeting, unvoted shares of Common Stock (including the underlying shares of Common Stock represented by CDIs) will have the effect of being a vote against that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ratification of the appointment of our independent public accountants, FOR the amendment of the Company’s Certificate of Incorporation and Bylaws to reduce the quorum requirement for stockholder meetings, FOR the approval of the grant of restricted stock units and options to each non-executive director, and FOR the approval of the grant of options to the Company’s President and Chief Executive Officer, but they will not be voted with respect to the advisory vote in relation to executive compensation.</w:t>
      </w:r>
    </w:p>
    <w:p>
      <w:pPr>
        <w:spacing w:after="0" w:line="1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of Common Stock held in street name and do not provide the organization that holds your shares with specific voting instructions, the organization that holds your shares may generally vote on routine matters (such as ratification of the auditor’s appointment) but cannot vote on non-routine matters.</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(AEDT) on December 7, 2022 (being 2:00 pm (Pacific Time) / 5:00 pm (Eastern Standard Time) on December 6, 2022). If a CDI holder does not include voting instructions in the CDI Voting Instruction Form in respect of a proposal no vote will be cast on that proposal for that CDI holder.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possible, we recommend that you contact your broker and/or our transfer agent to consolidate as many accounts as possible under the same name and address. Our transfer agent in the United States is Computershare Limited. Computershare Limited’s telephone number is 800-736-3001. Our transfer agent in Australia is Computershare Australia. Computershare Australia’s telephone number is +61 39415 4000 (for overseas callers) or 1300 850 505 (for calls within Australia).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approval of the election of directors and the affirmative vote of a majority of the votes cast is required for (i) the ratification of the appointment of our independent public accountants; (ii) the approval of the grant of restricted stock units and options to each non-executive director; and (iii) the approval of the grant options to the Company’s President and CEO. Approval of the amendment of our Certificate of Incorporation and our Bylaws to reduce the quorum requirement for stockholder meetings requires the majority of the voting power of the stock of the Company entitled to vote thereon to vote in favor of the proposal. The advisory vote to approve executive compensation will be approved, on a non-binding, advisory basis, on the affirmative vote of a majority of the votes cast at the Annual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pays for solicitation of proxies?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paying the cost of soliciting proxies and will reimburse brokerage firms and other custodians, nominees and fiduciaries for their reasonable out-of-pocket and reasonable expenses for sending proxy materials to stockholders and obtaining their votes. In addition to soliciting the proxies by mail, certain of our directors, officers and regular employees, without compensation, may solicit proxies personally or by telephone, facsimile and email. In connection with the foregoing, the Company has retained Okapi Partners LLC to solicit proxies on its behalf for the Annual Meeting. We have agreed to pay to Okapi Partners, LLC a fee of approximately $25,000. In Australia, the Company has engaged Georgeson Shareholder Communications Australia Pty Ltd. to solicit proxies from holders of CDIs. We have agreed to pay Georgeson Shareholder Communications Australia Pty Ltd. a fee of approximately $48,000.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can I submit a proposal for the 2023 annual meeting of stockholders?</w:t>
      </w:r>
    </w:p>
    <w:p>
      <w:pPr>
        <w:spacing w:after="0" w:line="119"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Requirements for Stockholder Proposals to Be Considered for Inclusion in the Company’s Proxy Materials. </w:t>
      </w:r>
      <w:r>
        <w:rPr>
          <w:rFonts w:ascii="Times New Roman" w:cs="Times New Roman" w:eastAsia="Times New Roman" w:hAnsi="Times New Roman"/>
          <w:sz w:val="17"/>
          <w:szCs w:val="17"/>
          <w:color w:val="auto"/>
        </w:rPr>
        <w:t>Stockholder proposals, including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nomination for election to the Board of Directors, to be considered for inclusion in the proxy statement and form of proxy relating to the 2023 annual meeting of stockholders must be received by June 26, 2023. In addition, all proposals will need to comply with Rule 14a-8 of the Securities Exchange Act of 1934, as amended (the “Exchange Act”), which lists the requirements for the inclusion of stockholder proposals in company-sponsored proxy materials. Stockholder proposals must be delivered to the Company’s Secretary at 28159 Avenue Stanford, Suite 220, Valencia, California, 91355.</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2023 Annual Meeting of Stockholders. </w:t>
      </w:r>
      <w:r>
        <w:rPr>
          <w:rFonts w:ascii="Times New Roman" w:cs="Times New Roman" w:eastAsia="Times New Roman" w:hAnsi="Times New Roman"/>
          <w:sz w:val="18"/>
          <w:szCs w:val="18"/>
          <w:color w:val="auto"/>
        </w:rPr>
        <w:t>Notice of any director nomination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proposal that you intend to present at the 2023 annual meeting of stockholders, but do not intend to have included in the proxy statement and form of proxy relating to the 2023 annual meeting of stockholders, must be delivered to the Company’s Secretary at 28159 Avenue Stanford, Suite 220, Valencia, California, 91355 not later than the close of business on June 26, 2023 or a reasonable time before the Company begins to print and send its proxy materials. In addition, your notice must set forth the information required by our Bylaws with respect to each director nomination or other proposal that you intend to present at the 2023 annual meeting of stockholders.</w:t>
      </w:r>
    </w:p>
    <w:p>
      <w:pPr>
        <w:spacing w:after="0" w:line="18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Universal Proxy Requirements. </w:t>
      </w:r>
      <w:r>
        <w:rPr>
          <w:rFonts w:ascii="Times New Roman" w:cs="Times New Roman" w:eastAsia="Times New Roman" w:hAnsi="Times New Roman"/>
          <w:sz w:val="18"/>
          <w:szCs w:val="18"/>
          <w:color w:val="auto"/>
        </w:rPr>
        <w:t>In addition to satisfying the foregoing requirements under our Bylaws, to comply with the universal proxy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intend to solicit proxies in support of director nominees other than the Company’s nominees must provide notice that sets forth the information required by Rule 14a-19 under the Exchange Act no later than October 12, 2023, or a reasonable time before the Company begins to print and send its proxy materials.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 we currently have, or do we intend to submit for stockholder approval, any anti-takeover device?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other corporate documents do not have any provisions that contain material anti-takeover aspects. We have no plans or proposals to submit any other amendments to our Certificate of Incorporation or Bylaws, or other measures in the future, that have anti-takeover effects.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Could emerging developments regarding the coronavirus — or COVID-19 — affect our ability to hold an in-person annual meeting?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continuing to monitor the impact of the COVID-19 pandemic on our employees, customers, and on the markets in which we operate. The ultimate extent of the impact of the COVID-19 pandemic on us, including the discovery and spread of existing and future contagious variants to COVID-19, remains highly uncertain and will depend on future developments and factors that continue to evolve. These factors, among others include the widespread vaccination of populations including recently approved booster regimens, especially in the U.S. and improvements in treatments and therapeutics for those with COVID-19, which are outside of our control, and could exist for an extended period of time even after the pandemic might end. Further imposition of quarantines, shelter-in-place and similar government orders which are outside of our control could impact the manner in which we hold our meeting virtually. Accordingly, the Company has chosen to hold a virtual Annual Meeting so that security holders can attend the meeting via live webcast with an online voting platform at meetnow.global/MRZS45W.</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attend and participate in the Annual Meeting virtually, securityholders of record will need to access the live audio webcast of the meeting. To do so, please visit meetnow.global/MRZS45W and use the 16-digit Control Number provided in the Notice of Annual Meeting to log in to this website, and beneficial owners of shares held in street name will need to follow the instructions provided by the broker, bank or other nominee that holds their shares. Holders of the Company’s CDIs may attend the Annual Meeting virtually by logging into meetnow.global/MRZS45W as a visitor / guest to access the live audio webcast of the meeting. We encourage security holders to log in to this website and access the webcast before the virtual Annual Meeting’s start time if they are attending the Annual Meeting virtually.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one class of directors, with each director elected annually for a term of one year in accordance with our Bylaws.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The nominees have consented to serve as directors if elected.</w:t>
      </w:r>
    </w:p>
    <w:p>
      <w:pPr>
        <w:spacing w:after="0" w:line="180"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Dr. Michael Perry, a non-executive director of the Company and the Company’s former President and Chief Executive Officer, will not be standing for re-election at the Annual Meeting and will therefore cease to be a director of the Company with effect from the date of the Annual Meeting.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elect the nominees identified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18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 Board</w:t>
            </w: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1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Since</w:t>
            </w:r>
            <w:r>
              <w:rPr>
                <w:rFonts w:ascii="Times New Roman" w:cs="Times New Roman" w:eastAsia="Times New Roman" w:hAnsi="Times New Roman"/>
                <w:sz w:val="10"/>
                <w:szCs w:val="10"/>
                <w:b w:val="1"/>
                <w:bCs w:val="1"/>
                <w:color w:val="auto"/>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191"/>
        </w:trPr>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Louis Panaccio</w:t>
            </w: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38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2014</w:t>
            </w:r>
          </w:p>
        </w:tc>
        <w:tc>
          <w:tcPr>
            <w:tcW w:w="440" w:type="dxa"/>
            <w:vAlign w:val="bottom"/>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 and Chief Executive Officer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James Corbett and Jan Stern Reed who joined the Board of Directors on July 1, 2021, each of the above directors served on our Board of Directors prior to June 30, 2020, as a member of the board of AVITA Medical Pty Limited, our predecessor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11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Louis Panaccio </w:t>
      </w:r>
      <w:r>
        <w:rPr>
          <w:rFonts w:ascii="Times New Roman" w:cs="Times New Roman" w:eastAsia="Times New Roman" w:hAnsi="Times New Roman"/>
          <w:sz w:val="18"/>
          <w:szCs w:val="18"/>
          <w:color w:val="auto"/>
        </w:rPr>
        <w:t>has served as Non-Executive Chairman of the Board of Directors since July 2014. Mr. Panaccio is a successful healthcare businessman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was a Non-Executive Director of Rhythm Biosciences Limited, a publicly listed (ASX) development-stage medical diagnostics company. We believe Mr. Panaccio is qualified to serve on our Board of Directors based on his extensive experience in the healthcare services and life sciences sectors and his experience in serving on boards.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was appointed as President and CEO of the Company effective as of September 28, 2022. Mr. Corbett served as a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and Alphatec Spine (ATEC). Mr. Corbett has also led two privately funded companies as CEO: Home Diagnostics Inc. and Vertos Medical. Mr. Corbett has extensive capital markets and governance experience from both public and private environments. Mr. Corbett holds a Bachelor of Science in Business Administration from the University of Kansas. We believe Mr. Corbett is qualified to serve on our Board of Directors based on his considerable expertise in the life sciences sector.</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Non-Executive Director since October 2012. He is a veteran in the life sciences/healthcare industry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actively supporting the commercialization of healthcare innovations and helping entrepreneurs build their international businesses over the past 45 years. Founder and Managing Director of BioScience Managers, Jeremy brings his decades of international experience to our Board of Directors. Over his career, Mr. Curnock Cook has successfully managed in excess of US $1billion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He co-created a European-focused seed fund with Johnson &amp; Johnson and built the International Biotechnology Trust. He has served on more than 40 boards of directors in the life science sector in the UK, Europe, USA, Canada, Japan and Australia. In addition to serving on our Board of Directors, Jeremy currently serves on the following boards: International BioScience Managers Ltd appointed March 2000, Bioscience Managers Pty Ltd appointed January 2003, REX Bionics Pty Ltd appointed February 2012, Sea Dragon appointed October 2012, Smart Matrix Ltd appointed February 2013, Adherium Ltd appointed April 2015, Bioscience Managers UK Ltd appointed August 2017, CriL appointed November 2020, and Humanetix Ltd appointed September 2021. We believe Mr. Curnock Cook is qualified to serve on our Board of Directors based on his extensive experience in the life sciences sector.</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Non-Executive Director since January 2016. Australian-based, she is a physician-scientist with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supporting companies with their medical and scientific strategies. A Fellow of the Australian Institute of Company Directors, she is currently a Non-Executive Director of St Vincent’s Health Australia Ltd, the country’s largest not-for-profit health and aged care provider, and Non-Executive Director of Sonic Healthcare Ltd, a large global medical diagnostic company. She was appointed Emeritus Professor, Monash University, Melbourne in 2020. After 35 years at both, she has recently retired from the Burnet Institute, having served as Associate Director Clinical Research, and the university-affiliated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She has medical and MD degrees from Monash University, an internal medicine specialist qualification in Infectious Diseases from the Royal Australasian College of Physicians, and a Diploma in Medical Laboratory Technology from the Royal Melbourne Institute of Technology. We believe Professor Crowe is qualified to serve on our Board of Directors based on her technical experience and extensive expertise in supporting companies with their medical and scientific strategies.</w:t>
      </w:r>
    </w:p>
    <w:p>
      <w:pPr>
        <w:spacing w:after="0" w:line="182" w:lineRule="exact"/>
        <w:rPr>
          <w:sz w:val="20"/>
          <w:szCs w:val="20"/>
          <w:color w:val="auto"/>
        </w:rPr>
      </w:pPr>
    </w:p>
    <w:p>
      <w:pPr>
        <w:ind w:left="120" w:right="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Jan Stern Reed </w:t>
      </w:r>
      <w:r>
        <w:rPr>
          <w:rFonts w:ascii="Times New Roman" w:cs="Times New Roman" w:eastAsia="Times New Roman" w:hAnsi="Times New Roman"/>
          <w:sz w:val="17"/>
          <w:szCs w:val="17"/>
          <w:color w:val="auto"/>
        </w:rPr>
        <w:t>has served as a Non-Executive Director since July 2021. She has more than 35 years of legal, management and business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primarily within the healthcare industry, and brings significant expertise in corporate governance, compliance, and risk management.</w:t>
      </w:r>
    </w:p>
    <w:p>
      <w:pPr>
        <w:spacing w:after="0" w:line="1" w:lineRule="exact"/>
        <w:rPr>
          <w:sz w:val="20"/>
          <w:szCs w:val="20"/>
          <w:color w:val="auto"/>
        </w:rPr>
      </w:pPr>
    </w:p>
    <w:p>
      <w:pPr>
        <w:jc w:val="both"/>
        <w:ind w:left="120" w:right="220"/>
        <w:spacing w:after="0" w:line="265" w:lineRule="auto"/>
        <w:rPr>
          <w:sz w:val="20"/>
          <w:szCs w:val="20"/>
          <w:color w:val="auto"/>
        </w:rPr>
      </w:pPr>
      <w:r>
        <w:rPr>
          <w:rFonts w:ascii="Times New Roman" w:cs="Times New Roman" w:eastAsia="Times New Roman" w:hAnsi="Times New Roman"/>
          <w:sz w:val="17"/>
          <w:szCs w:val="17"/>
          <w:color w:val="auto"/>
        </w:rPr>
        <w:t>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w:t>
      </w: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management and business leadership within the healthcare industry.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current committees of the Board and their respective members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&amp;</w:t>
            </w:r>
          </w:p>
        </w:tc>
      </w:tr>
      <w:tr>
        <w:trPr>
          <w:trHeight w:val="148"/>
        </w:trPr>
        <w:tc>
          <w:tcPr>
            <w:tcW w:w="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 Governance</w:t>
            </w:r>
          </w:p>
        </w:tc>
      </w:tr>
      <w:tr>
        <w:trPr>
          <w:trHeight w:val="19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Louis</w:t>
            </w: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Panaccio</w:t>
            </w: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6"/>
                <w:szCs w:val="16"/>
                <w:color w:val="auto"/>
              </w:rPr>
            </w:pPr>
          </w:p>
        </w:tc>
        <w:tc>
          <w:tcPr>
            <w:tcW w:w="21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c>
          <w:tcPr>
            <w:tcW w:w="200" w:type="dxa"/>
            <w:vAlign w:val="bottom"/>
          </w:tcPr>
          <w:p>
            <w:pPr>
              <w:spacing w:after="0"/>
              <w:rPr>
                <w:sz w:val="16"/>
                <w:szCs w:val="16"/>
                <w:color w:val="auto"/>
              </w:rPr>
            </w:pPr>
          </w:p>
        </w:tc>
        <w:tc>
          <w:tcPr>
            <w:tcW w:w="13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c>
          <w:tcPr>
            <w:tcW w:w="20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Member</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Interim Chair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Member</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Member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bl>
    <w:p>
      <w:pPr>
        <w:spacing w:after="0" w:line="19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of these committees operates under a written charter and reports regularly to the Board. A copy of each of these committee charters which have been amended as of August 10, 2022 is available in the “Investors” section of our website under the heading “Corporate Governance” at </w:t>
      </w:r>
      <w:r>
        <w:rPr>
          <w:rFonts w:ascii="Times New Roman" w:cs="Times New Roman" w:eastAsia="Times New Roman" w:hAnsi="Times New Roman"/>
          <w:sz w:val="18"/>
          <w:szCs w:val="18"/>
          <w:i w:val="1"/>
          <w:iCs w:val="1"/>
          <w:color w:val="auto"/>
        </w:rPr>
        <w:t>ir.avitamedical.com</w:t>
      </w:r>
      <w:r>
        <w:rPr>
          <w:rFonts w:ascii="Times New Roman" w:cs="Times New Roman" w:eastAsia="Times New Roman" w:hAnsi="Times New Roman"/>
          <w:sz w:val="18"/>
          <w:szCs w:val="18"/>
          <w:color w:val="auto"/>
        </w:rPr>
        <w:t>, and copies may also be obtained by request through the “Contact” heading at the same website address.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120" w:firstLine="440"/>
        <w:spacing w:after="0" w:line="233" w:lineRule="auto"/>
        <w:rPr>
          <w:sz w:val="20"/>
          <w:szCs w:val="20"/>
          <w:color w:val="auto"/>
        </w:rPr>
      </w:pPr>
      <w:r>
        <w:rPr>
          <w:rFonts w:ascii="Times New Roman" w:cs="Times New Roman" w:eastAsia="Times New Roman" w:hAnsi="Times New Roman"/>
          <w:sz w:val="18"/>
          <w:szCs w:val="18"/>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recommend that we have an audit committee comprised of at least three members, all of whom are non-executive directors and a majority of whom are “independent” directors, and which is chaired by an independent director who is not the chair of the board.</w:t>
      </w:r>
    </w:p>
    <w:p>
      <w:pPr>
        <w:spacing w:after="0" w:line="20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w:t>
      </w:r>
    </w:p>
    <w:p>
      <w:pPr>
        <w:spacing w:after="0" w:line="183" w:lineRule="exact"/>
        <w:rPr>
          <w:sz w:val="20"/>
          <w:szCs w:val="20"/>
          <w:color w:val="auto"/>
        </w:rPr>
      </w:pPr>
    </w:p>
    <w:p>
      <w:pPr>
        <w:ind w:left="120" w:right="60" w:firstLine="440"/>
        <w:spacing w:after="0" w:line="227" w:lineRule="auto"/>
        <w:rPr>
          <w:sz w:val="20"/>
          <w:szCs w:val="20"/>
          <w:color w:val="auto"/>
        </w:rPr>
      </w:pPr>
      <w:r>
        <w:rPr>
          <w:rFonts w:ascii="Times New Roman" w:cs="Times New Roman" w:eastAsia="Times New Roman" w:hAnsi="Times New Roman"/>
          <w:sz w:val="18"/>
          <w:szCs w:val="18"/>
          <w:color w:val="auto"/>
        </w:rPr>
        <w:t>Our Audit Committee currently consists of three Board members, each of whom satisfies the “independence” requirements of the SEC,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Our Audit Committee is currently composed of Lou Panaccio, Jan Stern Reed and Jeremy Curnock Cook. Each qualifies as an “independent director” within the meaning of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Mr. Curnock Cook is the interim chair of the Audit Committee (being an independent director who is not the chair of the Board) and was appointed on September 28, 2022. Our Board of Directors has determined that Mr. Curnock Cook is an “audit committee financial expert,” as defined in item 407(d)(5)(ii) of Regulations S-K. The Audit Committee meets at least two times per year. See below for a summary of attendance during the transition period ended December 31, 2021, and during the six months thereafter from January 1, 2022 to June 30, 2022.</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Audit Committee Meeting Attendance</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35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Directors in Attendance:</w:t>
            </w:r>
          </w:p>
        </w:tc>
        <w:tc>
          <w:tcPr>
            <w:tcW w:w="124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August 23, 2021</w:t>
            </w:r>
          </w:p>
        </w:tc>
        <w:tc>
          <w:tcPr>
            <w:tcW w:w="5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2021</w:t>
            </w:r>
          </w:p>
        </w:tc>
        <w:tc>
          <w:tcPr>
            <w:tcW w:w="2000" w:type="dxa"/>
            <w:vAlign w:val="bottom"/>
            <w:tcBorders>
              <w:top w:val="single" w:sz="8" w:color="auto"/>
            </w:tcBorders>
            <w:gridSpan w:val="2"/>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22, 2022</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3, 2022</w:t>
            </w:r>
          </w:p>
        </w:tc>
        <w:tc>
          <w:tcPr>
            <w:tcW w:w="40" w:type="dxa"/>
            <w:vAlign w:val="bottom"/>
          </w:tcPr>
          <w:p>
            <w:pPr>
              <w:spacing w:after="0"/>
              <w:rPr>
                <w:sz w:val="12"/>
                <w:szCs w:val="12"/>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spacing w:after="0"/>
              <w:rPr>
                <w:sz w:val="18"/>
                <w:szCs w:val="18"/>
                <w:color w:val="auto"/>
              </w:rPr>
            </w:pP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spacing w:after="0"/>
              <w:rPr>
                <w:sz w:val="18"/>
                <w:szCs w:val="18"/>
                <w:color w:val="auto"/>
              </w:rPr>
            </w:pP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spacing w:after="0"/>
              <w:rPr>
                <w:sz w:val="20"/>
                <w:szCs w:val="20"/>
                <w:color w:val="auto"/>
              </w:rPr>
            </w:pP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346"/>
        </w:trPr>
        <w:tc>
          <w:tcPr>
            <w:tcW w:w="3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Jeremy Curnock Cook and Louis Drapeau were members of the Audit Committee during the transition period ended December 31, 2021.</w:t>
      </w:r>
    </w:p>
    <w:p>
      <w:pPr>
        <w:spacing w:after="0" w:line="27" w:lineRule="exact"/>
        <w:rPr>
          <w:sz w:val="20"/>
          <w:szCs w:val="20"/>
          <w:color w:val="auto"/>
        </w:rPr>
      </w:pPr>
    </w:p>
    <w:p>
      <w:pPr>
        <w:ind w:left="540" w:right="40"/>
        <w:spacing w:after="0" w:line="250" w:lineRule="auto"/>
        <w:rPr>
          <w:sz w:val="20"/>
          <w:szCs w:val="20"/>
          <w:color w:val="auto"/>
        </w:rPr>
      </w:pPr>
      <w:r>
        <w:rPr>
          <w:rFonts w:ascii="Times New Roman" w:cs="Times New Roman" w:eastAsia="Times New Roman" w:hAnsi="Times New Roman"/>
          <w:sz w:val="18"/>
          <w:szCs w:val="18"/>
          <w:color w:val="auto"/>
        </w:rPr>
        <w:t>Mr. Curnock Cook stepped down from his role on the Audit Committee following the transition period, however he was re-appointed to the Audit Committee as Interim Chair on September 28, 2022, following the appointment of Mr. James Corbett to President and CEO of the Company. Louis Drapeau stepped down from his role on the Audit Committee following the transition period and resigned as a director of the Company effective as of April 29, 2022.</w:t>
      </w:r>
    </w:p>
    <w:p>
      <w:pPr>
        <w:spacing w:after="0" w:line="2" w:lineRule="exact"/>
        <w:rPr>
          <w:sz w:val="20"/>
          <w:szCs w:val="20"/>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Audit Committee from that date.</w:t>
      </w:r>
    </w:p>
    <w:p>
      <w:pPr>
        <w:ind w:left="540" w:right="30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is not a member of the Audit Committee but was in attendance at all Audit Committee meetings during the transition period ended December 31, 2021, and the period from January 1, 2022, to June 30, 2022. Dr. Perry no longer serves as the Company’s CEO as of September 28, 2022.</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firstLine="440"/>
        <w:spacing w:after="0" w:line="222" w:lineRule="auto"/>
        <w:rPr>
          <w:sz w:val="20"/>
          <w:szCs w:val="20"/>
          <w:color w:val="auto"/>
        </w:rPr>
      </w:pPr>
      <w:r>
        <w:rPr>
          <w:rFonts w:ascii="Times New Roman" w:cs="Times New Roman" w:eastAsia="Times New Roman" w:hAnsi="Times New Roman"/>
          <w:sz w:val="18"/>
          <w:szCs w:val="18"/>
          <w:color w:val="auto"/>
        </w:rPr>
        <w:t>Our Board of Directors has established a Compensation Committee, which is comprised of independent directors, within the meaning of NASDAQ Marketplace Rules and also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The Compensation Committee is comprised solely of non-executive directors and is also chaired by an independent director in accordance with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The Compensation Committee is responsible for reviewing the salary, incentives and other benefits of our directors, senior executive officers and employees, and for making recommendations on such matters for approval by our Board of Directors. The Compensation Committee is also responsible for overseeing and advising our Board of Directors with regard to the adoption of policies that govern our compensation programs. Suzanne Crowe, Jeremy Curnock Cook, and Jan Stern Reed are the current members of the Compensation Committee and each qualifies as an “independent director” within the meaning of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Professor Crowe is the chair of this committee (being an independent director who is not the chair of the board).</w:t>
      </w:r>
    </w:p>
    <w:p>
      <w:pPr>
        <w:spacing w:after="0" w:line="20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number of meetings the Compensation Committee held during the transition period ended December 31, 2021, and during the six months thereafter from January 1, 2022 to June 30, 2022 and the number of meetings attended by each Director is as follows:</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Compensation Committee Meeting Attendance: Transition Period</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32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August 16, 2021</w:t>
            </w:r>
          </w:p>
        </w:tc>
        <w:tc>
          <w:tcPr>
            <w:tcW w:w="1860" w:type="dxa"/>
            <w:vAlign w:val="bottom"/>
            <w:tcBorders>
              <w:top w:val="single" w:sz="8" w:color="auto"/>
            </w:tcBorders>
            <w:gridSpan w:val="2"/>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August 18, 2021</w:t>
            </w:r>
          </w:p>
        </w:tc>
        <w:tc>
          <w:tcPr>
            <w:tcW w:w="206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2021</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28, 2021</w:t>
            </w:r>
          </w:p>
        </w:tc>
        <w:tc>
          <w:tcPr>
            <w:tcW w:w="40" w:type="dxa"/>
            <w:vAlign w:val="bottom"/>
          </w:tcPr>
          <w:p>
            <w:pPr>
              <w:spacing w:after="0"/>
              <w:rPr>
                <w:sz w:val="12"/>
                <w:szCs w:val="12"/>
                <w:color w:val="auto"/>
              </w:rPr>
            </w:pP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in Attendance:</w:t>
            </w:r>
          </w:p>
        </w:tc>
        <w:tc>
          <w:tcPr>
            <w:tcW w:w="9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Compensation Committee Meeting Attendance: January 1 – June 30, 2022</w:t>
      </w:r>
    </w:p>
    <w:p>
      <w:pPr>
        <w:spacing w:after="0" w:line="26"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3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21, 2022</w:t>
            </w:r>
          </w:p>
        </w:tc>
        <w:tc>
          <w:tcPr>
            <w:tcW w:w="1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10, 2022</w:t>
            </w:r>
          </w:p>
        </w:tc>
        <w:tc>
          <w:tcPr>
            <w:tcW w:w="1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9, 2022</w:t>
            </w:r>
          </w:p>
        </w:tc>
        <w:tc>
          <w:tcPr>
            <w:tcW w:w="60" w:type="dxa"/>
            <w:vAlign w:val="bottom"/>
          </w:tcPr>
          <w:p>
            <w:pPr>
              <w:spacing w:after="0"/>
              <w:rPr>
                <w:sz w:val="12"/>
                <w:szCs w:val="12"/>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in Attendance:</w:t>
            </w:r>
          </w:p>
        </w:tc>
        <w:tc>
          <w:tcPr>
            <w:tcW w:w="13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1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346"/>
        </w:trPr>
        <w:tc>
          <w:tcPr>
            <w:tcW w:w="3220" w:type="dxa"/>
            <w:vAlign w:val="bottom"/>
          </w:tcPr>
          <w:p>
            <w:pPr>
              <w:spacing w:after="0"/>
              <w:rPr>
                <w:sz w:val="24"/>
                <w:szCs w:val="24"/>
                <w:color w:val="auto"/>
              </w:rPr>
            </w:pPr>
          </w:p>
        </w:tc>
        <w:tc>
          <w:tcPr>
            <w:tcW w:w="25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 Drapeau resigned as a director of the Company effective as of April 29, 2022.</w:t>
      </w:r>
    </w:p>
    <w:p>
      <w:pPr>
        <w:spacing w:after="0" w:line="27" w:lineRule="exact"/>
        <w:rPr>
          <w:sz w:val="20"/>
          <w:szCs w:val="20"/>
          <w:color w:val="auto"/>
        </w:rPr>
      </w:pPr>
    </w:p>
    <w:p>
      <w:pPr>
        <w:ind w:left="540" w:right="20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Compensation Committee from that date.</w:t>
      </w:r>
    </w:p>
    <w:p>
      <w:pPr>
        <w:ind w:left="540" w:right="220" w:hanging="424"/>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is not a member of the Compensation Committee but was in attendance at all Compensation Committee meetings during the transition period ended December 31, 2021, and the period from January 1, 2022 to June 30, 2022. Dr. Perry no longer serves as the Company’s CEO as of September 28, 2022.</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&amp; Corporate Governance Committee</w:t>
      </w:r>
    </w:p>
    <w:p>
      <w:pPr>
        <w:spacing w:after="0" w:line="121" w:lineRule="exact"/>
        <w:rPr>
          <w:sz w:val="20"/>
          <w:szCs w:val="20"/>
          <w:color w:val="auto"/>
        </w:rPr>
      </w:pPr>
    </w:p>
    <w:p>
      <w:pPr>
        <w:ind w:left="120" w:firstLine="440"/>
        <w:spacing w:after="0" w:line="230" w:lineRule="auto"/>
        <w:rPr>
          <w:sz w:val="20"/>
          <w:szCs w:val="20"/>
          <w:color w:val="auto"/>
        </w:rPr>
      </w:pPr>
      <w:r>
        <w:rPr>
          <w:rFonts w:ascii="Times New Roman" w:cs="Times New Roman" w:eastAsia="Times New Roman" w:hAnsi="Times New Roman"/>
          <w:sz w:val="18"/>
          <w:szCs w:val="18"/>
          <w:color w:val="auto"/>
        </w:rPr>
        <w:t>Our Board of Directors has established a Nominating and Corporate Governance Committee (the “Nominating Committee”).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recommends that a Nominating Committee should have at least three members, a majority of whom are independent directors and should also be chaired by an independent director. Suzanne Crowe, Jan Stern Reed and Jeremy Curnock Cook are the current members of the Nominating Committee and each qualifies as an “independent director” within the meaning of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Professor Crowe is the chair of this committee (being an independent director). The Nominating Committee is responsible for identifying individuals qualified to become members of our Board of Directors, recommending nominees for election at stockholder meetings or to fill vacancies that arise on our Board of Directors, and recommending qualified and experienced directors to serve on the committees of our Board of Directors. In addition, the Nominating Committee is responsible for leading the Board of Directors through the completion of a self-evaluation of the Board, its committees, and individual directors.</w:t>
      </w:r>
    </w:p>
    <w:p>
      <w:pPr>
        <w:spacing w:after="0" w:line="19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number of meetings the Nominating Committee held during the transition period ended December 31, 2021, and during the six months thereafter from January 1, 2022, to June 30, 2022, and the number of meetings attended by each Director is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Nominating and Corporate Governance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Committee Meeting Attendance: Transition</w:t>
            </w:r>
          </w:p>
        </w:tc>
        <w:tc>
          <w:tcPr>
            <w:tcW w:w="0" w:type="dxa"/>
            <w:vAlign w:val="bottom"/>
          </w:tcPr>
          <w:p>
            <w:pPr>
              <w:spacing w:after="0"/>
              <w:rPr>
                <w:sz w:val="1"/>
                <w:szCs w:val="1"/>
                <w:color w:val="auto"/>
              </w:rPr>
            </w:pPr>
          </w:p>
        </w:tc>
      </w:t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in Attendance:</w:t>
            </w:r>
          </w:p>
        </w:tc>
        <w:tc>
          <w:tcPr>
            <w:tcW w:w="2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vMerge w:val="continue"/>
          </w:tcPr>
          <w:p>
            <w:pPr>
              <w:spacing w:after="0"/>
              <w:rPr>
                <w:sz w:val="12"/>
                <w:szCs w:val="12"/>
                <w:color w:val="auto"/>
              </w:rPr>
            </w:pPr>
          </w:p>
        </w:tc>
        <w:tc>
          <w:tcPr>
            <w:tcW w:w="2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October 28, 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Lou Panaccio</w:t>
            </w:r>
          </w:p>
        </w:tc>
        <w:tc>
          <w:tcPr>
            <w:tcW w:w="2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7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27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7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7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7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27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Nomination and Corporate Governance Committee Meeting Attendance –</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January 1, 2022 – June 30, 2022</w:t>
      </w:r>
    </w:p>
    <w:p>
      <w:pPr>
        <w:spacing w:after="0" w:line="8"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0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Directors in Attendance:</w:t>
            </w:r>
          </w:p>
        </w:tc>
        <w:tc>
          <w:tcPr>
            <w:tcW w:w="2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21, 2022</w:t>
            </w:r>
          </w:p>
        </w:tc>
        <w:tc>
          <w:tcPr>
            <w:tcW w:w="9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May 10, 2022</w:t>
            </w:r>
          </w:p>
        </w:tc>
        <w:tc>
          <w:tcPr>
            <w:tcW w:w="4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2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76"/>
              </w:rPr>
              <w:t>X</w:t>
            </w:r>
          </w:p>
        </w:tc>
        <w:tc>
          <w:tcPr>
            <w:tcW w:w="1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3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23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w:t>
            </w:r>
          </w:p>
        </w:tc>
      </w:tr>
    </w:tbl>
    <w:p>
      <w:pPr>
        <w:spacing w:after="0" w:line="22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 Drapeau resigned as a director of the Company effective as of April 29, 2022.</w:t>
      </w:r>
    </w:p>
    <w:p>
      <w:pPr>
        <w:spacing w:after="0" w:line="27" w:lineRule="exact"/>
        <w:rPr>
          <w:sz w:val="20"/>
          <w:szCs w:val="20"/>
          <w:color w:val="auto"/>
        </w:rPr>
      </w:pPr>
    </w:p>
    <w:p>
      <w:pPr>
        <w:ind w:left="540" w:right="12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Nominating and Corporate Governance Committee from that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80" w:hanging="424"/>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is not a member of the Nominating and Corporate Governance Committee but was in attendance at all Nominating and Corporate Governance Committee meetings during the transition period ended December 31, 2021, and the period from January 1, 2022, to June 30, 2022. Dr. Perry no longer serves as the Company’s CEO as of September 28,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Nominating Potential Director Candidates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potential director candidates and recommending qualified candidates for election by the stockholders consistent with criteria approved by the Board. Nominees for director are selected by the Nominating Committee on the basis of their (i) economic, academic, financial, and other expertise, skills, knowledge, and achievements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that is effective, collegial, and responsive to the needs of the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does not have a formal diversity policy with respect to the Board, but it reviews the background and qualifications of each nominee to determine such nominee’s experience, competence, and character and assesses such nominee’s potential contribution to the Board of Directors, taking into account the then-existing composition of the Board of Directors and such other factors as the Nominating Committee deems appropriate. The Board should collectively possess skills, industry, and other knowledge and expertise, and business and other experience useful for the effective oversight of the Company’s business. The Nominating Committee believes that the business experience of its directors has been, and continues to be, critical to the Company’s development and plan of operation.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values the input of stockholders in identifying director candidates. Accordingly, although the Nominating Committee does not have a specific policy with regard to the consideration of candidates recommended by stockholders, the Nominating Committee considers recommendations for Board candidates submitted by stockholders using substantially the same criteria it applies to recommendations from the Nominating Committee, directors and members of management. Any such nominations should be submitted to the Nominating Committee in line with the instructions provided under the caption “How can I submit a proposal for the 2023 annual meeting of stockholders?” above and in compliance with other specific procedural requirements set forth in the Bylaws.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Board Diversity Matrix (As of June 30, 2022)</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Size:</w:t>
            </w: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Did Not Disclose</w:t>
            </w: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Female</w:t>
            </w:r>
          </w:p>
        </w:tc>
        <w:tc>
          <w:tcPr>
            <w:tcW w:w="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Male</w:t>
            </w:r>
          </w:p>
        </w:tc>
        <w:tc>
          <w:tcPr>
            <w:tcW w:w="4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Non-Binary</w:t>
            </w: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Gender</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Gender:</w:t>
            </w: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During the transition period from July 1, 2021, to December 31, 2021, the Board of Directors met a total of three times (August 24, 2021; September 29, 2021; and November 4, 2021), and had attendance of all members of the Board of Directors (as constituted at the relevant date) at all three of the meetings.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six months from January 1, 2022, to June 30, 2022, the Board of Directors met a total of four times (February 23, 2022; March 9, 2022; May 5, 2022; and June 9, 2022), and had attendance of all members of the Board of Directors (as constituted at the relevant date) at all four of the meetings.</w:t>
      </w:r>
    </w:p>
    <w:p>
      <w:pPr>
        <w:spacing w:after="0" w:line="176"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Additionally, during the calendar year through December 31, 2022, the Board of Directors are scheduled to meet an additional time on November 8,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Louis Panaccio, who is an independent director under NASDAQ listing standards and for the purposes of the ASX Listing Rules and the ASX Corporate Governance Council’s Corporate Governance Principles and Recommendations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non-independent directors.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day-to-day basis, the Company’s Board of Directors oversees management’s efforts to assess and manage risk. The Board (in</w:t>
      </w: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the Company’s capital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our Audit Committee assists the Board of Directors to meet its oversight responsibilities in respect of various areas of risk for the Company including risks associated with our financial statements and financial reporting, internal control structure, risk management procedures and the internal (as applicable) and external audit function as well as mergers and acquisitions, credit and liquidity, and business conduct compliance. Our Compensation Committee considers the risks associated with our compensation policies and practices with respect to both executive compensation and employee compensation. Our Nominating and Corporate Governance Committee oversees risks associated with our overall governance practices and the leadership structure of the Board of Directors. Our Board of Directors stays informed of each committee’s risk oversight and other activities via regular reports of the committee chairs to the full Board of Directors. Our Board of Directors’ role in risk oversight is consistent with our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and Interested Party Communications with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Stockholders may communicate with the Board of Directors, members of particular committees, or individual directors by sending a letter to such persons care of our Chief Executive Officer at our principal executive offices. The Chief Executive Officer has the authority to disregard any inappropriate communications or to take other appropriate actions with respect to any inappropriate communications. If deemed an appropriate communication, the Chief Executive Officer will submit the correspondence to the Chairman of the Board or to the committee or specific director to whom the correspondence is directed. All such communications must be accompanied by a statement of the type and amount of our securities that the person holds; any special interest, meaning an interest that is not derived from the proponent’s capacity as a stockholder, of the person in the subject matter of the communication; and the address, telephone number and e-mail address, if any, of the person submitting the communication.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Directors are elected by a plurality of votes cast by the Company’s stockholders present in person or represented by proxy at the Annual Meeting and entitled to vote on the Proposal which means that the five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December 31, 2022.</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previously approved the ratification of the appointment of Grant Thornton LLP to serve as the Company’s independent registered public accounting firm at the 2021 annual meeting for the fiscal year ending June 30, 2022 (being prior to the Company’s change in fiscal year end to 31 December). This proposal seeks stockholder approval for the ratification of the appointment of Grant Thornton LLP to serve as the Company’s registered public accounting firm for the fiscal year ending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Annual Meeting with the opportunity to make a statement if they desire to do so and will be available to respond to appropriate questions.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aggregate fees billed to us by Grant Thornton LLP for services rendered for each of the transition period ended December 31, 2021, and the fiscal year ended June 30, 2021, are set forth in the table below (in US dollars):</w:t>
      </w:r>
    </w:p>
    <w:p>
      <w:pPr>
        <w:spacing w:after="0" w:line="4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98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Transition Period</w:t>
            </w: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40" w:type="dxa"/>
            <w:vAlign w:val="bottom"/>
          </w:tcPr>
          <w:p>
            <w:pPr>
              <w:spacing w:after="0"/>
              <w:rPr>
                <w:sz w:val="15"/>
                <w:szCs w:val="15"/>
                <w:color w:val="auto"/>
              </w:rPr>
            </w:pPr>
          </w:p>
        </w:tc>
        <w:tc>
          <w:tcPr>
            <w:tcW w:w="17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1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Borders>
              <w:bottom w:val="single" w:sz="8" w:color="CCEEFF"/>
            </w:tcBorders>
            <w:gridSpan w:val="2"/>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 Grant Thornton LLP (1)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$ 1,038,645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Audit fees – Grant Thornton Audit Pty Ltd (1)</w:t>
            </w:r>
          </w:p>
        </w:tc>
        <w:tc>
          <w:tcPr>
            <w:tcW w:w="240" w:type="dxa"/>
            <w:vAlign w:val="bottom"/>
          </w:tcPr>
          <w:p>
            <w:pPr>
              <w:spacing w:after="0"/>
              <w:rPr>
                <w:sz w:val="18"/>
                <w:szCs w:val="18"/>
                <w:color w:val="auto"/>
              </w:rPr>
            </w:pPr>
          </w:p>
        </w:tc>
        <w:tc>
          <w:tcPr>
            <w:tcW w:w="1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25,845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Thornton UK LLP (1)</w:t>
            </w:r>
          </w:p>
        </w:tc>
        <w:tc>
          <w:tcPr>
            <w:tcW w:w="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44,698</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Tax fees – Grant Thornton LLP (2)</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147,222</w:t>
            </w:r>
          </w:p>
        </w:tc>
        <w:tc>
          <w:tcPr>
            <w:tcW w:w="8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126,929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 Grant Thornton Audit Pty Ltd (2)</w:t>
            </w:r>
          </w:p>
        </w:tc>
        <w:tc>
          <w:tcPr>
            <w:tcW w:w="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591,920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$ 1,191,419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57"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professional services rendered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Practice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our Audit Committee or the engagement to render services is entered into pursuant to pre-approval policies and procedures established by the Audit Committee. The Audit Committee pre-approved all audit services provided by the Company’s independent registered public accountants during the transition period and the fiscal year ended June 30, 2021.</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votes cast by the Company’s stockholders present in person or represented by proxy at the Annual Meeting and entitled to vote on the Proposal, with abstentions counting as votes against the Proposal.</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Grant Thornton LLP.</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320" w:top="455"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right="60" w:firstLine="440"/>
        <w:spacing w:after="0" w:line="238" w:lineRule="auto"/>
        <w:rPr>
          <w:sz w:val="20"/>
          <w:szCs w:val="20"/>
          <w:color w:val="auto"/>
        </w:rPr>
      </w:pPr>
      <w:r>
        <w:rPr>
          <w:rFonts w:ascii="Times New Roman" w:cs="Times New Roman" w:eastAsia="Times New Roman" w:hAnsi="Times New Roman"/>
          <w:sz w:val="18"/>
          <w:szCs w:val="18"/>
          <w:color w:val="auto"/>
        </w:rPr>
        <w:t>The Audit Committee assists our Board in its oversight of our financial reporting process. All three members of the Audit Committee qualify as independent directors under NASDAQ listing standards for public companies and the independence requirements of Rule 10A-3 promulgated under the Securities Exchange Act of 1934, as amended (“Exchange Act”) and the Board has determined that one is qualified as an audit committee financial expert within the meaning of Item 407(d)(5) of Regulation S-K, promulgated under the Exchange Act. All three members* of the Audit Committee are also considered to be independent for the purposes of the ASX Listing Rules and the ASX Corporate Governance Council’s Corporate Governance Principles and Recommendations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The Audit Committee’s charter can be viewed online on our website at </w:t>
      </w:r>
      <w:r>
        <w:rPr>
          <w:rFonts w:ascii="Times New Roman" w:cs="Times New Roman" w:eastAsia="Times New Roman" w:hAnsi="Times New Roman"/>
          <w:sz w:val="18"/>
          <w:szCs w:val="18"/>
          <w:u w:val="single" w:color="auto"/>
          <w:color w:val="auto"/>
        </w:rPr>
        <w:t>https://ir.avitamedical.com/corporate-governance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fulfilling its duties, the Audit Committee reviewed and discussed the audited financial statements contained in the Company’s Annual Report on Form 10-KT for the transition year July 1, 2021, to December 31, 2021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above reviews and discussions, the Audit Committee recommended to our Board, and our Board approved, that the audited financial statements be included in the Company’s Annual Report on Form 10-KT for the transition year July 1, 2021, to December 31, 2021, for filing with the U.S. Securities and Exchange Commission. Beginning January 1, 2022, the Company is now a calendar year reporter.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James Corbett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Chair of the Audit Committee</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Louis Panaccio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 Stern Reed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 October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266065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8" w:lineRule="exact"/>
        <w:rPr>
          <w:sz w:val="20"/>
          <w:szCs w:val="20"/>
          <w:color w:val="auto"/>
        </w:rPr>
      </w:pPr>
    </w:p>
    <w:p>
      <w:pPr>
        <w:ind w:left="340" w:hanging="224"/>
        <w:spacing w:after="0"/>
        <w:tabs>
          <w:tab w:leader="none" w:pos="34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Corbett served as the Chair of the Audit Committee during the period covered by this Proxy Statement. Effective September 28, 2022,</w:t>
      </w:r>
    </w:p>
    <w:p>
      <w:pPr>
        <w:spacing w:after="0" w:line="1" w:lineRule="exact"/>
        <w:rPr>
          <w:rFonts w:ascii="Times New Roman" w:cs="Times New Roman" w:eastAsia="Times New Roman" w:hAnsi="Times New Roman"/>
          <w:sz w:val="27"/>
          <w:szCs w:val="27"/>
          <w:color w:val="auto"/>
          <w:vertAlign w:val="superscript"/>
        </w:rPr>
      </w:pPr>
    </w:p>
    <w:p>
      <w:pPr>
        <w:ind w:left="340" w:right="60"/>
        <w:spacing w:after="0" w:line="25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Corbett was named President and CEO of the Company and stepped down from his role on the Audit Committee. Effective September 28, 2022, Mr. Curnock Cook was appointed to the Audit Committee as Interim Chair.</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Stockholders and Management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our common stock (including our CDIs), as of September 1, 2022, by each person or group of affiliated persons known to us to be the beneficial owner of more than 5% of our common stock (including our CDIs); each of our named executive officers; each of our directors; and all of our executive officers and directors as a group. The table also sets out the names of all persons (of which the Company is aware) who have disclosed pursuant to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shareholders” of the Company and carry 5% or more of the voting rights attached to the issued securities of the Company.</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Title of Class</w:t>
            </w:r>
          </w:p>
        </w:tc>
        <w:tc>
          <w:tcPr>
            <w:tcW w:w="7460" w:type="dxa"/>
            <w:vAlign w:val="bottom"/>
            <w:gridSpan w:val="3"/>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7460" w:type="dxa"/>
            <w:vAlign w:val="bottom"/>
            <w:gridSpan w:val="3"/>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class(2)</w:t>
            </w:r>
          </w:p>
        </w:tc>
        <w:tc>
          <w:tcPr>
            <w:tcW w:w="0" w:type="dxa"/>
            <w:vAlign w:val="bottom"/>
          </w:tcPr>
          <w:p>
            <w:pPr>
              <w:spacing w:after="0"/>
              <w:rPr>
                <w:sz w:val="1"/>
                <w:szCs w:val="1"/>
                <w:color w:val="auto"/>
              </w:rPr>
            </w:pPr>
          </w:p>
        </w:tc>
      </w:tr>
      <w:tr>
        <w:trPr>
          <w:trHeight w:val="189"/>
        </w:trPr>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More than 5% stockholders:</w:t>
            </w:r>
          </w:p>
        </w:tc>
        <w:tc>
          <w:tcPr>
            <w:tcW w:w="2340" w:type="dxa"/>
            <w:vAlign w:val="bottom"/>
            <w:tcBorders>
              <w:top w:val="single" w:sz="8" w:color="auto"/>
            </w:tcBorders>
            <w:shd w:val="clear" w:color="auto" w:fill="CCEEFF"/>
          </w:tcPr>
          <w:p>
            <w:pPr>
              <w:spacing w:after="0"/>
              <w:rPr>
                <w:sz w:val="16"/>
                <w:szCs w:val="16"/>
                <w:color w:val="auto"/>
              </w:rPr>
            </w:pPr>
          </w:p>
        </w:tc>
        <w:tc>
          <w:tcPr>
            <w:tcW w:w="25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Montgomery Investment Management Pty Ltd, Level 5, 17 Castlereagh Street, Sydney, NSW 2000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1,321,779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Vanguard Group, 100 Vanguard Blvd., Malvern, PA 19355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1,276,987</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Lou Panaccio</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20,064</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Jeremy Curnock Cook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Professor Suzanne Crowe</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James Corbett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 Stern Reed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Perry</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386,399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Michael Holder</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44,856</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Kathy McGee</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57,481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512,912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27" w:lineRule="exact"/>
        <w:rPr>
          <w:sz w:val="20"/>
          <w:szCs w:val="20"/>
          <w:color w:val="auto"/>
        </w:rPr>
      </w:pPr>
    </w:p>
    <w:p>
      <w:pPr>
        <w:ind w:left="540" w:right="2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we believe that the beneficial owners of the common stock (and CDIs)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25,030,902 shares of our common stock (including all common stock represented by CDIs) issued and outstanding as of September 1, 2022. Common stock subject to options or RSUs exercisable within 60 days of September 1, 2022, are deemed outstanding for the purposes of computing the percentage ownership of the person holding such options or RSUs, but are not deemed outstanding for the purposes of computing the percentage ownership of any other person.</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Montgomery Investment Management Pty Ltd is the manager of various unit trusts and in that capacity can exercise the power to vote or dispose of the shares.</w:t>
      </w:r>
    </w:p>
    <w:p>
      <w:pPr>
        <w:ind w:left="540" w:right="40" w:hanging="424"/>
        <w:spacing w:after="0" w:line="253"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Inc., a Pennsylvania corporation (“Vanguard”), has the sole power to vote or to direct the vote of 0 shares of common stock, the shared power to vote or to direct the vote of 41,762 shares of common stock, the sole power to dispose or to direct the disposition of 1,219,014 shares of common stock and shared power to dispose or to direct the disposition of 51,496 shares of common stock. This information has been obtained from Amendment No. 1 to Schedule 13G filed by Vanguard with the SEC on February 9, 2022.</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8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100,320 CDIs, which represent 20,064 shares of our common stock. Amount includes 29,860 CDIs which represent 5,972 shares of common stock that are held by The Panaccio Superannuation Fund.</w:t>
      </w: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20,560 CDIs which represent 4,112 shares of our common stock.</w:t>
      </w:r>
    </w:p>
    <w:p>
      <w:pPr>
        <w:spacing w:after="0" w:line="9"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634,602 CDIs, which represent 126,920 shares of common stock, and 102,623 shares of common stock that are not represented by CDIs. In addition, the amount includes stock options which give Dr. Perry the right to acquire 156,856 shares of our common stock exercisable within 60 days of September 1, 2022.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stock options to acquire shares of our common stock exercisable within 60 days of September 1,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160" w:type="dxa"/>
            <w:vAlign w:val="bottom"/>
            <w:vMerge w:val="restart"/>
          </w:tcPr>
          <w:p>
            <w:pPr>
              <w:spacing w:after="0"/>
              <w:rPr>
                <w:sz w:val="13"/>
                <w:szCs w:val="13"/>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First Elected or</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500" w:type="dxa"/>
            <w:vAlign w:val="bottom"/>
            <w:gridSpan w:val="2"/>
            <w:vMerge w:val="continue"/>
          </w:tcPr>
          <w:p>
            <w:pPr>
              <w:spacing w:after="0"/>
              <w:rPr>
                <w:sz w:val="15"/>
                <w:szCs w:val="15"/>
                <w:color w:val="auto"/>
              </w:rPr>
            </w:pP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Appointed</w:t>
            </w: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Corbett*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Executive Director and Chief Executive Officer</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July 2021</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Holder</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2021</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Kathy McGee</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2020</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President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2017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0" w:right="3260" w:hanging="4"/>
        <w:spacing w:after="0" w:line="312" w:lineRule="auto"/>
        <w:tabs>
          <w:tab w:leader="none" w:pos="55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Corbett was appointed as President and CEO of the Company effective as of September 28, 2022. ** Dr. Perry ceased to be the President and CEO of the Company effective as of September 28, 2022.</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is discussed above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Holder </w:t>
      </w:r>
      <w:r>
        <w:rPr>
          <w:rFonts w:ascii="Times New Roman" w:cs="Times New Roman" w:eastAsia="Times New Roman" w:hAnsi="Times New Roman"/>
          <w:sz w:val="18"/>
          <w:szCs w:val="18"/>
          <w:color w:val="auto"/>
        </w:rPr>
        <w:t>was appointed Chief Financial Officer in March 2021. Mr. Holder is a seasoned executive with more than 25 years of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in senior financial, executive management and board roles with leading companies in the medtech, biotech and pharma industries. Most recently, Mr. Holder served as Chief Financial Officer of ImmuneCyte Inc., a global clinical stage biopharmaceutical company with innovative cell and gene immune-oncology therapeutics. Between 2017 and 2018, Mr. Holder served as CEO and Portfolio Manager of Carolina Longevity Institute, a global investment company focused on medtech, biotech and pharma investments in the healthspan and human longevity sectors. From 2005 to 2017,</w:t>
      </w:r>
    </w:p>
    <w:p>
      <w:pPr>
        <w:spacing w:after="0" w:line="3"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Mr. Holder was CEO, CFO, and Chairman of the Board of Organ Transport Systems, Inc. a medical device company in the organ transplantation industry. From 2000 to 2004, Mr. Holder was VP Sales, Operations and Finance; Chief Financial Officer of Premier Sourcing Partners, the information and medical technology subsidiary of Premier Inc. Prior to that, Mr. Holder was CFO of BeaconEye Inc., a publicly traded medtech company; Vice President of Heartland Capital Partners, the Sam Walton family controlled private equity fund; and Principal in the Corporate Development Group of AMR Corporation, a former Fortune 500 transportation and information technology company. Mr. Holder holds a Master of Business Administration from the Wharton School of Business at the University of Pennsylvania and a Bachelor of Science in Business Administration from the Kenan-Flagler Business School at the University of North Carolina at Chapel Hill.</w:t>
      </w:r>
    </w:p>
    <w:p>
      <w:pPr>
        <w:spacing w:after="0" w:line="18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Kathy McGee </w:t>
      </w:r>
      <w:r>
        <w:rPr>
          <w:rFonts w:ascii="Times New Roman" w:cs="Times New Roman" w:eastAsia="Times New Roman" w:hAnsi="Times New Roman"/>
          <w:sz w:val="18"/>
          <w:szCs w:val="18"/>
          <w:color w:val="auto"/>
        </w:rPr>
        <w:t>was appointed Chief Operating Officer in December 2020. She brings more than 25 years of biopharmaceutical and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to AVITA Medical, most recently serving as President of CnA Consulting Group, which focuses on providing specialized consulting services to the life sciences industry. Prior to CnA Consulting, Ms. McGee was the Vice President of West Coast Operations at Shire Pharmaceuticals Regenerative Medicine Division, formerly Advanced BioHealing, where she was a part of the leadership team responsible for manufacturing operations, strategic planning, capital expansion, and real estate. At Advanced BioHealing, Ms. McGee served as the Senior Vice President of Operations and General Manager, with responsibility for the company’s manufacturing operations in La Jolla, CA. She has also held senior operations leadership roles at Smith and Nephew and Advanced Tissue Sciences. She earned her Bachelor of Science in Chemistry and Mathematics from University College Galway Ireland, and holds a Master’s degree in Business and Management from Webster University.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Michael Perry </w:t>
      </w:r>
      <w:r>
        <w:rPr>
          <w:rFonts w:ascii="Times New Roman" w:cs="Times New Roman" w:eastAsia="Times New Roman" w:hAnsi="Times New Roman"/>
          <w:sz w:val="18"/>
          <w:szCs w:val="18"/>
          <w:color w:val="auto"/>
        </w:rPr>
        <w:t>has served as a Non-Executive Director since September 28, 2022. Prior to this appointment, Dr Perry served as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commencing in February 2013 until he was appointed Executive Director and Chief Executive Officer from June 2017 to September 2022.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 employing RNA interference technology.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COMPENSATION AND OTHER INFORMATION CONCERNING OUR EXECUTIVE OFFICERS AND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our named executive officers the following information for the transition period ended December 31, 2021, and the fiscal year ended June 30, 2021 (in US dollars).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00" w:type="dxa"/>
            <w:vAlign w:val="bottom"/>
            <w:gridSpan w:val="2"/>
            <w:vMerge w:val="continue"/>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Salary (1)</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 (2)</w:t>
            </w: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Awards (3)</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 (5)</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(6)</w:t>
            </w: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top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Corbett*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41,562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158,645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56,116</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256,323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Holder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212,500</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212,205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90,337</w:t>
            </w: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522,533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114,423</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1,966,472</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51,008</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2,131,903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Kathy McGee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177,675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212,205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90,337</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515,720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199,646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1,893,473</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21,427</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2,149,896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Perry**</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282,487</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772,244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323,137</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108,286</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1,486,537</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497,087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414,960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146,800</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1,058,847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was appointed President and CEO of the Company effective as of September 28, 2022. Mr. Corbett’s salary/awards listed above were for board services as a Non-Executive Director and do not reflect his compensation as CEO.</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Perry ceased to be the President and CEO of the Company effective as of September 28, 2022.</w:t>
      </w:r>
    </w:p>
    <w:p>
      <w:pPr>
        <w:spacing w:after="0" w:line="9" w:lineRule="exact"/>
        <w:rPr>
          <w:sz w:val="20"/>
          <w:szCs w:val="20"/>
          <w:color w:val="auto"/>
        </w:rPr>
      </w:pPr>
    </w:p>
    <w:p>
      <w:pPr>
        <w:ind w:left="540" w:right="66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dollar value of base salary (cash and non-cash) earned by the named executive officer during the period covered.</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dollar value of bonus (cash and non-cash) earned by the named executive officer during the period covered.</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is subject to various performance or related criteria, including continuation of employment over the relevant vesting period.</w:t>
      </w:r>
    </w:p>
    <w:p>
      <w:pPr>
        <w:spacing w:after="0" w:line="1" w:lineRule="exact"/>
        <w:rPr>
          <w:rFonts w:ascii="Times New Roman" w:cs="Times New Roman" w:eastAsia="Times New Roman" w:hAnsi="Times New Roman"/>
          <w:sz w:val="18"/>
          <w:szCs w:val="18"/>
          <w:color w:val="auto"/>
        </w:rPr>
      </w:pPr>
    </w:p>
    <w:p>
      <w:pPr>
        <w:ind w:left="540" w:right="9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Above-market or preferential earnings on compensation that is deferred on a basis that is not tax-qualified, including such earnings on nonqualified defined contribution plans.</w:t>
      </w:r>
    </w:p>
    <w:p>
      <w:pPr>
        <w:ind w:left="540" w:right="140" w:hanging="424"/>
        <w:spacing w:after="0" w:line="265"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this column represent all other compensation for the covered fiscal year that the smaller reporting company could not properly report in any other column of the Summary Compensation Table. This includes the 401-k match, superannuation (pension) and health care benefits.</w:t>
      </w:r>
    </w:p>
    <w:p>
      <w:pPr>
        <w:ind w:left="540" w:right="8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(a) US$95,235 in relation to the travel, flight and accommodation costs associated with the executive commuting from his home to our offices in Valencia, California (including an amount necessary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160"/>
        <w:spacing w:after="0" w:line="257" w:lineRule="auto"/>
        <w:rPr>
          <w:sz w:val="20"/>
          <w:szCs w:val="20"/>
          <w:color w:val="auto"/>
        </w:rPr>
      </w:pPr>
      <w:r>
        <w:rPr>
          <w:rFonts w:ascii="Times New Roman" w:cs="Times New Roman" w:eastAsia="Times New Roman" w:hAnsi="Times New Roman"/>
          <w:sz w:val="18"/>
          <w:szCs w:val="18"/>
          <w:color w:val="auto"/>
        </w:rPr>
        <w:t>to gross up these costs for income tax purposes under U.S. federal, California and Colorado State laws); (b) US$10,722 associated with medical benefits (including an amount necessary to gross up these costs for income tax purposes under U.S. federal, California and Colorado and Nevada State laws), and (c) US$2,329 associated with deferred compensation employer matching contributions.</w:t>
      </w:r>
    </w:p>
    <w:p>
      <w:pPr>
        <w:spacing w:after="0" w:line="1" w:lineRule="exact"/>
        <w:rPr>
          <w:sz w:val="20"/>
          <w:szCs w:val="20"/>
          <w:color w:val="auto"/>
        </w:rPr>
      </w:pPr>
    </w:p>
    <w:p>
      <w:pPr>
        <w:ind w:left="540" w:right="160" w:hanging="424"/>
        <w:spacing w:after="0" w:line="265" w:lineRule="auto"/>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Comprises (a) US$114,408 in relation to the travel, flight and accommodation costs associated with the executive commuting from his home on Colorado to our offices in Valencia, California (including an amount necessary to gross up these cost for income tax purposes under U.S. federal, California and Colorado State laws); (b) US$26,217 associated with medical benefits (including an amount necessary to gross up these cost for income tax purposes under U.S. federal, California and Colorado State laws), and (c) US$6,175 associated with 401-k matching contributions.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US$47,923 of relocation expenses and US$3,085 of 401(k) employer match contribution.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21"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For compensation information of named executives refer to the table above.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5040" w:type="dxa"/>
            <w:vAlign w:val="bottom"/>
          </w:tcPr>
          <w:p>
            <w:pPr>
              <w:spacing w:after="0"/>
              <w:rPr>
                <w:sz w:val="13"/>
                <w:szCs w:val="13"/>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Role</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vMerge w:val="continue"/>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Period of Notice</w:t>
            </w:r>
          </w:p>
        </w:tc>
        <w:tc>
          <w:tcPr>
            <w:tcW w:w="1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payments provided</w:t>
            </w:r>
          </w:p>
        </w:tc>
        <w:tc>
          <w:tcPr>
            <w:tcW w:w="0" w:type="dxa"/>
            <w:vAlign w:val="bottom"/>
          </w:tcPr>
          <w:p>
            <w:pPr>
              <w:spacing w:after="0"/>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5040" w:type="dxa"/>
            <w:vAlign w:val="bottom"/>
            <w:vMerge w:val="continue"/>
          </w:tcPr>
          <w:p>
            <w:pPr>
              <w:spacing w:after="0"/>
              <w:rPr>
                <w:sz w:val="15"/>
                <w:szCs w:val="15"/>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 by contract (1)</w:t>
            </w: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Former Chief Executive</w:t>
            </w:r>
          </w:p>
        </w:tc>
        <w:tc>
          <w:tcPr>
            <w:tcW w:w="16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Dr. Michael Perry*</w:t>
            </w:r>
          </w:p>
        </w:tc>
        <w:tc>
          <w:tcPr>
            <w:tcW w:w="102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Voluntary Termination: not less than 30 days nor more than 90 days</w:t>
            </w:r>
          </w:p>
        </w:tc>
        <w:tc>
          <w:tcPr>
            <w:tcW w:w="128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Officer (CEO)</w:t>
            </w:r>
          </w:p>
        </w:tc>
        <w:tc>
          <w:tcPr>
            <w:tcW w:w="1640" w:type="dxa"/>
            <w:vAlign w:val="bottom"/>
            <w:shd w:val="clear" w:color="auto" w:fill="CCEEFF"/>
          </w:tcPr>
          <w:p>
            <w:pPr>
              <w:spacing w:after="0"/>
              <w:rPr>
                <w:sz w:val="20"/>
                <w:szCs w:val="20"/>
                <w:color w:val="auto"/>
              </w:rPr>
            </w:pP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for Good Reason: Not to exceed 90 days</w:t>
            </w: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James Corbett**</w:t>
            </w:r>
          </w:p>
        </w:tc>
        <w:tc>
          <w:tcPr>
            <w:tcW w:w="10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Termination without Good Reason: 90 days prior written notice</w:t>
            </w:r>
          </w:p>
        </w:tc>
        <w:tc>
          <w:tcPr>
            <w:tcW w:w="12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130"/>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(CEO)</w:t>
            </w:r>
          </w:p>
        </w:tc>
        <w:tc>
          <w:tcPr>
            <w:tcW w:w="1640" w:type="dxa"/>
            <w:vAlign w:val="bottom"/>
            <w:vMerge w:val="continue"/>
          </w:tcPr>
          <w:p>
            <w:pPr>
              <w:spacing w:after="0"/>
              <w:rPr>
                <w:sz w:val="11"/>
                <w:szCs w:val="11"/>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1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Michael Holder</w:t>
            </w:r>
          </w:p>
        </w:tc>
        <w:tc>
          <w:tcPr>
            <w:tcW w:w="10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3-month notice period</w:t>
            </w:r>
          </w:p>
        </w:tc>
        <w:tc>
          <w:tcPr>
            <w:tcW w:w="12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Operating Officer</w:t>
            </w:r>
          </w:p>
        </w:tc>
        <w:tc>
          <w:tcPr>
            <w:tcW w:w="1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Kathy McGee</w:t>
            </w:r>
          </w:p>
        </w:tc>
        <w:tc>
          <w:tcPr>
            <w:tcW w:w="10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3-month notice period</w:t>
            </w:r>
          </w:p>
        </w:tc>
        <w:tc>
          <w:tcPr>
            <w:tcW w:w="1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3440" w:hanging="4"/>
        <w:spacing w:after="0" w:line="261" w:lineRule="auto"/>
        <w:tabs>
          <w:tab w:leader="none" w:pos="5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Perry ceased to be the President and CEO of the Company effective as of September 28, 2022. ** Mr. Corbett was appointed President and CEO of the Company effective as of September 28, 2022.</w:t>
      </w:r>
    </w:p>
    <w:p>
      <w:pPr>
        <w:ind w:left="540" w:right="40" w:hanging="424"/>
        <w:spacing w:after="0" w:line="25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only in the event of employment termination for involuntary termination without cause or termination for “good reason.” For the CFO and COO, Good Reason is defined as (i) a material diminution in executive’s authority, duties or responsibilities in effect at the time of this agreement; (ii) any reduction in the executive’s then-current base salary; (iii) relocation of executive’s principal place of work by a distance of fifty miles or more from the executive’s then current principal place of work without the executive’s consent; (iv) material breach by the Company of any provision of the executive’s employment agreement; (v) the occurrence of a change in control provided (i)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material diminution in the executive’s authority, duties or responsibilities including a requirement that the CEO report to a corporate officer or employee instead of reporting directly to the board; (iii) a decision by the Company which would require the CEO to change his principle residence; or (iv) any other action or inaction that constitutes a material breach by the Company of the agreement with the CEO.</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Principles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a formal Compensation Governance Framework which, at the core, consists of a Compensation Committee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The Charter outlines the responsibilities and duties of the members, sets forth the frequency of meetings and establishes and reviews the overall compensation philosophy of the Company. The Compensation Committee reviews and approves the executive compensation program for the Chief Executive Officer and other executive officers and makes appropriate recommendations to the Board of Directors.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11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assesses the appropriateness of the nature and amount of compensation of our executives by reference to relevant employment market conditions with the overall objective of ensuring maximum stakeholder benefit from the recruitment and retention of a high-quality board and executive team.</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Additionally, the Compensation Committee is responsible for evaluating the performance of the Company’s key senior executives. Our Chief Executive Officer and other members of management regularly discuss our compensation issues with Compensation Committee members. Subject to Compensation Committee review, modification and approval, our Chief Executive Officer typically makes recommendations regarding bonuses and equity incentive awards for the other members of the executive management team. The Compensation Committee establishes all bonus and equity incentive awards for all executive members of the management team.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Resignation, Retirement, Termination for Cause, or Resignation without Good Reason Arrangements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or plans in place for the named executive officers that would provide additional compensation in connection with a resignation, retirement, termination for cause, or resignation without good reason.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Potential Payments upon Involuntary Termination, Resignation without Good Reason or Change-In-Control</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employment agreements provide for the following severance payments upon termination by us without cause or by the employee for good reason (as defined in the particular employment agreement): (i) payment of the employee’s then-current base salary for a period of nine months (in the case of COO and CFO) or twelve months (in the case of the CEO),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any unpaid vacation, and (iii) any unpaid expense reimbursements due and owing. Payment in each case is subject to the employee’s, or representative’s execution of a release.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2021 (in US dollars).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bottom w:val="single" w:sz="8" w:color="auto"/>
            </w:tcBorders>
            <w:gridSpan w:val="3"/>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3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w:t>
            </w:r>
          </w:p>
        </w:tc>
        <w:tc>
          <w:tcPr>
            <w:tcW w:w="164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 vested</w:t>
            </w: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300" w:type="dxa"/>
            <w:vAlign w:val="bottom"/>
          </w:tcPr>
          <w:p>
            <w:pPr>
              <w:spacing w:after="0"/>
              <w:rPr>
                <w:sz w:val="12"/>
                <w:szCs w:val="12"/>
                <w:color w:val="auto"/>
              </w:rPr>
            </w:pPr>
          </w:p>
        </w:tc>
        <w:tc>
          <w:tcPr>
            <w:tcW w:w="12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6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Michael Perry*,</w:t>
            </w:r>
          </w:p>
        </w:tc>
        <w:tc>
          <w:tcPr>
            <w:tcW w:w="3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150,000</w:t>
            </w:r>
          </w:p>
        </w:tc>
        <w:tc>
          <w:tcPr>
            <w:tcW w:w="1100" w:type="dxa"/>
            <w:vAlign w:val="bottom"/>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5.99</w:t>
            </w:r>
          </w:p>
        </w:tc>
        <w:tc>
          <w:tcPr>
            <w:tcW w:w="144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11/30/2028</w:t>
            </w:r>
          </w:p>
        </w:tc>
        <w:tc>
          <w:tcPr>
            <w:tcW w:w="11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71,260</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853,695</w:t>
            </w:r>
          </w:p>
        </w:tc>
        <w:tc>
          <w:tcPr>
            <w:tcW w:w="0" w:type="dxa"/>
            <w:vAlign w:val="bottom"/>
          </w:tcPr>
          <w:p>
            <w:pPr>
              <w:spacing w:after="0"/>
              <w:rPr>
                <w:sz w:val="1"/>
                <w:szCs w:val="1"/>
                <w:color w:val="auto"/>
              </w:rPr>
            </w:pPr>
          </w:p>
        </w:tc>
      </w:tr>
      <w:tr>
        <w:trPr>
          <w:trHeight w:val="126"/>
        </w:trPr>
        <w:tc>
          <w:tcPr>
            <w:tcW w:w="3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3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3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(3)</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$ 12.18</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12/22/2031</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95,280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1,141,454</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Michael Holder,</w:t>
            </w:r>
          </w:p>
        </w:tc>
        <w:tc>
          <w:tcPr>
            <w:tcW w:w="320" w:type="dxa"/>
            <w:vAlign w:val="bottom"/>
          </w:tcPr>
          <w:p>
            <w:pPr>
              <w:spacing w:after="0"/>
              <w:rPr>
                <w:sz w:val="17"/>
                <w:szCs w:val="17"/>
                <w:color w:val="auto"/>
              </w:rPr>
            </w:pPr>
          </w:p>
        </w:tc>
        <w:tc>
          <w:tcPr>
            <w:tcW w:w="920" w:type="dxa"/>
            <w:vAlign w:val="bottom"/>
          </w:tcPr>
          <w:p>
            <w:pPr>
              <w:jc w:val="right"/>
              <w:ind w:right="199"/>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37,500</w:t>
            </w:r>
          </w:p>
        </w:tc>
        <w:tc>
          <w:tcPr>
            <w:tcW w:w="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$ 22.25</w:t>
            </w:r>
          </w:p>
        </w:tc>
        <w:tc>
          <w:tcPr>
            <w:tcW w:w="144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3/22/2031</w:t>
            </w:r>
          </w:p>
        </w:tc>
        <w:tc>
          <w:tcPr>
            <w:tcW w:w="1140" w:type="dxa"/>
            <w:vAlign w:val="bottom"/>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10,500</w:t>
            </w: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125,790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14,063</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98,437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$ 19.91</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5/11/2031</w:t>
            </w:r>
          </w:p>
        </w:tc>
        <w:tc>
          <w:tcPr>
            <w:tcW w:w="11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tcPr>
          <w:p>
            <w:pPr>
              <w:spacing w:after="0"/>
              <w:rPr>
                <w:sz w:val="20"/>
                <w:szCs w:val="20"/>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6,925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$ 20.21</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7/6/2031</w:t>
            </w:r>
          </w:p>
        </w:tc>
        <w:tc>
          <w:tcPr>
            <w:tcW w:w="11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Kathy McGee,</w:t>
            </w:r>
          </w:p>
        </w:tc>
        <w:tc>
          <w:tcPr>
            <w:tcW w:w="3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9,500</w:t>
            </w:r>
          </w:p>
        </w:tc>
        <w:tc>
          <w:tcPr>
            <w:tcW w:w="110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118,500</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$ 21.88</w:t>
            </w:r>
          </w:p>
        </w:tc>
        <w:tc>
          <w:tcPr>
            <w:tcW w:w="144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3/4/2031</w:t>
            </w:r>
          </w:p>
        </w:tc>
        <w:tc>
          <w:tcPr>
            <w:tcW w:w="11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125,790</w:t>
            </w:r>
          </w:p>
        </w:tc>
        <w:tc>
          <w:tcPr>
            <w:tcW w:w="0" w:type="dxa"/>
            <w:vAlign w:val="bottom"/>
          </w:tcPr>
          <w:p>
            <w:pPr>
              <w:spacing w:after="0"/>
              <w:rPr>
                <w:sz w:val="1"/>
                <w:szCs w:val="1"/>
                <w:color w:val="auto"/>
              </w:rPr>
            </w:pPr>
          </w:p>
        </w:tc>
      </w:tr>
      <w:tr>
        <w:trPr>
          <w:trHeight w:val="126"/>
        </w:trPr>
        <w:tc>
          <w:tcPr>
            <w:tcW w:w="3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3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3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$ 20.21</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7/6/2031</w:t>
            </w:r>
          </w:p>
        </w:tc>
        <w:tc>
          <w:tcPr>
            <w:tcW w:w="11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Perry ceased to be the President and CEO of the Company effective as of September 28, 2022</w:t>
      </w:r>
    </w:p>
    <w:p>
      <w:pPr>
        <w:spacing w:after="0" w:line="27" w:lineRule="exact"/>
        <w:rPr>
          <w:sz w:val="20"/>
          <w:szCs w:val="20"/>
          <w:color w:val="auto"/>
        </w:rPr>
      </w:pPr>
    </w:p>
    <w:p>
      <w:pPr>
        <w:ind w:left="540" w:right="96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calculated by multiplying the closing price of the Company’s shares of common stock on NASDAQ as of December 31, 2021, by the number of shares or units of stock awards.</w:t>
      </w: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range of exercise price and expiration dates as options were granted on different dates throughout their tenure.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2021, stockholders approved the equivalent of 150,480 long term incentives that vest over tenure and performance metrics.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non-employee director who served on our board during the transition period ended December 31, 2021 (in US dollars). We do not provide separate compensation to our executive directors, such as Dr. Michael Perry, who served as our Chief Executive Officer during the transition period ended December 21,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08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3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Non-Executive Directors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 Panaccio – Chairman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54,207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5,421</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$131,325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Curnock Cook</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112,249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 Drapeau</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122,259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Crowe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4,262</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118,578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 Corbett*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158,645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256,323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Reed</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158,645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258,198</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Non-Executive Directors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272,939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529,222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187,088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998,932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740" w:hanging="224"/>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was appointed President and CEO of the Company effective as of September 28, 2022. The awards mentioned above reflect his compensation as a Non-Executive Director.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AMENDMENT OF COMPANY’S CERTIFICATE OF INCORPORATION AND AMENDED AND RESTATED BYLAWS TO REDUCE THE QUORUM REQUIREMENT FOR STOCKHOLDER MEETINGS</w:t>
      </w:r>
    </w:p>
    <w:p>
      <w:pPr>
        <w:spacing w:after="0" w:line="15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Proposal No. 3 seeks the approval of stockholders to an amendment to our Certificate of Incorporation (the “Certificate”) and an amendment to our Amended and Restated Bylaws (the “Bylaws”) for the purpose of reducing the quorum requirement for the Company’s stockholder meetings. The Board has determined that it is in the Company’s and our stockholders’ best interests to amend the Certificate (the “Certificate Amendment”) and the Bylaws (the “Bylaws Amendment”) to reduce the quorum requirement for stockholder meetings from a majority of the outstanding voting securities of the Company (the “Current Quorum”) to one-third (33 1/3%) of the outstanding voting securities of the Company (the “Proposed Quorum”). The Board has adopted and declared advisable the Certificate Amendment and the Bylaws Amendment, both of which amendments are necessary in order to implement the Proposed Quorum, subject to stockholder approval.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texts of the proposed Certificate Amendment and Bylaws Amendment are included as </w:t>
      </w:r>
      <w:r>
        <w:rPr>
          <w:rFonts w:ascii="Times New Roman" w:cs="Times New Roman" w:eastAsia="Times New Roman" w:hAnsi="Times New Roman"/>
          <w:sz w:val="18"/>
          <w:szCs w:val="18"/>
          <w:u w:val="single" w:color="auto"/>
          <w:color w:val="auto"/>
        </w:rPr>
        <w:t>Annexes A and B</w:t>
      </w:r>
      <w:r>
        <w:rPr>
          <w:rFonts w:ascii="Times New Roman" w:cs="Times New Roman" w:eastAsia="Times New Roman" w:hAnsi="Times New Roman"/>
          <w:sz w:val="18"/>
          <w:szCs w:val="18"/>
          <w:color w:val="auto"/>
        </w:rPr>
        <w:t xml:space="preserve"> to this Proxy Statement.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quorum is the minimum number of stockholders who must be present in person or by proxy at a stockholders meeting in order for that meeting to be validly held. It is a requirement under Delaware law that a company specify its quorum for its stockholder meetings by defining the proportion of the voting power that constitutes a quorum in its articles of incorporation or bylaws.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Certificate and our Bylaws provide that the current quorum for a meeting of the Company’s stockholders is a majority of the combined voting power of the Company’s capital stock issued and outstanding and entitled to vote at a meeting, present in person or represented by proxy.</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Delaware law and the NASDAQ Marketplace Rules the minimum quorum requirement is 33 1/3%. The ASX Listing Rules do not stipulate a minimum quorum requirement, however companies that are listed on the ASX commonly have a minimum quorum of between two and five stockholders present in person or by proxy and entitled to vote on a resolution at the meeting. Our Current Quorum is above the minimum quorum requirement under Delaware law and reflects market practice for listed companies in the United States, although it is much higher than the typical quorum for companies that are listed on the ASX.</w:t>
      </w:r>
    </w:p>
    <w:p>
      <w:pPr>
        <w:spacing w:after="0" w:line="183"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Company’s predecessor, AVITA Medical Pty Limited (“Avita Australia”), was listed on the ASX and on NASDAQ prior to the AVITA group’s redomiciliation to the United States in 2020 (“Redomiciliation”). The quorum for meetings of Avita Australia’s members prior to the Redomiciliation was a minimum of three stockholders present in person or by proxy. Following the Redomiciliation, the Company became the parent company of the AVITA group and was listed on NASDAQ and the ASX with the Current Quorum in place under the Certificate and the Bylaws.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the Company’s primary listing is now on NASDAQ, it is cross listed on ASX and the majority of the Company’s voting power is represented by CDIs held through the ASX, with 40% of the Company’s voting power represented by shares of common stock on NASDAQ and 60% of the Company’s voting power represented by common stock underlying CDIs on ASX as of September 25, 2022. As has been noted in this Proxy Statement, CDI holders may only vote their CDIs by providing a completed CDI Voting Instruction Form under which CHESS Depositary Nominees may vote on their behalf at the stockholder meeting.</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Since the Redomiciliation and the adoption of our Current Quorum, we have had difficulties reaching our Current Quorum for our stockholder meetings in a timely manner. We did not achieve our Current Quorum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originally scheduled meeting dates for both our 2020 Annual Meeting and our 2021 Annual Meeting, which in both instances resulted in us adjourning the respective meeting for approximately one week to allow us to solicit further proxies and CDI Voting Instruction Forms from our stockholders in order to reach the Current Quorum and validly hold the respective Annual Meeting. At both the 2020 Annual Meeting and 2021 Annual Meeting, only approximately 35% of CDI holders voted by submitting their CDI Voting Instructions Forms prior to the date of the respective meeting.</w:t>
      </w:r>
    </w:p>
    <w:p>
      <w:pPr>
        <w:spacing w:after="0" w:line="16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adjournments of our 2020 Annual Meeting and 2021 Annual Meeting due to the Current Quorum not being met resulted in disruption to the Company’s business and also the incurrence of significant additional costs, including additional payments to our share registries, virtual meeting hosts and our proxy solicitors.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Certificate Amendment and Bylaws Amendment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above, the Board has formed the view that a reduction in the Company’s quorum for any future stockholder meetings from the Current Quorum to the Proposed Quorum, and the Certificate Amendment and Bylaws Amendment to make this change, is in the best interests of the Company and its stockholders, because the adoption of the Proposed Quorum by making the Certificate Amendment and Bylaws Amendment:</w:t>
      </w:r>
    </w:p>
    <w:p>
      <w:pPr>
        <w:spacing w:after="0" w:line="81" w:lineRule="exact"/>
        <w:rPr>
          <w:sz w:val="20"/>
          <w:szCs w:val="20"/>
          <w:color w:val="auto"/>
        </w:rPr>
      </w:pPr>
    </w:p>
    <w:p>
      <w:pPr>
        <w:ind w:left="1080" w:right="1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markedly reduce the risk of the Company failing to achieve the required quorum for any stockholder meetings, which failure has at recent Annual Meetings required the Company to adjourn such meetings and caused it to incur as a result additional costs and suffer disruptions to its business;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high enough to ensure that a broad range of stockholders are present at a stockholder meeting in person or by proxy.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Accordingly, the Board has adopted and declared advisable the Certificate Amendment and Bylaws Amendment, subject to stockholder approval.</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text of the proposed Certificate Amendment and Bylaws Amendment is included as </w:t>
      </w:r>
      <w:r>
        <w:rPr>
          <w:rFonts w:ascii="Times New Roman" w:cs="Times New Roman" w:eastAsia="Times New Roman" w:hAnsi="Times New Roman"/>
          <w:sz w:val="18"/>
          <w:szCs w:val="18"/>
          <w:u w:val="single" w:color="auto"/>
          <w:color w:val="auto"/>
        </w:rPr>
        <w:t>Annexes A and B</w:t>
      </w:r>
      <w:r>
        <w:rPr>
          <w:rFonts w:ascii="Times New Roman" w:cs="Times New Roman" w:eastAsia="Times New Roman" w:hAnsi="Times New Roman"/>
          <w:sz w:val="18"/>
          <w:szCs w:val="18"/>
          <w:color w:val="auto"/>
        </w:rPr>
        <w:t xml:space="preserve"> to this Proxy Statement.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Approval of this Proposal No. 3 requires the majority of the outstanding voting securities of the Company entitled to vote thereon to vote in favor of the proposal, which is the vote required to amend the Certificate under Delaware law. Abstentions and broker non-votes will have the same effect as votes “AGAINST” this Proposal.</w:t>
      </w:r>
    </w:p>
    <w:p>
      <w:pPr>
        <w:spacing w:after="0" w:line="17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amendments to the Certificate and the Bylaws to reduce the quorum requirement for stockholder meetings from a majority of the outstanding voting securities of the Company to one-third (33 1/3%) of the outstanding voting securities of the Company.</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No’s 4 – 7</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APPROVAL OF THE GRANT OF OPTIONS AND RESTRICTED STOCK UNITS TO NON-EXECUTIVE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Proposal No’s 4 – 7 (inclusive) seek the approval of stockholders under ASX Listing Rule 10.11 for the grant of both restricted stock units (“RSUs”) and options to acquire shares of common stock (or if so elected, CDIs) of the Company to certain of the Company’s non-executive directors (“NED Securities”) to the value set out in Table 1 below. An RSU is a “restricted stock unit”, which is an unfunded and unsecured contractual entitlement to be issued or transferred a share of common stock in the Company for each RSU on a future date (after the vesting of the relevant RSU entitlement). Each RSU on vesting will entitle the relevant non-executive director to be issued one fully paid share of common stock of the Company for no monetary consideration. Each option on vesting and payment of the applicable exercise price by the non-executive director (being the closing price of the Company’s shares of common stock on NASDAQ on the date on which the options are granted) will entitle the relevant non-executive director to be issued one fully paid share of common stock of the Company. On vesting of an RSU or option, the non-executive director may (except where a cashless exercise program is implemented in respect of the relevant option) elect to acquire CDIs in place of common stock of the Company with five CDIs being equal to one share of common stock of the Company.</w:t>
      </w:r>
    </w:p>
    <w:p>
      <w:pPr>
        <w:spacing w:after="0" w:line="194"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In 2021, the Board engaged Compensia, a premier independent compensation advisory firm with a focus on technology and life sciences companies in the U.S., to complete a detailed review of the Company’s compensation arrangements for non-executive directors to ensure that the Company’s compensation practices are competitive and aligned with U.S. compensation practices. Alignment with U.S. compensation practices has become increasingly important following the Company’s redomiciliation from Australia to the U.S., and its predominant focus on U.S. markets for its FDA approved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w:t>
      </w:r>
    </w:p>
    <w:p>
      <w:pPr>
        <w:spacing w:after="0" w:line="52"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8"/>
          <w:szCs w:val="18"/>
          <w:color w:val="auto"/>
        </w:rPr>
        <w:t>For the analysis, Compensia developed a peer group of 20 U.S. based public companies of similar size, industry, revenue, and market cap, using a rules-based approach. They provided recommendations in relation to non-executive director annual fees against competitive market data. The Company’s Compensation Committee has based the proposed grant of the NED Securities to the non-executive directors set out in Table 1 below at just above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board equity compensation compared with peer data as per Compensia’s analysis.</w:t>
      </w:r>
    </w:p>
    <w:p>
      <w:pPr>
        <w:spacing w:after="0" w:line="4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is of the view that the grant of the NED Securities to the below named non-executive directors is a reasonable and appropriate method to provide cost effective remuneration to the relevant non-executive directors as the non-cash form of this remuneration will allow the Company to spend a greater proportion of its cash reserves on its operations than it would if alternative cash forms of remuneration were required to be provided to the relevant non-executive directors instead of the NED Securities.</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Consistent with common U.S. company non-executive director annual equity remuneration practices as reported by Compensia in their 2021 report, Table 1 below reflects the NED Securities proposed to be granted to the named non-executive director in respect of the fiscal year ending December 31, 2022. The material terms of the NED Securities are set out below under the heading “Material terms of the NED Security Agreements”. Table 2 below provides illustrative examples (only) of the number of RSUs and options that may be granted to the non-executive directors based on a range of possible scenarios. It is important to note that the number of RSUs and options that will actually be granted to each relevant non-executive director will not, however, be known until the actual date of grant of the RSUs and options, which is likely to be the date of the Annual Meeting (or shortly thereafter) if the proposed grant to the relevant non-executive director is approved at the Annual Meeting.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1: NED Securities proposed to be granted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Set out below are details of the NED Securities proposed to be granted to the non-executive directors if approved under Proposal No’s 4 – 7.</w:t>
      </w:r>
    </w:p>
    <w:p>
      <w:pPr>
        <w:sectPr>
          <w:pgSz w:w="11900" w:h="16838" w:orient="portrait"/>
          <w:cols w:equalWidth="0" w:num="1">
            <w:col w:w="11140"/>
          </w:cols>
          <w:pgMar w:left="320" w:top="455" w:right="439" w:bottom="1440" w:gutter="0" w:footer="0" w:header="0"/>
        </w:sect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Non-executive</w:t>
            </w:r>
          </w:p>
        </w:tc>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options to be granted</w:t>
            </w:r>
          </w:p>
        </w:tc>
        <w:tc>
          <w:tcPr>
            <w:tcW w:w="0" w:type="dxa"/>
            <w:vAlign w:val="bottom"/>
          </w:tcPr>
          <w:p>
            <w:pPr>
              <w:spacing w:after="0"/>
              <w:rPr>
                <w:sz w:val="1"/>
                <w:szCs w:val="1"/>
                <w:color w:val="auto"/>
              </w:rPr>
            </w:pPr>
          </w:p>
        </w:tc>
      </w:tr>
      <w:tr>
        <w:trPr>
          <w:trHeight w:val="19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320" w:type="dxa"/>
            <w:vAlign w:val="bottom"/>
          </w:tcPr>
          <w:p>
            <w:pPr>
              <w:spacing w:after="0"/>
              <w:rPr>
                <w:sz w:val="16"/>
                <w:szCs w:val="16"/>
                <w:color w:val="auto"/>
              </w:rPr>
            </w:pPr>
          </w:p>
        </w:tc>
        <w:tc>
          <w:tcPr>
            <w:tcW w:w="5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Louis Panaccio</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line="185" w:lineRule="exact"/>
              <w:rPr>
                <w:sz w:val="20"/>
                <w:szCs w:val="20"/>
                <w:color w:val="auto"/>
              </w:rPr>
            </w:pPr>
            <w:r>
              <w:rPr>
                <w:rFonts w:ascii="Times New Roman" w:cs="Times New Roman" w:eastAsia="Times New Roman" w:hAnsi="Times New Roman"/>
                <w:sz w:val="15"/>
                <w:szCs w:val="15"/>
                <w:color w:val="auto"/>
              </w:rPr>
              <w:t> RSUs to acquire shares of common stock</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Note: Mr. Panaccio may elect to acquire CDIs in place of common stock,</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Note: Professor Crowe may elect to acquire CDIs in place of common stock,</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Note: Mr. Curnock Cook may elect to acquire CDIs in place of common stock,</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340" w:right="300"/>
        <w:spacing w:after="0" w:line="284" w:lineRule="auto"/>
        <w:rPr>
          <w:sz w:val="20"/>
          <w:szCs w:val="20"/>
          <w:color w:val="auto"/>
        </w:rPr>
      </w:pPr>
      <w:r>
        <w:rPr>
          <w:rFonts w:ascii="Times New Roman" w:cs="Times New Roman" w:eastAsia="Times New Roman" w:hAnsi="Times New Roman"/>
          <w:sz w:val="18"/>
          <w:szCs w:val="18"/>
          <w:i w:val="1"/>
          <w:iCs w:val="1"/>
          <w:color w:val="auto"/>
        </w:rPr>
        <w:t>Note: Ms. Reed may elect to acquire CDIs in place of common stock, where five CDIs are equal to one share of common stock</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r>
        <w:trPr>
          <w:trHeight w:val="54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r>
        <w:trPr>
          <w:trHeight w:val="54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r>
        <w:trPr>
          <w:trHeight w:val="54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359" w:lineRule="exact"/>
        <w:rPr>
          <w:sz w:val="20"/>
          <w:szCs w:val="20"/>
          <w:color w:val="auto"/>
        </w:rPr>
      </w:pPr>
    </w:p>
    <w:p>
      <w:pPr>
        <w:sectPr>
          <w:pgSz w:w="11900" w:h="16838" w:orient="portrait"/>
          <w:cols w:equalWidth="0" w:num="2">
            <w:col w:w="8060" w:space="200"/>
            <w:col w:w="2880"/>
          </w:cols>
          <w:pgMar w:left="320" w:top="455" w:right="439" w:bottom="1440" w:gutter="0" w:footer="0" w:header="0"/>
          <w:type w:val="continuous"/>
        </w:sectPr>
      </w:pPr>
    </w:p>
    <w:p>
      <w:pPr>
        <w:spacing w:after="0" w:line="1" w:lineRule="exact"/>
        <w:rPr>
          <w:sz w:val="20"/>
          <w:szCs w:val="20"/>
          <w:color w:val="auto"/>
        </w:rPr>
      </w:pPr>
    </w:p>
    <w:p>
      <w:pPr>
        <w:ind w:left="660" w:right="200" w:hanging="544"/>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an RSU, the holder will be entitled to be issued the relevant number of shares of common stock (or CDIs) of the Company without the payment of any cash or other form of consideration.</w:t>
      </w:r>
    </w:p>
    <w:p>
      <w:pPr>
        <w:ind w:left="660" w:right="360" w:hanging="544"/>
        <w:spacing w:after="0" w:line="290"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the subject of the option will be the closing price of the Company’s shares of common stock on NASDAQ on the date on which the options are granted which will be the date of the Annual Meeting or shortly thereafter.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noted above, it is proposed that, subject to stockholder approval at the Annual Meeting, each of the above mentioned non-executive directors will be granted RSUs to acquire shares of common stock equal in value to US$87,500 (as at the date of the grant) and options to acquire shares of common stock equal in value to US$37,500 (as at the date of the grant).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number of NED Securities to be granted to each relevant non-executive directors on the date of grant will be determined in accordance with the following formulae:</w:t>
      </w:r>
    </w:p>
    <w:p>
      <w:pPr>
        <w:spacing w:after="0" w:line="266" w:lineRule="exact"/>
        <w:rPr>
          <w:sz w:val="20"/>
          <w:szCs w:val="20"/>
          <w:color w:val="auto"/>
        </w:rPr>
      </w:pPr>
    </w:p>
    <w:p>
      <w:pPr>
        <w:ind w:left="5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In respect of the RSUs:</w:t>
      </w:r>
      <w:r>
        <w:rPr>
          <w:sz w:val="20"/>
          <w:szCs w:val="20"/>
          <w:color w:val="auto"/>
        </w:rPr>
        <w:tab/>
      </w:r>
      <w:r>
        <w:rPr>
          <w:rFonts w:ascii="Times New Roman" w:cs="Times New Roman" w:eastAsia="Times New Roman" w:hAnsi="Times New Roman"/>
          <w:sz w:val="17"/>
          <w:szCs w:val="17"/>
          <w:color w:val="auto"/>
        </w:rPr>
        <w:t>R = A / B</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RSUs to be issued to the relevant non-executive director rounded down to the nearest whole RSU</w:t>
      </w:r>
    </w:p>
    <w:p>
      <w:pPr>
        <w:spacing w:after="0" w:line="131" w:lineRule="exact"/>
        <w:rPr>
          <w:sz w:val="20"/>
          <w:szCs w:val="20"/>
          <w:color w:val="auto"/>
        </w:rPr>
      </w:pPr>
    </w:p>
    <w:p>
      <w:pPr>
        <w:ind w:left="2080" w:hanging="533"/>
        <w:spacing w:after="0"/>
        <w:tabs>
          <w:tab w:leader="none" w:pos="2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US$87,500</w:t>
      </w:r>
    </w:p>
    <w:p>
      <w:pPr>
        <w:spacing w:after="0" w:line="131" w:lineRule="exact"/>
        <w:rPr>
          <w:sz w:val="20"/>
          <w:szCs w:val="20"/>
          <w:color w:val="auto"/>
        </w:rPr>
      </w:pPr>
    </w:p>
    <w:p>
      <w:pPr>
        <w:ind w:left="2080" w:hanging="533"/>
        <w:spacing w:after="0"/>
        <w:tabs>
          <w:tab w:leader="none" w:pos="2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RSUs</w:t>
      </w:r>
    </w:p>
    <w:p>
      <w:pPr>
        <w:spacing w:after="0" w:line="329" w:lineRule="exact"/>
        <w:rPr>
          <w:sz w:val="20"/>
          <w:szCs w:val="20"/>
          <w:color w:val="auto"/>
        </w:rPr>
      </w:pPr>
    </w:p>
    <w:p>
      <w:pPr>
        <w:ind w:left="560"/>
        <w:spacing w:after="0"/>
        <w:tabs>
          <w:tab w:leader="none" w:pos="2660" w:val="left"/>
        </w:tabs>
        <w:rPr>
          <w:sz w:val="20"/>
          <w:szCs w:val="20"/>
          <w:color w:val="auto"/>
        </w:rPr>
      </w:pPr>
      <w:r>
        <w:rPr>
          <w:rFonts w:ascii="Times New Roman" w:cs="Times New Roman" w:eastAsia="Times New Roman" w:hAnsi="Times New Roman"/>
          <w:sz w:val="18"/>
          <w:szCs w:val="18"/>
          <w:b w:val="1"/>
          <w:bCs w:val="1"/>
          <w:color w:val="auto"/>
        </w:rPr>
        <w:t>In respect of the options:</w:t>
      </w:r>
      <w:r>
        <w:rPr>
          <w:sz w:val="20"/>
          <w:szCs w:val="20"/>
          <w:color w:val="auto"/>
        </w:rPr>
        <w:tab/>
      </w:r>
      <w:r>
        <w:rPr>
          <w:rFonts w:ascii="Times New Roman" w:cs="Times New Roman" w:eastAsia="Times New Roman" w:hAnsi="Times New Roman"/>
          <w:sz w:val="17"/>
          <w:szCs w:val="17"/>
          <w:color w:val="auto"/>
        </w:rPr>
        <w:t>O = X / 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options to be issued to the relevant non-executive director rounded down to the nearest whole option</w:t>
      </w:r>
    </w:p>
    <w:p>
      <w:pPr>
        <w:spacing w:after="0" w:line="131" w:lineRule="exact"/>
        <w:rPr>
          <w:sz w:val="20"/>
          <w:szCs w:val="20"/>
          <w:color w:val="auto"/>
        </w:rPr>
      </w:pPr>
    </w:p>
    <w:p>
      <w:pPr>
        <w:ind w:left="2080" w:hanging="533"/>
        <w:spacing w:after="0"/>
        <w:tabs>
          <w:tab w:leader="none" w:pos="2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US$37,500</w:t>
      </w:r>
    </w:p>
    <w:p>
      <w:pPr>
        <w:spacing w:after="0" w:line="131" w:lineRule="exact"/>
        <w:rPr>
          <w:sz w:val="20"/>
          <w:szCs w:val="20"/>
          <w:color w:val="auto"/>
        </w:rPr>
      </w:pPr>
    </w:p>
    <w:p>
      <w:pPr>
        <w:ind w:left="2080" w:hanging="533"/>
        <w:spacing w:after="0"/>
        <w:tabs>
          <w:tab w:leader="none" w:pos="2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Illustrative examples (only) of how the number of RSUs and options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55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2558415"/>
                    </a:xfrm>
                    <a:prstGeom prst="rect">
                      <a:avLst/>
                    </a:prstGeom>
                    <a:noFill/>
                  </pic:spPr>
                </pic:pic>
              </a:graphicData>
            </a:graphic>
          </wp:anchor>
        </w:drawing>
      </w:r>
    </w:p>
    <w:p>
      <w:pPr>
        <w:spacing w:after="0" w:line="16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Set out below are example calculations, for illustrative purposes (only), of how the number of NED Securities to be granted to a non-executive director will be calculated by applying the above formulae. These examples have been calculated by reference to the lowest closing price of the Company’s common stock and highest closing price of the Company’s common stock on NASDAQ over the 6-month period to August 31, 2022.</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It is important that stockholders note that the below calculations are examples only and the number of NED Securities that will actually be granted will be calculated on the basis of the closing price of the Company’s shares of common stock on NASDAQ on the date on which the relevant non-executive directors are granted their NED Securities, which will be the date of the Annual Meeting or shortly thereafter. As a result, the number of NED Securities actually granted to each relevant non-executive director may vary materially from the examples set out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 – Lowest closing price on NASDAQ over 6-month period to August 31, 2022:</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on the date of the lowest closing price of the Company’s common stock on NASDAQ over the 6-month period to August 31, 2022, the number of NED Securities to be granted to that non-executive director would, by applying the abovementioned formulae, be as follows: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9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29006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100" w:hanging="431"/>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US$4.60, being the lowest closing price of the Company’s common stock on NASDAQ over the 6-month period to August 31, 2022</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19,021 RSUs to acquire 19,021 shares of common stock (or 95,105 CDIs if so elected) (being the result of dividing A by B)</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US$4.60, being the lowest closing price of the Company’s common stock on NASDAQ over the 6-month period to August 31, 2022</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8,152 RSUs to acquire 8,152 shares of common stock (or 40,760 CDIs if so elected) (being the result of dividing X by 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2 – Highest closing price on NASDAQ over 6-month period to August 31, 2022:</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on (the date of the highest closing price of the Company’s common stock on NASDAQ over the 6-month period to August 31, 2022, the number of NED Securities to be granted to that non-executive director would, by applying the abovementioned formulae, be as follows: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US$10.57, being the highest closing price of the Company’s common stock on NASDAQ over the 6-month period to August 31, 2022</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8,278 RSUs to acquire 8,278 shares of common stock (or 41, 390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 US$10.57, being the highest closing price of the Company’s common stock on NASDAQ over the 6-month period to August 31, 2022</w:t>
      </w:r>
    </w:p>
    <w:p>
      <w:pPr>
        <w:spacing w:after="0" w:line="142" w:lineRule="exact"/>
        <w:rPr>
          <w:rFonts w:ascii="Times New Roman" w:cs="Times New Roman" w:eastAsia="Times New Roman" w:hAnsi="Times New Roman"/>
          <w:sz w:val="17"/>
          <w:szCs w:val="17"/>
          <w:color w:val="auto"/>
        </w:rPr>
      </w:pPr>
    </w:p>
    <w:p>
      <w:pPr>
        <w:ind w:left="1100" w:hanging="431"/>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3,547 RSUs to acquire 3,547 shares of common stock (or 17,735 CDIs if so elected) (being the result of dividing X by Y)</w:t>
      </w:r>
    </w:p>
    <w:p>
      <w:pPr>
        <w:spacing w:after="0" w:line="293"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If stockholder approval is obtained, the NED Securities proposed to be granted to each relevant non-executive director will be granted under and subject to the terms and conditions of a template RSU agreement (in respect of the RSUs) and a template option agreement (in respect of the options) to be entered into between the relevant non-executive director and the Company (“NED Security Agreements”), the terms of which are summarized below.</w:t>
      </w:r>
    </w:p>
    <w:p>
      <w:pPr>
        <w:spacing w:after="0" w:line="158"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Each of Proposal No’s 4 – 7 (inclusive) are separate Proposals to be considered by stockholders independently. In addition, Proposal No’s 4 – 7 (inclusive) are not interdependent Proposals, meaning that the approval of one Proposal will not impact the outcome of another Proposal (e.g., if Proposal No.4 is not approved, this does not impact the ability of Proposal No.5 to be approved). Accordingly, if only some of Proposal No’s 4 – 7 are approved by stockholders, those Proposals that are approved will remain valid even if certain of Proposal No’s 4 – 7 are not approved by stockholders.</w:t>
      </w:r>
    </w:p>
    <w:p>
      <w:pPr>
        <w:spacing w:after="0" w:line="164"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requirement to seek stockholder approval for the grant of the NED Securities is contained in ASX Listing Rule 10.11. ASX Listing Rule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10.11 provides that a company must not, subject to specified exceptions, issue or agree to issue any equity securities to a related party, which includes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director, without stockholder approval. If stockholder approval in relation to Proposal No’s 4 – 7 is received, approval is not required under ASX Listing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7.1 and the subsequent issue of the shares of common stock (or CDIs) the subject of the options and RSUs will not be counted towards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15% placement capacity restriction set out in ASX Listing Rule 7.1.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NED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noted above, the Board is also of the view that the grant of the NED Securities to the above 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NED Security Agreements</w:t>
      </w:r>
    </w:p>
    <w:p>
      <w:pPr>
        <w:spacing w:after="0" w:line="121"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value, vesting schedules and other terms of the RSUs and options noted in the tables above, the following is a summary of other material terms of the NED Security Agreements.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29"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options.</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the subject of the option will be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shares of common stock on NASDAQ on the date on which the option is granted.</w:t>
      </w:r>
    </w:p>
    <w:p>
      <w:pPr>
        <w:spacing w:after="0" w:line="63"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Each non-executive director may pay the applicable exercise price by personal check (or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87" w:lineRule="exact"/>
        <w:rPr>
          <w:rFonts w:ascii="Times New Roman" w:cs="Times New Roman" w:eastAsia="Times New Roman" w:hAnsi="Times New Roman"/>
          <w:sz w:val="18"/>
          <w:szCs w:val="18"/>
          <w:color w:val="auto"/>
        </w:rPr>
      </w:pPr>
    </w:p>
    <w:p>
      <w:pPr>
        <w:ind w:left="1080" w:right="100" w:hanging="532"/>
        <w:spacing w:after="0" w:line="28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the non-executive director.</w:t>
      </w:r>
    </w:p>
    <w:p>
      <w:pPr>
        <w:spacing w:after="0" w:line="63" w:lineRule="exact"/>
        <w:rPr>
          <w:rFonts w:ascii="Times New Roman" w:cs="Times New Roman" w:eastAsia="Times New Roman" w:hAnsi="Times New Roman"/>
          <w:sz w:val="18"/>
          <w:szCs w:val="18"/>
          <w:color w:val="auto"/>
        </w:rPr>
      </w:pPr>
    </w:p>
    <w:p>
      <w:pPr>
        <w:ind w:left="1080" w:right="280" w:hanging="532"/>
        <w:spacing w:after="0" w:line="28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options (which are entirely time based) are set out in Table 1 above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non-executive director. Once an option has vested it may be exercised at any time during the option term applicable to it.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160" w:hanging="532"/>
        <w:spacing w:after="0" w:line="261"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options will expire at the close of business at the Company’s headquarters on the applicable expiration date (being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85" w:lineRule="exact"/>
        <w:rPr>
          <w:rFonts w:ascii="Times New Roman" w:cs="Times New Roman" w:eastAsia="Times New Roman" w:hAnsi="Times New Roman"/>
          <w:sz w:val="18"/>
          <w:szCs w:val="18"/>
          <w:color w:val="auto"/>
        </w:rPr>
      </w:pPr>
    </w:p>
    <w:p>
      <w:pPr>
        <w:ind w:left="1080" w:right="120" w:hanging="532"/>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 ceases to be a director of the Company prior to the relevant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6" w:lineRule="exact"/>
        <w:rPr>
          <w:rFonts w:ascii="Times New Roman" w:cs="Times New Roman" w:eastAsia="Times New Roman" w:hAnsi="Times New Roman"/>
          <w:sz w:val="18"/>
          <w:szCs w:val="18"/>
          <w:color w:val="auto"/>
        </w:rPr>
      </w:pPr>
    </w:p>
    <w:p>
      <w:pPr>
        <w:ind w:left="110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90"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87"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option granted to each non-executive director under the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option may be exercised at any one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60" w:hanging="532"/>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option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RSU Agreements</w:t>
      </w:r>
    </w:p>
    <w:p>
      <w:pPr>
        <w:spacing w:after="0" w:line="129"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RSUs.</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RSUs (which are entirely time based) are set out in Table 1 above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non-executive director (as applicable). The Company will issue to the non-executive director shares of common stock (or CDIs) on or as soon as administratively practical (and within 20 business days in accordance with the terms of the RSU Agreement) following the relevant vesting date of the RSUs.</w:t>
      </w:r>
    </w:p>
    <w:p>
      <w:pPr>
        <w:spacing w:after="0" w:line="85" w:lineRule="exact"/>
        <w:rPr>
          <w:rFonts w:ascii="Times New Roman" w:cs="Times New Roman" w:eastAsia="Times New Roman" w:hAnsi="Times New Roman"/>
          <w:sz w:val="18"/>
          <w:szCs w:val="18"/>
          <w:color w:val="auto"/>
        </w:rPr>
      </w:pPr>
    </w:p>
    <w:p>
      <w:pPr>
        <w:ind w:left="1080" w:right="20" w:hanging="532"/>
        <w:spacing w:after="0" w:line="26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director’s continuous service as a non-executive director of the Company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78"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w:t>
      </w:r>
    </w:p>
    <w:p>
      <w:pPr>
        <w:spacing w:after="0" w:line="97" w:lineRule="exact"/>
        <w:rPr>
          <w:rFonts w:ascii="Times New Roman" w:cs="Times New Roman" w:eastAsia="Times New Roman" w:hAnsi="Times New Roman"/>
          <w:sz w:val="18"/>
          <w:szCs w:val="18"/>
          <w:color w:val="auto"/>
        </w:rPr>
      </w:pPr>
    </w:p>
    <w:p>
      <w:pPr>
        <w:ind w:left="1080" w:right="300" w:hanging="532"/>
        <w:spacing w:after="0" w:line="26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RSU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RSUs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Certain US Federal Income Tax Consequences</w:t>
      </w:r>
    </w:p>
    <w:p>
      <w:pPr>
        <w:spacing w:after="0" w:line="11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this Proposal and not for award grantees,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US$1 million limitation on certain executive compensation under Section 162(m)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right="16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NED Securities are proposed to be granted to certain of the Company’s non-executive directors, namely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Louis Panaccio, Professor Suzanne Crowe, Mr. Jeremy Curnock Cook, and Ms. Jan Stern Reed.</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Each of Mr. Louis Panaccio, Professor Suzanne Crowe, Mr. Jeremy Curnock Cook, and Ms. Jan Stern 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directors of the Company, and therefore fall into the category under ASX Listing Rule 10.11.1.</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class of securities to be issued to each relevant non-executive director are set out above.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NED Securities to be issued will be calculated on the date of grant in accordance with the formulae set out above.</w:t>
      </w:r>
    </w:p>
    <w:p>
      <w:pPr>
        <w:spacing w:after="0" w:line="63"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under Proposal No’s 4 – 7 (inclusive) are the NED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comprising RSUs and options to acquire fully paid shares of common stock (which each relevant non-executive director may elect to receive as CDIs (where five CDIs are equal to one share of common stock) except in the case of a cashless exercise of an option). The material terms of the NED Securities are set out above.</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Any NED Securities to be granted to the relevant non-executive directors, if approved under Proposal No’s 4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will be granted on the date of the Annual Meeting or shortly thereafter (and no later than one month after the date of the Annual Meeting).</w:t>
      </w:r>
    </w:p>
    <w:p>
      <w:pPr>
        <w:spacing w:after="0" w:line="7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RSUs (or for the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CDIs) to be issued upon the vesting of the RSUs) or the options, other than the continued provision of non-executive directors services by the non-executive directors. In relation to the options, once vested, the relevant non-executive director will be required to pay the exercise price for the number of shares of common stock of the Company (which may be represented as CDIs) the subject of the options being exercised. The exercise price payable for each share of common stock to be issued under the option will be the closing price of the Company’s shares of common stock on NASDAQ on the date on which the option is granted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example, if the option was granted on October 4, 2022 (United States), the exercise price for each share of common stock to be issued under the option would be US$5.36, being the closing price of the Company’s shares of common stock on NASDAQ on October 4, 2022 (United States). Where a non-executive director elects to receive CDIs instead of shares of common stock, the total exercise price will remain the same however the non-executive director will receive five CDIs for each share of common stock that the director would have otherwise received.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0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As noted above, the purpose of the proposed grant of the NED Securities is to promote ownership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the relevant non-executive directors and to align their interests with stockholders by linking part of their compensation to the long-term success of the Company and its financial performance.</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The details of each relevant non-executive director’s current total remuneration package (in US dollars) is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below.</w:t>
      </w:r>
    </w:p>
    <w:p>
      <w:pPr>
        <w:spacing w:after="0" w:line="63" w:lineRule="exact"/>
        <w:rPr>
          <w:rFonts w:ascii="Times New Roman" w:cs="Times New Roman" w:eastAsia="Times New Roman" w:hAnsi="Times New Roman"/>
          <w:sz w:val="18"/>
          <w:szCs w:val="18"/>
          <w:color w:val="auto"/>
        </w:rPr>
      </w:pPr>
    </w:p>
    <w:p>
      <w:pPr>
        <w:ind w:left="1080" w:right="520" w:hanging="424"/>
        <w:spacing w:after="0" w:line="28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NED Securities are proposed to be granted in accordance with the terms and conditions of the 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Agreements. The material terms of the NED Security Agreements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Director’s Current Total Remuneration Table (in U.S. dollars):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00" w:type="dxa"/>
            <w:vAlign w:val="bottom"/>
            <w:vMerge w:val="restart"/>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70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21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12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Nominating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8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Member</w:t>
            </w:r>
          </w:p>
        </w:tc>
        <w:tc>
          <w:tcPr>
            <w:tcW w:w="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Chair</w:t>
            </w:r>
          </w:p>
        </w:tc>
        <w:tc>
          <w:tcPr>
            <w:tcW w:w="1380" w:type="dxa"/>
            <w:vAlign w:val="bottom"/>
            <w:gridSpan w:val="5"/>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Chair   Committee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right"/>
              <w:ind w:right="516"/>
              <w:spacing w:after="0" w:line="160" w:lineRule="exact"/>
              <w:rPr>
                <w:sz w:val="20"/>
                <w:szCs w:val="20"/>
                <w:color w:val="auto"/>
              </w:rPr>
            </w:pPr>
            <w:r>
              <w:rPr>
                <w:rFonts w:ascii="Times New Roman" w:cs="Times New Roman" w:eastAsia="Times New Roman" w:hAnsi="Times New Roman"/>
                <w:sz w:val="14"/>
                <w:szCs w:val="14"/>
                <w:b w:val="1"/>
                <w:bCs w:val="1"/>
                <w:color w:val="auto"/>
              </w:rPr>
              <w:t>Chair</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Committee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Chair</w:t>
            </w:r>
          </w:p>
        </w:tc>
        <w:tc>
          <w:tcPr>
            <w:tcW w:w="8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w:t>
            </w: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$70,000</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127,500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$70,000</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$70,000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$70,000</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Louis Panaccio, who abstains given his personal interest in Proposal No. 4) recommends that stockholders vote “FOR” Proposal No. 4.</w:t>
      </w:r>
    </w:p>
    <w:p>
      <w:pPr>
        <w:spacing w:after="0" w:line="155"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Professor Suzanne Crowe, who abstains given her personal interest in Proposal No. 5) recommends that stockholders vote “FOR” Proposal No. 5.</w:t>
      </w:r>
    </w:p>
    <w:p>
      <w:pPr>
        <w:spacing w:after="0" w:line="155"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Jeremy Curnock Cook, who abstains given his personal interest in Proposal No. 6) recommends that stockholders vote “FOR” Proposal No. 6.</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Ms. Jan Stern Reed, who abstains given her personal interest in Proposal No. 7) recommends that stockholders vote “FOR” Proposal No. 7.</w:t>
      </w:r>
    </w:p>
    <w:p>
      <w:pPr>
        <w:spacing w:after="0" w:line="15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noted above, Proposal No’s 4 – 7 (inclusive) are not interdependent Proposals. Accordingly, if only some of Proposal No’s 4 – 7 are approved by stockholders, those Proposals that are approved will remain valid even if certain of Proposal No’s 4 – 7 are not approved by stockholders. If this occurs, 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Approval of each of Proposal No’s 4 – 7 requires a number of “FOR” votes that is a majority of the votes cast by the Company’s stockholders present in person or represented by proxy at the Annual Meeting and entitled to vote on the relevant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will disregard any votes cast in favor of:</w:t>
      </w:r>
    </w:p>
    <w:p>
      <w:pPr>
        <w:spacing w:after="0" w:line="131" w:lineRule="exact"/>
        <w:rPr>
          <w:sz w:val="20"/>
          <w:szCs w:val="20"/>
          <w:color w:val="auto"/>
        </w:rPr>
      </w:pPr>
    </w:p>
    <w:p>
      <w:pPr>
        <w:ind w:left="1080" w:right="10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by on or behalf of Mr. Panaccio and any other person who will obtain a material benefit as a result of the issue of the securities under Proposal No. 4 (except a benefit solely by reason of being a holder of the Company’s shares of common stock (or CDI(s)) or their associates;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by or on behalf of Professor Crowe and any other person who will obtain a material benefit as a result of the issue of the securities under Proposal No. 5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6 by or on behalf of Mr. Curnock Cook and any other person who will obtain a material benefit as a result of the issue of the securities under Proposal No. 6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7 by or on behalf of Ms. Stern Reed and any other person who will obtain a material benefit as a result of the issue of the securities under Proposal No. 7 (except a benefit solely by reason of being a holder of the Company’s shares of common stock (or CDI(s)) or their associates;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any of the above Proposals by:</w:t>
      </w:r>
    </w:p>
    <w:p>
      <w:pPr>
        <w:spacing w:after="0" w:line="131" w:lineRule="exact"/>
        <w:rPr>
          <w:sz w:val="20"/>
          <w:szCs w:val="20"/>
          <w:color w:val="auto"/>
        </w:rPr>
      </w:pPr>
    </w:p>
    <w:p>
      <w:pPr>
        <w:ind w:left="1080" w:right="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relevant Proposal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8</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APPROVAL OF THE GRANT OF OPTIONS TO MR. JAMES CORBETT, PRESIDENT AND CEO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Mr. James Corbett was appointed as the Company’s President and CEO effective as of September 28, 2022 (United States) / September 29, 2022 (Australia) (“Appointment Date”). Mr. Corbett entered into an employment agreement with the Company effective as of the Appointment Date (“Employment Agreement”), under which it was agreed that the Company would issue an initial grant of options to Mr. Corbett equal in value to US$1,000,000, with an effective grant date of the Appointment Date, subject to the approval of the Company’s stockholders.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Proposal No. 8 seeks the approval of stockholders under ASX Listing Rule 10.11 for the issue of the initial grant of options to acquire shares of common stock (or, if so elected, CDIs) of the Company to Mr. Corbett (“CEO Options”) on the terms and conditions of an option agreement (“Option Agreement”) to be entered into between Mr. Corbett and the Company, the proposed terms of which are set out below. The number of CEO Options to be granted to Mr. Corbett under this Proposal No. 8 is 226,296 CEO Options, being calculated by dividing US$1,000,000 by the value of the CEO Options, which was determined using a conventional Black-Scholes Pricing Model (“BSPM”) (see further details below).</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option on vesting and payment of the applicable exercise price by Mr. Corbett (being the closing price of the Company’s shares of common stock on NASDAQ on the date on which the options are deemed to have been granted, being the Appointment Date) will entitle Mr. Corbett to be issued one fully paid share of common stock of the Company. Mr. Corbett may (except where a cashless exercise program is implemented in respect of the relevant option) elect to acquire CDIs in place of common stock of the Company with five CDIs being equal to one share of common stock of the Company.</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CEO Options will be issued under and subject to the terms of the Option Agreement, with an effective grant date of the Appointment Date. If stockholder approval is not obtained, the CEO Options will not be issued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Rules 10.11 and 10.12</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requirement to seek stockholder approval for the issue of the CEO Options is contained in ASX Listing Rule 10.11. ASX Listing Rule 10.11 provides that a company must not, subject to specified exceptions, issue or agree to issue any equity securities to a related party, which includes a director, without stockholder approval.</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exceptions to ASX Listing Rule 10.11 are set out in ASX Listing Rule 10.12. Relevantly, Exception 11 of ASX Listing Rule 10.12 provides that an agreement to issue securities that is conditional on the holders of the company’s ordinary securities approving the issue under ASX Listing Rule 10.11 before the issue is made is a permitted exception to ASX Listing Rule 10.11 (on the condition that the company does not issue the securities without obtaining such approval).</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Company’s agreement to issue the CEO Options to Mr. Corbett under the Employment Agreement falls within Exception 11 of ASX Listing Rule 10.12, because under the terms of that agreement the issue of the CEO Options is subject to the Company obtaining stockholder approval. Accordingly, the Company must obtain stockholder approval for the issue of the CEO Options under ASX Listing Rule 10.11 and the Company must not issue the CEO Options without such stockholder approval.</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stockholder approval in relation to this Proposal No. 8 is received, approval is not required under ASX Listing Rule 7.1 and the subsequent issue of the shares of common stock (or CDIs) the subject of the CEO Options will not be counted towards the Company’s 15% placement capacity restriction set out in ASX Listing Rule 7.1.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the CEO Options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noted above, Mr. Corbett was appointed as the Company’s President and CEO effective from September 28, 2022. The Board approved the grant of the CEO Options to Mr. Corbett (subject to stockholder approval) in order to incentivize Mr. Corbett in his new role as President and CEO of the Company and to promote the alignment of Mr. Corbett’s interests with the Company’s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CEO Options and vesting conditions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are details of the CEO Options proposed to be issued to Mr. Corbett if approved by stockholders under this Proposal No. 8.</w:t>
      </w:r>
    </w:p>
    <w:p>
      <w:pPr>
        <w:sectPr>
          <w:pgSz w:w="11900" w:h="16838" w:orient="portrait"/>
          <w:cols w:equalWidth="0" w:num="1">
            <w:col w:w="11120"/>
          </w:cols>
          <w:pgMar w:left="320" w:top="455" w:right="459" w:bottom="1440" w:gutter="0" w:footer="0" w:header="0"/>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Number of CEO Options to be issued</w:t>
      </w:r>
    </w:p>
    <w:p>
      <w:pPr>
        <w:spacing w:after="0" w:line="27" w:lineRule="exact"/>
        <w:rPr>
          <w:sz w:val="20"/>
          <w:szCs w:val="20"/>
          <w:color w:val="auto"/>
        </w:rPr>
      </w:pPr>
    </w:p>
    <w:p>
      <w:pPr>
        <w:jc w:val="both"/>
        <w:ind w:left="120" w:right="60"/>
        <w:spacing w:after="0" w:line="217" w:lineRule="auto"/>
        <w:rPr>
          <w:sz w:val="20"/>
          <w:szCs w:val="20"/>
          <w:color w:val="auto"/>
        </w:rPr>
      </w:pPr>
      <w:r>
        <w:rPr>
          <w:rFonts w:ascii="Times New Roman" w:cs="Times New Roman" w:eastAsia="Times New Roman" w:hAnsi="Times New Roman"/>
          <w:sz w:val="18"/>
          <w:szCs w:val="18"/>
          <w:color w:val="auto"/>
        </w:rPr>
        <w:t>Options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US$1,000,000 (as at the date of grant, being the Appointment Date).</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noted above, the number of CEO Options to be granted to Mr. Corbett under this Proposal No. 8 is 226,296 CEO Options, being calculated by dividing US$1,000,000 by the value of the CEO Options, which was determined using a conventional BSPM (see further details below).</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817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Tenure based—the CEO Options will vest on an annual basis over four years in equal instalments, subject to</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Mr. Corbett continuing to be employed with the Company, and may then be exercised (subject to the payment by Mr. Corbett of the exercise price)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with an expiration date of ten years from the grant date (being the Appointment Date)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Vesting date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54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Year 1: September 28, 2023 (United States) / September 29, 2023 (Australia) (25% of the CEO Options, being 56,574 CEO Options)</w:t>
      </w:r>
    </w:p>
    <w:p>
      <w:pPr>
        <w:spacing w:after="0" w:line="2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 2: September 28, 2024 (United States) / September 29, 2024 (Australia) (25% of the CEO Options, being 56,574 CEO Options)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 3: September 28, 2025 (United States) / September 29, 2025 (Australia) (25% of the CEO Options, being 56,574 CEO Options)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 4: September 28, 2026 (United States) / September 29, 2026 (Australia) (25% of the CEO Options, being 56,574 CEO Options)</w:t>
      </w:r>
    </w:p>
    <w:p>
      <w:pPr>
        <w:spacing w:after="0" w:line="144" w:lineRule="exact"/>
        <w:rPr>
          <w:sz w:val="20"/>
          <w:szCs w:val="20"/>
          <w:color w:val="auto"/>
        </w:rPr>
      </w:pPr>
    </w:p>
    <w:p>
      <w:pPr>
        <w:sectPr>
          <w:pgSz w:w="11900" w:h="16838" w:orient="portrait"/>
          <w:cols w:equalWidth="0" w:num="3">
            <w:col w:w="4700" w:space="280"/>
            <w:col w:w="2800" w:space="280"/>
            <w:col w:w="3060"/>
          </w:cols>
          <w:pgMar w:left="320" w:top="455" w:right="459" w:bottom="1440" w:gutter="0" w:footer="0" w:header="0"/>
          <w:type w:val="continuous"/>
        </w:sectPr>
      </w:pPr>
    </w:p>
    <w:p>
      <w:pPr>
        <w:ind w:left="540" w:hanging="424"/>
        <w:spacing w:after="0"/>
        <w:tabs>
          <w:tab w:leader="none" w:pos="540" w:val="left"/>
        </w:tabs>
        <w:numPr>
          <w:ilvl w:val="0"/>
          <w:numId w:val="59"/>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Note: Mr. Corbett may elect to acquire CDIs in place of common stock, where five CDIs are equal to one share of common stock</w:t>
      </w:r>
    </w:p>
    <w:p>
      <w:pPr>
        <w:spacing w:after="0" w:line="1" w:lineRule="exact"/>
        <w:rPr>
          <w:rFonts w:ascii="Times New Roman" w:cs="Times New Roman" w:eastAsia="Times New Roman" w:hAnsi="Times New Roman"/>
          <w:sz w:val="27"/>
          <w:szCs w:val="27"/>
          <w:i w:val="1"/>
          <w:iCs w:val="1"/>
          <w:color w:val="auto"/>
          <w:vertAlign w:val="superscript"/>
        </w:rPr>
      </w:pPr>
    </w:p>
    <w:p>
      <w:pPr>
        <w:ind w:left="540" w:hanging="424"/>
        <w:spacing w:after="0" w:line="214" w:lineRule="auto"/>
        <w:tabs>
          <w:tab w:leader="none" w:pos="54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Note: The exercise price payable for each share of common stock to be issued upon exercise of each CEO Option will be US $5.64, being the closing price of the Company’s shares of common stock on NASDAQ on the date on which the CEO Options are to be treated as granted (being the Appointment Date).</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Black-Scholes Pricing Model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noted above, the number of CEO Options to be granted to Mr. Corbett under this Proposal No. 8 will be 226,296 CEO Options. This</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was calculated by dividing the awarded amount of $1,000,000 USD by the grant date fair value of the CEO Options using the Black-Scholes model as of the grant date (being the Appointment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Option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is a summary of the principal terms of the Option Agreement.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29"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CEO Options.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to be issued under each CEO Option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US$5.64, being the closing price of the Company’s shares of common stock on NASDAQ on the date on which the CEO Options are to be treated as granted, being the Appointment Date.</w:t>
      </w:r>
    </w:p>
    <w:p>
      <w:pPr>
        <w:spacing w:after="0" w:line="78" w:lineRule="exact"/>
        <w:rPr>
          <w:rFonts w:ascii="Times New Roman" w:cs="Times New Roman" w:eastAsia="Times New Roman" w:hAnsi="Times New Roman"/>
          <w:sz w:val="18"/>
          <w:szCs w:val="18"/>
          <w:color w:val="auto"/>
        </w:rPr>
      </w:pPr>
    </w:p>
    <w:p>
      <w:pPr>
        <w:ind w:left="1080" w:right="160" w:hanging="532"/>
        <w:spacing w:after="0" w:line="25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Mr. Corbett may pay the applicable exercise price by personal check (or readily available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 transfer, cashier’s check or by consideration received by the Company pursuant to a broker-assisted cashless exercise program implemented by the “Administrator” under the Option Agreement. Under a cashless exercise, also known as a same-day sale, a broker would facilitate the exercise of CEO Options by Mr. Corbett so that Mr. Corbett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w:t>
      </w:r>
    </w:p>
    <w:p>
      <w:pPr>
        <w:spacing w:after="0" w:line="88" w:lineRule="exact"/>
        <w:rPr>
          <w:rFonts w:ascii="Times New Roman" w:cs="Times New Roman" w:eastAsia="Times New Roman" w:hAnsi="Times New Roman"/>
          <w:sz w:val="18"/>
          <w:szCs w:val="18"/>
          <w:color w:val="auto"/>
        </w:rPr>
      </w:pPr>
    </w:p>
    <w:p>
      <w:pPr>
        <w:ind w:left="1080" w:right="100" w:hanging="532"/>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Mr. Corbett.</w:t>
      </w:r>
    </w:p>
    <w:p>
      <w:pPr>
        <w:spacing w:after="0" w:line="63" w:lineRule="exact"/>
        <w:rPr>
          <w:rFonts w:ascii="Times New Roman" w:cs="Times New Roman" w:eastAsia="Times New Roman" w:hAnsi="Times New Roman"/>
          <w:sz w:val="18"/>
          <w:szCs w:val="18"/>
          <w:color w:val="auto"/>
        </w:rPr>
      </w:pPr>
    </w:p>
    <w:p>
      <w:pPr>
        <w:ind w:left="1080" w:right="180" w:hanging="532"/>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CEO Options are set out in the above table. Once a CEO Option has vested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at any time during the option term applicable to it.</w:t>
      </w:r>
    </w:p>
    <w:p>
      <w:pPr>
        <w:spacing w:after="0" w:line="63" w:lineRule="exact"/>
        <w:rPr>
          <w:rFonts w:ascii="Times New Roman" w:cs="Times New Roman" w:eastAsia="Times New Roman" w:hAnsi="Times New Roman"/>
          <w:sz w:val="18"/>
          <w:szCs w:val="18"/>
          <w:color w:val="auto"/>
        </w:rPr>
      </w:pPr>
    </w:p>
    <w:p>
      <w:pPr>
        <w:jc w:val="both"/>
        <w:ind w:left="1080" w:right="60" w:hanging="532"/>
        <w:spacing w:after="0" w:line="290"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Option term: </w:t>
      </w:r>
      <w:r>
        <w:rPr>
          <w:rFonts w:ascii="Times New Roman" w:cs="Times New Roman" w:eastAsia="Times New Roman" w:hAnsi="Times New Roman"/>
          <w:sz w:val="17"/>
          <w:szCs w:val="17"/>
          <w:color w:val="auto"/>
        </w:rPr>
        <w:t>The CEO Options will expire at the close of business at the Company’s headquarters on the applicable expiration date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 years from the grant date of the CEO Option, with the grant date being treated as the Appointment Date), unless the Option Agreement terminates earlier in connection with Mr. Corbett no longer serving as an employee of the Company or in the event of a change of control.</w:t>
      </w:r>
    </w:p>
    <w:p>
      <w:pPr>
        <w:spacing w:after="0" w:line="60" w:lineRule="exact"/>
        <w:rPr>
          <w:rFonts w:ascii="Times New Roman" w:cs="Times New Roman" w:eastAsia="Times New Roman" w:hAnsi="Times New Roman"/>
          <w:sz w:val="17"/>
          <w:szCs w:val="17"/>
          <w:color w:val="auto"/>
        </w:rPr>
      </w:pPr>
    </w:p>
    <w:p>
      <w:pPr>
        <w:ind w:left="1080" w:right="100" w:hanging="532"/>
        <w:spacing w:after="0" w:line="25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CEO: </w:t>
      </w:r>
      <w:r>
        <w:rPr>
          <w:rFonts w:ascii="Times New Roman" w:cs="Times New Roman" w:eastAsia="Times New Roman" w:hAnsi="Times New Roman"/>
          <w:sz w:val="18"/>
          <w:szCs w:val="18"/>
          <w:color w:val="auto"/>
        </w:rPr>
        <w:t>If Mr. Corbett ceases to be an employee of the Company prior to the relevant expiration date of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w:t>
      </w:r>
    </w:p>
    <w:p>
      <w:pPr>
        <w:spacing w:after="0" w:line="76" w:lineRule="exact"/>
        <w:rPr>
          <w:rFonts w:ascii="Times New Roman" w:cs="Times New Roman" w:eastAsia="Times New Roman" w:hAnsi="Times New Roman"/>
          <w:sz w:val="18"/>
          <w:szCs w:val="18"/>
          <w:color w:val="auto"/>
        </w:rPr>
      </w:pPr>
    </w:p>
    <w:p>
      <w:pPr>
        <w:ind w:left="11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 whether he will be terminated for cause, all of Mr. Corbett’s rights under the CEO Options, including the right to exercise any vested CEO Options, will be suspended during the investigation period.</w:t>
      </w:r>
    </w:p>
    <w:p>
      <w:pPr>
        <w:spacing w:after="0" w:line="71" w:lineRule="exact"/>
        <w:rPr>
          <w:rFonts w:ascii="Times New Roman" w:cs="Times New Roman" w:eastAsia="Times New Roman" w:hAnsi="Times New Roman"/>
          <w:sz w:val="18"/>
          <w:szCs w:val="18"/>
          <w:color w:val="auto"/>
        </w:rPr>
      </w:pPr>
    </w:p>
    <w:p>
      <w:pPr>
        <w:jc w:val="both"/>
        <w:ind w:left="1080" w:right="140" w:hanging="532"/>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Mr. Corbett under the terms of the Option Agreement including, amongst other things, restrictions on Mr. Corbett’s ability as an option holder to participate in new issues of shares of common stock (where a new issue is offered to existing holders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40"/>
        <w:spacing w:after="0" w:line="266" w:lineRule="auto"/>
        <w:rPr>
          <w:sz w:val="20"/>
          <w:szCs w:val="20"/>
          <w:color w:val="auto"/>
        </w:rPr>
      </w:pPr>
      <w:r>
        <w:rPr>
          <w:rFonts w:ascii="Times New Roman" w:cs="Times New Roman" w:eastAsia="Times New Roman" w:hAnsi="Times New Roman"/>
          <w:sz w:val="18"/>
          <w:szCs w:val="18"/>
          <w:color w:val="auto"/>
        </w:rPr>
        <w:t>Company’s shares of common stock) where it relates to the shares of common stock the subject of the CEO Option and restrictions in relation to the amendment or modification of the terms of the CEO Options (unless such amendment or modification is made to comply with the ASX Listing Rules or unless otherwise permitted by the ASX Listing Rule or by a waiver granted by the ASX).</w:t>
      </w:r>
    </w:p>
    <w:p>
      <w:pPr>
        <w:spacing w:after="0" w:line="79" w:lineRule="exact"/>
        <w:rPr>
          <w:sz w:val="20"/>
          <w:szCs w:val="20"/>
          <w:color w:val="auto"/>
        </w:rPr>
      </w:pPr>
    </w:p>
    <w:p>
      <w:pPr>
        <w:ind w:left="1080" w:hanging="532"/>
        <w:spacing w:after="0" w:line="253"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therefore.</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CEO Options granted to Mr. Corbett under the Option Agreement may be exercised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occasions during the option term, however the Company may impose a minimum number of shares of common stock in respect of which the CEO Options may be exercised at any one time.</w:t>
      </w:r>
    </w:p>
    <w:p>
      <w:pPr>
        <w:spacing w:after="0" w:line="78" w:lineRule="exact"/>
        <w:rPr>
          <w:rFonts w:ascii="Times New Roman" w:cs="Times New Roman" w:eastAsia="Times New Roman" w:hAnsi="Times New Roman"/>
          <w:sz w:val="18"/>
          <w:szCs w:val="18"/>
          <w:color w:val="auto"/>
        </w:rPr>
      </w:pPr>
    </w:p>
    <w:p>
      <w:pPr>
        <w:ind w:left="1080" w:right="20" w:hanging="532"/>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CEO Options outstanding as of immediately prior to the change in control will vest in full as of the change in control.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Option Agreement based on US federal income tax laws in effect. This summary, which is presented for the information of stockholders considering how to vote on this Proposal and not for the award grantee,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US$1 million limitation on certain executive compensation under Section 162(m) of the Code.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CEO Options are proposed to be granted to Mr. James Corbett, the Company’s President and CEO.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Mr. Corbett is a director of the Company and therefore falls into the category under ASX Listing Rule 10.11.1.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to be issued to Mr. Corbett is set out above.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are options to acquire fully paid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Corbett may elect to receive as CDIs (where five CDIs are equal to one share of common stock), except in the case of a cashless exercise of an option). The material terms of the CEO Options are set out above.</w:t>
      </w:r>
    </w:p>
    <w:p>
      <w:pPr>
        <w:spacing w:after="0" w:line="78"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If approved under this Proposal, the CEO Options will be issued on the date of the Annual Meeting or shortly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no later than one month after the date of the Annual Meeting), with a deemed grant date of the Appointment Date.</w:t>
      </w:r>
    </w:p>
    <w:p>
      <w:pPr>
        <w:spacing w:after="0" w:line="63"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CEO Options, other than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employment and director services by Mr. Corbett. Once vested, Mr. Corbett will be required to pay the exercise price for the number of shares of common stock of the Company (which may be represented as CDIs) the subject of the CEO Options being exercised. The exercise price payable for each share of common stock to be issued upon exercise of each CEO Option will be US$5.64, being the closing price of the Company’s shares of common stock on NASDAQ on the date on which the CEO Options will be deemed to have been granted (being the Appointment Date). If Mr. Corbett elects to receive CDIs instead of shares of common stock, the total exercise price will remain the same however Mr. Corbett will receive five CDIs for each share of common stock that Mr. Corbett would have otherwise received.</w:t>
      </w:r>
    </w:p>
    <w:p>
      <w:pPr>
        <w:spacing w:after="0" w:line="9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The purpose of the issue of the CEO Options is set out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Details of Mr. Corbett’s current total remuneration package (in US dollars) is set out below.</w:t>
      </w:r>
    </w:p>
    <w:p>
      <w:pPr>
        <w:spacing w:after="0" w:line="119" w:lineRule="exact"/>
        <w:rPr>
          <w:rFonts w:ascii="Times New Roman" w:cs="Times New Roman" w:eastAsia="Times New Roman" w:hAnsi="Times New Roman"/>
          <w:sz w:val="18"/>
          <w:szCs w:val="18"/>
          <w:color w:val="auto"/>
        </w:rPr>
      </w:pPr>
    </w:p>
    <w:p>
      <w:pPr>
        <w:ind w:left="1100" w:right="8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 Salary: Mr. Corbett shall be paid an annualized base salary of US$600,000 in periodic installments, in accordance with the Company’s customary payroll practices, subject to annual review by the Compensation Committee of the Board of Directors.</w:t>
      </w:r>
    </w:p>
    <w:p>
      <w:pPr>
        <w:spacing w:after="0" w:line="3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each completed fiscal year, Mr. Corbett shall be eligible to receive an annual bonus. As of September 28, 2022,</w:t>
      </w:r>
    </w:p>
    <w:p>
      <w:pPr>
        <w:spacing w:after="0" w:line="27" w:lineRule="exact"/>
        <w:rPr>
          <w:rFonts w:ascii="Times New Roman" w:cs="Times New Roman" w:eastAsia="Times New Roman" w:hAnsi="Times New Roman"/>
          <w:sz w:val="18"/>
          <w:szCs w:val="18"/>
          <w:color w:val="auto"/>
        </w:rPr>
      </w:pPr>
    </w:p>
    <w:p>
      <w:pPr>
        <w:ind w:left="110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Corbett’s target bonus opportunity shall be equal to 60% of base salary, based on the achievement of Mr. Corbett’s and the Company’s performance goals established by the Board of Directors; provided, that, depending on the results, Mr. Corbett’s annual bonus may be lower or higher than the target amount with a minimum bonus opportunity of 0% of base salary and a maximum bonus opportunity of 200% of base salary, as determined by the Board of Directors.</w:t>
      </w:r>
    </w:p>
    <w:p>
      <w:pPr>
        <w:spacing w:after="0" w:line="92" w:lineRule="exact"/>
        <w:rPr>
          <w:rFonts w:ascii="Times New Roman" w:cs="Times New Roman" w:eastAsia="Times New Roman" w:hAnsi="Times New Roman"/>
          <w:sz w:val="18"/>
          <w:szCs w:val="18"/>
          <w:color w:val="auto"/>
        </w:rPr>
      </w:pPr>
    </w:p>
    <w:p>
      <w:pPr>
        <w:ind w:left="1080" w:right="62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CEO Options are proposed to be issued in accordance with the terms and conditions of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material terms of the Option Agreement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James Corbett, who abstains given his personal interest in Proposal No. 8) recommends that stockholders vote “FOR” Proposal No. 8.</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No. 8 requires a number of “FOR” votes that is a majority of the votes cast by the Company’s stockholders present in person or represented by proxy at the Annual Meeting and entitled to vote on Proposal No.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The Company will disregard any votes cast in favor of Proposal No. 8 by on or behalf of Mr. Corbett and any other person who will obtain a material benefit as a result of the issue of the securities under Proposal No. 8 (except a benefit solely by reason of being a holder of the Company’s shares of common stock (or CDI(s)) or their associates, however, the Company need not disregard a vote cast in favor of Proposal No. 8 by:</w:t>
      </w:r>
    </w:p>
    <w:p>
      <w:pPr>
        <w:spacing w:after="0" w:line="63" w:lineRule="exact"/>
        <w:rPr>
          <w:sz w:val="20"/>
          <w:szCs w:val="20"/>
          <w:color w:val="auto"/>
        </w:rPr>
      </w:pPr>
    </w:p>
    <w:p>
      <w:pPr>
        <w:ind w:left="1080" w:right="2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Proposal No. 8, in accordance with directions given to the proxy or attorney to vote on Proposal No. 8 in that way;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Proposal No. 8, in accordance with a direction given to the chair to vote on Proposal No. 8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Proposal No. 8;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Proposal No.8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9</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SAY ON PAY</w:t>
      </w:r>
    </w:p>
    <w:p>
      <w:pPr>
        <w:spacing w:after="0" w:line="225"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 AS DISCLOSED IN THIS PROXY STATEMENT UNDER “EXECUTIVE COMPENSATION”</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10-KT, which was filed with the SEC and ASX on February 28, 2022 (United States) / March 1, 2022 (Australia) (the “10-KT”) and provided in this Proxy Statement, we believe that our compensation program is designed to support our long-term business strategies and creation of stockholder value by emphasizing long-term alignment with our stockholders and pay-for-performance. You are encouraged to read the Executive Compensation discussion contained herein for additional details on our executive compensation, including our philosophy and objectives and the 2021 compensation of our named executive officers. This non-binding advisory “say-on-pay” vote gives you as a stockholder the opportunity to endorse our executive compensation program through the following resolution:</w:t>
      </w:r>
    </w:p>
    <w:p>
      <w:pPr>
        <w:spacing w:after="0" w:line="18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Executive Compensation discussion, compensation tables and narrative discussion contained in our Annual Report on Form 10-KT and this Proxy Statement is hereby APPROVED.”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“FOR” the advisory approval of the compensation of our named executive officers as disclosed in our Annual Report on Form 10-KT and herein under the heading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Non-binding, advisory approval of the advisory proposal on the compensation of our named executive officers as disclosed in the “Executive Compensation” discussion section in the Annual Report on the Form 10-KT and in this Proxy Statement requires the affirmative vote of a majority of the votes cast by the Company’s stockholders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w:t>
      </w:r>
    </w:p>
    <w:p>
      <w:pPr>
        <w:spacing w:after="0" w:line="179" w:lineRule="exact"/>
        <w:rPr>
          <w:sz w:val="20"/>
          <w:szCs w:val="20"/>
          <w:color w:val="auto"/>
        </w:rPr>
      </w:pPr>
    </w:p>
    <w:p>
      <w:pPr>
        <w:jc w:val="center"/>
        <w:ind w:right="2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“FOR” the approval on an advisory basis of the compensation of our Named Executive Officers. </w:t>
      </w: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annual report to stockholders concerning our operations during the transition period ended December 31, 2022, including audited financial statements, is available at the Company’s website at www.avitamedical.com and is also available at the SEC’s website at www.sec.gov. The annual report is not incorporated in the proxy statement and is not to be considered a part of the soliciting material.</w:t>
      </w:r>
    </w:p>
    <w:p>
      <w:pPr>
        <w:spacing w:after="0" w:line="176"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UPON WRITTEN REQUEST, WE WILL PROVIDE, WITHOUT CHARGE, A COPY OF OUR ANNUAL REPORT ON FORM 10-KT FOR THE PERIOD FROM JULY 1, 2021 to DECEMBER 31, 2021 TO EACH STOCKHOLDER OF RECORD, TO EACH HOLDER OF CDIS OR TO EACH STOCKHOLDER WHO OWNED OUR COMMON STOCK LISTED IN THE NAME OF A BANK OR BROKER, AS NOMINEE, AT THE CLOSE OF BUSINESS ON OCTOBER 19, 2022, AT 5:00 PM (PACIFIC DAYLIGHT TIME) (BEING OCTOBER 20, 2022, AT 11:00 AM AEDT).</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ANY REQUEST BY A STOCKHOLDER OR CDI HOLDER FOR OUR ANNUAL REPORT ON FORM 10-KT SHOULD BE SENT TO INVESTOR RELATIONS AT AVITA MEDICAL, INC., 28159 AVENUE STANFORD, SUITE 220, VALENCIA, CALIFORNIA 91355.</w:t>
      </w:r>
    </w:p>
    <w:p>
      <w:pPr>
        <w:spacing w:after="0" w:line="393" w:lineRule="exact"/>
        <w:rPr>
          <w:sz w:val="20"/>
          <w:szCs w:val="20"/>
          <w:color w:val="auto"/>
        </w:rPr>
      </w:pPr>
    </w:p>
    <w:p>
      <w:pPr>
        <w:jc w:val="center"/>
        <w:ind w:left="440" w:right="660"/>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2023 ANNUAL MEETING OF STOCKHOLDERS</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Stockholders’ proposals intended to be presented at next year’s Annual Meeting of Stockholders must be submitted in writing to General Counsel at AVITA Medical, Inc., 28159 Avenue Stanford, Suite 220, Valencia, California 91355 no later than June 26, 2023 (or a reasonable time before the Company begins to send its proxy materials) for inclusion in the Company’s proxy statement and form of proxy for that meeting, 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 under the Exchange Act no later than October 12, 2023 (or a reasonable time before the Company begins to send its proxy materials). In addition, all proposals will need to comply with Rule 14a-8 of the Exchange Act, which lists the requirements for the inclusion of stockholder proposals in Company-sponsored proxy materials.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proxy solicited by the Company for the 2023 Annual Meeting of Stockholders will confer discretionary authority on the Company’s proxies to vote on any proposal presented by a stockholder at that meeting for which the Company has not been provided with notice on or prior to June 26, 2023 (or a reasonable time before the Company begins to send its proxy materials).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transition period ended December 31, 2021.</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Stockholders may read and copy any reports, statements, or other information that we file at the SEC’s public reference room in Washington, D.C. Please call the SEC at 1-800-SEC-0330 for further information about the public reference room. Our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Copies of announcements made by the Company to the ASX are available on ASX’s website (www.asx.com.au).</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[INSERT DATE]</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STOCKHOLDERS AND CDI HOLDERS SHOULD NOT ASSUME THAT THE INFORMATION CONTAINED IN THIS PROXY STATEMENT IS ACCURATE AS OF ANY DATE OTHER THAN THAT DATE.</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proxy of the holders of not less than one third (33 1/3)% in voting power of the outstanding shares of stock entitled to vote at the meeting shall be necessary and sufficient to constitute a quorum. In the absence of a quorum, then either (i) the chairperson of the meeting or (ii) a majority in voting power of the stockholders so present (in person or by proxy) and entitled to vote may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ectPr>
          <w:pgSz w:w="11900" w:h="16838" w:orient="portrait"/>
          <w:cols w:equalWidth="0" w:num="1">
            <w:col w:w="10920"/>
          </w:cols>
          <w:pgMar w:left="320" w:top="455" w:right="6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Amendment to Amended and Restated Bylaws</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representing one-third, or 33 1/3%, of the combined voting power of the capital stock issued and outstanding and entitled to vote at a meeting, present in person or represented by proxy, shall constitute a quorum.</w:t>
      </w:r>
    </w:p>
    <w:p>
      <w:pPr>
        <w:sectPr>
          <w:pgSz w:w="11900" w:h="16838" w:orient="portrait"/>
          <w:cols w:equalWidth="0" w:num="1">
            <w:col w:w="10300"/>
          </w:cols>
          <w:pgMar w:left="320" w:top="455" w:right="12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224155</wp:posOffset>
            </wp:positionV>
            <wp:extent cx="6377940" cy="8272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77940" cy="8272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224155</wp:posOffset>
            </wp:positionV>
            <wp:extent cx="6377940" cy="8272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77940" cy="8272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224155</wp:posOffset>
            </wp:positionV>
            <wp:extent cx="5820410" cy="8237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0410" cy="82378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224155</wp:posOffset>
            </wp:positionV>
            <wp:extent cx="5812155" cy="82207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12155" cy="822071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9"/>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5"/>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8"/>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R"/>
      <w:numFmt w:val="bullet"/>
      <w:start w:val="1"/>
    </w:lvl>
  </w:abstractNum>
  <w:abstractNum w:abstractNumId="39">
    <w:nsid w:val="79A1DEAA"/>
    <w:multiLevelType w:val="hybridMultilevel"/>
    <w:lvl w:ilvl="0">
      <w:lvlJc w:val="left"/>
      <w:lvlText w:val="A"/>
      <w:numFmt w:val="bullet"/>
      <w:start w:val="1"/>
    </w:lvl>
  </w:abstractNum>
  <w:abstractNum w:abstractNumId="40">
    <w:nsid w:val="75C6C33A"/>
    <w:multiLevelType w:val="hybridMultilevel"/>
    <w:lvl w:ilvl="0">
      <w:lvlJc w:val="left"/>
      <w:lvlText w:val="B"/>
      <w:numFmt w:val="bullet"/>
      <w:start w:val="1"/>
    </w:lvl>
  </w:abstractNum>
  <w:abstractNum w:abstractNumId="41">
    <w:nsid w:val="12E685FB"/>
    <w:multiLevelType w:val="hybridMultilevel"/>
    <w:lvl w:ilvl="0">
      <w:lvlJc w:val="left"/>
      <w:lvlText w:val="O"/>
      <w:numFmt w:val="bullet"/>
      <w:start w:val="1"/>
    </w:lvl>
  </w:abstractNum>
  <w:abstractNum w:abstractNumId="42">
    <w:nsid w:val="70C6A529"/>
    <w:multiLevelType w:val="hybridMultilevel"/>
    <w:lvl w:ilvl="0">
      <w:lvlJc w:val="left"/>
      <w:lvlText w:val="X"/>
      <w:numFmt w:val="bullet"/>
      <w:start w:val="1"/>
    </w:lvl>
  </w:abstractNum>
  <w:abstractNum w:abstractNumId="43">
    <w:nsid w:val="520EEDD1"/>
    <w:multiLevelType w:val="hybridMultilevel"/>
    <w:lvl w:ilvl="0">
      <w:lvlJc w:val="left"/>
      <w:lvlText w:val="Y"/>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6"/>
    </w:lvl>
  </w:abstractNum>
  <w:abstractNum w:abstractNumId="51">
    <w:nsid w:val="180115BE"/>
    <w:multiLevelType w:val="hybridMultilevel"/>
    <w:lvl w:ilvl="0">
      <w:lvlJc w:val="left"/>
      <w:lvlText w:val="%1)"/>
      <w:numFmt w:val="lowerLetter"/>
      <w:start w:val="1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lvl w:ilvl="1">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lowerLetter"/>
      <w:start w:val="9"/>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2022-10-19T16:23:53Z</dcterms:created>
  <dcterms:modified xsi:type="dcterms:W3CDTF">2022-10-19T16:23:53Z</dcterms:modified>
</cp:coreProperties>
</file>