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7"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195580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left="540" w:right="2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5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54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0"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3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180340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1148715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308610</wp:posOffset>
            </wp:positionV>
            <wp:extent cx="1834515" cy="677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34515"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AVITA THERAPEUTICS,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167640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60"/>
          </w:cols>
          <w:pgMar w:left="320" w:top="230" w:right="51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2">
            <w:col w:w="7300" w:space="720"/>
            <w:col w:w="3040"/>
          </w:cols>
          <w:pgMar w:left="320" w:top="230" w:right="519" w:bottom="144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Arial" w:cs="Arial" w:eastAsia="Arial" w:hAnsi="Arial"/>
          <w:sz w:val="14"/>
          <w:szCs w:val="14"/>
          <w:b w:val="1"/>
          <w:bCs w:val="1"/>
          <w:color w:val="auto"/>
        </w:rPr>
        <w:t>(IRS Employer</w:t>
      </w:r>
    </w:p>
    <w:p>
      <w:pPr>
        <w:jc w:val="center"/>
        <w:ind w:right="204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2">
            <w:col w:w="7180" w:space="720"/>
            <w:col w:w="3160"/>
          </w:cols>
          <w:pgMar w:left="320" w:top="230" w:right="519" w:bottom="1440" w:gutter="0" w:footer="0" w:header="0"/>
          <w:type w:val="continuous"/>
        </w:sectPr>
      </w:pPr>
    </w:p>
    <w:p>
      <w:pPr>
        <w:jc w:val="center"/>
        <w:ind w:right="-199"/>
        <w:spacing w:after="0"/>
        <w:rPr>
          <w:sz w:val="20"/>
          <w:szCs w:val="20"/>
          <w:color w:val="auto"/>
        </w:rPr>
      </w:pPr>
      <w:r>
        <w:rPr>
          <w:rFonts w:ascii="Arial" w:cs="Arial" w:eastAsia="Arial" w:hAnsi="Arial"/>
          <w:sz w:val="18"/>
          <w:szCs w:val="18"/>
          <w:b w:val="1"/>
          <w:bCs w:val="1"/>
          <w:color w:val="auto"/>
        </w:rPr>
        <w:t>28159 Avenue Stanford</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Suite 220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Valencia, CA 91355</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12"/>
          <w:szCs w:val="12"/>
          <w:b w:val="1"/>
          <w:bCs w:val="1"/>
          <w:color w:val="auto"/>
        </w:rPr>
        <w:t>(Address of principal executive offices and Zip Code)</w:t>
      </w:r>
    </w:p>
    <w:p>
      <w:pPr>
        <w:sectPr>
          <w:pgSz w:w="11900" w:h="16838" w:orient="portrait"/>
          <w:cols w:equalWidth="0" w:num="1">
            <w:col w:w="11060"/>
          </w:cols>
          <w:pgMar w:left="320" w:top="230" w:right="519" w:bottom="1440" w:gutter="0" w:footer="0" w:header="0"/>
          <w:type w:val="continuous"/>
        </w:sectPr>
      </w:pPr>
    </w:p>
    <w:p>
      <w:pPr>
        <w:spacing w:after="0" w:line="134"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Registrant’s telephone number, including area code: (661) 367-9170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60"/>
          </w:cols>
          <w:pgMar w:left="320" w:top="230" w:right="5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188595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0"/>
          <w:szCs w:val="20"/>
          <w:color w:val="auto"/>
        </w:rPr>
      </w:pPr>
    </w:p>
    <w:p>
      <w:pPr>
        <w:ind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01"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0"/>
          <w:szCs w:val="20"/>
          <w:color w:val="auto"/>
        </w:rPr>
      </w:pPr>
    </w:p>
    <w:p>
      <w:pPr>
        <w:ind w:right="1520"/>
        <w:spacing w:after="0" w:line="31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$0.0001 par value common stock outstanding as of November 6, 2020 was 21,623,287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42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660" w:type="dxa"/>
            <w:vAlign w:val="bottom"/>
          </w:tcPr>
          <w:p>
            <w:pPr>
              <w:spacing w:after="0"/>
              <w:rPr>
                <w:sz w:val="20"/>
                <w:szCs w:val="20"/>
                <w:color w:val="auto"/>
              </w:rPr>
            </w:pPr>
          </w:p>
        </w:tc>
      </w:tr>
      <w:tr>
        <w:trPr>
          <w:trHeight w:val="513"/>
        </w:trPr>
        <w:tc>
          <w:tcPr>
            <w:tcW w:w="1160" w:type="dxa"/>
            <w:vAlign w:val="bottom"/>
          </w:tcPr>
          <w:p>
            <w:pPr>
              <w:spacing w:after="0"/>
              <w:rPr>
                <w:sz w:val="24"/>
                <w:szCs w:val="24"/>
                <w:color w:val="auto"/>
              </w:rPr>
            </w:pPr>
          </w:p>
        </w:tc>
        <w:tc>
          <w:tcPr>
            <w:tcW w:w="9260" w:type="dxa"/>
            <w:vAlign w:val="bottom"/>
          </w:tcPr>
          <w:p>
            <w:pPr>
              <w:ind w:left="350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4"/>
                <w:szCs w:val="24"/>
                <w:color w:val="auto"/>
              </w:rPr>
            </w:pPr>
          </w:p>
        </w:tc>
      </w:tr>
      <w:tr>
        <w:trPr>
          <w:trHeight w:val="459"/>
        </w:trPr>
        <w:tc>
          <w:tcPr>
            <w:tcW w:w="10420" w:type="dxa"/>
            <w:vAlign w:val="bottom"/>
            <w:gridSpan w:val="2"/>
          </w:tcPr>
          <w:p>
            <w:pPr>
              <w:ind w:left="12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 – FINANCIAL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1.</w:t>
            </w:r>
          </w:p>
        </w:tc>
        <w:tc>
          <w:tcPr>
            <w:tcW w:w="9260" w:type="dxa"/>
            <w:vAlign w:val="bottom"/>
          </w:tcPr>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160" w:type="dxa"/>
            <w:vAlign w:val="bottom"/>
          </w:tcPr>
          <w:p>
            <w:pPr>
              <w:spacing w:after="0"/>
              <w:rPr>
                <w:sz w:val="24"/>
                <w:szCs w:val="24"/>
                <w:color w:val="auto"/>
              </w:rPr>
            </w:pPr>
          </w:p>
        </w:tc>
        <w:tc>
          <w:tcPr>
            <w:tcW w:w="9260" w:type="dxa"/>
            <w:vAlign w:val="bottom"/>
          </w:tcPr>
          <w:p>
            <w:pPr>
              <w:ind w:left="1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Balance Sheets – September 30, 2020 and June 30, 2020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160" w:type="dxa"/>
            <w:vAlign w:val="bottom"/>
          </w:tcPr>
          <w:p>
            <w:pPr>
              <w:spacing w:after="0"/>
              <w:rPr>
                <w:sz w:val="24"/>
                <w:szCs w:val="24"/>
                <w:color w:val="auto"/>
              </w:rPr>
            </w:pPr>
          </w:p>
        </w:tc>
        <w:tc>
          <w:tcPr>
            <w:tcW w:w="9260" w:type="dxa"/>
            <w:vAlign w:val="bottom"/>
          </w:tcPr>
          <w:p>
            <w:pPr>
              <w:ind w:left="1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Statements of Operations for the three and six months ended September 30, 2020 and 2019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60" w:type="dxa"/>
            <w:vAlign w:val="bottom"/>
          </w:tcPr>
          <w:p>
            <w:pPr>
              <w:spacing w:after="0"/>
              <w:rPr>
                <w:sz w:val="24"/>
                <w:szCs w:val="24"/>
                <w:color w:val="auto"/>
              </w:rPr>
            </w:pPr>
          </w:p>
        </w:tc>
        <w:tc>
          <w:tcPr>
            <w:tcW w:w="9260" w:type="dxa"/>
            <w:vAlign w:val="bottom"/>
          </w:tcPr>
          <w:p>
            <w:pPr>
              <w:ind w:left="160"/>
              <w:spacing w:after="0"/>
              <w:rPr>
                <w:rFonts w:ascii="Arial" w:cs="Arial" w:eastAsia="Arial" w:hAnsi="Arial"/>
                <w:sz w:val="18"/>
                <w:szCs w:val="18"/>
                <w:u w:val="single" w:color="auto"/>
                <w:color w:val="0000EE"/>
                <w:w w:val="94"/>
              </w:rPr>
            </w:pPr>
            <w:hyperlink w:anchor="page7">
              <w:r>
                <w:rPr>
                  <w:rFonts w:ascii="Arial" w:cs="Arial" w:eastAsia="Arial" w:hAnsi="Arial"/>
                  <w:sz w:val="18"/>
                  <w:szCs w:val="18"/>
                  <w:u w:val="single" w:color="auto"/>
                  <w:color w:val="0000EE"/>
                  <w:w w:val="94"/>
                </w:rPr>
                <w:t>Consolidated Statements of Comprehensive Loss for the three months ended September 30, 2020 and 2019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60" w:type="dxa"/>
            <w:vAlign w:val="bottom"/>
          </w:tcPr>
          <w:p>
            <w:pPr>
              <w:spacing w:after="0"/>
              <w:rPr>
                <w:sz w:val="24"/>
                <w:szCs w:val="24"/>
                <w:color w:val="auto"/>
              </w:rPr>
            </w:pPr>
          </w:p>
        </w:tc>
        <w:tc>
          <w:tcPr>
            <w:tcW w:w="9260" w:type="dxa"/>
            <w:vAlign w:val="bottom"/>
          </w:tcPr>
          <w:p>
            <w:pPr>
              <w:ind w:left="1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Statements of Stockholders’ Equity for the three months ended September 30, 2020 and 2019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60" w:type="dxa"/>
            <w:vAlign w:val="bottom"/>
          </w:tcPr>
          <w:p>
            <w:pPr>
              <w:spacing w:after="0"/>
              <w:rPr>
                <w:sz w:val="24"/>
                <w:szCs w:val="24"/>
                <w:color w:val="auto"/>
              </w:rPr>
            </w:pPr>
          </w:p>
        </w:tc>
        <w:tc>
          <w:tcPr>
            <w:tcW w:w="9260" w:type="dxa"/>
            <w:vAlign w:val="bottom"/>
          </w:tcPr>
          <w:p>
            <w:pPr>
              <w:ind w:left="1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Statements of Cash Flows for the six months ended September 30, 2020 and 2019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160" w:type="dxa"/>
            <w:vAlign w:val="bottom"/>
          </w:tcPr>
          <w:p>
            <w:pPr>
              <w:spacing w:after="0"/>
              <w:rPr>
                <w:sz w:val="24"/>
                <w:szCs w:val="24"/>
                <w:color w:val="auto"/>
              </w:rPr>
            </w:pPr>
          </w:p>
        </w:tc>
        <w:tc>
          <w:tcPr>
            <w:tcW w:w="9260" w:type="dxa"/>
            <w:vAlign w:val="bottom"/>
          </w:tcPr>
          <w:p>
            <w:pPr>
              <w:ind w:left="1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2.</w:t>
            </w:r>
          </w:p>
        </w:tc>
        <w:tc>
          <w:tcPr>
            <w:tcW w:w="9260" w:type="dxa"/>
            <w:vAlign w:val="bottom"/>
          </w:tcPr>
          <w:p>
            <w:pPr>
              <w:ind w:left="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3.</w:t>
            </w:r>
          </w:p>
        </w:tc>
        <w:tc>
          <w:tcPr>
            <w:tcW w:w="9260" w:type="dxa"/>
            <w:vAlign w:val="bottom"/>
          </w:tcPr>
          <w:p>
            <w:pPr>
              <w:ind w:left="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4.</w:t>
            </w:r>
          </w:p>
        </w:tc>
        <w:tc>
          <w:tcPr>
            <w:tcW w:w="9260" w:type="dxa"/>
            <w:vAlign w:val="bottom"/>
          </w:tcPr>
          <w:p>
            <w:pPr>
              <w:ind w:left="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420" w:type="dxa"/>
            <w:vAlign w:val="bottom"/>
            <w:gridSpan w:val="2"/>
          </w:tcPr>
          <w:p>
            <w:pPr>
              <w:ind w:left="120"/>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Part II – 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1.</w:t>
            </w:r>
          </w:p>
        </w:tc>
        <w:tc>
          <w:tcPr>
            <w:tcW w:w="9260" w:type="dxa"/>
            <w:vAlign w:val="bottom"/>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w w:val="98"/>
              </w:rPr>
              <w:t>Item 1A.</w:t>
            </w:r>
          </w:p>
        </w:tc>
        <w:tc>
          <w:tcPr>
            <w:tcW w:w="9260" w:type="dxa"/>
            <w:vAlign w:val="bottom"/>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2.</w:t>
            </w:r>
          </w:p>
        </w:tc>
        <w:tc>
          <w:tcPr>
            <w:tcW w:w="9260" w:type="dxa"/>
            <w:vAlign w:val="bottom"/>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3.</w:t>
            </w:r>
          </w:p>
        </w:tc>
        <w:tc>
          <w:tcPr>
            <w:tcW w:w="9260" w:type="dxa"/>
            <w:vAlign w:val="bottom"/>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Defaults Upon Senior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4.</w:t>
            </w:r>
          </w:p>
        </w:tc>
        <w:tc>
          <w:tcPr>
            <w:tcW w:w="9260" w:type="dxa"/>
            <w:vAlign w:val="bottom"/>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5.</w:t>
            </w:r>
          </w:p>
        </w:tc>
        <w:tc>
          <w:tcPr>
            <w:tcW w:w="9260" w:type="dxa"/>
            <w:vAlign w:val="bottom"/>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6.</w:t>
            </w:r>
          </w:p>
        </w:tc>
        <w:tc>
          <w:tcPr>
            <w:tcW w:w="9260" w:type="dxa"/>
            <w:vAlign w:val="bottom"/>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420" w:type="dxa"/>
            <w:vAlign w:val="bottom"/>
            <w:gridSpan w:val="2"/>
          </w:tcPr>
          <w:p>
            <w:pPr>
              <w:ind w:left="4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Signatures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r>
    </w:tbl>
    <w:p>
      <w:pPr>
        <w:jc w:val="right"/>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5300"/>
        <w:spacing w:after="0" w:line="282" w:lineRule="auto"/>
        <w:rPr>
          <w:sz w:val="20"/>
          <w:szCs w:val="20"/>
          <w:color w:val="auto"/>
        </w:rPr>
      </w:pPr>
      <w:r>
        <w:rPr>
          <w:rFonts w:ascii="Arial" w:cs="Arial" w:eastAsia="Arial" w:hAnsi="Arial"/>
          <w:sz w:val="18"/>
          <w:szCs w:val="18"/>
          <w:b w:val="1"/>
          <w:bCs w:val="1"/>
          <w:color w:val="auto"/>
        </w:rPr>
        <w:t>SPECIAL NOTE REGARDING FORWARD-LOOKING STATEMENTS FORWARD-LOOKING STATEMENT</w:t>
      </w:r>
    </w:p>
    <w:p>
      <w:pPr>
        <w:spacing w:after="0" w:line="58"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i w:val="1"/>
          <w:iCs w:val="1"/>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including statements regarding our future results of operations and financial position, the anticipated impact of the novel coronavirus, or COVID-19, pandemic on our business, business strategy,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i w:val="1"/>
          <w:iCs w:val="1"/>
          <w:color w:val="auto"/>
        </w:rPr>
        <w:t>In some cases, you can identify forward-looking statements by terms such as “may,” “will,” “should,” “expect,” “plan,”“anticipate,” “could,” “intend,” “target,” “project,” “contemplate,” “believe,” “estimate,” “predict,” “potential”, or “continue” or the negative of these terms or other similar expressions.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w:t>
      </w:r>
    </w:p>
    <w:p>
      <w:pPr>
        <w:spacing w:after="0" w:line="192"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i w:val="1"/>
          <w:iCs w:val="1"/>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i w:val="1"/>
          <w:iCs w:val="1"/>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September 30, 2020</w:t>
            </w: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June 30, 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Cash</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65,753</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73,639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BARDA receivables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Prepaids and other current assets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23"/>
        </w:trPr>
        <w:tc>
          <w:tcPr>
            <w:tcW w:w="82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71,396</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 net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2,216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Other long term assets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75,419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82,462</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Accrued wages and fringe benefits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3,589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currrent liabilities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3"/>
        </w:trPr>
        <w:tc>
          <w:tcPr>
            <w:tcW w:w="82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Operating lease liabilities, long term</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1,776</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10,061</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Contingencies (Note 10)</w:t>
            </w: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80" w:type="dxa"/>
            <w:vAlign w:val="bottom"/>
          </w:tcPr>
          <w:p>
            <w:pPr>
              <w:spacing w:after="0" w:line="201" w:lineRule="exact"/>
              <w:rPr>
                <w:sz w:val="20"/>
                <w:szCs w:val="20"/>
                <w:color w:val="auto"/>
              </w:rPr>
            </w:pPr>
            <w:r>
              <w:rPr>
                <w:rFonts w:ascii="Arial" w:cs="Arial" w:eastAsia="Arial" w:hAnsi="Arial"/>
                <w:sz w:val="18"/>
                <w:szCs w:val="18"/>
                <w:color w:val="auto"/>
                <w:w w:val="97"/>
              </w:rPr>
              <w:t>Common stock, $0.0001 par value per share, 200,000,000 shares authorized, 21,623,287 and 21,467,912</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shares issued and outstanding at September 30, 2020 and June 30, 2020, respectively</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Preferred stock, $0.0001 par value per share, 10,000,000 shares authorized, no shares issued or outstanding</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September 30, 2020 and June 30, 2020</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262,431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259,165</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8,194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8,146</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(205,140)</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(194,913)</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72,401</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75,419</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2"/>
              </w:rPr>
              <w:t>Three months ended September 30,</w:t>
            </w:r>
          </w:p>
        </w:tc>
      </w:tr>
      <w:tr>
        <w:trPr>
          <w:trHeight w:val="142"/>
        </w:trPr>
        <w:tc>
          <w:tcPr>
            <w:tcW w:w="8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2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619</w:t>
            </w:r>
          </w:p>
        </w:tc>
      </w:tr>
      <w:tr>
        <w:trPr>
          <w:trHeight w:val="27"/>
        </w:trPr>
        <w:tc>
          <w:tcPr>
            <w:tcW w:w="8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2,631</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BARDA income</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19"/>
                <w:szCs w:val="19"/>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00" w:type="dxa"/>
            <w:vAlign w:val="bottom"/>
          </w:tcPr>
          <w:p>
            <w:pPr>
              <w:ind w:left="720"/>
              <w:spacing w:after="0"/>
              <w:rPr>
                <w:sz w:val="20"/>
                <w:szCs w:val="20"/>
                <w:color w:val="auto"/>
              </w:rPr>
            </w:pPr>
            <w:r>
              <w:rPr>
                <w:rFonts w:ascii="Arial" w:cs="Arial" w:eastAsia="Arial" w:hAnsi="Arial"/>
                <w:sz w:val="18"/>
                <w:szCs w:val="18"/>
                <w:color w:val="auto"/>
              </w:rPr>
              <w:t>Sales and marketing expenses</w:t>
            </w:r>
          </w:p>
        </w:tc>
        <w:tc>
          <w:tcPr>
            <w:tcW w:w="12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2,935</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2,962</w:t>
            </w:r>
          </w:p>
        </w:tc>
      </w:tr>
      <w:tr>
        <w:trPr>
          <w:trHeight w:val="216"/>
        </w:trPr>
        <w:tc>
          <w:tcPr>
            <w:tcW w:w="8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5,536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3,071</w:t>
            </w:r>
          </w:p>
        </w:tc>
      </w:tr>
      <w:tr>
        <w:trPr>
          <w:trHeight w:val="216"/>
        </w:trPr>
        <w:tc>
          <w:tcPr>
            <w:tcW w:w="8400" w:type="dxa"/>
            <w:vAlign w:val="bottom"/>
          </w:tcPr>
          <w:p>
            <w:pPr>
              <w:ind w:left="72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3,204</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1,635</w:t>
            </w:r>
          </w:p>
        </w:tc>
      </w:tr>
      <w:tr>
        <w:trPr>
          <w:trHeight w:val="216"/>
        </w:trPr>
        <w:tc>
          <w:tcPr>
            <w:tcW w:w="8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3,266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w:t>
            </w: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14,941</w:t>
            </w:r>
          </w:p>
        </w:tc>
        <w:tc>
          <w:tcPr>
            <w:tcW w:w="5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8,340</w:t>
            </w:r>
          </w:p>
        </w:tc>
        <w:tc>
          <w:tcPr>
            <w:tcW w:w="120" w:type="dxa"/>
            <w:vAlign w:val="bottom"/>
          </w:tcPr>
          <w:p>
            <w:pPr>
              <w:spacing w:after="0"/>
              <w:rPr>
                <w:sz w:val="20"/>
                <w:szCs w:val="20"/>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(10,214)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(3,658)</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(10,217)</w:t>
            </w: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(3,566)</w:t>
            </w:r>
          </w:p>
        </w:tc>
        <w:tc>
          <w:tcPr>
            <w:tcW w:w="120" w:type="dxa"/>
            <w:vAlign w:val="bottom"/>
          </w:tcPr>
          <w:p>
            <w:pPr>
              <w:spacing w:after="0"/>
              <w:rPr>
                <w:sz w:val="19"/>
                <w:szCs w:val="19"/>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(10,227)</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(3,566)</w:t>
            </w:r>
          </w:p>
        </w:tc>
        <w:tc>
          <w:tcPr>
            <w:tcW w:w="12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0.48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0.19</w:t>
            </w: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r>
      <w:tr>
        <w:trPr>
          <w:trHeight w:val="324"/>
        </w:trPr>
        <w:tc>
          <w:tcPr>
            <w:tcW w:w="8400" w:type="dxa"/>
            <w:vAlign w:val="bottom"/>
          </w:tcPr>
          <w:p>
            <w:pPr>
              <w:spacing w:after="0"/>
              <w:rPr>
                <w:sz w:val="20"/>
                <w:szCs w:val="20"/>
                <w:color w:val="auto"/>
              </w:rPr>
            </w:pPr>
            <w:r>
              <w:rPr>
                <w:rFonts w:ascii="Arial" w:cs="Arial" w:eastAsia="Arial" w:hAnsi="Arial"/>
                <w:sz w:val="18"/>
                <w:szCs w:val="18"/>
                <w:color w:val="auto"/>
              </w:rPr>
              <w:t>Weighted-average common shares: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21,503,643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18,719,857</w:t>
            </w: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21,503,643</w:t>
            </w: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18,719,857</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00" w:type="dxa"/>
            <w:vAlign w:val="bottom"/>
          </w:tcPr>
          <w:p>
            <w:pPr>
              <w:spacing w:after="0"/>
              <w:rPr>
                <w:sz w:val="14"/>
                <w:szCs w:val="14"/>
                <w:color w:val="auto"/>
              </w:rPr>
            </w:pPr>
          </w:p>
        </w:tc>
        <w:tc>
          <w:tcPr>
            <w:tcW w:w="24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3"/>
              </w:rPr>
              <w:t>Three months ended September 30,</w:t>
            </w:r>
          </w:p>
        </w:tc>
      </w:tr>
      <w:tr>
        <w:trPr>
          <w:trHeight w:val="142"/>
        </w:trPr>
        <w:tc>
          <w:tcPr>
            <w:tcW w:w="86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2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Foreign currency translation gain/(loss)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7"/>
        </w:trPr>
        <w:tc>
          <w:tcPr>
            <w:tcW w:w="8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(10,179)</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(3,600)</w:t>
            </w:r>
          </w:p>
        </w:tc>
      </w:tr>
      <w:tr>
        <w:trPr>
          <w:trHeight w:val="20"/>
        </w:trPr>
        <w:tc>
          <w:tcPr>
            <w:tcW w:w="8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9"/>
          </w:tcPr>
          <w:p>
            <w:pPr>
              <w:jc w:val="right"/>
              <w:ind w:right="801"/>
              <w:spacing w:after="0"/>
              <w:rPr>
                <w:sz w:val="20"/>
                <w:szCs w:val="20"/>
                <w:color w:val="auto"/>
              </w:rPr>
            </w:pPr>
            <w:r>
              <w:rPr>
                <w:rFonts w:ascii="Arial" w:cs="Arial" w:eastAsia="Arial" w:hAnsi="Arial"/>
                <w:sz w:val="14"/>
                <w:szCs w:val="14"/>
                <w:b w:val="1"/>
                <w:bCs w:val="1"/>
                <w:color w:val="auto"/>
                <w:w w:val="95"/>
              </w:rPr>
              <w:t>Three Months Ended September 30, 2020</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60" w:type="dxa"/>
            <w:vAlign w:val="bottom"/>
          </w:tcPr>
          <w:p>
            <w:pPr>
              <w:spacing w:after="0"/>
              <w:rPr>
                <w:sz w:val="15"/>
                <w:szCs w:val="15"/>
                <w:color w:val="auto"/>
              </w:rPr>
            </w:pPr>
          </w:p>
        </w:tc>
        <w:tc>
          <w:tcPr>
            <w:tcW w:w="1320" w:type="dxa"/>
            <w:vAlign w:val="bottom"/>
            <w:gridSpan w:val="4"/>
          </w:tcPr>
          <w:p>
            <w:pPr>
              <w:ind w:left="360"/>
              <w:spacing w:after="0"/>
              <w:rPr>
                <w:sz w:val="20"/>
                <w:szCs w:val="20"/>
                <w:color w:val="auto"/>
              </w:rPr>
            </w:pPr>
            <w:r>
              <w:rPr>
                <w:rFonts w:ascii="Arial" w:cs="Arial" w:eastAsia="Arial" w:hAnsi="Arial"/>
                <w:sz w:val="14"/>
                <w:szCs w:val="14"/>
                <w:b w:val="1"/>
                <w:bCs w:val="1"/>
                <w:color w:val="auto"/>
                <w:w w:val="91"/>
              </w:rPr>
              <w:t>Common Stock</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4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221"/>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4"/>
                <w:szCs w:val="14"/>
                <w:color w:val="auto"/>
              </w:rPr>
            </w:pPr>
          </w:p>
        </w:tc>
        <w:tc>
          <w:tcPr>
            <w:tcW w:w="112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21,467,912</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
                <w:szCs w:val="1"/>
                <w:b w:val="1"/>
                <w:bCs w:val="1"/>
                <w:color w:val="auto"/>
                <w:w w:val="4294967288"/>
              </w:rPr>
              <w:t>3</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259,165</w:t>
            </w:r>
          </w:p>
        </w:tc>
        <w:tc>
          <w:tcPr>
            <w:tcW w:w="3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8,146</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(194,913</w:t>
            </w:r>
          </w:p>
        </w:tc>
        <w:tc>
          <w:tcPr>
            <w:tcW w:w="300" w:type="dxa"/>
            <w:vAlign w:val="bottom"/>
            <w:tcBorders>
              <w:top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72,401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(10,227)</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3,266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Vesting of restricted stock units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151,837</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Translation gain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12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21,623,287</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9"/>
              </w:rPr>
              <w:t>3</w:t>
            </w:r>
          </w:p>
        </w:tc>
        <w:tc>
          <w:tcPr>
            <w:tcW w:w="1160" w:type="dxa"/>
            <w:vAlign w:val="bottom"/>
            <w:tcBorders>
              <w:right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262,431</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8,194</w:t>
            </w:r>
          </w:p>
        </w:tc>
        <w:tc>
          <w:tcPr>
            <w:tcW w:w="124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 (205,140)</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65,488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8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9"/>
          </w:tcPr>
          <w:p>
            <w:pPr>
              <w:jc w:val="right"/>
              <w:ind w:right="821"/>
              <w:spacing w:after="0"/>
              <w:rPr>
                <w:sz w:val="20"/>
                <w:szCs w:val="20"/>
                <w:color w:val="auto"/>
              </w:rPr>
            </w:pPr>
            <w:r>
              <w:rPr>
                <w:rFonts w:ascii="Arial" w:cs="Arial" w:eastAsia="Arial" w:hAnsi="Arial"/>
                <w:sz w:val="14"/>
                <w:szCs w:val="14"/>
                <w:b w:val="1"/>
                <w:bCs w:val="1"/>
                <w:color w:val="auto"/>
                <w:w w:val="94"/>
              </w:rPr>
              <w:t>Three Months Ended September 30, 2019</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860" w:type="dxa"/>
            <w:vAlign w:val="bottom"/>
          </w:tcPr>
          <w:p>
            <w:pPr>
              <w:spacing w:after="0"/>
              <w:rPr>
                <w:sz w:val="15"/>
                <w:szCs w:val="15"/>
                <w:color w:val="auto"/>
              </w:rPr>
            </w:pPr>
          </w:p>
        </w:tc>
        <w:tc>
          <w:tcPr>
            <w:tcW w:w="1320" w:type="dxa"/>
            <w:vAlign w:val="bottom"/>
            <w:gridSpan w:val="4"/>
          </w:tcPr>
          <w:p>
            <w:pPr>
              <w:ind w:left="320"/>
              <w:spacing w:after="0"/>
              <w:rPr>
                <w:sz w:val="20"/>
                <w:szCs w:val="20"/>
                <w:color w:val="auto"/>
              </w:rPr>
            </w:pPr>
            <w:r>
              <w:rPr>
                <w:rFonts w:ascii="Arial" w:cs="Arial" w:eastAsia="Arial" w:hAnsi="Arial"/>
                <w:sz w:val="14"/>
                <w:szCs w:val="14"/>
                <w:b w:val="1"/>
                <w:bCs w:val="1"/>
                <w:color w:val="auto"/>
                <w:w w:val="95"/>
              </w:rPr>
              <w:t>Common Stock</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4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1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221"/>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Paid-in-</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4"/>
                <w:szCs w:val="14"/>
                <w:color w:val="auto"/>
              </w:rPr>
            </w:pPr>
          </w:p>
        </w:tc>
        <w:tc>
          <w:tcPr>
            <w:tcW w:w="112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18,712,996</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0"/>
                <w:szCs w:val="10"/>
                <w:b w:val="1"/>
                <w:bCs w:val="1"/>
                <w:color w:val="auto"/>
                <w:w w:val="71"/>
              </w:rPr>
              <w:t>3</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165,473</w:t>
            </w:r>
          </w:p>
        </w:tc>
        <w:tc>
          <w:tcPr>
            <w:tcW w:w="3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8,184</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(152,828</w:t>
            </w:r>
          </w:p>
        </w:tc>
        <w:tc>
          <w:tcPr>
            <w:tcW w:w="300" w:type="dxa"/>
            <w:vAlign w:val="bottom"/>
            <w:tcBorders>
              <w:top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(3,566)</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3"/>
              </w:rPr>
              <w:t>672</w:t>
            </w: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w w:val="99"/>
              </w:rPr>
              <w:t>Issuance of common stock to director in lieu of directors fees</w:t>
            </w:r>
          </w:p>
        </w:tc>
        <w:tc>
          <w:tcPr>
            <w:tcW w:w="840" w:type="dxa"/>
            <w:vAlign w:val="bottom"/>
          </w:tcPr>
          <w:p>
            <w:pPr>
              <w:jc w:val="right"/>
              <w:spacing w:after="0"/>
              <w:rPr>
                <w:sz w:val="20"/>
                <w:szCs w:val="20"/>
                <w:color w:val="auto"/>
              </w:rPr>
            </w:pPr>
            <w:r>
              <w:rPr>
                <w:rFonts w:ascii="Arial" w:cs="Arial" w:eastAsia="Arial" w:hAnsi="Arial"/>
                <w:sz w:val="18"/>
                <w:szCs w:val="18"/>
                <w:color w:val="auto"/>
              </w:rPr>
              <w:t>15,853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w w:val="73"/>
              </w:rPr>
              <w:t>107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2"/>
        </w:trPr>
        <w:tc>
          <w:tcPr>
            <w:tcW w:w="48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Beginning balance adjustment related ot the adoption of ASC</w:t>
            </w:r>
          </w:p>
        </w:tc>
        <w:tc>
          <w:tcPr>
            <w:tcW w:w="8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tcBorders>
              <w:left w:val="single" w:sz="8" w:color="CCEEFF"/>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842</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Translation loss</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12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86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18,728,849</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ind w:left="200"/>
              <w:spacing w:after="0"/>
              <w:rPr>
                <w:sz w:val="20"/>
                <w:szCs w:val="20"/>
                <w:color w:val="auto"/>
              </w:rPr>
            </w:pPr>
            <w:r>
              <w:rPr>
                <w:rFonts w:ascii="Arial" w:cs="Arial" w:eastAsia="Arial" w:hAnsi="Arial"/>
                <w:sz w:val="10"/>
                <w:szCs w:val="10"/>
                <w:b w:val="1"/>
                <w:bCs w:val="1"/>
                <w:color w:val="auto"/>
                <w:w w:val="71"/>
              </w:rPr>
              <w:t>3</w:t>
            </w:r>
          </w:p>
        </w:tc>
        <w:tc>
          <w:tcPr>
            <w:tcW w:w="8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166,252</w:t>
            </w: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8,150</w:t>
            </w:r>
          </w:p>
        </w:tc>
        <w:tc>
          <w:tcPr>
            <w:tcW w:w="180" w:type="dxa"/>
            <w:vAlign w:val="bottom"/>
            <w:tcBorders>
              <w:left w:val="single" w:sz="8" w:color="CCEEFF"/>
            </w:tcBorders>
            <w:shd w:val="clear" w:color="auto" w:fill="CCEEFF"/>
          </w:tcPr>
          <w:p>
            <w:pPr>
              <w:spacing w:after="0"/>
              <w:rPr>
                <w:sz w:val="18"/>
                <w:szCs w:val="18"/>
                <w:color w:val="auto"/>
              </w:rPr>
            </w:pPr>
          </w:p>
        </w:tc>
        <w:tc>
          <w:tcPr>
            <w:tcW w:w="124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 (156,449)</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17,956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Three Months ended</w:t>
      </w:r>
    </w:p>
    <w:p>
      <w:pPr>
        <w:jc w:val="center"/>
        <w:ind w:left="93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Net loss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(10,227)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(3,566)</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lease expense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Loss (gain) on foreign currency transactions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write-down of inventories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to directors in lieu of directors fees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and other receivables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(1,915)</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BARDA receivables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Prepaids and other current assets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Other long term assets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Accrued wages and fringe benefits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Other long term liabilities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operations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(4,881)</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property and equipment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Cash paid for patent filing fees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repayment of finance lease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720"/>
              <w:spacing w:after="0"/>
              <w:rPr>
                <w:sz w:val="20"/>
                <w:szCs w:val="20"/>
                <w:color w:val="auto"/>
              </w:rPr>
            </w:pPr>
            <w:r>
              <w:rPr>
                <w:rFonts w:ascii="Arial" w:cs="Arial" w:eastAsia="Arial" w:hAnsi="Arial"/>
                <w:sz w:val="18"/>
                <w:szCs w:val="18"/>
                <w:color w:val="auto"/>
              </w:rPr>
              <w:t>Net cash used in financing activities</w:t>
            </w:r>
          </w:p>
        </w:tc>
        <w:tc>
          <w:tcPr>
            <w:tcW w:w="2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40" w:type="dxa"/>
            <w:vAlign w:val="bottom"/>
            <w:vMerge w:val="continue"/>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on cash and restricted cash</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b w:val="1"/>
                <w:bCs w:val="1"/>
                <w:color w:val="auto"/>
              </w:rPr>
              <w:t>Net decrease in cash and restricted cash</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(7,886)</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(5,072)</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restricted cash at beginning of the period</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73,840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20,374</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b w:val="1"/>
                <w:bCs w:val="1"/>
                <w:color w:val="auto"/>
              </w:rPr>
              <w:t>Cash and restricted cash end of the period</w:t>
            </w:r>
          </w:p>
        </w:tc>
        <w:tc>
          <w:tcPr>
            <w:tcW w:w="2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65,954</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Fixed assets in accounts payable</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AVITA THERAPEUTICS,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113" w:lineRule="exact"/>
        <w:rPr>
          <w:sz w:val="20"/>
          <w:szCs w:val="20"/>
          <w:color w:val="auto"/>
        </w:rPr>
      </w:pPr>
    </w:p>
    <w:p>
      <w:pPr>
        <w:ind w:left="120" w:firstLine="991"/>
        <w:spacing w:after="0" w:line="253" w:lineRule="auto"/>
        <w:rPr>
          <w:sz w:val="20"/>
          <w:szCs w:val="20"/>
          <w:color w:val="auto"/>
        </w:rPr>
      </w:pPr>
      <w:r>
        <w:rPr>
          <w:rFonts w:ascii="Arial" w:cs="Arial" w:eastAsia="Arial" w:hAnsi="Arial"/>
          <w:sz w:val="18"/>
          <w:szCs w:val="18"/>
          <w:color w:val="auto"/>
        </w:rPr>
        <w:t>The AVITA group of companies (comprising AVITA Therapeutics, Inc. (“</w:t>
      </w:r>
      <w:r>
        <w:rPr>
          <w:rFonts w:ascii="Arial" w:cs="Arial" w:eastAsia="Arial" w:hAnsi="Arial"/>
          <w:sz w:val="18"/>
          <w:szCs w:val="18"/>
          <w:b w:val="1"/>
          <w:bCs w:val="1"/>
          <w:color w:val="auto"/>
        </w:rPr>
        <w:t>AVITA Therapeutics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and its subsidiaries, including AVITA Medical Limited (“</w:t>
      </w:r>
      <w:r>
        <w:rPr>
          <w:rFonts w:ascii="Arial" w:cs="Arial" w:eastAsia="Arial" w:hAnsi="Arial"/>
          <w:sz w:val="18"/>
          <w:szCs w:val="18"/>
          <w:b w:val="1"/>
          <w:bCs w:val="1"/>
          <w:color w:val="auto"/>
        </w:rPr>
        <w:t>AVITA Medical</w:t>
      </w:r>
      <w:r>
        <w:rPr>
          <w:rFonts w:ascii="Arial" w:cs="Arial" w:eastAsia="Arial" w:hAnsi="Arial"/>
          <w:sz w:val="18"/>
          <w:szCs w:val="18"/>
          <w:color w:val="auto"/>
        </w:rPr>
        <w:t>”)) (collectively, “</w:t>
      </w:r>
      <w:r>
        <w:rPr>
          <w:rFonts w:ascii="Arial" w:cs="Arial" w:eastAsia="Arial" w:hAnsi="Arial"/>
          <w:sz w:val="18"/>
          <w:szCs w:val="18"/>
          <w:b w:val="1"/>
          <w:bCs w:val="1"/>
          <w:color w:val="auto"/>
        </w:rPr>
        <w:t>AVITA Group</w:t>
      </w:r>
      <w:r>
        <w:rPr>
          <w:rFonts w:ascii="Arial" w:cs="Arial" w:eastAsia="Arial" w:hAnsi="Arial"/>
          <w:sz w:val="18"/>
          <w:szCs w:val="18"/>
          <w:color w:val="auto"/>
        </w:rPr>
        <w:t>” or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or “</w:t>
      </w:r>
      <w:r>
        <w:rPr>
          <w:rFonts w:ascii="Arial" w:cs="Arial" w:eastAsia="Arial" w:hAnsi="Arial"/>
          <w:sz w:val="18"/>
          <w:szCs w:val="18"/>
          <w:b w:val="1"/>
          <w:bCs w:val="1"/>
          <w:color w:val="auto"/>
        </w:rPr>
        <w:t>our</w:t>
      </w:r>
      <w:r>
        <w:rPr>
          <w:rFonts w:ascii="Arial" w:cs="Arial" w:eastAsia="Arial" w:hAnsi="Arial"/>
          <w:sz w:val="18"/>
          <w:szCs w:val="18"/>
          <w:color w:val="auto"/>
        </w:rPr>
        <w:t>”) is a commercial-stage regenerative tissue company focused on the treatment of burns, trauma and other acute injuries, together with skin defects like vitiligo. The Company’s lead product is the RECELL</w:t>
      </w:r>
      <w:r>
        <w:rPr>
          <w:rFonts w:ascii="Arial" w:cs="Arial" w:eastAsia="Arial" w:hAnsi="Arial"/>
          <w:sz w:val="15"/>
          <w:szCs w:val="15"/>
          <w:color w:val="auto"/>
        </w:rPr>
        <w:t>®</w:t>
      </w:r>
      <w:r>
        <w:rPr>
          <w:rFonts w:ascii="Arial" w:cs="Arial" w:eastAsia="Arial" w:hAnsi="Arial"/>
          <w:sz w:val="18"/>
          <w:szCs w:val="18"/>
          <w:color w:val="auto"/>
        </w:rPr>
        <w:t xml:space="preserve"> System, a device that enables healthcare professionals to produce a suspension of Spray-On Skin</w:t>
      </w:r>
      <w:r>
        <w:rPr>
          <w:rFonts w:ascii="Arial" w:cs="Arial" w:eastAsia="Arial" w:hAnsi="Arial"/>
          <w:sz w:val="15"/>
          <w:szCs w:val="15"/>
          <w:color w:val="auto"/>
        </w:rPr>
        <w:t>™</w:t>
      </w:r>
      <w:r>
        <w:rPr>
          <w:rFonts w:ascii="Arial" w:cs="Arial" w:eastAsia="Arial" w:hAnsi="Arial"/>
          <w:sz w:val="18"/>
          <w:szCs w:val="18"/>
          <w:color w:val="auto"/>
        </w:rPr>
        <w:t xml:space="preserve"> Cells using a small sample of the patient’s own skin. In September 2018, the United States Food &amp; Drug Administration (“</w:t>
      </w:r>
      <w:r>
        <w:rPr>
          <w:rFonts w:ascii="Arial" w:cs="Arial" w:eastAsia="Arial" w:hAnsi="Arial"/>
          <w:sz w:val="18"/>
          <w:szCs w:val="18"/>
          <w:b w:val="1"/>
          <w:bCs w:val="1"/>
          <w:color w:val="auto"/>
        </w:rPr>
        <w:t>FDA</w:t>
      </w:r>
      <w:r>
        <w:rPr>
          <w:rFonts w:ascii="Arial" w:cs="Arial" w:eastAsia="Arial" w:hAnsi="Arial"/>
          <w:sz w:val="18"/>
          <w:szCs w:val="18"/>
          <w:color w:val="auto"/>
        </w:rPr>
        <w:t>”) granted premarket approval (“</w:t>
      </w:r>
      <w:r>
        <w:rPr>
          <w:rFonts w:ascii="Arial" w:cs="Arial" w:eastAsia="Arial" w:hAnsi="Arial"/>
          <w:sz w:val="18"/>
          <w:szCs w:val="18"/>
          <w:b w:val="1"/>
          <w:bCs w:val="1"/>
          <w:color w:val="auto"/>
        </w:rPr>
        <w:t>PMA</w:t>
      </w:r>
      <w:r>
        <w:rPr>
          <w:rFonts w:ascii="Arial" w:cs="Arial" w:eastAsia="Arial" w:hAnsi="Arial"/>
          <w:sz w:val="18"/>
          <w:szCs w:val="18"/>
          <w:color w:val="auto"/>
        </w:rPr>
        <w:t>”) to the RECELL System for use in the treatment of acute thermal burns in patients eighteen years and older. Following receipt of our PMA, we commenced commercializing the RECELL System in January 2019 in the United States. In addition, the FDA has granted the Company three Investigational Device Exemptions (“</w:t>
      </w:r>
      <w:r>
        <w:rPr>
          <w:rFonts w:ascii="Arial" w:cs="Arial" w:eastAsia="Arial" w:hAnsi="Arial"/>
          <w:sz w:val="18"/>
          <w:szCs w:val="18"/>
          <w:b w:val="1"/>
          <w:bCs w:val="1"/>
          <w:color w:val="auto"/>
        </w:rPr>
        <w:t>IDEs</w:t>
      </w:r>
      <w:r>
        <w:rPr>
          <w:rFonts w:ascii="Arial" w:cs="Arial" w:eastAsia="Arial" w:hAnsi="Arial"/>
          <w:sz w:val="18"/>
          <w:szCs w:val="18"/>
          <w:color w:val="auto"/>
        </w:rPr>
        <w:t>”) studies which have enabled the Company to initiate pivotal clinical investigational studies to seek expanded FDA (supplementary) PMA of the RECELL System for each of soft tissue reconstruction, pediatric scalds, and vitiligo. Enrollment of those clinical studies is ongoing and, if successful, those studies would enable the Company to commence commercializing the RECELL System in the United States in each of those indications.</w:t>
      </w:r>
    </w:p>
    <w:p>
      <w:pPr>
        <w:spacing w:after="0" w:line="192" w:lineRule="exact"/>
        <w:rPr>
          <w:sz w:val="20"/>
          <w:szCs w:val="20"/>
          <w:color w:val="auto"/>
        </w:rPr>
      </w:pPr>
    </w:p>
    <w:p>
      <w:pPr>
        <w:ind w:left="120" w:right="40" w:firstLine="991"/>
        <w:spacing w:after="0" w:line="289" w:lineRule="auto"/>
        <w:rPr>
          <w:sz w:val="20"/>
          <w:szCs w:val="20"/>
          <w:color w:val="auto"/>
        </w:rPr>
      </w:pPr>
      <w:r>
        <w:rPr>
          <w:rFonts w:ascii="Arial" w:cs="Arial" w:eastAsia="Arial" w:hAnsi="Arial"/>
          <w:sz w:val="16"/>
          <w:szCs w:val="16"/>
          <w:color w:val="auto"/>
        </w:rPr>
        <w:t>In March 2020, the World Health Organization declared the outbreak of a novel strain of the coronavirus (“</w:t>
      </w:r>
      <w:r>
        <w:rPr>
          <w:rFonts w:ascii="Arial" w:cs="Arial" w:eastAsia="Arial" w:hAnsi="Arial"/>
          <w:sz w:val="16"/>
          <w:szCs w:val="16"/>
          <w:b w:val="1"/>
          <w:bCs w:val="1"/>
          <w:color w:val="auto"/>
        </w:rPr>
        <w:t>COVID-19</w:t>
      </w:r>
      <w:r>
        <w:rPr>
          <w:rFonts w:ascii="Arial" w:cs="Arial" w:eastAsia="Arial" w:hAnsi="Arial"/>
          <w:sz w:val="16"/>
          <w:szCs w:val="16"/>
          <w:color w:val="auto"/>
        </w:rPr>
        <w:t>”) a pandemic. COVID-19 is having, and will likely continue to have, an adverse effect on our business, results of operations, financial condition, and cash flows, and its future impacts remain highly uncertain and unpredictable. The Company has considered the disruptions caused by COVID-19, including lower than forecasted sales, delays to the speed of enrollment in the Company’s clinical trials that may, if successful, support commercial approval and new revenues in additional markets, and macroeconomic factors, that may impact its estimates. The Company has assessed the potential impact of COVID-19 on certain accounting matters including, but not limited to, the allowance for doubtful accounts, inventory reserves and return reserves, as of September 30, 2020 and through the date of this report. During the three months ended September 30, 2020, COVID-19 had minor effects on the Company’s operations and financial position and cash flows. With respect to future operating results, it is not possible at this time to predict, with any degree of precision, the effects of COVID-19. Consequently, actual results for accounting estimates and assumptions, particularly those relating to the recoverability of certain intangible assets and estimates of expected credit losses on accounts receivable could differ from these estimates.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Redomiciliation</w:t>
      </w:r>
    </w:p>
    <w:p>
      <w:pPr>
        <w:spacing w:after="0" w:line="117" w:lineRule="exact"/>
        <w:rPr>
          <w:sz w:val="20"/>
          <w:szCs w:val="20"/>
          <w:color w:val="auto"/>
        </w:rPr>
      </w:pPr>
    </w:p>
    <w:p>
      <w:pPr>
        <w:ind w:left="120" w:right="20" w:firstLine="991"/>
        <w:spacing w:after="0" w:line="287" w:lineRule="auto"/>
        <w:rPr>
          <w:sz w:val="20"/>
          <w:szCs w:val="20"/>
          <w:color w:val="auto"/>
        </w:rPr>
      </w:pPr>
      <w:r>
        <w:rPr>
          <w:rFonts w:ascii="Arial" w:cs="Arial" w:eastAsia="Arial" w:hAnsi="Arial"/>
          <w:sz w:val="16"/>
          <w:szCs w:val="16"/>
          <w:color w:val="auto"/>
        </w:rPr>
        <w:t>On June 29, 2020, the Company, a newly formed Delaware corporation, acquired all of the issued share capital of AVITA Medical , a then public company incorporated under the laws of the Commonwealth of Australia and former parent company of the AVITA Group. The acquisition was completed pursuant to a scheme of arrangement under Australian law, and was approved by the Federal Court of Australia on June 22, 2020, and by shareholders of AVITA Medical on June 15, 2020 (the “</w:t>
      </w:r>
      <w:r>
        <w:rPr>
          <w:rFonts w:ascii="Arial" w:cs="Arial" w:eastAsia="Arial" w:hAnsi="Arial"/>
          <w:sz w:val="16"/>
          <w:szCs w:val="16"/>
          <w:b w:val="1"/>
          <w:bCs w:val="1"/>
          <w:color w:val="auto"/>
        </w:rPr>
        <w:t>Redomiciliation</w:t>
      </w:r>
      <w:r>
        <w:rPr>
          <w:rFonts w:ascii="Arial" w:cs="Arial" w:eastAsia="Arial" w:hAnsi="Arial"/>
          <w:sz w:val="16"/>
          <w:szCs w:val="16"/>
          <w:color w:val="auto"/>
        </w:rPr>
        <w:t>”). Under the Redomiciliation, all of the issued and outstanding ordinary shares of AVITA Medical, including those ordinary shares held in the form of American Depositary Shares (“</w:t>
      </w:r>
      <w:r>
        <w:rPr>
          <w:rFonts w:ascii="Arial" w:cs="Arial" w:eastAsia="Arial" w:hAnsi="Arial"/>
          <w:sz w:val="16"/>
          <w:szCs w:val="16"/>
          <w:b w:val="1"/>
          <w:bCs w:val="1"/>
          <w:color w:val="auto"/>
        </w:rPr>
        <w:t>ADSs</w:t>
      </w:r>
      <w:r>
        <w:rPr>
          <w:rFonts w:ascii="Arial" w:cs="Arial" w:eastAsia="Arial" w:hAnsi="Arial"/>
          <w:sz w:val="16"/>
          <w:szCs w:val="16"/>
          <w:color w:val="auto"/>
        </w:rPr>
        <w:t>”), were exchanged for newly issued shares of common stock of the AVITA Therapeutics or CHESS Depositary Interests (“</w:t>
      </w:r>
      <w:r>
        <w:rPr>
          <w:rFonts w:ascii="Arial" w:cs="Arial" w:eastAsia="Arial" w:hAnsi="Arial"/>
          <w:sz w:val="16"/>
          <w:szCs w:val="16"/>
          <w:b w:val="1"/>
          <w:bCs w:val="1"/>
          <w:color w:val="auto"/>
        </w:rPr>
        <w:t>CDIs</w:t>
      </w:r>
      <w:r>
        <w:rPr>
          <w:rFonts w:ascii="Arial" w:cs="Arial" w:eastAsia="Arial" w:hAnsi="Arial"/>
          <w:sz w:val="16"/>
          <w:szCs w:val="16"/>
          <w:color w:val="auto"/>
        </w:rPr>
        <w:t xml:space="preserve">”). This exchange was conducted on the basis of one share of common stock of AVITA Therapeutics for every 100 ordinary shares of AVITA Medical, effecting an ‘implicit consolidation’ or ‘reverse split’. The holders of ordinary shares of AVITA Medical received one CDI for every 20 ordinary shares held in AVITA Medical, and the holders of AVITA Medical </w:t>
      </w:r>
      <w:r>
        <w:rPr>
          <w:rFonts w:ascii="Arial" w:cs="Arial" w:eastAsia="Arial" w:hAnsi="Arial"/>
          <w:sz w:val="16"/>
          <w:szCs w:val="16"/>
          <w:b w:val="1"/>
          <w:bCs w:val="1"/>
          <w:color w:val="auto"/>
        </w:rPr>
        <w:t xml:space="preserve">ADSs </w:t>
      </w:r>
      <w:r>
        <w:rPr>
          <w:rFonts w:ascii="Arial" w:cs="Arial" w:eastAsia="Arial" w:hAnsi="Arial"/>
          <w:sz w:val="16"/>
          <w:szCs w:val="16"/>
          <w:color w:val="auto"/>
        </w:rPr>
        <w:t>(each of which previously represented 20 ordinary shares in AVITA Medical) received one share of common stock in AVITA Therapeutics for</w:t>
      </w:r>
      <w:r>
        <w:rPr>
          <w:rFonts w:ascii="Arial" w:cs="Arial" w:eastAsia="Arial" w:hAnsi="Arial"/>
          <w:sz w:val="16"/>
          <w:szCs w:val="16"/>
          <w:b w:val="1"/>
          <w:bCs w:val="1"/>
          <w:color w:val="auto"/>
        </w:rPr>
        <w:t xml:space="preserve"> </w:t>
      </w:r>
      <w:r>
        <w:rPr>
          <w:rFonts w:ascii="Arial" w:cs="Arial" w:eastAsia="Arial" w:hAnsi="Arial"/>
          <w:sz w:val="16"/>
          <w:szCs w:val="16"/>
          <w:color w:val="auto"/>
        </w:rPr>
        <w:t>every five ADSs held. The common stock of AVITA Therapeutics began trading on The NASDAQ Stock Exchange LLC (“</w:t>
      </w:r>
      <w:r>
        <w:rPr>
          <w:rFonts w:ascii="Arial" w:cs="Arial" w:eastAsia="Arial" w:hAnsi="Arial"/>
          <w:sz w:val="16"/>
          <w:szCs w:val="16"/>
          <w:b w:val="1"/>
          <w:bCs w:val="1"/>
          <w:color w:val="auto"/>
        </w:rPr>
        <w:t>NASDAQ</w:t>
      </w:r>
      <w:r>
        <w:rPr>
          <w:rFonts w:ascii="Arial" w:cs="Arial" w:eastAsia="Arial" w:hAnsi="Arial"/>
          <w:sz w:val="16"/>
          <w:szCs w:val="16"/>
          <w:color w:val="auto"/>
        </w:rPr>
        <w:t>”) upon market open on July 1, 2020 under the same ticker code, “RCEL” as AVITA Medical’s ADSs were traded under prior to the Redomiciliation.</w:t>
      </w:r>
    </w:p>
    <w:p>
      <w:pPr>
        <w:spacing w:after="0" w:line="172" w:lineRule="exact"/>
        <w:rPr>
          <w:sz w:val="20"/>
          <w:szCs w:val="20"/>
          <w:color w:val="auto"/>
        </w:rPr>
      </w:pPr>
    </w:p>
    <w:p>
      <w:pPr>
        <w:ind w:left="120" w:right="80" w:firstLine="991"/>
        <w:spacing w:after="0" w:line="286" w:lineRule="auto"/>
        <w:rPr>
          <w:sz w:val="20"/>
          <w:szCs w:val="20"/>
          <w:color w:val="auto"/>
        </w:rPr>
      </w:pPr>
      <w:r>
        <w:rPr>
          <w:rFonts w:ascii="Arial" w:cs="Arial" w:eastAsia="Arial" w:hAnsi="Arial"/>
          <w:sz w:val="17"/>
          <w:szCs w:val="17"/>
          <w:color w:val="auto"/>
        </w:rPr>
        <w:t>As part of the exchange of shares under the Redomiciliation, a reverse split was also simultaneously implemented such that the number of shares of common stock on issue in AVITA Therapeutics (as set out in the condensed consolidated financial statements) is less than the number of ordinary shares in AVITA Medical that was previously set out in the consolidated financial statements of AVITA Medical.</w:t>
      </w:r>
    </w:p>
    <w:p>
      <w:pPr>
        <w:spacing w:after="0" w:line="165"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color w:val="auto"/>
        </w:rPr>
        <w:t>The Redomiciliation resulted in the domicile of the AVITA Group moving from Australia to the United States of America, with AVITA Therapeutics becoming the ultimate parent company of the AVITA Group. In addition, the existing listing of AVITA Medical ordinary shares on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(as its primary listing) and AVITA Medical ADSs on NASDAQ (as its secondary listing) was inverted and replaced with a new listing of AVITA Therapeutics common stock on NASDAQ (as its primary listing) under the existing ticker symbol, “RCEL” and AVITA Therapeutics CDIs on the ASX (as its secondary listing) under the existing ticker symbol, AVH. Five CDIs traded on ASX are equivalent to one share of common stock traded on NASDAQ.</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As a result of the Redomiciliation, the reporting currency of the AVITA Group has changed from the Australian dollar to the U.S. dollar. In accordance with SEC regulation, S-X Rule 320 (e), the impact of the change in the reporting currency was included in a component of other comprehensive income (loss).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generally accepted accounting principles in the United States of America (“</w:t>
      </w:r>
      <w:r>
        <w:rPr>
          <w:rFonts w:ascii="Arial" w:cs="Arial" w:eastAsia="Arial" w:hAnsi="Arial"/>
          <w:sz w:val="17"/>
          <w:szCs w:val="17"/>
          <w:b w:val="1"/>
          <w:bCs w:val="1"/>
          <w:color w:val="auto"/>
        </w:rPr>
        <w:t>GAAP</w:t>
      </w:r>
      <w:r>
        <w:rPr>
          <w:rFonts w:ascii="Arial" w:cs="Arial" w:eastAsia="Arial" w:hAnsi="Arial"/>
          <w:sz w:val="17"/>
          <w:szCs w:val="17"/>
          <w:color w:val="auto"/>
        </w:rPr>
        <w:t>”) for interim financial information and with the instructions to Form 10-Q and Article 10 of Regulation S-X of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June 30, 2020 filed with the SEC on August 27, 2020 (the “</w:t>
      </w:r>
      <w:r>
        <w:rPr>
          <w:rFonts w:ascii="Arial" w:cs="Arial" w:eastAsia="Arial" w:hAnsi="Arial"/>
          <w:sz w:val="17"/>
          <w:szCs w:val="17"/>
          <w:b w:val="1"/>
          <w:bCs w:val="1"/>
          <w:color w:val="auto"/>
        </w:rPr>
        <w:t>Annual Report</w:t>
      </w:r>
      <w:r>
        <w:rPr>
          <w:rFonts w:ascii="Arial" w:cs="Arial" w:eastAsia="Arial" w:hAnsi="Arial"/>
          <w:sz w:val="17"/>
          <w:szCs w:val="17"/>
          <w:color w:val="auto"/>
        </w:rPr>
        <w:t>”).</w:t>
      </w:r>
    </w:p>
    <w:p>
      <w:pPr>
        <w:spacing w:after="0" w:line="178" w:lineRule="exact"/>
        <w:rPr>
          <w:sz w:val="20"/>
          <w:szCs w:val="20"/>
          <w:color w:val="auto"/>
        </w:rPr>
      </w:pPr>
    </w:p>
    <w:p>
      <w:pPr>
        <w:ind w:left="120" w:right="260" w:firstLine="991"/>
        <w:spacing w:after="0" w:line="263" w:lineRule="auto"/>
        <w:rPr>
          <w:sz w:val="20"/>
          <w:szCs w:val="20"/>
          <w:color w:val="auto"/>
        </w:rPr>
      </w:pPr>
      <w:r>
        <w:rPr>
          <w:rFonts w:ascii="Arial" w:cs="Arial" w:eastAsia="Arial" w:hAnsi="Arial"/>
          <w:sz w:val="18"/>
          <w:szCs w:val="18"/>
          <w:color w:val="auto"/>
        </w:rPr>
        <w:t>There have been no changes to the Company’s significant accounting policies as described in the annual report on Form 10-K that have had a material impact on the Company’s condensed consolidated financial statements. See the summary of the Company’s significant accounting policies set forth in the notes to its consolidated financial statements included in the Annual Report.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left="120" w:right="140" w:firstLine="991"/>
        <w:spacing w:after="0" w:line="263"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As a result of the Redomiciliation, the parent company of the AVITA Group changed from AVITA Medical to AVITA Therapeutics. All intercompany transactions and balances have been eliminated on consolidation.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color w:val="auto"/>
        </w:rPr>
        <w:t>The preparation of the accompanying condensed consolidated financial statements in conformity with U.S. GAAP requires management to make estimates and assumptions that affect the reported amounts including doubtful accounts, carrying value of long-lived asset, the useful lives of long-lived assets, inventory, accounting for income taxes and share-based compensation and related disclosures. Estimates have been prepared on the basis of the current and available information. However, actual results could differ from estimated amounts.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The financial position and results of operations of the Company’s non-U.S. subsidiaries are generally determined using the respective local currency as the functional currency of that subsidiary. Assets and liabilities of these subsidiaries are translated at the exchange rate in effect at each period end. Income statement accounts are translated at the average rate of exchange prevailing during the period. Adjustments arising from the use of differing exchange rates from period to period are included in accumulated other comprehensive gain (loss) in shareholders’ equity. Gains and losses resulting from foreign currency transactions, which are not material, are included in general and administrative expenses in the condensed consolidated statements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 xml:space="preserve">Revenues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Effective July 1, 2018, the Company adopted ASC 606,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using the modified retrospective method applicable to all contracts that were not completed at the date of initial application. This update</w:t>
      </w:r>
      <w:r>
        <w:rPr>
          <w:rFonts w:ascii="Arial" w:cs="Arial" w:eastAsia="Arial" w:hAnsi="Arial"/>
          <w:sz w:val="17"/>
          <w:szCs w:val="17"/>
          <w:i w:val="1"/>
          <w:iCs w:val="1"/>
          <w:color w:val="auto"/>
        </w:rPr>
        <w:t xml:space="preserve"> </w:t>
      </w:r>
      <w:r>
        <w:rPr>
          <w:rFonts w:ascii="Arial" w:cs="Arial" w:eastAsia="Arial" w:hAnsi="Arial"/>
          <w:sz w:val="17"/>
          <w:szCs w:val="17"/>
          <w:color w:val="auto"/>
        </w:rPr>
        <w:t>outlined a comprehensive new revenue recognition model designed to depict the transfer of promised goods or services to customers in an amount that reflects the consideration to which the entity expects to be entitled in exchange for those goods or services. The new standard also required additional qualitative disclosures. Refer to Note 12 – Revenues for further information.</w:t>
      </w:r>
    </w:p>
    <w:p>
      <w:pPr>
        <w:spacing w:after="0" w:line="177"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For the Company’s contracts that have an original duration of one year or less, the Company used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fulfilment costs such as commissions and shipping and handling expenses as incurred.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w:t>
      </w:r>
    </w:p>
    <w:p>
      <w:pPr>
        <w:spacing w:after="0" w:line="117" w:lineRule="exact"/>
        <w:rPr>
          <w:sz w:val="20"/>
          <w:szCs w:val="20"/>
          <w:color w:val="auto"/>
        </w:rPr>
      </w:pPr>
    </w:p>
    <w:p>
      <w:pPr>
        <w:ind w:left="120" w:right="200" w:firstLine="991"/>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trade and other receivables. As of September 30, 2020, and June 30, 2020, substantially all of the Company’s cash was deposited in accounts at financial institutions, and amounts exceed federally insured limits. Management believes that the Company is not exposed to significant credit risk due to the financial strength of the depository institutions in which its cash is held.</w:t>
      </w:r>
    </w:p>
    <w:p>
      <w:pPr>
        <w:spacing w:after="0" w:line="187"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As of September 30, 2020 and June 30, 2020, no single customer accounted for more than 10% of net accounts receivable. For the three months ended September 30, 2020, no single customer accounted for more than 10% of total revenues. For the three months ended September 30, 2019, one customer accounted for 13% of total revenues.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BARDA Income and Receivables</w:t>
      </w:r>
    </w:p>
    <w:p>
      <w:pPr>
        <w:spacing w:after="0" w:line="113" w:lineRule="exact"/>
        <w:rPr>
          <w:sz w:val="20"/>
          <w:szCs w:val="20"/>
          <w:color w:val="auto"/>
        </w:rPr>
      </w:pPr>
    </w:p>
    <w:p>
      <w:pPr>
        <w:ind w:left="120" w:right="140" w:firstLine="991"/>
        <w:spacing w:after="0" w:line="314" w:lineRule="auto"/>
        <w:rPr>
          <w:sz w:val="20"/>
          <w:szCs w:val="20"/>
          <w:color w:val="auto"/>
        </w:rPr>
      </w:pPr>
      <w:r>
        <w:rPr>
          <w:rFonts w:ascii="Arial" w:cs="Arial" w:eastAsia="Arial" w:hAnsi="Arial"/>
          <w:sz w:val="16"/>
          <w:szCs w:val="16"/>
          <w:color w:val="auto"/>
        </w:rPr>
        <w:t>The AVITA Group was awarded a Biomedical Advance Research and Development Authority (“</w:t>
      </w:r>
      <w:r>
        <w:rPr>
          <w:rFonts w:ascii="Arial" w:cs="Arial" w:eastAsia="Arial" w:hAnsi="Arial"/>
          <w:sz w:val="16"/>
          <w:szCs w:val="16"/>
          <w:b w:val="1"/>
          <w:bCs w:val="1"/>
          <w:color w:val="auto"/>
        </w:rPr>
        <w:t>BARDA</w:t>
      </w:r>
      <w:r>
        <w:rPr>
          <w:rFonts w:ascii="Arial" w:cs="Arial" w:eastAsia="Arial" w:hAnsi="Arial"/>
          <w:sz w:val="16"/>
          <w:szCs w:val="16"/>
          <w:color w:val="auto"/>
        </w:rPr>
        <w:t>”) contract in September 2015. Under this arrangement BARDA supports the Company’s research and development for the Company’s product, including the ongoing U.S. clinical regulatory program targeted towards PMA, our compassionate use program, clinical and health economics research, and U.S. pediatric burn programs.</w:t>
      </w:r>
    </w:p>
    <w:p>
      <w:pPr>
        <w:spacing w:after="0" w:line="146" w:lineRule="exact"/>
        <w:rPr>
          <w:sz w:val="20"/>
          <w:szCs w:val="20"/>
          <w:color w:val="auto"/>
        </w:rPr>
      </w:pPr>
    </w:p>
    <w:p>
      <w:pPr>
        <w:ind w:left="120" w:right="40" w:firstLine="991"/>
        <w:spacing w:after="0" w:line="286" w:lineRule="auto"/>
        <w:rPr>
          <w:sz w:val="20"/>
          <w:szCs w:val="20"/>
          <w:color w:val="auto"/>
        </w:rPr>
      </w:pPr>
      <w:r>
        <w:rPr>
          <w:rFonts w:ascii="Arial" w:cs="Arial" w:eastAsia="Arial" w:hAnsi="Arial"/>
          <w:sz w:val="17"/>
          <w:szCs w:val="17"/>
          <w:color w:val="auto"/>
        </w:rPr>
        <w:t>Consideration received under the BARDA arrangement is earned and recognized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w:t>
      </w:r>
    </w:p>
    <w:p>
      <w:pPr>
        <w:spacing w:after="0" w:line="165"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 xml:space="preserve">The Company has concluded that grants under the BARDA relationship is not within the scope of ASC 606, as it does not meet the definition of a contract with a “customer.” The Company has further concluded that Subtopic 958-605, </w:t>
      </w:r>
      <w:r>
        <w:rPr>
          <w:rFonts w:ascii="Arial" w:cs="Arial" w:eastAsia="Arial" w:hAnsi="Arial"/>
          <w:sz w:val="18"/>
          <w:szCs w:val="18"/>
          <w:i w:val="1"/>
          <w:iCs w:val="1"/>
          <w:color w:val="auto"/>
        </w:rPr>
        <w:t>Not-for-Profit-Entities-Revenue Recognition</w:t>
      </w:r>
      <w:r>
        <w:rPr>
          <w:rFonts w:ascii="Arial" w:cs="Arial" w:eastAsia="Arial" w:hAnsi="Arial"/>
          <w:sz w:val="18"/>
          <w:szCs w:val="18"/>
          <w:color w:val="auto"/>
        </w:rPr>
        <w:t xml:space="preserve"> also does not apply, as the Company is a business entity and the payments are with governmental agencies or units. With respect to the BARDA arrangement, we considered the guidance in IAS 20, </w:t>
      </w:r>
      <w:r>
        <w:rPr>
          <w:rFonts w:ascii="Arial" w:cs="Arial" w:eastAsia="Arial" w:hAnsi="Arial"/>
          <w:sz w:val="18"/>
          <w:szCs w:val="18"/>
          <w:i w:val="1"/>
          <w:iCs w:val="1"/>
          <w:color w:val="auto"/>
        </w:rPr>
        <w:t>Accounting for Government Grants and Disclosure of Government Assistance,</w:t>
      </w:r>
      <w:r>
        <w:rPr>
          <w:rFonts w:ascii="Arial" w:cs="Arial" w:eastAsia="Arial" w:hAnsi="Arial"/>
          <w:sz w:val="18"/>
          <w:szCs w:val="18"/>
          <w:color w:val="auto"/>
        </w:rPr>
        <w:t xml:space="preserve"> by analogy. BARDA income and related receivables are recognized when there is reasonable assurance that the amount will be received, and all attaching conditions have been complied with. When the payment relates to an expense item, the amount received is recognized as income over the period when the expense was incurred.</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Accounting Standards Update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120" w:right="40" w:firstLine="991"/>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xml:space="preserve"> (Subtopic 350-40): Customer’s Accounting for Implementation Costs Incurred in a Cloud Computing Arrangement That Is a Service Contract, which provides new guidance on the accounting for implementation, set-up, and other upfront costs incurred in a hosted cloud computing arrangement. Under the new guidance, entities will apply the same criteria for capitalizing implementation costs as they would for an internal-use software license arrangement. This guidance is effective for fiscal years, and interim periods within those fiscal years, beginning after December 15, 2019. This ASU can be adopted prospectively to eligible costs incurred on or after the date of adoption or retrospectively. Effective July 1, 2020, the Company adopted this standard using the prospective transition method. The adoption of this update did not have a material impact on the Company’s condensed consolidated financial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left="120" w:right="220" w:firstLine="991"/>
        <w:spacing w:after="0" w:line="29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or ASU 2019-12, which includes amendments to simplify the accounting for income taxes by removing certain exceptions to the general principles in ASC 740, </w:t>
      </w:r>
      <w:r>
        <w:rPr>
          <w:rFonts w:ascii="Arial" w:cs="Arial" w:eastAsia="Arial" w:hAnsi="Arial"/>
          <w:sz w:val="16"/>
          <w:szCs w:val="16"/>
          <w:i w:val="1"/>
          <w:iCs w:val="1"/>
          <w:color w:val="auto"/>
        </w:rPr>
        <w:t>Income Taxes</w:t>
      </w:r>
      <w:r>
        <w:rPr>
          <w:rFonts w:ascii="Arial" w:cs="Arial" w:eastAsia="Arial" w:hAnsi="Arial"/>
          <w:sz w:val="16"/>
          <w:szCs w:val="16"/>
          <w:color w:val="auto"/>
        </w:rPr>
        <w:t>, or ASC</w:t>
      </w:r>
    </w:p>
    <w:p>
      <w:pPr>
        <w:jc w:val="both"/>
        <w:ind w:left="120" w:right="60" w:hanging="4"/>
        <w:spacing w:after="0" w:line="253"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amendments also improve consistent application of and simplify U.S. GAAP for other areas of ASC 740 by clarifying and amending existing guidance. The new guidance is effective for the Company for annual periods beginning after December 15, 2021 and interim periods within fiscal years beginning after December 15, 2022. Early adoption of the amendments is permitted. The Company is currently evaluating the potential impact that the adoption of ASU 2019-12 will have on its condensed consolidated financial statements.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Leases</w:t>
      </w:r>
    </w:p>
    <w:p>
      <w:pPr>
        <w:spacing w:after="0" w:line="121" w:lineRule="exact"/>
        <w:rPr>
          <w:sz w:val="20"/>
          <w:szCs w:val="20"/>
          <w:color w:val="auto"/>
        </w:rPr>
      </w:pPr>
    </w:p>
    <w:p>
      <w:pPr>
        <w:ind w:left="120" w:right="480" w:firstLine="991"/>
        <w:spacing w:after="0" w:line="277" w:lineRule="auto"/>
        <w:rPr>
          <w:sz w:val="20"/>
          <w:szCs w:val="20"/>
          <w:color w:val="auto"/>
        </w:rPr>
      </w:pPr>
      <w:r>
        <w:rPr>
          <w:rFonts w:ascii="Arial" w:cs="Arial" w:eastAsia="Arial" w:hAnsi="Arial"/>
          <w:sz w:val="18"/>
          <w:szCs w:val="18"/>
          <w:color w:val="auto"/>
        </w:rPr>
        <w:t xml:space="preserve">On July 1, 2019, the Company adopted Accounting Standards Codification No. 842, </w:t>
      </w:r>
      <w:r>
        <w:rPr>
          <w:rFonts w:ascii="Arial" w:cs="Arial" w:eastAsia="Arial" w:hAnsi="Arial"/>
          <w:sz w:val="18"/>
          <w:szCs w:val="18"/>
          <w:i w:val="1"/>
          <w:iCs w:val="1"/>
          <w:color w:val="auto"/>
        </w:rPr>
        <w:t>Leases</w:t>
      </w:r>
      <w:r>
        <w:rPr>
          <w:rFonts w:ascii="Arial" w:cs="Arial" w:eastAsia="Arial" w:hAnsi="Arial"/>
          <w:sz w:val="18"/>
          <w:szCs w:val="18"/>
          <w:color w:val="auto"/>
        </w:rPr>
        <w:t>, (“ASC 842”), which requires lessees to recognize operating leases on the balance sheet as a right-of-use asset (“ROU”) and lease liability.</w:t>
      </w:r>
    </w:p>
    <w:p>
      <w:pPr>
        <w:spacing w:after="0" w:line="170"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At contract inception, the Company determines whether the contract is a lease or contains a lease. A contract contains a lease if the Company is both able to identify an asset and can conclude it has the right to control the identified asset for a period of time. Leases with an initial term of twelve months or less are not recorded on the condensed consolidated balance sheet.</w:t>
      </w:r>
    </w:p>
    <w:p>
      <w:pPr>
        <w:spacing w:after="0" w:line="184" w:lineRule="exact"/>
        <w:rPr>
          <w:sz w:val="20"/>
          <w:szCs w:val="20"/>
          <w:color w:val="auto"/>
        </w:rPr>
      </w:pPr>
    </w:p>
    <w:p>
      <w:pPr>
        <w:ind w:left="120" w:right="120" w:firstLine="991"/>
        <w:spacing w:after="0" w:line="259" w:lineRule="auto"/>
        <w:rPr>
          <w:sz w:val="20"/>
          <w:szCs w:val="20"/>
          <w:color w:val="auto"/>
        </w:rPr>
      </w:pPr>
      <w:r>
        <w:rPr>
          <w:rFonts w:ascii="Arial" w:cs="Arial" w:eastAsia="Arial" w:hAnsi="Arial"/>
          <w:sz w:val="18"/>
          <w:szCs w:val="18"/>
          <w:color w:val="auto"/>
        </w:rPr>
        <w:t>The Company has operating leases for corporate office space, manufacturing and warehouse facility. The Company has finance leases for equipment and furniture. The Company’s leases have remaining lease terms of less than one year to five years, some of which include options to renew the lease. Approximately $7,000 and $11,000 in finance leases was included in Other current liabilities as of September 30, 2020 and June 30, 2020, respectively.</w:t>
      </w:r>
    </w:p>
    <w:p>
      <w:pPr>
        <w:spacing w:after="0" w:line="187" w:lineRule="exact"/>
        <w:rPr>
          <w:sz w:val="20"/>
          <w:szCs w:val="20"/>
          <w:color w:val="auto"/>
        </w:rPr>
      </w:pPr>
    </w:p>
    <w:p>
      <w:pPr>
        <w:ind w:left="120" w:firstLine="991"/>
        <w:spacing w:after="0" w:line="289" w:lineRule="auto"/>
        <w:rPr>
          <w:sz w:val="20"/>
          <w:szCs w:val="20"/>
          <w:color w:val="auto"/>
        </w:rPr>
      </w:pPr>
      <w:r>
        <w:rPr>
          <w:rFonts w:ascii="Arial" w:cs="Arial" w:eastAsia="Arial" w:hAnsi="Arial"/>
          <w:sz w:val="16"/>
          <w:szCs w:val="16"/>
          <w:color w:val="auto"/>
        </w:rPr>
        <w:t>ROU assets represent the Company’s right to control an underlying asset for the lease term, and lease liabilities represent the Company’s obligation to make lease payments arising from the lease. ROU assets and lease liabilities are recognized at commencement date based on the present value of lease payments over the lease term. As the Company’s leases do not provide an implicit rate, the Company used its incremental borrowing rate (“</w:t>
      </w:r>
      <w:r>
        <w:rPr>
          <w:rFonts w:ascii="Arial" w:cs="Arial" w:eastAsia="Arial" w:hAnsi="Arial"/>
          <w:sz w:val="16"/>
          <w:szCs w:val="16"/>
          <w:b w:val="1"/>
          <w:bCs w:val="1"/>
          <w:color w:val="auto"/>
        </w:rPr>
        <w:t>IBR</w:t>
      </w:r>
      <w:r>
        <w:rPr>
          <w:rFonts w:ascii="Arial" w:cs="Arial" w:eastAsia="Arial" w:hAnsi="Arial"/>
          <w:sz w:val="16"/>
          <w:szCs w:val="16"/>
          <w:color w:val="auto"/>
        </w:rPr>
        <w:t>”) based on the information available at commencement date in determining the discount rate used to present value lease payments. The Company used the IBR on July 1, 2019 for its operating leases that commenced on or prior to that date. In determining the IBR, the Company considered its credit rating and current market interest rates. The IBR used approximates the interest that the Company would be required to pay for a collateralized loan over a similar term. Additionally, the Company used the portfolio approach when applying the discount rate selected based on the dollar amount and term of the obligation. Certain leases for equipment and furniture contain bargain purchase options and are classified as finance leases. The Company’s leases typically do not include any residual value guarantees or asset retirement obligations.</w:t>
      </w:r>
    </w:p>
    <w:p>
      <w:pPr>
        <w:spacing w:after="0" w:line="166"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The Company’s lease terms are only for periods in which it has enforceable rights. A lease is no longer enforceable when both the lessee and the lessor each have the right to terminate the lease without permission from the other party with no more than an insignificant penalty. The Company has options to renew some of these leases for three years after their expiration. The Company considers these options, which may be elected at the Company’s sole discretion, in determining the lease term on a lease-by-lease basis.</w:t>
      </w:r>
    </w:p>
    <w:p>
      <w:pPr>
        <w:spacing w:after="0" w:line="187" w:lineRule="exact"/>
        <w:rPr>
          <w:sz w:val="20"/>
          <w:szCs w:val="20"/>
          <w:color w:val="auto"/>
        </w:rPr>
      </w:pPr>
    </w:p>
    <w:p>
      <w:pPr>
        <w:jc w:val="both"/>
        <w:ind w:left="120" w:right="260" w:firstLine="991"/>
        <w:spacing w:after="0" w:line="263" w:lineRule="auto"/>
        <w:rPr>
          <w:sz w:val="20"/>
          <w:szCs w:val="20"/>
          <w:color w:val="auto"/>
        </w:rPr>
      </w:pPr>
      <w:r>
        <w:rPr>
          <w:rFonts w:ascii="Arial" w:cs="Arial" w:eastAsia="Arial" w:hAnsi="Arial"/>
          <w:sz w:val="18"/>
          <w:szCs w:val="18"/>
          <w:color w:val="auto"/>
        </w:rPr>
        <w:t>Some leases require variable payments for common area maintenance, property taxes, parking, insurance, and other variable costs. The variable portion of lease payments is not included in operating lease ROU assets or operating lease liabilities. Variable lease costs are expensed when incurred.</w:t>
      </w:r>
    </w:p>
    <w:p>
      <w:pPr>
        <w:spacing w:after="0" w:line="184"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The following table sets forth the Company’s operating lease expense which are included in general and administrative expenses in the consolidated statements of operations (in thousands):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13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September 30, 2020</w:t>
            </w:r>
          </w:p>
        </w:tc>
        <w:tc>
          <w:tcPr>
            <w:tcW w:w="500" w:type="dxa"/>
            <w:vAlign w:val="bottom"/>
          </w:tcPr>
          <w:p>
            <w:pPr>
              <w:spacing w:after="0"/>
              <w:rPr>
                <w:sz w:val="14"/>
                <w:szCs w:val="14"/>
                <w:color w:val="auto"/>
              </w:rPr>
            </w:pPr>
          </w:p>
        </w:tc>
        <w:tc>
          <w:tcPr>
            <w:tcW w:w="13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10"/>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9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8"/>
                <w:szCs w:val="18"/>
                <w:color w:val="auto"/>
              </w:rPr>
              <w:t>Variable lease cost</w:t>
            </w:r>
          </w:p>
        </w:tc>
        <w:tc>
          <w:tcPr>
            <w:tcW w:w="19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cost</w:t>
            </w:r>
          </w:p>
        </w:tc>
        <w:tc>
          <w:tcPr>
            <w:tcW w:w="25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187</w:t>
            </w:r>
          </w:p>
        </w:tc>
        <w:tc>
          <w:tcPr>
            <w:tcW w:w="10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980" w:type="dxa"/>
            <w:vAlign w:val="bottom"/>
            <w:vMerge w:val="restart"/>
          </w:tcPr>
          <w:p>
            <w:pPr>
              <w:jc w:val="right"/>
              <w:ind w:right="390"/>
              <w:spacing w:after="0"/>
              <w:rPr>
                <w:sz w:val="20"/>
                <w:szCs w:val="20"/>
                <w:color w:val="auto"/>
              </w:rPr>
            </w:pPr>
            <w:r>
              <w:rPr>
                <w:rFonts w:ascii="Arial" w:cs="Arial" w:eastAsia="Arial" w:hAnsi="Arial"/>
                <w:sz w:val="18"/>
                <w:szCs w:val="18"/>
                <w:color w:val="auto"/>
              </w:rPr>
              <w:t>11</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Supplemental cash flow information related to operating leases for the three months ended September 30, 2020 and 2019 was as follows (in thousands):</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2"/>
              </w:rPr>
              <w:t>Three Months ended</w:t>
            </w:r>
          </w:p>
        </w:tc>
      </w:tr>
      <w:tr>
        <w:trPr>
          <w:trHeight w:val="171"/>
        </w:trPr>
        <w:tc>
          <w:tcPr>
            <w:tcW w:w="4780" w:type="dxa"/>
            <w:vAlign w:val="bottom"/>
          </w:tcPr>
          <w:p>
            <w:pPr>
              <w:spacing w:after="0"/>
              <w:rPr>
                <w:sz w:val="14"/>
                <w:szCs w:val="14"/>
                <w:color w:val="auto"/>
              </w:rPr>
            </w:pPr>
          </w:p>
        </w:tc>
        <w:tc>
          <w:tcPr>
            <w:tcW w:w="17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2020</w:t>
            </w:r>
          </w:p>
        </w:tc>
        <w:tc>
          <w:tcPr>
            <w:tcW w:w="50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September 30, 2019</w:t>
            </w:r>
          </w:p>
        </w:tc>
      </w:tr>
      <w:tr>
        <w:trPr>
          <w:trHeight w:val="182"/>
        </w:trPr>
        <w:tc>
          <w:tcPr>
            <w:tcW w:w="4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paid for amounts included in the measurement</w:t>
            </w:r>
          </w:p>
        </w:tc>
        <w:tc>
          <w:tcPr>
            <w:tcW w:w="5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lease liabilities:</w:t>
            </w:r>
          </w:p>
        </w:tc>
        <w:tc>
          <w:tcPr>
            <w:tcW w:w="5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0"/>
        </w:trPr>
        <w:tc>
          <w:tcPr>
            <w:tcW w:w="4780" w:type="dxa"/>
            <w:vAlign w:val="bottom"/>
          </w:tcPr>
          <w:p>
            <w:pPr>
              <w:ind w:left="360"/>
              <w:spacing w:after="0"/>
              <w:rPr>
                <w:sz w:val="20"/>
                <w:szCs w:val="20"/>
                <w:color w:val="auto"/>
              </w:rPr>
            </w:pPr>
            <w:r>
              <w:rPr>
                <w:rFonts w:ascii="Arial" w:cs="Arial" w:eastAsia="Arial" w:hAnsi="Arial"/>
                <w:sz w:val="18"/>
                <w:szCs w:val="18"/>
                <w:color w:val="auto"/>
              </w:rPr>
              <w:t>Operating cash outflows from operating leases</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171</w:t>
            </w:r>
          </w:p>
        </w:tc>
        <w:tc>
          <w:tcPr>
            <w:tcW w:w="104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Supplemental balance sheet information, as of September 30, 2020 and June 30, 2020 related to operating leases was as follows (in thousands):</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w:t>
            </w:r>
          </w:p>
        </w:tc>
        <w:tc>
          <w:tcPr>
            <w:tcW w:w="3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45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Reported as:</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5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2,216</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right-of-use assets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Other current liabilities:</w:t>
            </w: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 short-term</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548</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Operating lease liabiltiies, long term</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1,776</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lease liabilities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Operating lease weighted average remaining lease term</w:t>
            </w: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80"/>
              <w:spacing w:after="0"/>
              <w:rPr>
                <w:sz w:val="20"/>
                <w:szCs w:val="20"/>
                <w:color w:val="auto"/>
              </w:rPr>
            </w:pPr>
            <w:r>
              <w:rPr>
                <w:rFonts w:ascii="Arial" w:cs="Arial" w:eastAsia="Arial" w:hAnsi="Arial"/>
                <w:sz w:val="18"/>
                <w:szCs w:val="18"/>
                <w:color w:val="auto"/>
              </w:rPr>
              <w:t>(years)</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3.66</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weighted average discount rate</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September 30, 2020, maturities of the Company’s operating lease liabilities are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6"/>
              </w:rPr>
              <w:t>Operating Leases</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Remaining 2021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717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588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20" w:type="dxa"/>
            <w:vAlign w:val="bottom"/>
          </w:tcPr>
          <w:p>
            <w:pPr>
              <w:ind w:left="360"/>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20" w:type="dxa"/>
            <w:vAlign w:val="bottom"/>
          </w:tcPr>
          <w:p>
            <w:pPr>
              <w:ind w:left="36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w w:val="93"/>
              </w:rPr>
              <w:t>As of September 30, 2020, there were no leases entered into that had not yet commenced.</w:t>
            </w: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780" w:type="dxa"/>
            <w:vAlign w:val="bottom"/>
            <w:gridSpan w:val="3"/>
          </w:tcPr>
          <w:p>
            <w:pPr>
              <w:spacing w:after="0"/>
              <w:rPr>
                <w:sz w:val="20"/>
                <w:szCs w:val="20"/>
                <w:color w:val="auto"/>
              </w:rPr>
            </w:pPr>
            <w:r>
              <w:rPr>
                <w:rFonts w:ascii="Arial" w:cs="Arial" w:eastAsia="Arial" w:hAnsi="Arial"/>
                <w:sz w:val="18"/>
                <w:szCs w:val="18"/>
                <w:b w:val="1"/>
                <w:bCs w:val="1"/>
                <w:color w:val="auto"/>
              </w:rPr>
              <w:t>5. Inventory</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80" w:type="dxa"/>
            <w:vAlign w:val="bottom"/>
            <w:gridSpan w:val="3"/>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w w:val="91"/>
              </w:rPr>
              <w:t>September 30, 2020</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June 30, 2020</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Work in process inventory</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271</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Total inventory</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The Company has reduced the carrying value of its inventories to reflect the net realizable value. Charges for estimated excess and obsolescence are recorded in cost of sales in the condensed consolidated statement of operations. Inventory impairments recognized in cost of sales are a result of expired product and were $43,000 and $53,000 for the three months ended September 30, 2020 and 2019, respectively.</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9"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composition of intangible assets is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520" w:type="dxa"/>
            <w:vAlign w:val="bottom"/>
            <w:vMerge w:val="restart"/>
          </w:tcPr>
          <w:p>
            <w:pPr>
              <w:jc w:val="center"/>
              <w:ind w:left="1177"/>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w w:val="95"/>
              </w:rPr>
              <w:t>As of September 30, 2020</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As of June 30, 2020</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18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7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9"/>
                <w:szCs w:val="9"/>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Carry</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9"/>
                <w:szCs w:val="9"/>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9"/>
                <w:szCs w:val="9"/>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Carry</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2520" w:type="dxa"/>
            <w:vAlign w:val="bottom"/>
          </w:tcPr>
          <w:p>
            <w:pPr>
              <w:jc w:val="center"/>
              <w:ind w:left="1177"/>
              <w:spacing w:after="0" w:line="149" w:lineRule="exact"/>
              <w:rPr>
                <w:sz w:val="20"/>
                <w:szCs w:val="20"/>
                <w:color w:val="auto"/>
              </w:rPr>
            </w:pPr>
            <w:r>
              <w:rPr>
                <w:rFonts w:ascii="Arial" w:cs="Arial" w:eastAsia="Arial" w:hAnsi="Arial"/>
                <w:sz w:val="14"/>
                <w:szCs w:val="14"/>
                <w:b w:val="1"/>
                <w:bCs w:val="1"/>
                <w:color w:val="auto"/>
                <w:w w:val="90"/>
              </w:rPr>
              <w:t>Average</w:t>
            </w:r>
          </w:p>
        </w:tc>
        <w:tc>
          <w:tcPr>
            <w:tcW w:w="740" w:type="dxa"/>
            <w:vAlign w:val="bottom"/>
            <w:gridSpan w:val="4"/>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2520" w:type="dxa"/>
            <w:vAlign w:val="bottom"/>
          </w:tcPr>
          <w:p>
            <w:pPr>
              <w:jc w:val="center"/>
              <w:ind w:left="1177"/>
              <w:spacing w:after="0"/>
              <w:rPr>
                <w:sz w:val="20"/>
                <w:szCs w:val="20"/>
                <w:color w:val="auto"/>
              </w:rPr>
            </w:pPr>
            <w:r>
              <w:rPr>
                <w:rFonts w:ascii="Arial" w:cs="Arial" w:eastAsia="Arial" w:hAnsi="Arial"/>
                <w:sz w:val="14"/>
                <w:szCs w:val="14"/>
                <w:b w:val="1"/>
                <w:bCs w:val="1"/>
                <w:color w:val="auto"/>
              </w:rPr>
              <w:t>Life</w:t>
            </w: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Patent 1</w:t>
            </w:r>
          </w:p>
        </w:tc>
        <w:tc>
          <w:tcPr>
            <w:tcW w:w="2520" w:type="dxa"/>
            <w:vAlign w:val="bottom"/>
            <w:shd w:val="clear" w:color="auto" w:fill="CCEEFF"/>
          </w:tcPr>
          <w:p>
            <w:pPr>
              <w:jc w:val="center"/>
              <w:ind w:left="1237"/>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Patent 2</w:t>
            </w:r>
          </w:p>
        </w:tc>
        <w:tc>
          <w:tcPr>
            <w:tcW w:w="2520" w:type="dxa"/>
            <w:vAlign w:val="bottom"/>
          </w:tcPr>
          <w:p>
            <w:pPr>
              <w:jc w:val="center"/>
              <w:ind w:left="1217"/>
              <w:spacing w:after="0"/>
              <w:rPr>
                <w:sz w:val="20"/>
                <w:szCs w:val="20"/>
                <w:color w:val="auto"/>
              </w:rPr>
            </w:pPr>
            <w:r>
              <w:rPr>
                <w:rFonts w:ascii="Arial" w:cs="Arial" w:eastAsia="Arial" w:hAnsi="Arial"/>
                <w:sz w:val="18"/>
                <w:szCs w:val="18"/>
                <w:color w:val="auto"/>
                <w:w w:val="89"/>
              </w:rPr>
              <w:t>14</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Patent 3</w:t>
            </w:r>
          </w:p>
        </w:tc>
        <w:tc>
          <w:tcPr>
            <w:tcW w:w="2520" w:type="dxa"/>
            <w:vAlign w:val="bottom"/>
            <w:shd w:val="clear" w:color="auto" w:fill="CCEEFF"/>
          </w:tcPr>
          <w:p>
            <w:pPr>
              <w:jc w:val="center"/>
              <w:ind w:left="1217"/>
              <w:spacing w:after="0"/>
              <w:rPr>
                <w:sz w:val="20"/>
                <w:szCs w:val="20"/>
                <w:color w:val="auto"/>
              </w:rPr>
            </w:pPr>
            <w:r>
              <w:rPr>
                <w:rFonts w:ascii="Arial" w:cs="Arial" w:eastAsia="Arial" w:hAnsi="Arial"/>
                <w:sz w:val="18"/>
                <w:szCs w:val="18"/>
                <w:color w:val="auto"/>
                <w:w w:val="89"/>
              </w:rPr>
              <w:t>15</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Patent 5</w:t>
            </w:r>
          </w:p>
        </w:tc>
        <w:tc>
          <w:tcPr>
            <w:tcW w:w="2520" w:type="dxa"/>
            <w:vAlign w:val="bottom"/>
          </w:tcPr>
          <w:p>
            <w:pPr>
              <w:jc w:val="center"/>
              <w:ind w:left="1217"/>
              <w:spacing w:after="0"/>
              <w:rPr>
                <w:sz w:val="20"/>
                <w:szCs w:val="20"/>
                <w:color w:val="auto"/>
              </w:rPr>
            </w:pPr>
            <w:r>
              <w:rPr>
                <w:rFonts w:ascii="Arial" w:cs="Arial" w:eastAsia="Arial" w:hAnsi="Arial"/>
                <w:sz w:val="18"/>
                <w:szCs w:val="18"/>
                <w:color w:val="auto"/>
                <w:w w:val="89"/>
              </w:rPr>
              <w:t>20</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5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Indefinite</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991"/>
        <w:spacing w:after="0" w:line="279" w:lineRule="auto"/>
        <w:rPr>
          <w:sz w:val="20"/>
          <w:szCs w:val="20"/>
          <w:color w:val="auto"/>
        </w:rPr>
      </w:pPr>
      <w:r>
        <w:rPr>
          <w:rFonts w:ascii="Arial" w:cs="Arial" w:eastAsia="Arial" w:hAnsi="Arial"/>
          <w:sz w:val="17"/>
          <w:szCs w:val="17"/>
          <w:color w:val="auto"/>
        </w:rPr>
        <w:t>During the three months ended September 30, 2020 and 2019, the Company did not identify any events or changes in circumstances that indicated the carrying value of its intangibles may not be recoverable. As such, there was no impairment of intangibles assets recognized for the three months ended September 30, 2020 and 2019. Amortization expense of intangibles included in the condensed consolidated statements of operations was $23,000 and $0 for the three months ended September 30, 2020 and 2019, respectively.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expects the future amortization of amortizable intangible assets held at September 30, 2020 to be (in thousands):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w w:val="97"/>
              </w:rPr>
              <w:t>Estimated Amortization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372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2022</w:t>
            </w:r>
          </w:p>
        </w:tc>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2024</w:t>
            </w:r>
          </w:p>
        </w:tc>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2026 and thereafter</w:t>
            </w:r>
          </w:p>
        </w:tc>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20" w:type="dxa"/>
            <w:vAlign w:val="bottom"/>
            <w:vMerge w:val="restart"/>
          </w:tcPr>
          <w:p>
            <w:pPr>
              <w:jc w:val="right"/>
              <w:ind w:right="2010"/>
              <w:spacing w:after="0"/>
              <w:rPr>
                <w:sz w:val="20"/>
                <w:szCs w:val="20"/>
                <w:color w:val="auto"/>
              </w:rPr>
            </w:pPr>
            <w:r>
              <w:rPr>
                <w:rFonts w:ascii="Arial" w:cs="Arial" w:eastAsia="Arial" w:hAnsi="Arial"/>
                <w:sz w:val="18"/>
                <w:szCs w:val="18"/>
                <w:color w:val="auto"/>
              </w:rPr>
              <w:t>13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Property, Plant and Equipment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composition of property, plant and equipment, net is as follows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14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Useful Lives</w:t>
            </w:r>
          </w:p>
        </w:tc>
        <w:tc>
          <w:tcPr>
            <w:tcW w:w="16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As of September</w:t>
            </w:r>
          </w:p>
        </w:tc>
        <w:tc>
          <w:tcPr>
            <w:tcW w:w="1240" w:type="dxa"/>
            <w:vAlign w:val="bottom"/>
            <w:gridSpan w:val="4"/>
          </w:tcPr>
          <w:p>
            <w:pPr>
              <w:ind w:left="26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30, 2020</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3 years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Computer software</w:t>
            </w:r>
          </w:p>
        </w:tc>
        <w:tc>
          <w:tcPr>
            <w:tcW w:w="2140" w:type="dxa"/>
            <w:vAlign w:val="bottom"/>
          </w:tcPr>
          <w:p>
            <w:pPr>
              <w:ind w:left="720"/>
              <w:spacing w:after="0"/>
              <w:rPr>
                <w:sz w:val="20"/>
                <w:szCs w:val="20"/>
                <w:color w:val="auto"/>
              </w:rPr>
            </w:pPr>
            <w:r>
              <w:rPr>
                <w:rFonts w:ascii="Arial" w:cs="Arial" w:eastAsia="Arial" w:hAnsi="Arial"/>
                <w:sz w:val="18"/>
                <w:szCs w:val="18"/>
                <w:color w:val="auto"/>
              </w:rPr>
              <w:t>3 years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140" w:type="dxa"/>
            <w:vAlign w:val="bottom"/>
          </w:tcPr>
          <w:p>
            <w:pPr>
              <w:ind w:left="720"/>
              <w:spacing w:after="0"/>
              <w:rPr>
                <w:sz w:val="20"/>
                <w:szCs w:val="20"/>
                <w:color w:val="auto"/>
              </w:rPr>
            </w:pPr>
            <w:r>
              <w:rPr>
                <w:rFonts w:ascii="Arial" w:cs="Arial" w:eastAsia="Arial" w:hAnsi="Arial"/>
                <w:sz w:val="18"/>
                <w:szCs w:val="18"/>
                <w:color w:val="auto"/>
              </w:rPr>
              <w:t>7 years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5 years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2140" w:type="dxa"/>
            <w:vAlign w:val="bottom"/>
          </w:tcPr>
          <w:p>
            <w:pPr>
              <w:ind w:left="720"/>
              <w:spacing w:after="0" w:line="201" w:lineRule="exact"/>
              <w:rPr>
                <w:sz w:val="20"/>
                <w:szCs w:val="20"/>
                <w:color w:val="auto"/>
              </w:rPr>
            </w:pPr>
            <w:r>
              <w:rPr>
                <w:rFonts w:ascii="Arial" w:cs="Arial" w:eastAsia="Arial" w:hAnsi="Arial"/>
                <w:sz w:val="18"/>
                <w:szCs w:val="18"/>
                <w:color w:val="auto"/>
              </w:rPr>
              <w:t>Lesser of life or</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140" w:type="dxa"/>
            <w:vAlign w:val="bottom"/>
          </w:tcPr>
          <w:p>
            <w:pPr>
              <w:ind w:left="720"/>
              <w:spacing w:after="0"/>
              <w:rPr>
                <w:sz w:val="20"/>
                <w:szCs w:val="20"/>
                <w:color w:val="auto"/>
              </w:rPr>
            </w:pPr>
            <w:r>
              <w:rPr>
                <w:rFonts w:ascii="Arial" w:cs="Arial" w:eastAsia="Arial" w:hAnsi="Arial"/>
                <w:sz w:val="18"/>
                <w:szCs w:val="18"/>
                <w:color w:val="auto"/>
              </w:rPr>
              <w:t>lease term</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RECELL Moulds</w:t>
            </w:r>
          </w:p>
        </w:tc>
        <w:tc>
          <w:tcPr>
            <w:tcW w:w="2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5 years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Less: accumulated amortization and depreciation</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plant and equipment, net</w:t>
            </w:r>
          </w:p>
        </w:tc>
        <w:tc>
          <w:tcPr>
            <w:tcW w:w="2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Depreciation expense related to plant and equipment was $188,000 and $66,000 for the three months ended September 30, 2020 and 2019, respectively.</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Prepaids and Other Current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Prepaids and other current assets consisted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840" w:type="dxa"/>
            <w:vAlign w:val="bottom"/>
            <w:gridSpan w:val="4"/>
          </w:tcPr>
          <w:p>
            <w:pPr>
              <w:spacing w:after="0"/>
              <w:rPr>
                <w:sz w:val="20"/>
                <w:szCs w:val="20"/>
                <w:color w:val="auto"/>
              </w:rPr>
            </w:pPr>
            <w:r>
              <w:rPr>
                <w:rFonts w:ascii="Arial" w:cs="Arial" w:eastAsia="Arial" w:hAnsi="Arial"/>
                <w:sz w:val="14"/>
                <w:szCs w:val="14"/>
                <w:b w:val="1"/>
                <w:bCs w:val="1"/>
                <w:color w:val="auto"/>
              </w:rPr>
              <w:t>As of September</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2"/>
              </w:rPr>
              <w:t>As of June 30,</w:t>
            </w:r>
          </w:p>
        </w:tc>
      </w:tr>
      <w:tr>
        <w:trPr>
          <w:trHeight w:val="171"/>
        </w:trPr>
        <w:tc>
          <w:tcPr>
            <w:tcW w:w="5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30, 2020</w:t>
            </w:r>
          </w:p>
        </w:tc>
        <w:tc>
          <w:tcPr>
            <w:tcW w:w="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8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4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Lease deposits</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prepaids and other current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4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primarily consist of prepaid benefits and insurance.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Reporting Segment and Geographic Information</w:t>
      </w:r>
    </w:p>
    <w:p>
      <w:pPr>
        <w:spacing w:after="0" w:line="121" w:lineRule="exact"/>
        <w:rPr>
          <w:sz w:val="20"/>
          <w:szCs w:val="20"/>
          <w:color w:val="auto"/>
        </w:rPr>
      </w:pPr>
    </w:p>
    <w:p>
      <w:pPr>
        <w:ind w:left="120" w:right="260" w:firstLine="991"/>
        <w:spacing w:after="0" w:line="263" w:lineRule="auto"/>
        <w:rPr>
          <w:sz w:val="20"/>
          <w:szCs w:val="20"/>
          <w:color w:val="auto"/>
        </w:rPr>
      </w:pPr>
      <w:r>
        <w:rPr>
          <w:rFonts w:ascii="Arial" w:cs="Arial" w:eastAsia="Arial" w:hAnsi="Arial"/>
          <w:sz w:val="18"/>
          <w:szCs w:val="18"/>
          <w:color w:val="auto"/>
        </w:rPr>
        <w:t>The Company views its operations and manages its business in one reporting segment. Long-lived assets were primarily located in the United States as of September 30, 2020 and June 30, 2020 with an insignificant amount located in Australia and the United Kingdom. Revenue by region for the three months ended September 30, 2020 and 2019 were as follows (in thousands):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Three Months</w:t>
            </w:r>
          </w:p>
        </w:tc>
      </w:tr>
      <w:tr>
        <w:trPr>
          <w:trHeight w:val="148"/>
        </w:trPr>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ended September</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ended September</w:t>
            </w:r>
          </w:p>
        </w:tc>
      </w:tr>
      <w:tr>
        <w:trPr>
          <w:trHeight w:val="171"/>
        </w:trPr>
        <w:tc>
          <w:tcPr>
            <w:tcW w:w="5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30, 2020</w:t>
            </w:r>
          </w:p>
        </w:tc>
        <w:tc>
          <w:tcPr>
            <w:tcW w:w="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30, 2019</w:t>
            </w:r>
          </w:p>
        </w:tc>
        <w:tc>
          <w:tcPr>
            <w:tcW w:w="40" w:type="dxa"/>
            <w:vAlign w:val="bottom"/>
            <w:tcBorders>
              <w:bottom w:val="single" w:sz="8" w:color="CCEEFF"/>
            </w:tcBorders>
          </w:tcPr>
          <w:p>
            <w:pPr>
              <w:spacing w:after="0"/>
              <w:rPr>
                <w:sz w:val="14"/>
                <w:szCs w:val="14"/>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4,970</w:t>
            </w:r>
          </w:p>
        </w:tc>
        <w:tc>
          <w:tcPr>
            <w:tcW w:w="7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3,130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5,060</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4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Contingencies</w:t>
      </w:r>
    </w:p>
    <w:p>
      <w:pPr>
        <w:spacing w:after="0" w:line="121"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The Company is subject to certain contingencies arising in the ordinary course of business. The Company records accruals for these contingencies to the extent that a loss is both probable and reasonably estimable. If some amount within a range of loss appears to be a better estimate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September 30, 2020 and June 30, 2020, the Company did not have any outstanding or threatened litigation that would have a material impact to the financial statements.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320" w:top="459" w:right="5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Common and Preferred Stock</w:t>
      </w:r>
    </w:p>
    <w:p>
      <w:pPr>
        <w:spacing w:after="0" w:line="121"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On June 29, 2020, a statutory scheme of arrangement under Australian law to effect a redomiciliation of the AVITA Group from Australia to the United States of America was implemented (the “</w:t>
      </w:r>
      <w:r>
        <w:rPr>
          <w:rFonts w:ascii="Arial" w:cs="Arial" w:eastAsia="Arial" w:hAnsi="Arial"/>
          <w:sz w:val="18"/>
          <w:szCs w:val="18"/>
          <w:b w:val="1"/>
          <w:bCs w:val="1"/>
          <w:color w:val="auto"/>
        </w:rPr>
        <w:t>Scheme</w:t>
      </w:r>
      <w:r>
        <w:rPr>
          <w:rFonts w:ascii="Arial" w:cs="Arial" w:eastAsia="Arial" w:hAnsi="Arial"/>
          <w:sz w:val="18"/>
          <w:szCs w:val="18"/>
          <w:color w:val="auto"/>
        </w:rPr>
        <w:t>”). The Scheme was approved by shareholders on June 15, 2020 and approved by the Federal Court of Australia on June 22, 2020.</w:t>
      </w:r>
    </w:p>
    <w:p>
      <w:pPr>
        <w:spacing w:after="0" w:line="184" w:lineRule="exact"/>
        <w:rPr>
          <w:sz w:val="20"/>
          <w:szCs w:val="20"/>
          <w:color w:val="auto"/>
        </w:rPr>
      </w:pPr>
    </w:p>
    <w:p>
      <w:pPr>
        <w:ind w:left="120" w:right="60" w:firstLine="991"/>
        <w:spacing w:after="0" w:line="301" w:lineRule="auto"/>
        <w:rPr>
          <w:sz w:val="20"/>
          <w:szCs w:val="20"/>
          <w:color w:val="auto"/>
        </w:rPr>
      </w:pPr>
      <w:r>
        <w:rPr>
          <w:rFonts w:ascii="Arial" w:cs="Arial" w:eastAsia="Arial" w:hAnsi="Arial"/>
          <w:sz w:val="16"/>
          <w:szCs w:val="16"/>
          <w:color w:val="auto"/>
        </w:rPr>
        <w:t>Pursuant to the Scheme, all ordinary shares in AVITA Medical, the former parent company of the AVITA Group, were exchanged for shares of common stock in AVITA Therapeutics. As a result, AVITA Therapeutics became the sole shareholder of AVITA Medical and the new parent company of the AVITA Group. In conjunction with the Scheme, an implicit reverse split on a 1 for 100 basis was implemented whereby shareholders of AVITA Medical received one share of common stock in AVITA Therapeutics for every 100 ordinary shares held in AVITA Medical.</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 the Scheme, eligible shareholders in AVITA Medical received consideration in the form of:</w:t>
      </w:r>
    </w:p>
    <w:p>
      <w:pPr>
        <w:spacing w:after="0" w:line="131" w:lineRule="exact"/>
        <w:rPr>
          <w:sz w:val="20"/>
          <w:szCs w:val="20"/>
          <w:color w:val="auto"/>
        </w:rPr>
      </w:pPr>
    </w:p>
    <w:p>
      <w:pPr>
        <w:ind w:left="1540" w:hanging="43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five CDIs in AVITA Therapeutics for every 100 ordinary shares in AVITA Medical that were held by them; or</w:t>
      </w:r>
    </w:p>
    <w:p>
      <w:pPr>
        <w:spacing w:after="0" w:line="126" w:lineRule="exact"/>
        <w:rPr>
          <w:rFonts w:ascii="Arial" w:cs="Arial" w:eastAsia="Arial" w:hAnsi="Arial"/>
          <w:sz w:val="18"/>
          <w:szCs w:val="18"/>
          <w:color w:val="auto"/>
        </w:rPr>
      </w:pPr>
    </w:p>
    <w:p>
      <w:pPr>
        <w:ind w:left="1540" w:hanging="43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share of common stock in AVITA Therapeutics for every 5 ADS</w:t>
      </w:r>
      <w:r>
        <w:rPr>
          <w:rFonts w:ascii="Arial" w:cs="Arial" w:eastAsia="Arial" w:hAnsi="Arial"/>
          <w:sz w:val="18"/>
          <w:szCs w:val="18"/>
          <w:b w:val="1"/>
          <w:bCs w:val="1"/>
          <w:color w:val="auto"/>
        </w:rPr>
        <w:t>s</w:t>
      </w:r>
      <w:r>
        <w:rPr>
          <w:rFonts w:ascii="Arial" w:cs="Arial" w:eastAsia="Arial" w:hAnsi="Arial"/>
          <w:sz w:val="18"/>
          <w:szCs w:val="18"/>
          <w:color w:val="auto"/>
        </w:rPr>
        <w:t xml:space="preserve"> in AVITA Medical that were held by them.</w:t>
      </w:r>
    </w:p>
    <w:p>
      <w:pPr>
        <w:spacing w:after="0" w:line="229"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The Company’s CDIs are quoted on the ASX under AVITA Medical’s existing ASX ticker code, “AVH”. The Company’s shares of common stock are quoted on NASDAQ under AVITA Medical’s existing NASDAQ ticker code, “RCEL”. One share of common stock on NASDAQ is equivalent to five CDIs on the ASX.</w:t>
      </w:r>
    </w:p>
    <w:p>
      <w:pPr>
        <w:spacing w:after="0" w:line="184"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As a result of the ‘implicit consolidation’ that occurred under the Scheme, the number of shares of common stock on issue in the Company (as set out in the condensed consolidated financial statements) is less than the number of ordinary shares in AVITA Medical that was previously set out in the consolidated financial statements of AVITA Medical. All common share amounts included in the condensed consolidated financial statements have been retroactively reduced by a factor of one hundred and all per share amounts have been increased by a factor or one hundred, with the exception of the Company’s common stock par value.</w:t>
      </w:r>
    </w:p>
    <w:p>
      <w:pPr>
        <w:spacing w:after="0" w:line="188"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As of September 30, 2020, and June 30, 2020, 21,623,287 and 21,467,912 shares of common stock, respectively, were issued and outstanding and no shares of preferred stock were outstanding.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Revenues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The Company’s revenue consists of sale of the RECELL System to hospitals or other treatment centers (“customers”), predominately in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17" w:lineRule="exact"/>
        <w:rPr>
          <w:sz w:val="20"/>
          <w:szCs w:val="20"/>
          <w:color w:val="auto"/>
        </w:rPr>
      </w:pPr>
    </w:p>
    <w:p>
      <w:pPr>
        <w:ind w:left="120" w:right="240" w:firstLine="991"/>
        <w:spacing w:after="0" w:line="311" w:lineRule="auto"/>
        <w:rPr>
          <w:sz w:val="20"/>
          <w:szCs w:val="20"/>
          <w:color w:val="auto"/>
        </w:rPr>
      </w:pPr>
      <w:r>
        <w:rPr>
          <w:rFonts w:ascii="Arial" w:cs="Arial" w:eastAsia="Arial" w:hAnsi="Arial"/>
          <w:sz w:val="16"/>
          <w:szCs w:val="16"/>
          <w:color w:val="auto"/>
        </w:rPr>
        <w:t>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30-90 days, and do not include a financing component.</w:t>
      </w:r>
    </w:p>
    <w:p>
      <w:pPr>
        <w:spacing w:after="0" w:line="149"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Contract assets include amounts related to the Company’s contractual right to consideration for both completed and partially completed performance for which the Company does not have the right to payment. As of September 30, 2020, and June 30, 2020, the Company did not have any contract assets.</w:t>
      </w:r>
    </w:p>
    <w:p>
      <w:pPr>
        <w:spacing w:after="0" w:line="184" w:lineRule="exact"/>
        <w:rPr>
          <w:sz w:val="20"/>
          <w:szCs w:val="20"/>
          <w:color w:val="auto"/>
        </w:rPr>
      </w:pPr>
    </w:p>
    <w:p>
      <w:pPr>
        <w:ind w:left="120" w:right="60" w:firstLine="991"/>
        <w:spacing w:after="0" w:line="311" w:lineRule="auto"/>
        <w:rPr>
          <w:sz w:val="20"/>
          <w:szCs w:val="20"/>
          <w:color w:val="auto"/>
        </w:rPr>
      </w:pPr>
      <w:r>
        <w:rPr>
          <w:rFonts w:ascii="Arial" w:cs="Arial" w:eastAsia="Arial" w:hAnsi="Arial"/>
          <w:sz w:val="16"/>
          <w:szCs w:val="16"/>
          <w:color w:val="auto"/>
        </w:rPr>
        <w:t>Contract liabilities are recorded when the Company receives payment prior to satisfying its obligation to transfer goods to a customer. The Company had $435,000 and $435,000 of contract liabilities as of September 30, 2020 and June 30, 2020, respectively. For the three months ended September 30, 2020 and 2019, revenue recognized from amounts included in the beginning balance of contract liabilities was not significant.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Revenues from remaining performance obligations are calculated as the dollar value of the remaining performance obligations on executed contracts. The estimated revenue expected to be recognized in the future related to performance obligations that are unsatisfied (or partially unsatisfied) pursuant to the Company’s existing customer agreements is $9.6 million as of September 30, 2020. The majority of which relates to our July 13, 2020 contract with BARDA for the purchase, delivery and storage of RECELL Systems under the Strategic National Stockpile (“SNS”) for a period of three years for use in a mass casualty or other emergency situation.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Share-Based Payment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 of Employee Share-Based Compensation Plans</w:t>
      </w:r>
    </w:p>
    <w:p>
      <w:pPr>
        <w:spacing w:after="0" w:line="117" w:lineRule="exact"/>
        <w:rPr>
          <w:sz w:val="20"/>
          <w:szCs w:val="20"/>
          <w:color w:val="auto"/>
        </w:rPr>
      </w:pPr>
    </w:p>
    <w:p>
      <w:pPr>
        <w:ind w:left="120" w:right="80" w:firstLine="991"/>
        <w:spacing w:after="0" w:line="254" w:lineRule="auto"/>
        <w:rPr>
          <w:sz w:val="20"/>
          <w:szCs w:val="20"/>
          <w:color w:val="auto"/>
        </w:rPr>
      </w:pPr>
      <w:r>
        <w:rPr>
          <w:rFonts w:ascii="Arial" w:cs="Arial" w:eastAsia="Arial" w:hAnsi="Arial"/>
          <w:sz w:val="18"/>
          <w:szCs w:val="18"/>
          <w:color w:val="auto"/>
        </w:rPr>
        <w:t>In November 2014, our former parent company, AVITA Medical, adopted the Employee Share Plan and the Incentive Option Plan (collectively, the “2016 Plans”). The 2016 Plans previously authorized the issuance of stock options or other share-based instruments representing up to 7.5% of outstanding capital of AVITA Medical. Any increase in the maximum number of shares issuable under the 2016 Plans was subject to shareholder approval or to an increase in the total number of ordinary shares outstanding. Upon Redomiciliation, the 2016 Plans were terminated with respect to future grants and accordingly, there are no more shares available to be issued under the 2016 Plans. In addition, upon Redomiciliation, the Company had an implicit 100-1 reverse stock split and all share information presented below has been presented on a reverse split stock basis. At the 2020 Annual Meeting of Stockholders that will be held on November 9, 2020, the Company intends to seek shareholder approval for a new employee stock option plan.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 Expenses</w:t>
      </w:r>
    </w:p>
    <w:p>
      <w:pPr>
        <w:spacing w:after="0" w:line="117"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Share-based payment transactions are recognized as compensation cost based on the fair value of the instrument on the date of grant. The Company uses the binomial option valuation model to estimate the grant date fair value of employee stock options.</w:t>
      </w:r>
    </w:p>
    <w:p>
      <w:pPr>
        <w:spacing w:after="0" w:line="170" w:lineRule="exact"/>
        <w:rPr>
          <w:sz w:val="20"/>
          <w:szCs w:val="20"/>
          <w:color w:val="auto"/>
        </w:rPr>
      </w:pPr>
    </w:p>
    <w:p>
      <w:pPr>
        <w:ind w:left="120" w:right="180" w:firstLine="991"/>
        <w:spacing w:after="0" w:line="263" w:lineRule="auto"/>
        <w:rPr>
          <w:sz w:val="20"/>
          <w:szCs w:val="20"/>
          <w:color w:val="auto"/>
        </w:rPr>
      </w:pPr>
      <w:r>
        <w:rPr>
          <w:rFonts w:ascii="Arial" w:cs="Arial" w:eastAsia="Arial" w:hAnsi="Arial"/>
          <w:sz w:val="18"/>
          <w:szCs w:val="18"/>
          <w:color w:val="auto"/>
        </w:rPr>
        <w:t>During the three months ended September 30, 2020 and 2019, the Company recorded stock-based compensation expense of $3.2 million and $672,000, respectively. No income tax benefit was recognized in the condensed consolidated statement of comprehensive loss for share-based payment arrangements for the three months ended September 30, 2020 and 2019.</w:t>
      </w:r>
    </w:p>
    <w:p>
      <w:pPr>
        <w:spacing w:after="0" w:line="184"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A summary of stock option activity under the employees share option plan arrangement as of September 30, 2020 and changes during the period then ended is presented below:</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760" w:type="dxa"/>
            <w:vAlign w:val="bottom"/>
            <w:gridSpan w:val="3"/>
          </w:tcPr>
          <w:p>
            <w:pPr>
              <w:jc w:val="center"/>
              <w:ind w:left="1435"/>
              <w:spacing w:after="0"/>
              <w:rPr>
                <w:sz w:val="20"/>
                <w:szCs w:val="20"/>
                <w:color w:val="auto"/>
              </w:rPr>
            </w:pPr>
            <w:r>
              <w:rPr>
                <w:rFonts w:ascii="Arial" w:cs="Arial" w:eastAsia="Arial" w:hAnsi="Arial"/>
                <w:sz w:val="14"/>
                <w:szCs w:val="14"/>
                <w:b w:val="1"/>
                <w:bCs w:val="1"/>
                <w:color w:val="auto"/>
                <w:w w:val="94"/>
              </w:rPr>
              <w:t>Service Only</w:t>
            </w: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Performance</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Total Stock</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Based Stock</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Options</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2020</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904,353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356,171</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1,260,524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Exercised</w:t>
            </w:r>
          </w:p>
        </w:tc>
        <w:tc>
          <w:tcPr>
            <w:tcW w:w="2760" w:type="dxa"/>
            <w:vAlign w:val="bottom"/>
            <w:gridSpan w:val="3"/>
          </w:tcPr>
          <w:p>
            <w:pPr>
              <w:jc w:val="right"/>
              <w:ind w:right="160"/>
              <w:spacing w:after="0"/>
              <w:rPr>
                <w:sz w:val="20"/>
                <w:szCs w:val="20"/>
                <w:color w:val="auto"/>
              </w:rPr>
            </w:pPr>
            <w:r>
              <w:rPr>
                <w:rFonts w:ascii="Arial" w:cs="Arial" w:eastAsia="Arial" w:hAnsi="Arial"/>
                <w:sz w:val="18"/>
                <w:szCs w:val="18"/>
                <w:color w:val="auto"/>
              </w:rPr>
              <w:t>(3,538)</w:t>
            </w:r>
          </w:p>
        </w:tc>
        <w:tc>
          <w:tcPr>
            <w:tcW w:w="1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2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(1,636)</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Forfeited</w:t>
            </w:r>
          </w:p>
        </w:tc>
        <w:tc>
          <w:tcPr>
            <w:tcW w:w="17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(21,778)</w:t>
            </w:r>
          </w:p>
        </w:tc>
        <w:tc>
          <w:tcPr>
            <w:tcW w:w="14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2020</w:t>
            </w:r>
          </w:p>
        </w:tc>
        <w:tc>
          <w:tcPr>
            <w:tcW w:w="174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877,401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356,169</w:t>
            </w:r>
          </w:p>
        </w:tc>
        <w:tc>
          <w:tcPr>
            <w:tcW w:w="36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1,233,570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2020</w:t>
            </w:r>
          </w:p>
        </w:tc>
        <w:tc>
          <w:tcPr>
            <w:tcW w:w="2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8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296,803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298,897</w:t>
            </w:r>
          </w:p>
        </w:tc>
        <w:tc>
          <w:tcPr>
            <w:tcW w:w="3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3" w:lineRule="exact"/>
        <w:rPr>
          <w:sz w:val="20"/>
          <w:szCs w:val="20"/>
          <w:color w:val="auto"/>
        </w:rPr>
      </w:pPr>
    </w:p>
    <w:p>
      <w:pPr>
        <w:jc w:val="both"/>
        <w:ind w:left="120" w:right="360" w:firstLine="440"/>
        <w:spacing w:after="0" w:line="303" w:lineRule="auto"/>
        <w:rPr>
          <w:sz w:val="20"/>
          <w:szCs w:val="20"/>
          <w:color w:val="auto"/>
        </w:rPr>
      </w:pPr>
      <w:r>
        <w:rPr>
          <w:rFonts w:ascii="Arial" w:cs="Arial" w:eastAsia="Arial" w:hAnsi="Arial"/>
          <w:sz w:val="16"/>
          <w:szCs w:val="16"/>
          <w:color w:val="auto"/>
        </w:rPr>
        <w:t>Restricted stock units (“</w:t>
      </w:r>
      <w:r>
        <w:rPr>
          <w:rFonts w:ascii="Arial" w:cs="Arial" w:eastAsia="Arial" w:hAnsi="Arial"/>
          <w:sz w:val="16"/>
          <w:szCs w:val="16"/>
          <w:b w:val="1"/>
          <w:bCs w:val="1"/>
          <w:color w:val="auto"/>
        </w:rPr>
        <w:t>RSUs</w:t>
      </w:r>
      <w:r>
        <w:rPr>
          <w:rFonts w:ascii="Arial" w:cs="Arial" w:eastAsia="Arial" w:hAnsi="Arial"/>
          <w:sz w:val="16"/>
          <w:szCs w:val="16"/>
          <w:color w:val="auto"/>
        </w:rPr>
        <w:t>”) are granted to executives as part of their long-term incentive compensation. RSU awards are approved by the Compensation Committee as determined necessary. The RSU awards have a contractual term of 10 years and vest in accordance with the tenure or performance conditions as determined by the Compensation Committee. The grant date fair value is determined based on the price of the Company stock on the ASX on the date of grant. RSUs primarily consist of awards to the Chief Executive Officer and other executives.</w:t>
      </w: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 summary of the status of the Company’s unvested shares as of September 30, 2020, and changes during the three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2020, is presented below:</w:t>
      </w:r>
    </w:p>
    <w:p>
      <w:pPr>
        <w:spacing w:after="0" w:line="22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Service Condition</w:t>
            </w:r>
          </w:p>
        </w:tc>
        <w:tc>
          <w:tcPr>
            <w:tcW w:w="540" w:type="dxa"/>
            <w:vAlign w:val="bottom"/>
          </w:tcPr>
          <w:p>
            <w:pPr>
              <w:spacing w:after="0"/>
              <w:rPr>
                <w:sz w:val="14"/>
                <w:szCs w:val="14"/>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Performance</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Total RSU</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jc w:val="right"/>
              <w:ind w:right="335"/>
              <w:spacing w:after="0"/>
              <w:rPr>
                <w:sz w:val="20"/>
                <w:szCs w:val="20"/>
                <w:color w:val="auto"/>
              </w:rPr>
            </w:pPr>
            <w:r>
              <w:rPr>
                <w:rFonts w:ascii="Arial" w:cs="Arial" w:eastAsia="Arial" w:hAnsi="Arial"/>
                <w:sz w:val="14"/>
                <w:szCs w:val="14"/>
                <w:b w:val="1"/>
                <w:bCs w:val="1"/>
                <w:color w:val="auto"/>
              </w:rPr>
              <w:t>RSU</w:t>
            </w:r>
          </w:p>
        </w:tc>
        <w:tc>
          <w:tcPr>
            <w:tcW w:w="20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Condition RSUs</w:t>
            </w: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Unvested RSUs outstanding at June 30, 2020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95,013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244,346</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Vested</w:t>
            </w:r>
          </w:p>
        </w:tc>
        <w:tc>
          <w:tcPr>
            <w:tcW w:w="80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40" w:type="dxa"/>
            <w:vAlign w:val="bottom"/>
            <w:gridSpan w:val="3"/>
          </w:tcPr>
          <w:p>
            <w:pPr>
              <w:jc w:val="right"/>
              <w:ind w:right="460"/>
              <w:spacing w:after="0"/>
              <w:rPr>
                <w:sz w:val="20"/>
                <w:szCs w:val="20"/>
                <w:color w:val="auto"/>
              </w:rPr>
            </w:pPr>
            <w:r>
              <w:rPr>
                <w:rFonts w:ascii="Arial" w:cs="Arial" w:eastAsia="Arial" w:hAnsi="Arial"/>
                <w:sz w:val="18"/>
                <w:szCs w:val="18"/>
                <w:color w:val="auto"/>
              </w:rPr>
              <w:t>(151,837)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(151,837)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Unvested RSUs outstanding at September 30, 2020</w:t>
            </w:r>
          </w:p>
        </w:tc>
        <w:tc>
          <w:tcPr>
            <w:tcW w:w="8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95,013</w:t>
            </w:r>
          </w:p>
        </w:tc>
        <w:tc>
          <w:tcPr>
            <w:tcW w:w="5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92,507</w:t>
            </w: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At June 30, 2020, the Company and its subsidiaries had net operating loss carryforwards for U.S. federal, state, United Kingdom, and Australian income tax purposes of $88.5 million, $57.5 million, $29.8 million, and $34.1 million, respectively. The net operating loss carryforwards may be subject to limitation regarding their utilization against taxable income in future periods due to “change of ownership” provisions of the Internal Revenue Code and similar state and foreign provisions. Of these carryforwards, $21.7 million will expire, if not utilized, in various years through 2038. The remaining loss carryforwards have no expiration.</w:t>
      </w:r>
    </w:p>
    <w:p>
      <w:pPr>
        <w:spacing w:after="0" w:line="188" w:lineRule="exact"/>
        <w:rPr>
          <w:sz w:val="20"/>
          <w:szCs w:val="20"/>
          <w:color w:val="auto"/>
        </w:rPr>
      </w:pPr>
    </w:p>
    <w:p>
      <w:pPr>
        <w:ind w:left="120" w:right="100" w:firstLine="991"/>
        <w:spacing w:after="0" w:line="290" w:lineRule="auto"/>
        <w:rPr>
          <w:sz w:val="20"/>
          <w:szCs w:val="20"/>
          <w:color w:val="auto"/>
        </w:rPr>
      </w:pPr>
      <w:r>
        <w:rPr>
          <w:rFonts w:ascii="Arial" w:cs="Arial" w:eastAsia="Arial" w:hAnsi="Arial"/>
          <w:sz w:val="16"/>
          <w:szCs w:val="16"/>
          <w:color w:val="auto"/>
        </w:rPr>
        <w:t>In assessing the recoverability of its deferred tax assets, the Company considers whether it is more likely than not that its deferred assets will be realized. The ultimate realization of deferred tax assets is dependent upon the generation of future taxable income in those periods in which temporary differences become deductible and/or net operating losses can be utilized. The Company considers all positive and negative evidence when determining the amount of the net deferred tax assets that are more likely than not to be realized. This evidence includes, but is not limited to, historical earnings, scheduled reversal of taxable temporary differences, tax planning strategies and projected future taxable income. Based upon the weight of available evidence including the uncertainty regarding the Company’s ability to utilize certain net operating losses and tax credits in the future, the Company has established a full valuation allowance against all its net deferred tax assets. The deferred tax assets are primarily net operating loss carryforwards for which management has determined it is more likely than not that the deferred tax assets will not be realized.</w:t>
      </w:r>
    </w:p>
    <w:p>
      <w:pPr>
        <w:spacing w:after="0" w:line="165"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color w:val="auto"/>
        </w:rPr>
        <w:t>The Company recognizes the tax benefit from an uncertain tax positions only if it is more likely than not that the tax position will be sustained on examination by the taxing authorities based on the technical merits of the position. The tax benefits recognized in the condensed consolidated financial statements related to a particular tax position are measured based on the largest benefit that has a greater than a 50% likelihood of being realized upon settlement. The amount of unrecognized tax benefits is adjusted as appropriate for changes in facts and circumstances, such as significant amendments to existing tax law, new regulations or interpretations by the taxing authorities, new information obtained during a tax examination, or resolution of an examination.</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Company has not identified any uncertain tax positions as of September 30, 2020 or June 30, 2020.</w:t>
      </w:r>
    </w:p>
    <w:p>
      <w:pPr>
        <w:spacing w:after="0" w:line="221" w:lineRule="exact"/>
        <w:rPr>
          <w:sz w:val="20"/>
          <w:szCs w:val="20"/>
          <w:color w:val="auto"/>
        </w:rPr>
      </w:pPr>
    </w:p>
    <w:p>
      <w:pPr>
        <w:ind w:left="120" w:right="240" w:firstLine="991"/>
        <w:spacing w:after="0" w:line="303" w:lineRule="auto"/>
        <w:rPr>
          <w:sz w:val="20"/>
          <w:szCs w:val="20"/>
          <w:color w:val="auto"/>
        </w:rPr>
      </w:pPr>
      <w:r>
        <w:rPr>
          <w:rFonts w:ascii="Arial" w:cs="Arial" w:eastAsia="Arial" w:hAnsi="Arial"/>
          <w:sz w:val="16"/>
          <w:szCs w:val="16"/>
          <w:color w:val="auto"/>
        </w:rPr>
        <w:t>On March 27, 2020, the Coronavirus Aid, Relief, and Economic Security Act (“</w:t>
      </w:r>
      <w:r>
        <w:rPr>
          <w:rFonts w:ascii="Arial" w:cs="Arial" w:eastAsia="Arial" w:hAnsi="Arial"/>
          <w:sz w:val="16"/>
          <w:szCs w:val="16"/>
          <w:b w:val="1"/>
          <w:bCs w:val="1"/>
          <w:color w:val="auto"/>
        </w:rPr>
        <w:t>CARES Ac</w:t>
      </w:r>
      <w:r>
        <w:rPr>
          <w:rFonts w:ascii="Arial" w:cs="Arial" w:eastAsia="Arial" w:hAnsi="Arial"/>
          <w:sz w:val="16"/>
          <w:szCs w:val="16"/>
          <w:color w:val="auto"/>
        </w:rPr>
        <w:t>t”) was enacted in the United States. The CARES Act provides numerous tax provisions and other stimulus measures, including temporary changes regarding the prior and future utilization of net operating losses and technical corrections from prior tax legislation for tax depreciation of certain qualified improvement property. The Company evaluated the provisions of the CARES Act and does not anticipate the associated impacts, if any, will have a material effect on its financial position.</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Net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reconciliation of the basic and diluted loss per share computations: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r>
      <w:tr>
        <w:trPr>
          <w:trHeight w:val="142"/>
        </w:trPr>
        <w:tc>
          <w:tcPr>
            <w:tcW w:w="54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rPr>
              <w:t>(in thousands, expect per share data)</w:t>
            </w:r>
          </w:p>
        </w:tc>
        <w:tc>
          <w:tcPr>
            <w:tcW w:w="40" w:type="dxa"/>
            <w:vAlign w:val="bottom"/>
            <w:tcBorders>
              <w:bottom w:val="single" w:sz="8" w:color="CCEEFF"/>
            </w:tcBorders>
          </w:tcPr>
          <w:p>
            <w:pPr>
              <w:spacing w:after="0"/>
              <w:rPr>
                <w:sz w:val="12"/>
                <w:szCs w:val="12"/>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10,227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Weighted-average common shares - outstanding, basic</w:t>
            </w:r>
          </w:p>
        </w:tc>
        <w:tc>
          <w:tcPr>
            <w:tcW w:w="200" w:type="dxa"/>
            <w:vAlign w:val="bottom"/>
          </w:tcPr>
          <w:p>
            <w:pPr>
              <w:spacing w:after="0"/>
              <w:rPr>
                <w:sz w:val="18"/>
                <w:szCs w:val="18"/>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21,504</w:t>
            </w: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18,720</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 outstanding, diluted</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21,504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18,720</w:t>
            </w: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Net loss per common share, basic</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8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4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r>
      <w:tr>
        <w:trPr>
          <w:trHeight w:val="20"/>
        </w:trPr>
        <w:tc>
          <w:tcPr>
            <w:tcW w:w="5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991"/>
        <w:spacing w:after="0" w:line="275" w:lineRule="auto"/>
        <w:rPr>
          <w:sz w:val="20"/>
          <w:szCs w:val="20"/>
          <w:color w:val="auto"/>
        </w:rPr>
      </w:pPr>
      <w:r>
        <w:rPr>
          <w:rFonts w:ascii="Arial" w:cs="Arial" w:eastAsia="Arial" w:hAnsi="Arial"/>
          <w:sz w:val="17"/>
          <w:szCs w:val="17"/>
          <w:color w:val="auto"/>
        </w:rPr>
        <w:t>The Company’s basic net loss per share is calculated by dividing the net loss by the weighted-average number of shares of common stock outstanding for the relevant period.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three months ended September 30, 2020 and 2019, diluted net loss per common share is the same as the basic net loss per share for those periods.</w:t>
      </w:r>
    </w:p>
    <w:p>
      <w:pPr>
        <w:spacing w:after="0" w:line="176" w:lineRule="exact"/>
        <w:rPr>
          <w:sz w:val="20"/>
          <w:szCs w:val="20"/>
          <w:color w:val="auto"/>
        </w:rPr>
      </w:pPr>
    </w:p>
    <w:p>
      <w:pPr>
        <w:ind w:left="120" w:right="500" w:firstLine="991"/>
        <w:spacing w:after="0" w:line="308" w:lineRule="auto"/>
        <w:rPr>
          <w:sz w:val="20"/>
          <w:szCs w:val="20"/>
          <w:color w:val="auto"/>
        </w:rPr>
      </w:pPr>
      <w:r>
        <w:rPr>
          <w:rFonts w:ascii="Arial" w:cs="Arial" w:eastAsia="Arial" w:hAnsi="Arial"/>
          <w:sz w:val="17"/>
          <w:szCs w:val="17"/>
          <w:color w:val="auto"/>
        </w:rPr>
        <w:t>The loss per share incorporates the impact of the reverse stock split that was effectuated in conjunction with the Redomicilation. In accordance with ASC 260, the impact of the reverse stock split was retrospectively applied for all periods presented.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Retirement Plans</w:t>
      </w:r>
    </w:p>
    <w:p>
      <w:pPr>
        <w:spacing w:after="0" w:line="121"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The Company offers a 401(k)-retirement savings plan (the “401(k)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Total Company matching contributions to the 401(k) Plan were $165,000 and $154,000 in the three months ended September 30, 2020 and 2019, respectively.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The Company has considered all events occurring subsequent to September 30, 2020 and has concluded that all significant events have been disclosed in the condensed consolidated financial statements and accompanying notes.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40"/>
          </w:cols>
          <w:pgMar w:left="320" w:top="459" w:right="5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120" w:right="720" w:firstLine="991"/>
        <w:spacing w:after="0" w:line="34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w:t>
      </w:r>
    </w:p>
    <w:p>
      <w:pPr>
        <w:spacing w:after="0" w:line="124" w:lineRule="exact"/>
        <w:rPr>
          <w:sz w:val="20"/>
          <w:szCs w:val="20"/>
          <w:color w:val="auto"/>
        </w:rPr>
      </w:pPr>
    </w:p>
    <w:p>
      <w:pPr>
        <w:ind w:left="120" w:right="80" w:firstLine="991"/>
        <w:spacing w:after="0" w:line="273" w:lineRule="auto"/>
        <w:rPr>
          <w:sz w:val="20"/>
          <w:szCs w:val="20"/>
          <w:color w:val="auto"/>
        </w:rPr>
      </w:pPr>
      <w:r>
        <w:rPr>
          <w:rFonts w:ascii="Arial" w:cs="Arial" w:eastAsia="Arial" w:hAnsi="Arial"/>
          <w:sz w:val="17"/>
          <w:szCs w:val="17"/>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w:t>
      </w:r>
    </w:p>
    <w:p>
      <w:pPr>
        <w:spacing w:after="0" w:line="178" w:lineRule="exact"/>
        <w:rPr>
          <w:sz w:val="20"/>
          <w:szCs w:val="20"/>
          <w:color w:val="auto"/>
        </w:rPr>
      </w:pPr>
    </w:p>
    <w:p>
      <w:pPr>
        <w:ind w:left="120" w:right="640" w:firstLine="991"/>
        <w:spacing w:after="0" w:line="277" w:lineRule="auto"/>
        <w:rPr>
          <w:sz w:val="20"/>
          <w:szCs w:val="20"/>
          <w:color w:val="auto"/>
        </w:rPr>
      </w:pPr>
      <w:r>
        <w:rPr>
          <w:rFonts w:ascii="Arial" w:cs="Arial" w:eastAsia="Arial" w:hAnsi="Arial"/>
          <w:sz w:val="18"/>
          <w:szCs w:val="18"/>
          <w:i w:val="1"/>
          <w:iCs w:val="1"/>
          <w:color w:val="auto"/>
        </w:rPr>
        <w:t>The following information and any forward-looking statements should be considered in light of factors discussed elsewhere in this Quarterly Report on Form 10-Q, including those risks identified under Part II, Item 1A. Risk Factors.</w:t>
      </w:r>
    </w:p>
    <w:p>
      <w:pPr>
        <w:spacing w:after="0" w:line="170" w:lineRule="exact"/>
        <w:rPr>
          <w:sz w:val="20"/>
          <w:szCs w:val="20"/>
          <w:color w:val="auto"/>
        </w:rPr>
      </w:pPr>
    </w:p>
    <w:p>
      <w:pPr>
        <w:ind w:left="120" w:right="240" w:firstLine="991"/>
        <w:spacing w:after="0" w:line="279" w:lineRule="auto"/>
        <w:rPr>
          <w:sz w:val="20"/>
          <w:szCs w:val="20"/>
          <w:color w:val="auto"/>
        </w:rPr>
      </w:pPr>
      <w:r>
        <w:rPr>
          <w:rFonts w:ascii="Arial" w:cs="Arial" w:eastAsia="Arial" w:hAnsi="Arial"/>
          <w:sz w:val="17"/>
          <w:szCs w:val="17"/>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left="120" w:firstLine="991"/>
        <w:spacing w:after="0" w:line="274" w:lineRule="auto"/>
        <w:rPr>
          <w:sz w:val="20"/>
          <w:szCs w:val="20"/>
          <w:color w:val="auto"/>
        </w:rPr>
      </w:pPr>
      <w:r>
        <w:rPr>
          <w:rFonts w:ascii="Arial" w:cs="Arial" w:eastAsia="Arial" w:hAnsi="Arial"/>
          <w:sz w:val="17"/>
          <w:szCs w:val="17"/>
          <w:color w:val="auto"/>
        </w:rPr>
        <w:t>The AVITA group of companies (comprising AVITA Therapeutics, Inc. (“</w:t>
      </w:r>
      <w:r>
        <w:rPr>
          <w:rFonts w:ascii="Arial" w:cs="Arial" w:eastAsia="Arial" w:hAnsi="Arial"/>
          <w:sz w:val="17"/>
          <w:szCs w:val="17"/>
          <w:b w:val="1"/>
          <w:bCs w:val="1"/>
          <w:color w:val="auto"/>
        </w:rPr>
        <w:t>AVITA Therapeutics</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and its subsidiaries, including AVITA Medical Limited (“</w:t>
      </w:r>
      <w:r>
        <w:rPr>
          <w:rFonts w:ascii="Arial" w:cs="Arial" w:eastAsia="Arial" w:hAnsi="Arial"/>
          <w:sz w:val="17"/>
          <w:szCs w:val="17"/>
          <w:b w:val="1"/>
          <w:bCs w:val="1"/>
          <w:color w:val="auto"/>
        </w:rPr>
        <w:t>AVITA Medical</w:t>
      </w:r>
      <w:r>
        <w:rPr>
          <w:rFonts w:ascii="Arial" w:cs="Arial" w:eastAsia="Arial" w:hAnsi="Arial"/>
          <w:sz w:val="17"/>
          <w:szCs w:val="17"/>
          <w:color w:val="auto"/>
        </w:rPr>
        <w:t>”)) (collectively, “</w:t>
      </w:r>
      <w:r>
        <w:rPr>
          <w:rFonts w:ascii="Arial" w:cs="Arial" w:eastAsia="Arial" w:hAnsi="Arial"/>
          <w:sz w:val="17"/>
          <w:szCs w:val="17"/>
          <w:b w:val="1"/>
          <w:bCs w:val="1"/>
          <w:color w:val="auto"/>
        </w:rPr>
        <w:t>AVITA Group</w:t>
      </w:r>
      <w:r>
        <w:rPr>
          <w:rFonts w:ascii="Arial" w:cs="Arial" w:eastAsia="Arial" w:hAnsi="Arial"/>
          <w:sz w:val="17"/>
          <w:szCs w:val="17"/>
          <w:color w:val="auto"/>
        </w:rPr>
        <w:t>” or “</w:t>
      </w:r>
      <w:r>
        <w:rPr>
          <w:rFonts w:ascii="Arial" w:cs="Arial" w:eastAsia="Arial" w:hAnsi="Arial"/>
          <w:sz w:val="17"/>
          <w:szCs w:val="17"/>
          <w:b w:val="1"/>
          <w:bCs w:val="1"/>
          <w:color w:val="auto"/>
        </w:rPr>
        <w:t>we</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or “</w:t>
      </w:r>
      <w:r>
        <w:rPr>
          <w:rFonts w:ascii="Arial" w:cs="Arial" w:eastAsia="Arial" w:hAnsi="Arial"/>
          <w:sz w:val="17"/>
          <w:szCs w:val="17"/>
          <w:b w:val="1"/>
          <w:bCs w:val="1"/>
          <w:color w:val="auto"/>
        </w:rPr>
        <w:t>our</w:t>
      </w:r>
      <w:r>
        <w:rPr>
          <w:rFonts w:ascii="Arial" w:cs="Arial" w:eastAsia="Arial" w:hAnsi="Arial"/>
          <w:sz w:val="17"/>
          <w:szCs w:val="17"/>
          <w:color w:val="auto"/>
        </w:rPr>
        <w:t>”) is a regenerative medicine group with a technology platform positioned to address unmet medical needs in burn injuries, trauma and other acute injuries, together with skin defects like vitiligo. Our patented and proprietary platform technology provides innovative treatment solutions derived from the regenerative properties of a patient’s own skin. Our medical device works by preparing Spray-On Skin</w:t>
      </w:r>
      <w:r>
        <w:rPr>
          <w:rFonts w:ascii="Arial" w:cs="Arial" w:eastAsia="Arial" w:hAnsi="Arial"/>
          <w:sz w:val="14"/>
          <w:szCs w:val="14"/>
          <w:color w:val="auto"/>
        </w:rPr>
        <w:t>™</w:t>
      </w:r>
      <w:r>
        <w:rPr>
          <w:rFonts w:ascii="Arial" w:cs="Arial" w:eastAsia="Arial" w:hAnsi="Arial"/>
          <w:sz w:val="17"/>
          <w:szCs w:val="17"/>
          <w:color w:val="auto"/>
        </w:rPr>
        <w:t xml:space="preserve"> Cells, an autologous cellular suspension comprised of the patient’s skin cells, which is then sprayed on the patient in order to regenerate natural healthy epidermis.</w:t>
      </w:r>
    </w:p>
    <w:p>
      <w:pPr>
        <w:spacing w:after="0" w:line="173" w:lineRule="exact"/>
        <w:rPr>
          <w:sz w:val="20"/>
          <w:szCs w:val="20"/>
          <w:color w:val="auto"/>
        </w:rPr>
      </w:pPr>
    </w:p>
    <w:p>
      <w:pPr>
        <w:ind w:left="120" w:right="60" w:firstLine="991"/>
        <w:spacing w:after="0" w:line="289" w:lineRule="auto"/>
        <w:rPr>
          <w:sz w:val="20"/>
          <w:szCs w:val="20"/>
          <w:color w:val="auto"/>
        </w:rPr>
      </w:pPr>
      <w:r>
        <w:rPr>
          <w:rFonts w:ascii="Arial" w:cs="Arial" w:eastAsia="Arial" w:hAnsi="Arial"/>
          <w:sz w:val="16"/>
          <w:szCs w:val="16"/>
          <w:color w:val="auto"/>
        </w:rPr>
        <w:t>Our first United States (“</w:t>
      </w:r>
      <w:r>
        <w:rPr>
          <w:rFonts w:ascii="Arial" w:cs="Arial" w:eastAsia="Arial" w:hAnsi="Arial"/>
          <w:sz w:val="16"/>
          <w:szCs w:val="16"/>
          <w:b w:val="1"/>
          <w:bCs w:val="1"/>
          <w:color w:val="auto"/>
        </w:rPr>
        <w:t>U.S.</w:t>
      </w:r>
      <w:r>
        <w:rPr>
          <w:rFonts w:ascii="Arial" w:cs="Arial" w:eastAsia="Arial" w:hAnsi="Arial"/>
          <w:sz w:val="16"/>
          <w:szCs w:val="16"/>
          <w:color w:val="auto"/>
        </w:rPr>
        <w:t>”) product, the RECELL</w:t>
      </w:r>
      <w:r>
        <w:rPr>
          <w:rFonts w:ascii="Arial" w:cs="Arial" w:eastAsia="Arial" w:hAnsi="Arial"/>
          <w:sz w:val="13"/>
          <w:szCs w:val="13"/>
          <w:color w:val="auto"/>
        </w:rPr>
        <w:t>®</w:t>
      </w:r>
      <w:r>
        <w:rPr>
          <w:rFonts w:ascii="Arial" w:cs="Arial" w:eastAsia="Arial" w:hAnsi="Arial"/>
          <w:sz w:val="16"/>
          <w:szCs w:val="16"/>
          <w:color w:val="auto"/>
        </w:rPr>
        <w:t xml:space="preserve"> System, was approved by the U.S.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in September 2018 for the treatment of acute thermal burn injuries in patients 18 years and older. The RECELL System is used to prepare Spray-On Skin Cells using a small amount of a patient’s own skin, providing a new way to treat severe burns, and simultaneously significantly reducing the amount of donor skin required. The RECELL System is designed to be used at the point of care as a standalone product, or in combination with “skin transplants”, known as split-thickness skin autografts, depending on the depth of the burn injury. The pivotal studies leading to the RECELL System’s FDA premarket approval (“</w:t>
      </w:r>
      <w:r>
        <w:rPr>
          <w:rFonts w:ascii="Arial" w:cs="Arial" w:eastAsia="Arial" w:hAnsi="Arial"/>
          <w:sz w:val="16"/>
          <w:szCs w:val="16"/>
          <w:b w:val="1"/>
          <w:bCs w:val="1"/>
          <w:color w:val="auto"/>
        </w:rPr>
        <w:t>PMA</w:t>
      </w:r>
      <w:r>
        <w:rPr>
          <w:rFonts w:ascii="Arial" w:cs="Arial" w:eastAsia="Arial" w:hAnsi="Arial"/>
          <w:sz w:val="16"/>
          <w:szCs w:val="16"/>
          <w:color w:val="auto"/>
        </w:rPr>
        <w:t>”) for the treatment of acute thermal burns, demonstrated that the RECELL System treated burns using 97.5 percent less donor skin when used alone in second-degree burns, and 32 percent less donor skin when used with autograft for third-degree burns compared to standard of care autografting. In these studies, a statistically significant reduction in donor skin required to treat burn patients with the RECELL System was realized without any associated compromise to healing or safety outcomes. Donor site outcomes from the clinical trial for second-degree burns also revealed a statistically significant reduction in patient-reported pain, increased patient satisfaction and improved scar outcomes.</w:t>
      </w:r>
    </w:p>
    <w:p>
      <w:pPr>
        <w:spacing w:after="0" w:line="165"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Our compelling data from prospective, randomized, controlled clinical trials conducted at major United States burn centers, health economics modeling, and real-world use globally, demonstrate that the RECELL System is a significant advancement over the current standard of care for burn patients and offers benefits in clinical outcomes and cost savings.</w:t>
      </w:r>
    </w:p>
    <w:p>
      <w:pPr>
        <w:spacing w:after="0" w:line="184" w:lineRule="exact"/>
        <w:rPr>
          <w:sz w:val="20"/>
          <w:szCs w:val="20"/>
          <w:color w:val="auto"/>
        </w:rPr>
      </w:pPr>
    </w:p>
    <w:p>
      <w:pPr>
        <w:ind w:left="120" w:right="400" w:firstLine="991"/>
        <w:spacing w:after="0" w:line="277" w:lineRule="auto"/>
        <w:rPr>
          <w:sz w:val="20"/>
          <w:szCs w:val="20"/>
          <w:color w:val="auto"/>
        </w:rPr>
      </w:pPr>
      <w:r>
        <w:rPr>
          <w:rFonts w:ascii="Arial" w:cs="Arial" w:eastAsia="Arial" w:hAnsi="Arial"/>
          <w:sz w:val="18"/>
          <w:szCs w:val="18"/>
          <w:color w:val="auto"/>
        </w:rPr>
        <w:t>Following receipt of our PMA, we commenced commercializing the RECELL System in January 2019 in the U.S., and we expect the dominant focus of our commercial efforts to be directed towards the U.S. market going forward.</w:t>
      </w:r>
    </w:p>
    <w:p>
      <w:pPr>
        <w:spacing w:after="0" w:line="166" w:lineRule="exact"/>
        <w:rPr>
          <w:sz w:val="20"/>
          <w:szCs w:val="20"/>
          <w:color w:val="auto"/>
        </w:rPr>
      </w:pPr>
    </w:p>
    <w:p>
      <w:pPr>
        <w:ind w:left="120" w:right="20" w:firstLine="991"/>
        <w:spacing w:after="0" w:line="261" w:lineRule="auto"/>
        <w:rPr>
          <w:sz w:val="20"/>
          <w:szCs w:val="20"/>
          <w:color w:val="auto"/>
        </w:rPr>
      </w:pPr>
      <w:r>
        <w:rPr>
          <w:rFonts w:ascii="Arial" w:cs="Arial" w:eastAsia="Arial" w:hAnsi="Arial"/>
          <w:sz w:val="18"/>
          <w:szCs w:val="18"/>
          <w:color w:val="auto"/>
        </w:rPr>
        <w:t>The RECELL System is Therapeutic Goods Administration (“</w:t>
      </w:r>
      <w:r>
        <w:rPr>
          <w:rFonts w:ascii="Arial" w:cs="Arial" w:eastAsia="Arial" w:hAnsi="Arial"/>
          <w:sz w:val="18"/>
          <w:szCs w:val="18"/>
          <w:b w:val="1"/>
          <w:bCs w:val="1"/>
          <w:color w:val="auto"/>
        </w:rPr>
        <w:t>TGA</w:t>
      </w:r>
      <w:r>
        <w:rPr>
          <w:rFonts w:ascii="Arial" w:cs="Arial" w:eastAsia="Arial" w:hAnsi="Arial"/>
          <w:sz w:val="18"/>
          <w:szCs w:val="18"/>
          <w:color w:val="auto"/>
        </w:rPr>
        <w:t>”)-registered in Australia cleared for use in the treatment of burns, acute wounds, scars and repigmentation (vitiligo). In Europe, the RECELL System received CE-mark approval for the treatment of burns, chronic wounds, scars and vitiligo. Presently, we are not actively marketing the RECELL System internationally and therefore do not derive meaningful revenue from the RECELL System in these markets.</w:t>
      </w:r>
    </w:p>
    <w:p>
      <w:pPr>
        <w:spacing w:after="0" w:line="184" w:lineRule="exact"/>
        <w:rPr>
          <w:sz w:val="20"/>
          <w:szCs w:val="20"/>
          <w:color w:val="auto"/>
        </w:rPr>
      </w:pPr>
    </w:p>
    <w:p>
      <w:pPr>
        <w:ind w:left="120" w:right="320" w:firstLine="991"/>
        <w:spacing w:after="0" w:line="308" w:lineRule="auto"/>
        <w:rPr>
          <w:sz w:val="20"/>
          <w:szCs w:val="20"/>
          <w:color w:val="auto"/>
        </w:rPr>
      </w:pPr>
      <w:r>
        <w:rPr>
          <w:rFonts w:ascii="Arial" w:cs="Arial" w:eastAsia="Arial" w:hAnsi="Arial"/>
          <w:sz w:val="17"/>
          <w:szCs w:val="17"/>
          <w:color w:val="auto"/>
        </w:rPr>
        <w:t>Our website address is www.avitamedical.com. Information contained on our website is not part of or incorporated into this report. We make our periodic reports, together with any amendments, available on our website, free of charge, as soon as reasonably</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61" w:lineRule="auto"/>
        <w:rPr>
          <w:sz w:val="20"/>
          <w:szCs w:val="20"/>
          <w:color w:val="auto"/>
        </w:rPr>
      </w:pPr>
      <w:r>
        <w:rPr>
          <w:rFonts w:ascii="Arial" w:cs="Arial" w:eastAsia="Arial" w:hAnsi="Arial"/>
          <w:sz w:val="18"/>
          <w:szCs w:val="18"/>
          <w:color w:val="auto"/>
        </w:rPr>
        <w:t>practicable after we electronically file or furnish the reports with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or with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The SEC maintains an internet site, www.sec.gov, which contains reports, proxy and information statements, and other information regarding issuers that file electronically with the SEC. Copies of announcements made by the Company to the ASX are available on ASX’s website (www.asx.com.au).</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AVITA Therapeutics, a Delaware corporation, was originally formed in April 2020. The former parent company of the AVITA Group, AVITA Medical, was formed under the laws of the Commonwealth of Australia in December of 1992 and has operated as AVITA Medical since 2008. AVITA Medical’s ordinary shares originally began trading in Australia on the ASX on August 9, 1993. AVITA Medical’s ordinary shares, in the form of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began trading on the NASDAQ Stock Market LLC (“</w:t>
      </w:r>
      <w:r>
        <w:rPr>
          <w:rFonts w:ascii="Arial" w:cs="Arial" w:eastAsia="Arial" w:hAnsi="Arial"/>
          <w:sz w:val="18"/>
          <w:szCs w:val="18"/>
          <w:b w:val="1"/>
          <w:bCs w:val="1"/>
          <w:color w:val="auto"/>
        </w:rPr>
        <w:t>NASDAQ</w:t>
      </w:r>
      <w:r>
        <w:rPr>
          <w:rFonts w:ascii="Arial" w:cs="Arial" w:eastAsia="Arial" w:hAnsi="Arial"/>
          <w:sz w:val="18"/>
          <w:szCs w:val="18"/>
          <w:color w:val="auto"/>
        </w:rPr>
        <w:t>”) on October 1, 2019 under the ticker symbol “RCEL”.</w:t>
      </w:r>
    </w:p>
    <w:p>
      <w:pPr>
        <w:spacing w:after="0" w:line="188" w:lineRule="exact"/>
        <w:rPr>
          <w:sz w:val="20"/>
          <w:szCs w:val="20"/>
          <w:color w:val="auto"/>
        </w:rPr>
      </w:pPr>
    </w:p>
    <w:p>
      <w:pPr>
        <w:ind w:left="120" w:right="40" w:firstLine="991"/>
        <w:spacing w:after="0" w:line="271" w:lineRule="auto"/>
        <w:rPr>
          <w:sz w:val="20"/>
          <w:szCs w:val="20"/>
          <w:color w:val="auto"/>
        </w:rPr>
      </w:pPr>
      <w:r>
        <w:rPr>
          <w:rFonts w:ascii="Arial" w:cs="Arial" w:eastAsia="Arial" w:hAnsi="Arial"/>
          <w:sz w:val="17"/>
          <w:szCs w:val="17"/>
          <w:color w:val="auto"/>
        </w:rPr>
        <w:t>With effect from June 29, 2020, a statutory scheme of arrangement was implemented under Australian law to change the domicile of the AVITA Group from Australia to the U.S. Under the scheme of arrangement, AVITA Therapeutics, being a company incorporated in the State of Delaware in the U.S., became the new parent company of the AVITA Group, and all ordinary shares in AVITA Medical (including ordinary shares represented by ADSs) held by securityholders were exchanged for shares of common stock or CHESS Depositary Interests (“</w:t>
      </w:r>
      <w:r>
        <w:rPr>
          <w:rFonts w:ascii="Arial" w:cs="Arial" w:eastAsia="Arial" w:hAnsi="Arial"/>
          <w:sz w:val="17"/>
          <w:szCs w:val="17"/>
          <w:b w:val="1"/>
          <w:bCs w:val="1"/>
          <w:color w:val="auto"/>
        </w:rPr>
        <w:t>CDIs</w:t>
      </w:r>
      <w:r>
        <w:rPr>
          <w:rFonts w:ascii="Arial" w:cs="Arial" w:eastAsia="Arial" w:hAnsi="Arial"/>
          <w:sz w:val="17"/>
          <w:szCs w:val="17"/>
          <w:color w:val="auto"/>
        </w:rPr>
        <w:t>”). As a result, the existing listing of AVITA Medical on the ASX (as its primary listing) and on NASDAQ (as its secondary listing) was inverted and replaced with a new listing of AVITA Therapeutics on NASDAQ (as its primary listing) under the existing ticker symbol, “RCEL”, and on the ASX (as its secondary listing) under the existing ticker symbol, “AVH”. AVITA Therapeutics’ shares of common stock trade on NASDAQ and its CDIs trade on ASX (with five CDIs trading on ASX representing one share of common stock on NASDAQ).</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COVID-19 Business Update</w:t>
      </w:r>
    </w:p>
    <w:p>
      <w:pPr>
        <w:spacing w:after="0" w:line="121" w:lineRule="exact"/>
        <w:rPr>
          <w:sz w:val="20"/>
          <w:szCs w:val="20"/>
          <w:color w:val="auto"/>
        </w:rPr>
      </w:pPr>
    </w:p>
    <w:p>
      <w:pPr>
        <w:ind w:left="120" w:right="120" w:firstLine="991"/>
        <w:spacing w:after="0" w:line="259" w:lineRule="auto"/>
        <w:rPr>
          <w:sz w:val="20"/>
          <w:szCs w:val="20"/>
          <w:color w:val="auto"/>
        </w:rPr>
      </w:pPr>
      <w:r>
        <w:rPr>
          <w:rFonts w:ascii="Arial" w:cs="Arial" w:eastAsia="Arial" w:hAnsi="Arial"/>
          <w:sz w:val="18"/>
          <w:szCs w:val="18"/>
          <w:color w:val="auto"/>
        </w:rPr>
        <w:t>The global COVID-19 pandemic presents significant risks to us and may have far reaching impacts on our business, operations, and financial results and condition, directly and indirectly, including, without limitation, impacts on: the health of our management and employees; manufacturing, distribution, marketing and sales operations; research and development activities, including clinical activities; and customer and patient behaviors.</w:t>
      </w:r>
    </w:p>
    <w:p>
      <w:pPr>
        <w:spacing w:after="0" w:line="187"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Beginning in March 2020, the COVID-19 pandemic began impacting our operations and financial results. For example, on March 19, 2020, the Executive Department of the State of California issued Executive Order N-33-20, ordering all individuals in the State of California to stay at home or at their place of residence except as needed to maintain continuity of operations of federal critical infrastructure sectors. Our primary operations are located in Santa Clarita and Ventura, California. We have taken a variety of steps to address the impact of the COVID-19 pandemic, while attempting to minimize business disruption. Essential staff in manufacturing and limited support functions have continued to work from our locations following appropriate hygiene and social distancing protocols. To reduce the risk to our employees and their families from potential exposure to COVID-19, all other staff have been required to work from home (excluding our field force). We have restricted non-essential travel to protect the health and safety of our employees and customers.</w:t>
      </w:r>
    </w:p>
    <w:p>
      <w:pPr>
        <w:spacing w:after="0" w:line="192" w:lineRule="exact"/>
        <w:rPr>
          <w:sz w:val="20"/>
          <w:szCs w:val="20"/>
          <w:color w:val="auto"/>
        </w:rPr>
      </w:pPr>
    </w:p>
    <w:p>
      <w:pPr>
        <w:ind w:left="120" w:right="20" w:firstLine="991"/>
        <w:spacing w:after="0" w:line="269" w:lineRule="auto"/>
        <w:rPr>
          <w:sz w:val="20"/>
          <w:szCs w:val="20"/>
          <w:color w:val="auto"/>
        </w:rPr>
      </w:pPr>
      <w:r>
        <w:rPr>
          <w:rFonts w:ascii="Arial" w:cs="Arial" w:eastAsia="Arial" w:hAnsi="Arial"/>
          <w:sz w:val="17"/>
          <w:szCs w:val="17"/>
          <w:color w:val="auto"/>
        </w:rPr>
        <w:t>Moreover, beginning in March 2020, access to hospitals and other customer sites was restricted to essential personnel, which has negatively impacted our ability to promote the use of the RECELL System with physicians, and to enroll our clinical studies. In addition, some hospitals and other burn centers suspended the treatment of burn patients or re-distributed those patients to other treatment facilities and, together with a general reduction in broader economic activity (e.g. reduced travel, reduced mobility, suspension of certain business operations, etc.), this resulted in a significant reduction in the volume of burn procedures using the RECELL System in the immediate period following the implementation of those protective measures. We are continuing to monitor the impact of the COVID-19 pandemic on our employees and customers and on the markets in which we operate, and will take further actions that we consider prudent to address the COVID-19 pandemic, including reducing spending, while ensuring that we can support our customers and continue to develop our products. The ultimate extent of the impact of the COVID-19 pandemic on us remains highly uncertain and will depend on future developments and factors that continue to evolve, most of which are outside of our control, and could exist for an extended period of time even after the pandemic might end. Quarantines, shelter-in-place and similar government orders have also impacted and may continue to impact, our third-party manufacturers and suppliers, and could in turn adversely impact the availability or cost of materials, which could disrupt our supply chain.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table below summarizes the results of our continuing operations for each of the periods presented.</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right"/>
              <w:ind w:right="581"/>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right"/>
              <w:ind w:right="781"/>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gridSpan w:val="2"/>
            <w:vMerge w:val="restart"/>
          </w:tcPr>
          <w:p>
            <w:pPr>
              <w:jc w:val="right"/>
              <w:ind w:right="381"/>
              <w:spacing w:after="0"/>
              <w:rPr>
                <w:sz w:val="20"/>
                <w:szCs w:val="20"/>
                <w:color w:val="auto"/>
              </w:rPr>
            </w:pPr>
            <w:r>
              <w:rPr>
                <w:rFonts w:ascii="Arial" w:cs="Arial" w:eastAsia="Arial" w:hAnsi="Arial"/>
                <w:sz w:val="14"/>
                <w:szCs w:val="14"/>
                <w:b w:val="1"/>
                <w:bCs w:val="1"/>
                <w:color w:val="auto"/>
                <w:w w:val="88"/>
              </w:rPr>
              <w:t>$ 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gridSpan w:val="2"/>
            <w:vMerge w:val="continue"/>
          </w:tcPr>
          <w:p>
            <w:pPr>
              <w:spacing w:after="0"/>
              <w:rPr>
                <w:sz w:val="12"/>
                <w:szCs w:val="12"/>
                <w:color w:val="auto"/>
              </w:rPr>
            </w:pPr>
          </w:p>
        </w:tc>
        <w:tc>
          <w:tcPr>
            <w:tcW w:w="860" w:type="dxa"/>
            <w:vAlign w:val="bottom"/>
            <w:tcBorders>
              <w:bottom w:val="single" w:sz="8" w:color="CCEEFF"/>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$ 3,250</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w w:val="93"/>
              </w:rPr>
              <w:t>$ 1,810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929</w:t>
            </w:r>
          </w:p>
        </w:tc>
        <w:tc>
          <w:tcPr>
            <w:tcW w:w="460" w:type="dxa"/>
            <w:vAlign w:val="bottom"/>
            <w:gridSpan w:val="2"/>
          </w:tcPr>
          <w:p>
            <w:pPr>
              <w:spacing w:after="0"/>
              <w:rPr>
                <w:sz w:val="18"/>
                <w:szCs w:val="18"/>
                <w:color w:val="auto"/>
              </w:rPr>
            </w:pPr>
          </w:p>
        </w:tc>
        <w:tc>
          <w:tcPr>
            <w:tcW w:w="1020" w:type="dxa"/>
            <w:vAlign w:val="bottom"/>
            <w:gridSpan w:val="2"/>
          </w:tcPr>
          <w:p>
            <w:pPr>
              <w:jc w:val="right"/>
              <w:ind w:right="381"/>
              <w:spacing w:after="0"/>
              <w:rPr>
                <w:sz w:val="20"/>
                <w:szCs w:val="20"/>
                <w:color w:val="auto"/>
              </w:rPr>
            </w:pPr>
            <w:r>
              <w:rPr>
                <w:rFonts w:ascii="Arial" w:cs="Arial" w:eastAsia="Arial" w:hAnsi="Arial"/>
                <w:sz w:val="18"/>
                <w:szCs w:val="18"/>
                <w:color w:val="auto"/>
              </w:rPr>
              <w:t>619</w:t>
            </w:r>
          </w:p>
        </w:tc>
        <w:tc>
          <w:tcPr>
            <w:tcW w:w="1040" w:type="dxa"/>
            <w:vAlign w:val="bottom"/>
            <w:gridSpan w:val="2"/>
          </w:tcPr>
          <w:p>
            <w:pPr>
              <w:jc w:val="right"/>
              <w:ind w:right="381"/>
              <w:spacing w:after="0"/>
              <w:rPr>
                <w:sz w:val="20"/>
                <w:szCs w:val="20"/>
                <w:color w:val="auto"/>
              </w:rPr>
            </w:pPr>
            <w:r>
              <w:rPr>
                <w:rFonts w:ascii="Arial" w:cs="Arial" w:eastAsia="Arial" w:hAnsi="Arial"/>
                <w:sz w:val="18"/>
                <w:szCs w:val="18"/>
                <w:color w:val="auto"/>
              </w:rPr>
              <w:t>310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2,631</w:t>
            </w:r>
          </w:p>
        </w:tc>
        <w:tc>
          <w:tcPr>
            <w:tcW w:w="104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1,500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BARDA income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596</w:t>
            </w:r>
          </w:p>
        </w:tc>
        <w:tc>
          <w:tcPr>
            <w:tcW w:w="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2,051</w:t>
            </w:r>
          </w:p>
        </w:tc>
        <w:tc>
          <w:tcPr>
            <w:tcW w:w="4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(1,455)</w:t>
            </w:r>
          </w:p>
        </w:tc>
        <w:tc>
          <w:tcPr>
            <w:tcW w:w="4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700"/>
              <w:spacing w:after="0"/>
              <w:rPr>
                <w:sz w:val="20"/>
                <w:szCs w:val="20"/>
                <w:color w:val="auto"/>
              </w:rPr>
            </w:pPr>
            <w:r>
              <w:rPr>
                <w:rFonts w:ascii="Arial" w:cs="Arial" w:eastAsia="Arial" w:hAnsi="Arial"/>
                <w:sz w:val="18"/>
                <w:szCs w:val="18"/>
                <w:color w:val="auto"/>
              </w:rPr>
              <w:t>Sales and marketing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2,935</w:t>
            </w:r>
          </w:p>
        </w:tc>
        <w:tc>
          <w:tcPr>
            <w:tcW w:w="440" w:type="dxa"/>
            <w:vAlign w:val="bottom"/>
          </w:tcPr>
          <w:p>
            <w:pPr>
              <w:spacing w:after="0"/>
              <w:rPr>
                <w:sz w:val="18"/>
                <w:szCs w:val="18"/>
                <w:color w:val="auto"/>
              </w:rPr>
            </w:pPr>
          </w:p>
        </w:tc>
        <w:tc>
          <w:tcPr>
            <w:tcW w:w="1020" w:type="dxa"/>
            <w:vAlign w:val="bottom"/>
            <w:gridSpan w:val="2"/>
          </w:tcPr>
          <w:p>
            <w:pPr>
              <w:jc w:val="right"/>
              <w:ind w:right="381"/>
              <w:spacing w:after="0"/>
              <w:rPr>
                <w:sz w:val="20"/>
                <w:szCs w:val="20"/>
                <w:color w:val="auto"/>
              </w:rPr>
            </w:pPr>
            <w:r>
              <w:rPr>
                <w:rFonts w:ascii="Arial" w:cs="Arial" w:eastAsia="Arial" w:hAnsi="Arial"/>
                <w:sz w:val="18"/>
                <w:szCs w:val="18"/>
                <w:color w:val="auto"/>
              </w:rPr>
              <w:t>2,962</w:t>
            </w:r>
          </w:p>
        </w:tc>
        <w:tc>
          <w:tcPr>
            <w:tcW w:w="1040" w:type="dxa"/>
            <w:vAlign w:val="bottom"/>
            <w:gridSpan w:val="2"/>
          </w:tcPr>
          <w:p>
            <w:pPr>
              <w:jc w:val="right"/>
              <w:ind w:right="321"/>
              <w:spacing w:after="0"/>
              <w:rPr>
                <w:sz w:val="20"/>
                <w:szCs w:val="20"/>
                <w:color w:val="auto"/>
              </w:rPr>
            </w:pPr>
            <w:r>
              <w:rPr>
                <w:rFonts w:ascii="Arial" w:cs="Arial" w:eastAsia="Arial" w:hAnsi="Arial"/>
                <w:sz w:val="18"/>
                <w:szCs w:val="18"/>
                <w:color w:val="auto"/>
              </w:rPr>
              <w:t>(27)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3,071</w:t>
            </w:r>
          </w:p>
        </w:tc>
        <w:tc>
          <w:tcPr>
            <w:tcW w:w="104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2,465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700"/>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3,204</w:t>
            </w:r>
          </w:p>
        </w:tc>
        <w:tc>
          <w:tcPr>
            <w:tcW w:w="440" w:type="dxa"/>
            <w:vAlign w:val="bottom"/>
          </w:tcPr>
          <w:p>
            <w:pPr>
              <w:spacing w:after="0"/>
              <w:rPr>
                <w:sz w:val="18"/>
                <w:szCs w:val="18"/>
                <w:color w:val="auto"/>
              </w:rPr>
            </w:pPr>
          </w:p>
        </w:tc>
        <w:tc>
          <w:tcPr>
            <w:tcW w:w="1020" w:type="dxa"/>
            <w:vAlign w:val="bottom"/>
            <w:gridSpan w:val="2"/>
          </w:tcPr>
          <w:p>
            <w:pPr>
              <w:jc w:val="right"/>
              <w:ind w:right="381"/>
              <w:spacing w:after="0"/>
              <w:rPr>
                <w:sz w:val="20"/>
                <w:szCs w:val="20"/>
                <w:color w:val="auto"/>
              </w:rPr>
            </w:pPr>
            <w:r>
              <w:rPr>
                <w:rFonts w:ascii="Arial" w:cs="Arial" w:eastAsia="Arial" w:hAnsi="Arial"/>
                <w:sz w:val="18"/>
                <w:szCs w:val="18"/>
                <w:color w:val="auto"/>
              </w:rPr>
              <w:t>1,635</w:t>
            </w:r>
          </w:p>
        </w:tc>
        <w:tc>
          <w:tcPr>
            <w:tcW w:w="1040" w:type="dxa"/>
            <w:vAlign w:val="bottom"/>
            <w:gridSpan w:val="2"/>
          </w:tcPr>
          <w:p>
            <w:pPr>
              <w:jc w:val="right"/>
              <w:ind w:right="381"/>
              <w:spacing w:after="0"/>
              <w:rPr>
                <w:sz w:val="20"/>
                <w:szCs w:val="20"/>
                <w:color w:val="auto"/>
              </w:rPr>
            </w:pPr>
            <w:r>
              <w:rPr>
                <w:rFonts w:ascii="Arial" w:cs="Arial" w:eastAsia="Arial" w:hAnsi="Arial"/>
                <w:sz w:val="18"/>
                <w:szCs w:val="18"/>
                <w:color w:val="auto"/>
              </w:rPr>
              <w:t>1,569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672</w:t>
            </w:r>
          </w:p>
        </w:tc>
        <w:tc>
          <w:tcPr>
            <w:tcW w:w="104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2,594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14,941</w:t>
            </w:r>
          </w:p>
        </w:tc>
        <w:tc>
          <w:tcPr>
            <w:tcW w:w="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8,340</w:t>
            </w:r>
          </w:p>
        </w:tc>
        <w:tc>
          <w:tcPr>
            <w:tcW w:w="4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6,601</w:t>
            </w:r>
          </w:p>
        </w:tc>
        <w:tc>
          <w:tcPr>
            <w:tcW w:w="4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9"/>
              </w:rPr>
              <w:t>(10,214)</w:t>
            </w:r>
          </w:p>
        </w:tc>
        <w:tc>
          <w:tcPr>
            <w:tcW w:w="10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(3,658)</w:t>
            </w:r>
          </w:p>
        </w:tc>
        <w:tc>
          <w:tcPr>
            <w:tcW w:w="10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(6,556)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381"/>
              <w:spacing w:after="0"/>
              <w:rPr>
                <w:sz w:val="20"/>
                <w:szCs w:val="20"/>
                <w:color w:val="auto"/>
              </w:rPr>
            </w:pPr>
            <w:r>
              <w:rPr>
                <w:rFonts w:ascii="Arial" w:cs="Arial" w:eastAsia="Arial" w:hAnsi="Arial"/>
                <w:sz w:val="18"/>
                <w:szCs w:val="18"/>
                <w:color w:val="auto"/>
              </w:rPr>
              <w:t>11</w:t>
            </w:r>
          </w:p>
        </w:tc>
        <w:tc>
          <w:tcPr>
            <w:tcW w:w="1040" w:type="dxa"/>
            <w:vAlign w:val="bottom"/>
            <w:gridSpan w:val="2"/>
          </w:tcPr>
          <w:p>
            <w:pPr>
              <w:jc w:val="right"/>
              <w:ind w:right="321"/>
              <w:spacing w:after="0"/>
              <w:rPr>
                <w:sz w:val="20"/>
                <w:szCs w:val="20"/>
                <w:color w:val="auto"/>
              </w:rPr>
            </w:pPr>
            <w:r>
              <w:rPr>
                <w:rFonts w:ascii="Arial" w:cs="Arial" w:eastAsia="Arial" w:hAnsi="Arial"/>
                <w:sz w:val="18"/>
                <w:szCs w:val="18"/>
                <w:color w:val="auto"/>
              </w:rPr>
              <w:t>(4)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103</w:t>
            </w:r>
          </w:p>
        </w:tc>
        <w:tc>
          <w:tcPr>
            <w:tcW w:w="10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(99)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(10,217)</w:t>
            </w:r>
          </w:p>
        </w:tc>
        <w:tc>
          <w:tcPr>
            <w:tcW w:w="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(3,566)</w:t>
            </w:r>
          </w:p>
        </w:tc>
        <w:tc>
          <w:tcPr>
            <w:tcW w:w="4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(6,651)</w:t>
            </w:r>
          </w:p>
        </w:tc>
        <w:tc>
          <w:tcPr>
            <w:tcW w:w="4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gridSpan w:val="2"/>
            <w:vMerge w:val="restart"/>
          </w:tcPr>
          <w:p>
            <w:pPr>
              <w:jc w:val="right"/>
              <w:ind w:right="400"/>
              <w:spacing w:after="0"/>
              <w:rPr>
                <w:sz w:val="20"/>
                <w:szCs w:val="20"/>
                <w:color w:val="auto"/>
              </w:rPr>
            </w:pPr>
            <w:r>
              <w:rPr>
                <w:rFonts w:ascii="Arial" w:cs="Arial" w:eastAsia="Arial" w:hAnsi="Arial"/>
                <w:sz w:val="16"/>
                <w:szCs w:val="16"/>
                <w:color w:val="auto"/>
                <w:w w:val="74"/>
              </w:rPr>
              <w:t>)</w:t>
            </w: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tcPr>
          <w:p>
            <w:pPr>
              <w:jc w:val="right"/>
              <w:ind w:right="321"/>
              <w:spacing w:after="0"/>
              <w:rPr>
                <w:sz w:val="20"/>
                <w:szCs w:val="20"/>
                <w:color w:val="auto"/>
              </w:rPr>
            </w:pPr>
            <w:r>
              <w:rPr>
                <w:rFonts w:ascii="Arial" w:cs="Arial" w:eastAsia="Arial" w:hAnsi="Arial"/>
                <w:sz w:val="16"/>
                <w:szCs w:val="16"/>
                <w:color w:val="auto"/>
                <w:w w:val="74"/>
              </w:rPr>
              <w:t>)</w:t>
            </w: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tcPr>
          <w:p>
            <w:pPr>
              <w:jc w:val="right"/>
              <w:ind w:right="321"/>
              <w:spacing w:after="0"/>
              <w:rPr>
                <w:sz w:val="20"/>
                <w:szCs w:val="20"/>
                <w:color w:val="auto"/>
              </w:rPr>
            </w:pPr>
            <w:r>
              <w:rPr>
                <w:rFonts w:ascii="Arial" w:cs="Arial" w:eastAsia="Arial" w:hAnsi="Arial"/>
                <w:sz w:val="16"/>
                <w:szCs w:val="16"/>
                <w:color w:val="auto"/>
                <w:w w:val="74"/>
              </w:rPr>
              <w:t>)</w:t>
            </w: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8"/>
              </w:rPr>
              <w:t>(10,227</w:t>
            </w:r>
          </w:p>
        </w:tc>
        <w:tc>
          <w:tcPr>
            <w:tcW w:w="460" w:type="dxa"/>
            <w:vAlign w:val="bottom"/>
            <w:gridSpan w:val="2"/>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(3,566</w:t>
            </w:r>
          </w:p>
        </w:tc>
        <w:tc>
          <w:tcPr>
            <w:tcW w:w="4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4"/>
              </w:rPr>
              <w:t>$ (6,661</w:t>
            </w:r>
          </w:p>
        </w:tc>
        <w:tc>
          <w:tcPr>
            <w:tcW w:w="4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months ended September 30, 2020 compared to three months ended September 30, 2019</w:t>
      </w:r>
    </w:p>
    <w:p>
      <w:pPr>
        <w:spacing w:after="0" w:line="229" w:lineRule="exact"/>
        <w:rPr>
          <w:sz w:val="20"/>
          <w:szCs w:val="20"/>
          <w:color w:val="auto"/>
        </w:rPr>
      </w:pPr>
    </w:p>
    <w:p>
      <w:pPr>
        <w:ind w:left="120" w:right="120" w:firstLine="991"/>
        <w:spacing w:after="0" w:line="301" w:lineRule="auto"/>
        <w:rPr>
          <w:sz w:val="20"/>
          <w:szCs w:val="20"/>
          <w:color w:val="auto"/>
        </w:rPr>
      </w:pPr>
      <w:r>
        <w:rPr>
          <w:rFonts w:ascii="Arial" w:cs="Arial" w:eastAsia="Arial" w:hAnsi="Arial"/>
          <w:sz w:val="16"/>
          <w:szCs w:val="16"/>
          <w:color w:val="auto"/>
        </w:rPr>
        <w:t>Revenue of the RECELL System totaled $5.1 million for the three months ended September 30, 2020, an increase of $1.8 million or 56% over the $3.3 million reported for the three months ended September 30, 2019. Consistent with the prior year, the current quarter increase in sales occurred in the United States as a result of the September 2018 FDA approval and commencement of the U.S. national market launch of the RECELL System in January 2019. Gross margin for the three months ended September 30, 2020 was 82% compared to 81% for the same period in 2019.</w:t>
      </w:r>
    </w:p>
    <w:p>
      <w:pPr>
        <w:spacing w:after="0" w:line="153" w:lineRule="exact"/>
        <w:rPr>
          <w:sz w:val="20"/>
          <w:szCs w:val="20"/>
          <w:color w:val="auto"/>
        </w:rPr>
      </w:pPr>
    </w:p>
    <w:p>
      <w:pPr>
        <w:ind w:left="120" w:right="60" w:firstLine="991"/>
        <w:spacing w:after="0" w:line="298" w:lineRule="auto"/>
        <w:rPr>
          <w:sz w:val="20"/>
          <w:szCs w:val="20"/>
          <w:color w:val="auto"/>
        </w:rPr>
      </w:pPr>
      <w:r>
        <w:rPr>
          <w:rFonts w:ascii="Arial" w:cs="Arial" w:eastAsia="Arial" w:hAnsi="Arial"/>
          <w:sz w:val="16"/>
          <w:szCs w:val="16"/>
          <w:color w:val="auto"/>
        </w:rPr>
        <w:t>BARDA income consisted of funding from the Biomedical Advanced Research and Development Authority (“</w:t>
      </w:r>
      <w:r>
        <w:rPr>
          <w:rFonts w:ascii="Arial" w:cs="Arial" w:eastAsia="Arial" w:hAnsi="Arial"/>
          <w:sz w:val="16"/>
          <w:szCs w:val="16"/>
          <w:b w:val="1"/>
          <w:bCs w:val="1"/>
          <w:color w:val="auto"/>
        </w:rPr>
        <w:t>BARDA</w:t>
      </w:r>
      <w:r>
        <w:rPr>
          <w:rFonts w:ascii="Arial" w:cs="Arial" w:eastAsia="Arial" w:hAnsi="Arial"/>
          <w:sz w:val="16"/>
          <w:szCs w:val="16"/>
          <w:color w:val="auto"/>
        </w:rPr>
        <w:t>”), under the Assistant Secretary for Preparedness and Response, within the U.S. Department of Health and Human Services, under ongoing USG Contract No. HHSO100201500028C. Under the BARDA grant, income of $596,000 was recognized during the three months ended September 30, 2020 compared to income of $2.1 million for the three months ended September 30, 2019. BARDA arrangement declined as a result of wind-down of certain activities associated with supporting the U.S. FDA approval of the RECELL System as well as the compassionate use and continued access programs.</w:t>
      </w:r>
    </w:p>
    <w:p>
      <w:pPr>
        <w:spacing w:after="0" w:line="158" w:lineRule="exact"/>
        <w:rPr>
          <w:sz w:val="20"/>
          <w:szCs w:val="20"/>
          <w:color w:val="auto"/>
        </w:rPr>
      </w:pPr>
    </w:p>
    <w:p>
      <w:pPr>
        <w:ind w:left="120" w:firstLine="991"/>
        <w:spacing w:after="0" w:line="284" w:lineRule="auto"/>
        <w:rPr>
          <w:sz w:val="20"/>
          <w:szCs w:val="20"/>
          <w:color w:val="auto"/>
        </w:rPr>
      </w:pPr>
      <w:r>
        <w:rPr>
          <w:rFonts w:ascii="Arial" w:cs="Arial" w:eastAsia="Arial" w:hAnsi="Arial"/>
          <w:sz w:val="16"/>
          <w:szCs w:val="16"/>
          <w:color w:val="auto"/>
        </w:rPr>
        <w:t>Operating costs for the year ended September 30, 2020 totaled $14.9 million, a $6.6 million or 79% increase over the $8.3 million incurred during the three months ended September 30, 2019. Sales and marketing expenses for the three months ended September 30, 2020 totaled $2.9 million and were flat compared to the three months ended September 30, 2019. General and administrative expenses totaled $5.5 million for the three months ended September 30, 2020, an increase of $2.5 million or 80% over the $3.1 million recognized during the three months ended September 30, 2019. The increase was driven by the Company’s status as a cross listed entity on NASDAQ and the ASX, one-time professional services costs associated with establishing the Company as a domestic filer with the SEC following completion of the Redomiciliation, and severance costs associated with a former executive employee. Research and development expenses for the three months ended September 30, 2020 totaled $3.2 million, an increase of</w:t>
      </w:r>
    </w:p>
    <w:p>
      <w:pPr>
        <w:spacing w:after="0" w:line="2"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$1.6 million or 96% over the $1.6 million recognized during the three months ended September 30, 2019. The increase was primarily attributed to the commencement of pivotal trials for treatment of pediatric scald injuries, soft tissue reconstruction, treatment of vitiligo and other research and development activities to further promote the RECELL device. Share based compensation also increased to $3.2 million for the three months ended September 30, 2020, an increase of $2.5 million or 386% over the $672,000 recognized during the three months ended September 30, 2019. The increase was primarily driven by an increase in awards granted along with the increase in grant fair value. The increase in the grant date fair value of the awards is due to the increase in the Company’s stock price compared to the prior year.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91"/>
        <w:spacing w:after="0" w:line="255" w:lineRule="auto"/>
        <w:rPr>
          <w:sz w:val="20"/>
          <w:szCs w:val="20"/>
          <w:color w:val="auto"/>
        </w:rPr>
      </w:pPr>
      <w:r>
        <w:rPr>
          <w:rFonts w:ascii="Arial" w:cs="Arial" w:eastAsia="Arial" w:hAnsi="Arial"/>
          <w:sz w:val="18"/>
          <w:szCs w:val="18"/>
          <w:color w:val="auto"/>
        </w:rPr>
        <w:t>Net loss for the three months ended September 30, 2020 was $10.2 million, an increase of $6.6 million or 187% over the $3.6 million recognized during the three months ended September 30, 2019. The increase in net loss was driven by the higher operating costs described above, partially offset by the higher revenue during the three months ended September 30, 2020. As a result of the U.S. national launch of the RECELL System in January 2019, and the expansion of research and development including multiple pivotal clinical studies seeking premarket approval from the FDA, operating expenses are expected to increase in future periods. These expenses are expected to be partially offset by increased commercial sales of the RECELL System.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180" w:firstLine="991"/>
        <w:spacing w:after="0" w:line="257" w:lineRule="auto"/>
        <w:rPr>
          <w:sz w:val="20"/>
          <w:szCs w:val="20"/>
          <w:color w:val="auto"/>
        </w:rPr>
      </w:pPr>
      <w:r>
        <w:rPr>
          <w:rFonts w:ascii="Arial" w:cs="Arial" w:eastAsia="Arial" w:hAnsi="Arial"/>
          <w:sz w:val="18"/>
          <w:szCs w:val="18"/>
          <w:color w:val="auto"/>
        </w:rPr>
        <w:t>We expect to utilize cash reserves until U.S. sales of our products reach a level sufficient to fund ongoing operations. The AVITA Group has historically funded its research and development activities, and more recently its substantial investment in sales and marketing activities, through raising capital by issuing securities, and it is expected that similar funding will be obtained to provide working capital if and when required. If the Company is unable to raise capital in the future, the Company may need to curtail expenditures by scaling back certain research and development or other programs.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w:t>
            </w:r>
          </w:p>
        </w:tc>
        <w:tc>
          <w:tcPr>
            <w:tcW w:w="450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17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8"/>
        </w:trPr>
        <w:tc>
          <w:tcPr>
            <w:tcW w:w="940" w:type="dxa"/>
            <w:vAlign w:val="bottom"/>
            <w:tcBorders>
              <w:bottom w:val="single" w:sz="8" w:color="auto"/>
            </w:tcBorders>
            <w:vMerge w:val="continue"/>
          </w:tcPr>
          <w:p>
            <w:pPr>
              <w:spacing w:after="0"/>
              <w:rPr>
                <w:sz w:val="12"/>
                <w:szCs w:val="12"/>
                <w:color w:val="auto"/>
              </w:rPr>
            </w:pPr>
          </w:p>
        </w:tc>
        <w:tc>
          <w:tcPr>
            <w:tcW w:w="450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Borders>
              <w:top w:val="single" w:sz="8" w:color="auto"/>
            </w:tcBorders>
          </w:tcPr>
          <w:p>
            <w:pPr>
              <w:jc w:val="right"/>
              <w:ind w:right="64"/>
              <w:spacing w:after="0" w:line="129"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used in operations</w:t>
            </w:r>
          </w:p>
        </w:tc>
        <w:tc>
          <w:tcPr>
            <w:tcW w:w="1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 (7,713)</w:t>
            </w: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 (4,881)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220" w:type="dxa"/>
            <w:vAlign w:val="bottom"/>
            <w:gridSpan w:val="3"/>
          </w:tcPr>
          <w:p>
            <w:pPr>
              <w:jc w:val="right"/>
              <w:ind w:right="360"/>
              <w:spacing w:after="0"/>
              <w:rPr>
                <w:sz w:val="20"/>
                <w:szCs w:val="20"/>
                <w:color w:val="auto"/>
              </w:rPr>
            </w:pPr>
            <w:r>
              <w:rPr>
                <w:rFonts w:ascii="Arial" w:cs="Arial" w:eastAsia="Arial" w:hAnsi="Arial"/>
                <w:sz w:val="18"/>
                <w:szCs w:val="18"/>
                <w:color w:val="auto"/>
              </w:rPr>
              <w:t>(296)</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Effect of foreign exchange rate on cash and restricted cash</w:t>
            </w:r>
          </w:p>
        </w:tc>
        <w:tc>
          <w:tcPr>
            <w:tcW w:w="2220" w:type="dxa"/>
            <w:vAlign w:val="bottom"/>
            <w:gridSpan w:val="3"/>
          </w:tcPr>
          <w:p>
            <w:pPr>
              <w:jc w:val="right"/>
              <w:ind w:right="420"/>
              <w:spacing w:after="0"/>
              <w:rPr>
                <w:sz w:val="20"/>
                <w:szCs w:val="20"/>
                <w:color w:val="auto"/>
              </w:rPr>
            </w:pPr>
            <w:r>
              <w:rPr>
                <w:rFonts w:ascii="Arial" w:cs="Arial" w:eastAsia="Arial" w:hAnsi="Arial"/>
                <w:sz w:val="18"/>
                <w:szCs w:val="18"/>
                <w:color w:val="auto"/>
              </w:rPr>
              <w:t>127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and restricted cash</w:t>
            </w:r>
          </w:p>
        </w:tc>
        <w:tc>
          <w:tcPr>
            <w:tcW w:w="2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(7,886)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Cash and restricted cash at beginning of the period</w:t>
            </w:r>
          </w:p>
        </w:tc>
        <w:tc>
          <w:tcPr>
            <w:tcW w:w="2220" w:type="dxa"/>
            <w:vAlign w:val="bottom"/>
            <w:gridSpan w:val="3"/>
          </w:tcPr>
          <w:p>
            <w:pPr>
              <w:jc w:val="right"/>
              <w:ind w:right="420"/>
              <w:spacing w:after="0"/>
              <w:rPr>
                <w:sz w:val="20"/>
                <w:szCs w:val="20"/>
                <w:color w:val="auto"/>
              </w:rPr>
            </w:pPr>
            <w:r>
              <w:rPr>
                <w:rFonts w:ascii="Arial" w:cs="Arial" w:eastAsia="Arial" w:hAnsi="Arial"/>
                <w:sz w:val="18"/>
                <w:szCs w:val="18"/>
                <w:color w:val="auto"/>
              </w:rPr>
              <w:t>73,840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20,374</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restricted cash at end the period</w:t>
            </w:r>
          </w:p>
        </w:tc>
        <w:tc>
          <w:tcPr>
            <w:tcW w:w="2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65,954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Three Months Ended September 30, 2020, and 2019</w:t>
      </w:r>
    </w:p>
    <w:p>
      <w:pPr>
        <w:spacing w:after="0" w:line="117" w:lineRule="exact"/>
        <w:rPr>
          <w:sz w:val="20"/>
          <w:szCs w:val="20"/>
          <w:color w:val="auto"/>
        </w:rPr>
      </w:pPr>
    </w:p>
    <w:p>
      <w:pPr>
        <w:ind w:left="120" w:right="20" w:firstLine="991"/>
        <w:spacing w:after="0" w:line="311" w:lineRule="auto"/>
        <w:rPr>
          <w:sz w:val="20"/>
          <w:szCs w:val="20"/>
          <w:color w:val="auto"/>
        </w:rPr>
      </w:pPr>
      <w:r>
        <w:rPr>
          <w:rFonts w:ascii="Arial" w:cs="Arial" w:eastAsia="Arial" w:hAnsi="Arial"/>
          <w:sz w:val="16"/>
          <w:szCs w:val="16"/>
          <w:color w:val="auto"/>
        </w:rPr>
        <w:t>Net cash used in operating activities was $7.7 million and $4.9 million during the three months ended September 30, 2020 and 2019, respectively. The increase was primarily due to higher operating costs associated with the Company’s status as a cross listed entity on NASDAQ and the ASX, the commercialization of the RECELL System in the United States, and the expansion of research and development activities.</w:t>
      </w:r>
    </w:p>
    <w:p>
      <w:pPr>
        <w:spacing w:after="0" w:line="149" w:lineRule="exact"/>
        <w:rPr>
          <w:sz w:val="20"/>
          <w:szCs w:val="20"/>
          <w:color w:val="auto"/>
        </w:rPr>
      </w:pPr>
    </w:p>
    <w:p>
      <w:pPr>
        <w:ind w:left="120" w:right="860" w:firstLine="991"/>
        <w:spacing w:after="0" w:line="342" w:lineRule="auto"/>
        <w:rPr>
          <w:sz w:val="20"/>
          <w:szCs w:val="20"/>
          <w:color w:val="auto"/>
        </w:rPr>
      </w:pPr>
      <w:r>
        <w:rPr>
          <w:rFonts w:ascii="Arial" w:cs="Arial" w:eastAsia="Arial" w:hAnsi="Arial"/>
          <w:sz w:val="16"/>
          <w:szCs w:val="16"/>
          <w:color w:val="auto"/>
        </w:rPr>
        <w:t>Net cash used in investing activities was $296,000 and $152,000 during the three months ended September 30, 2020 and 2019, respectively. Cash flows used for investing activities was primarily attributable to payments for the purchase of a property and equipment.</w:t>
      </w:r>
    </w:p>
    <w:p>
      <w:pPr>
        <w:spacing w:after="0" w:line="124"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Net cash used by financing activities was $4,000 and $17,000 for the three months ended September 30, 2020 and 2019, respectively, and related to principal repayment of finance lease.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Capital management</w:t>
      </w:r>
    </w:p>
    <w:p>
      <w:pPr>
        <w:spacing w:after="0" w:line="117"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We aim to manage capital so that the Company continues as a going concern while also maintaining optimal returns to stockholders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stockholders.</w:t>
      </w:r>
    </w:p>
    <w:p>
      <w:pPr>
        <w:spacing w:after="0" w:line="187"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color w:val="auto"/>
        </w:rPr>
        <w:t>For the three months ended September 30, 2020, there were no dividends paid and we have no plans to commence the payment of dividends. We have no committed plans to issue further shares on the market but will continue to assess market conditions and the Company’s cash flow requirements to ensure the Company is appropriately funded in order to pursue its various opportunities. There is no significant external borrowing at the reporting date. Neither the Company nor any of the subsidiaries are subject to externally imposed capital requirement.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120" w:right="360" w:firstLine="991"/>
        <w:spacing w:after="0" w:line="277" w:lineRule="auto"/>
        <w:rPr>
          <w:sz w:val="20"/>
          <w:szCs w:val="20"/>
          <w:color w:val="auto"/>
        </w:rPr>
      </w:pPr>
      <w:r>
        <w:rPr>
          <w:rFonts w:ascii="Arial" w:cs="Arial" w:eastAsia="Arial" w:hAnsi="Arial"/>
          <w:sz w:val="18"/>
          <w:szCs w:val="18"/>
          <w:color w:val="auto"/>
        </w:rPr>
        <w:t>Financial instruments, which subject us to concentrations of credit risk, consist primarily of cash. We maintain cash in three financial institutions. We perform periodic evaluations of the relative credit standing of these institutions.</w:t>
      </w:r>
    </w:p>
    <w:p>
      <w:pPr>
        <w:spacing w:after="0" w:line="31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Our Chief Executive Officer and our Chief Financial Officer evaluated, with the participation of our management, the effectiveness of our disclosure controls and procedures as of the end of the period covered by this Quarterly Report on Form 10-Q. As of September 30, 2020, our Chief Executive Officer and our Chief Financial Officer concluded that our disclosure controls and procedures, as defined in Securities Exchange Act Rule 13a-15(e) and 15d-15(e), were effective.</w:t>
      </w:r>
    </w:p>
    <w:p>
      <w:pPr>
        <w:spacing w:after="0" w:line="187"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Our disclosure controls and procedures have been formulated to ensure (i) that information that we are required to disclose in reports that we file or submit under the Securities Exchange Act of 1934 were recorded, processed, summarized and reported within the time periods specified in Securities and Exchange Commission rules and forms and (ii) that the information required to be disclosed by us is accumulated and communicated to our management, including our Chief Executive Officer and our Chief Financial Officer, as appropriate, to allow timely decisions regarding required disclosures.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left="120" w:right="200" w:firstLine="991"/>
        <w:spacing w:after="0" w:line="296" w:lineRule="auto"/>
        <w:rPr>
          <w:sz w:val="20"/>
          <w:szCs w:val="20"/>
          <w:color w:val="auto"/>
        </w:rPr>
      </w:pPr>
      <w:r>
        <w:rPr>
          <w:rFonts w:ascii="Arial" w:cs="Arial" w:eastAsia="Arial" w:hAnsi="Arial"/>
          <w:sz w:val="16"/>
          <w:szCs w:val="16"/>
          <w:color w:val="auto"/>
        </w:rPr>
        <w:t>There was no change in our internal controls over financial reporting (as defined in Rules 13a-15(f) and 15d-15(f) under the Exchange Act) during the first quarter fiscal year 2021 covered by this Quarterly Report on Form 10-Q that have materially affected, or are reasonably likely to materially affect, our internal controls over financial reporting. We have not experienced any material impact to our internal controls over financial reporting despite the fact that many of our employees are working remotely due to the COVID-19 pandemic. We are continually monitoring and assessing the COVID-19 situation on our internal controls to minimize the impact on their design and operating effectiveness.</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320" w:top="459" w:right="5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540" w:hanging="424"/>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exhibits are filed as part of the Quarterly Report on Form 10-Q:</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color w:val="auto"/>
              </w:rPr>
              <w:t>Exhibit</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167"/>
        </w:trPr>
        <w:tc>
          <w:tcPr>
            <w:tcW w:w="520" w:type="dxa"/>
            <w:vAlign w:val="bottom"/>
          </w:tcPr>
          <w:p>
            <w:pPr>
              <w:jc w:val="right"/>
              <w:ind w:right="79"/>
              <w:spacing w:after="0"/>
              <w:rPr>
                <w:sz w:val="20"/>
                <w:szCs w:val="20"/>
                <w:color w:val="auto"/>
              </w:rPr>
            </w:pPr>
            <w:r>
              <w:rPr>
                <w:rFonts w:ascii="Arial" w:cs="Arial" w:eastAsia="Arial" w:hAnsi="Arial"/>
                <w:sz w:val="14"/>
                <w:szCs w:val="14"/>
                <w:color w:val="auto"/>
              </w:rPr>
              <w:t>No.</w:t>
            </w:r>
          </w:p>
        </w:tc>
        <w:tc>
          <w:tcPr>
            <w:tcW w:w="40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318"/>
        </w:trPr>
        <w:tc>
          <w:tcPr>
            <w:tcW w:w="520" w:type="dxa"/>
            <w:vAlign w:val="bottom"/>
          </w:tcPr>
          <w:p>
            <w:pPr>
              <w:jc w:val="right"/>
              <w:ind w:right="139"/>
              <w:spacing w:after="0"/>
              <w:rPr>
                <w:sz w:val="20"/>
                <w:szCs w:val="20"/>
                <w:color w:val="auto"/>
              </w:rPr>
            </w:pPr>
            <w:r>
              <w:rPr>
                <w:rFonts w:ascii="Arial" w:cs="Arial" w:eastAsia="Arial" w:hAnsi="Arial"/>
                <w:sz w:val="18"/>
                <w:szCs w:val="18"/>
                <w:color w:val="auto"/>
                <w:w w:val="79"/>
              </w:rPr>
              <w:t>31.1</w:t>
            </w:r>
          </w:p>
        </w:tc>
        <w:tc>
          <w:tcPr>
            <w:tcW w:w="400" w:type="dxa"/>
            <w:vAlign w:val="bottom"/>
          </w:tcPr>
          <w:p>
            <w:pPr>
              <w:spacing w:after="0"/>
              <w:rPr>
                <w:sz w:val="24"/>
                <w:szCs w:val="24"/>
                <w:color w:val="auto"/>
              </w:rPr>
            </w:pPr>
          </w:p>
        </w:tc>
        <w:tc>
          <w:tcPr>
            <w:tcW w:w="4000" w:type="dxa"/>
            <w:vAlign w:val="bottom"/>
            <w:gridSpan w:val="2"/>
          </w:tcPr>
          <w:p>
            <w:pPr>
              <w:spacing w:after="0"/>
              <w:rPr>
                <w:rFonts w:ascii="Arial" w:cs="Arial" w:eastAsia="Arial" w:hAnsi="Arial"/>
                <w:sz w:val="18"/>
                <w:szCs w:val="18"/>
                <w:u w:val="single" w:color="auto"/>
                <w:color w:val="0000EE"/>
                <w:w w:val="92"/>
              </w:rPr>
            </w:pPr>
            <w:hyperlink w:anchor="page28">
              <w:r>
                <w:rPr>
                  <w:rFonts w:ascii="Arial" w:cs="Arial" w:eastAsia="Arial" w:hAnsi="Arial"/>
                  <w:sz w:val="18"/>
                  <w:szCs w:val="18"/>
                  <w:u w:val="single" w:color="auto"/>
                  <w:color w:val="0000EE"/>
                  <w:w w:val="92"/>
                </w:rPr>
                <w:t>Rule 13a-14(a) Certification of Chief Executive Officer</w:t>
              </w:r>
            </w:hyperlink>
          </w:p>
        </w:tc>
      </w:tr>
      <w:tr>
        <w:trPr>
          <w:trHeight w:val="324"/>
        </w:trPr>
        <w:tc>
          <w:tcPr>
            <w:tcW w:w="520" w:type="dxa"/>
            <w:vAlign w:val="bottom"/>
          </w:tcPr>
          <w:p>
            <w:pPr>
              <w:jc w:val="right"/>
              <w:ind w:right="139"/>
              <w:spacing w:after="0"/>
              <w:rPr>
                <w:sz w:val="20"/>
                <w:szCs w:val="20"/>
                <w:color w:val="auto"/>
              </w:rPr>
            </w:pPr>
            <w:r>
              <w:rPr>
                <w:rFonts w:ascii="Arial" w:cs="Arial" w:eastAsia="Arial" w:hAnsi="Arial"/>
                <w:sz w:val="18"/>
                <w:szCs w:val="18"/>
                <w:color w:val="auto"/>
                <w:w w:val="79"/>
              </w:rPr>
              <w:t>31.2</w:t>
            </w:r>
          </w:p>
        </w:tc>
        <w:tc>
          <w:tcPr>
            <w:tcW w:w="400" w:type="dxa"/>
            <w:vAlign w:val="bottom"/>
          </w:tcPr>
          <w:p>
            <w:pPr>
              <w:spacing w:after="0"/>
              <w:rPr>
                <w:sz w:val="24"/>
                <w:szCs w:val="24"/>
                <w:color w:val="auto"/>
              </w:rPr>
            </w:pPr>
          </w:p>
        </w:tc>
        <w:tc>
          <w:tcPr>
            <w:tcW w:w="4000" w:type="dxa"/>
            <w:vAlign w:val="bottom"/>
            <w:gridSpan w:val="2"/>
          </w:tcPr>
          <w:p>
            <w:pPr>
              <w:spacing w:after="0"/>
              <w:rPr>
                <w:rFonts w:ascii="Arial" w:cs="Arial" w:eastAsia="Arial" w:hAnsi="Arial"/>
                <w:sz w:val="18"/>
                <w:szCs w:val="18"/>
                <w:u w:val="single" w:color="auto"/>
                <w:color w:val="0000EE"/>
                <w:w w:val="94"/>
              </w:rPr>
            </w:pPr>
            <w:hyperlink w:anchor="page29">
              <w:r>
                <w:rPr>
                  <w:rFonts w:ascii="Arial" w:cs="Arial" w:eastAsia="Arial" w:hAnsi="Arial"/>
                  <w:sz w:val="18"/>
                  <w:szCs w:val="18"/>
                  <w:u w:val="single" w:color="auto"/>
                  <w:color w:val="0000EE"/>
                  <w:w w:val="94"/>
                </w:rPr>
                <w:t>Rule 13a-14(a) Certification of Chief Financial Officer</w:t>
              </w:r>
            </w:hyperlink>
          </w:p>
        </w:tc>
      </w:tr>
    </w:tbl>
    <w:p>
      <w:pPr>
        <w:spacing w:after="0" w:line="94" w:lineRule="exact"/>
        <w:rPr>
          <w:sz w:val="20"/>
          <w:szCs w:val="20"/>
          <w:color w:val="auto"/>
        </w:rPr>
      </w:pPr>
    </w:p>
    <w:p>
      <w:pPr>
        <w:ind w:left="1580" w:hanging="929"/>
        <w:spacing w:after="0"/>
        <w:tabs>
          <w:tab w:leader="none" w:pos="1580" w:val="left"/>
        </w:tabs>
        <w:numPr>
          <w:ilvl w:val="0"/>
          <w:numId w:val="6"/>
        </w:numPr>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18 U.S.C. Section 1350 Certifications</w:t>
        </w:r>
      </w:hyperlink>
    </w:p>
    <w:p>
      <w:pPr>
        <w:spacing w:after="0" w:line="117"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386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386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3860" w:type="dxa"/>
            <w:vAlign w:val="bottom"/>
          </w:tcPr>
          <w:p>
            <w:pPr>
              <w:ind w:left="180"/>
              <w:spacing w:after="0"/>
              <w:rPr>
                <w:sz w:val="20"/>
                <w:szCs w:val="20"/>
                <w:color w:val="auto"/>
              </w:rPr>
            </w:pPr>
            <w:r>
              <w:rPr>
                <w:rFonts w:ascii="Arial" w:cs="Arial" w:eastAsia="Arial" w:hAnsi="Arial"/>
                <w:sz w:val="18"/>
                <w:szCs w:val="18"/>
                <w:color w:val="auto"/>
                <w:w w:val="93"/>
              </w:rPr>
              <w:t>XBRL Taxonomy Extension Calculation Linkbase</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386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386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3860" w:type="dxa"/>
            <w:vAlign w:val="bottom"/>
          </w:tcPr>
          <w:p>
            <w:pPr>
              <w:ind w:left="180"/>
              <w:spacing w:after="0"/>
              <w:rPr>
                <w:sz w:val="20"/>
                <w:szCs w:val="20"/>
                <w:color w:val="auto"/>
              </w:rPr>
            </w:pPr>
            <w:r>
              <w:rPr>
                <w:rFonts w:ascii="Arial" w:cs="Arial" w:eastAsia="Arial" w:hAnsi="Arial"/>
                <w:sz w:val="18"/>
                <w:szCs w:val="18"/>
                <w:color w:val="auto"/>
                <w:w w:val="90"/>
              </w:rPr>
              <w:t>XBRL Taxonomy Extension Presentation Linkbase</w:t>
            </w:r>
          </w:p>
        </w:tc>
      </w:tr>
    </w:tbl>
    <w:p>
      <w:pPr>
        <w:spacing w:after="0" w:line="13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139"/>
          </w:cols>
          <w:pgMar w:left="320" w:top="45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120"/>
        <w:spacing w:after="0"/>
        <w:tabs>
          <w:tab w:leader="none" w:pos="720" w:val="left"/>
          <w:tab w:leader="none" w:pos="5720" w:val="left"/>
        </w:tabs>
        <w:rPr>
          <w:sz w:val="20"/>
          <w:szCs w:val="20"/>
          <w:color w:val="auto"/>
        </w:rPr>
      </w:pPr>
      <w:r>
        <w:rPr>
          <w:rFonts w:ascii="Arial" w:cs="Arial" w:eastAsia="Arial" w:hAnsi="Arial"/>
          <w:sz w:val="18"/>
          <w:szCs w:val="18"/>
          <w:color w:val="auto"/>
        </w:rPr>
        <w:t>Date:</w:t>
        <w:tab/>
        <w:t>November 10, 2020</w:t>
      </w:r>
      <w:r>
        <w:rPr>
          <w:sz w:val="20"/>
          <w:szCs w:val="20"/>
          <w:color w:val="auto"/>
        </w:rPr>
        <w:tab/>
      </w:r>
      <w:r>
        <w:rPr>
          <w:rFonts w:ascii="Arial" w:cs="Arial" w:eastAsia="Arial" w:hAnsi="Arial"/>
          <w:sz w:val="17"/>
          <w:szCs w:val="17"/>
          <w:color w:val="auto"/>
        </w:rPr>
        <w:t>AVITA THERAPEUTICS, INC.</w:t>
      </w:r>
    </w:p>
    <w:p>
      <w:pPr>
        <w:spacing w:after="0" w:line="225"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Dr. Michael Perry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Sean Ekins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Sean Ekins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VP of Finance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(Interim Principal Financial and Accounting Officer)</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20"/>
          </w:cols>
          <w:pgMar w:left="320" w:top="459" w:right="7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ind w:left="1764"/>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Dr. Michael Perry, certify that:</w:t>
      </w:r>
    </w:p>
    <w:p>
      <w:pPr>
        <w:spacing w:after="0" w:line="131"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AVITA THERAPEUTICS,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jc w:val="both"/>
        <w:ind w:left="1424" w:right="540" w:hanging="439"/>
        <w:spacing w:after="0" w:line="263" w:lineRule="auto"/>
        <w:tabs>
          <w:tab w:leader="none" w:pos="142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424" w:right="120" w:hanging="439"/>
        <w:spacing w:after="0" w:line="263" w:lineRule="auto"/>
        <w:tabs>
          <w:tab w:leader="none" w:pos="142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1424" w:right="200" w:hanging="439"/>
        <w:spacing w:after="0" w:line="263" w:lineRule="auto"/>
        <w:tabs>
          <w:tab w:leader="none" w:pos="1424"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4" w:right="20" w:hanging="439"/>
        <w:spacing w:after="0" w:line="263" w:lineRule="auto"/>
        <w:tabs>
          <w:tab w:leader="none" w:pos="1424"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1424" w:right="180" w:hanging="439"/>
        <w:spacing w:after="0" w:line="342" w:lineRule="auto"/>
        <w:tabs>
          <w:tab w:leader="none" w:pos="1424"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4" w:right="460" w:hanging="439"/>
        <w:spacing w:after="0" w:line="277" w:lineRule="auto"/>
        <w:tabs>
          <w:tab w:leader="none" w:pos="142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1444"/>
        <w:spacing w:after="0"/>
        <w:tabs>
          <w:tab w:leader="none" w:pos="5504"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6"/>
          <w:szCs w:val="16"/>
          <w:color w:val="auto"/>
        </w:rPr>
        <w:t>/s/ 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14605</wp:posOffset>
            </wp:positionV>
            <wp:extent cx="34886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6"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Dr. Michael Perry</w:t>
      </w:r>
    </w:p>
    <w:p>
      <w:pPr>
        <w:spacing w:after="0" w:line="23"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(Principal Executive Officer)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4"/>
          </w:cols>
          <w:pgMar w:left="436" w:top="121"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ind w:left="1764"/>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Sean Ekins, certify that:</w:t>
      </w:r>
    </w:p>
    <w:p>
      <w:pPr>
        <w:spacing w:after="0" w:line="131"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AVITA THERAPEUTICS,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jc w:val="both"/>
        <w:ind w:left="1424" w:right="540" w:hanging="439"/>
        <w:spacing w:after="0" w:line="263" w:lineRule="auto"/>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424" w:right="120" w:hanging="439"/>
        <w:spacing w:after="0" w:line="263" w:lineRule="auto"/>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1424" w:right="200" w:hanging="439"/>
        <w:spacing w:after="0" w:line="263" w:lineRule="auto"/>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4" w:right="20" w:hanging="439"/>
        <w:spacing w:after="0" w:line="263" w:lineRule="auto"/>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1424" w:right="180" w:hanging="439"/>
        <w:spacing w:after="0" w:line="342" w:lineRule="auto"/>
        <w:tabs>
          <w:tab w:leader="none" w:pos="1424"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4" w:right="460" w:hanging="439"/>
        <w:spacing w:after="0" w:line="277" w:lineRule="auto"/>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1084"/>
        <w:spacing w:after="0"/>
        <w:tabs>
          <w:tab w:leader="none" w:pos="5504"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5"/>
          <w:szCs w:val="15"/>
          <w:color w:val="auto"/>
        </w:rPr>
        <w:t>/s/ Sean Ekins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14605</wp:posOffset>
            </wp:positionV>
            <wp:extent cx="34886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6"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Sean Ekins</w:t>
      </w:r>
    </w:p>
    <w:p>
      <w:pPr>
        <w:spacing w:after="0" w:line="23"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Title:</w:t>
        <w:tab/>
        <w:t>VP of Finance</w:t>
      </w:r>
    </w:p>
    <w:p>
      <w:pPr>
        <w:spacing w:after="0" w:line="9"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(Interim Principal Financial and Accounting Officer)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4"/>
          </w:cols>
          <w:pgMar w:left="436" w:top="121"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AVITA Medical, Inc. (the “Company”), does hereby certify, to such officer’s knowledge, that:</w:t>
      </w:r>
    </w:p>
    <w:p>
      <w:pPr>
        <w:spacing w:after="0" w:line="14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Quarterly Report on Form 10-Q for the period ended September 30, 2020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5300" w:type="dxa"/>
            <w:vAlign w:val="bottom"/>
          </w:tcPr>
          <w:p>
            <w:pPr>
              <w:ind w:left="80"/>
              <w:spacing w:after="0"/>
              <w:rPr>
                <w:sz w:val="20"/>
                <w:szCs w:val="20"/>
                <w:color w:val="auto"/>
              </w:rPr>
            </w:pPr>
            <w:r>
              <w:rPr>
                <w:rFonts w:ascii="Arial" w:cs="Arial" w:eastAsia="Arial" w:hAnsi="Arial"/>
                <w:sz w:val="18"/>
                <w:szCs w:val="18"/>
                <w:color w:val="auto"/>
              </w:rPr>
              <w:t>November 10, 2020</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Michael Perry</w:t>
            </w:r>
          </w:p>
        </w:tc>
      </w:tr>
      <w:tr>
        <w:trPr>
          <w:trHeight w:val="209"/>
        </w:trPr>
        <w:tc>
          <w:tcPr>
            <w:tcW w:w="5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Name: Dr. Michael Perry</w:t>
            </w:r>
          </w:p>
        </w:tc>
      </w:tr>
      <w:tr>
        <w:trPr>
          <w:trHeight w:val="216"/>
        </w:trPr>
        <w:tc>
          <w:tcPr>
            <w:tcW w:w="5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5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160" w:type="dxa"/>
            <w:vAlign w:val="bottom"/>
          </w:tcPr>
          <w:p>
            <w:pPr>
              <w:ind w:left="54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5300" w:type="dxa"/>
            <w:vAlign w:val="bottom"/>
          </w:tcPr>
          <w:p>
            <w:pPr>
              <w:ind w:left="80"/>
              <w:spacing w:after="0"/>
              <w:rPr>
                <w:sz w:val="20"/>
                <w:szCs w:val="20"/>
                <w:color w:val="auto"/>
              </w:rPr>
            </w:pPr>
            <w:r>
              <w:rPr>
                <w:rFonts w:ascii="Arial" w:cs="Arial" w:eastAsia="Arial" w:hAnsi="Arial"/>
                <w:sz w:val="18"/>
                <w:szCs w:val="18"/>
                <w:color w:val="auto"/>
              </w:rPr>
              <w:t>November 10, 2020</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Ekins</w:t>
            </w:r>
          </w:p>
        </w:tc>
      </w:tr>
      <w:tr>
        <w:trPr>
          <w:trHeight w:val="209"/>
        </w:trPr>
        <w:tc>
          <w:tcPr>
            <w:tcW w:w="5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Name: Sean Ekins</w:t>
            </w:r>
          </w:p>
        </w:tc>
      </w:tr>
      <w:tr>
        <w:trPr>
          <w:trHeight w:val="216"/>
        </w:trPr>
        <w:tc>
          <w:tcPr>
            <w:tcW w:w="5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Title:  VP of Finance</w:t>
            </w:r>
          </w:p>
        </w:tc>
      </w:tr>
      <w:tr>
        <w:trPr>
          <w:trHeight w:val="230"/>
        </w:trPr>
        <w:tc>
          <w:tcPr>
            <w:tcW w:w="5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160" w:type="dxa"/>
            <w:vAlign w:val="bottom"/>
          </w:tcPr>
          <w:p>
            <w:pPr>
              <w:ind w:left="540"/>
              <w:spacing w:after="0"/>
              <w:rPr>
                <w:sz w:val="20"/>
                <w:szCs w:val="20"/>
                <w:color w:val="auto"/>
              </w:rPr>
            </w:pPr>
            <w:r>
              <w:rPr>
                <w:rFonts w:ascii="Arial" w:cs="Arial" w:eastAsia="Arial" w:hAnsi="Arial"/>
                <w:sz w:val="18"/>
                <w:szCs w:val="18"/>
                <w:color w:val="auto"/>
              </w:rPr>
              <w:t>(Interim Principal Financial and Accounting Officer)</w:t>
            </w:r>
          </w:p>
        </w:tc>
      </w:tr>
    </w:tbl>
    <w:p>
      <w:pPr>
        <w:spacing w:after="0" w:line="198"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740"/>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decimal"/>
      <w:start w:val="32"/>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2020-11-10T15:26:50Z</dcterms:created>
  <dcterms:modified xsi:type="dcterms:W3CDTF">2020-11-10T15:26:50Z</dcterms:modified>
</cp:coreProperties>
</file>