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465361"/>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465361"/>
        </w:rPr>
        <w:t>Registration No. 333-249419</w:t>
      </w:r>
    </w:p>
    <w:p>
      <w:pPr>
        <w:spacing w:after="0" w:line="14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465361"/>
        </w:rPr>
        <w:t>Prospectus supplement</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465361"/>
        </w:rPr>
        <w:t>(to prospectus dated October 16, 2020)</w:t>
      </w:r>
    </w:p>
    <w:p>
      <w:pPr>
        <w:spacing w:after="0" w:line="334"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465361"/>
        </w:rPr>
        <w:t>2,795,000 shares</w:t>
      </w:r>
    </w:p>
    <w:p>
      <w:pPr>
        <w:spacing w:after="0" w:line="361"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465361"/>
        </w:rPr>
        <w:t>AVITA MEDICAL, INC.</w:t>
      </w:r>
    </w:p>
    <w:p>
      <w:pPr>
        <w:spacing w:after="0" w:line="361"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465361"/>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4479925</wp:posOffset>
            </wp:positionH>
            <wp:positionV relativeFrom="paragraph">
              <wp:posOffset>24130</wp:posOffset>
            </wp:positionV>
            <wp:extent cx="153416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16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120"/>
        <w:spacing w:after="0"/>
        <w:rPr>
          <w:sz w:val="20"/>
          <w:szCs w:val="20"/>
          <w:color w:val="auto"/>
        </w:rPr>
      </w:pPr>
      <w:r>
        <w:rPr>
          <w:rFonts w:ascii="Arial" w:cs="Arial" w:eastAsia="Arial" w:hAnsi="Arial"/>
          <w:sz w:val="24"/>
          <w:szCs w:val="24"/>
          <w:b w:val="1"/>
          <w:bCs w:val="1"/>
          <w:color w:val="465361"/>
        </w:rPr>
        <w:t>$21.50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314325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120"/>
        <w:spacing w:after="0"/>
        <w:rPr>
          <w:sz w:val="20"/>
          <w:szCs w:val="20"/>
          <w:color w:val="auto"/>
        </w:rPr>
      </w:pPr>
      <w:r>
        <w:rPr>
          <w:rFonts w:ascii="Arial" w:cs="Arial" w:eastAsia="Arial" w:hAnsi="Arial"/>
          <w:sz w:val="18"/>
          <w:szCs w:val="18"/>
          <w:color w:val="465361"/>
        </w:rPr>
        <w:t>We are offering 2,795,000 shares of common stock pursuant to this prospectus supplement and the accompanying prospectus.</w:t>
      </w:r>
    </w:p>
    <w:p>
      <w:pPr>
        <w:spacing w:after="0" w:line="171" w:lineRule="exact"/>
        <w:rPr>
          <w:sz w:val="24"/>
          <w:szCs w:val="24"/>
          <w:color w:val="auto"/>
        </w:rPr>
      </w:pPr>
    </w:p>
    <w:p>
      <w:pPr>
        <w:ind w:left="120" w:right="280"/>
        <w:spacing w:after="0" w:line="256" w:lineRule="auto"/>
        <w:rPr>
          <w:sz w:val="20"/>
          <w:szCs w:val="20"/>
          <w:color w:val="auto"/>
        </w:rPr>
      </w:pPr>
      <w:r>
        <w:rPr>
          <w:rFonts w:ascii="Arial" w:cs="Arial" w:eastAsia="Arial" w:hAnsi="Arial"/>
          <w:sz w:val="18"/>
          <w:szCs w:val="18"/>
          <w:color w:val="465361"/>
        </w:rPr>
        <w:t>Our common stock is listed on the Nasdaq Stock Market LLC under the symbol “RCEL.” Our CHESS depositary interests (“CDIs”) are listed on the Australian Securities Exchange under the symbol “AVH,” with five CDIs being equivalent to one share of our common stock. On February 24, 2021, the last reported sale price of our common stock was $25.10 per share on the Nasdaq Stock Market LLC, and the last reported sale price of our CDIs on the Australian Securities Exchange was A$6.06 per share.</w:t>
      </w:r>
    </w:p>
    <w:p>
      <w:pPr>
        <w:spacing w:after="0" w:line="137" w:lineRule="exact"/>
        <w:rPr>
          <w:sz w:val="24"/>
          <w:szCs w:val="24"/>
          <w:color w:val="auto"/>
        </w:rPr>
      </w:pPr>
    </w:p>
    <w:p>
      <w:pPr>
        <w:ind w:left="120" w:right="180"/>
        <w:spacing w:after="0" w:line="339" w:lineRule="auto"/>
        <w:rPr>
          <w:rFonts w:ascii="Arial" w:cs="Arial" w:eastAsia="Arial" w:hAnsi="Arial"/>
          <w:sz w:val="16"/>
          <w:szCs w:val="16"/>
          <w:b w:val="1"/>
          <w:bCs w:val="1"/>
          <w:color w:val="465361"/>
        </w:rPr>
      </w:pPr>
      <w:r>
        <w:rPr>
          <w:rFonts w:ascii="Arial" w:cs="Arial" w:eastAsia="Arial" w:hAnsi="Arial"/>
          <w:sz w:val="16"/>
          <w:szCs w:val="16"/>
          <w:b w:val="1"/>
          <w:bCs w:val="1"/>
          <w:color w:val="465361"/>
        </w:rPr>
        <w:t>Our business and an investment in our securities involve a high degree of risk. Please read carefully the section entitled “</w:t>
      </w:r>
      <w:hyperlink w:anchor="page1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465361"/>
        </w:rPr>
        <w:t>” beginning on page S-6 of this prospectus supplement and in the documents incorporated by reference into this prospectus supplement.</w:t>
      </w:r>
    </w:p>
    <w:p>
      <w:pPr>
        <w:spacing w:after="0" w:line="74" w:lineRule="exact"/>
        <w:rPr>
          <w:sz w:val="24"/>
          <w:szCs w:val="24"/>
          <w:color w:val="auto"/>
        </w:rPr>
      </w:pPr>
    </w:p>
    <w:p>
      <w:pPr>
        <w:jc w:val="both"/>
        <w:ind w:left="120" w:right="260"/>
        <w:spacing w:after="0" w:line="262" w:lineRule="auto"/>
        <w:rPr>
          <w:sz w:val="20"/>
          <w:szCs w:val="20"/>
          <w:color w:val="auto"/>
        </w:rPr>
      </w:pPr>
      <w:r>
        <w:rPr>
          <w:rFonts w:ascii="Arial" w:cs="Arial" w:eastAsia="Arial" w:hAnsi="Arial"/>
          <w:sz w:val="18"/>
          <w:szCs w:val="18"/>
          <w:b w:val="1"/>
          <w:bCs w:val="1"/>
          <w:color w:val="465361"/>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170180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195580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465361"/>
                <w:w w:val="95"/>
              </w:rPr>
              <w:t>Per Share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465361"/>
              </w:rPr>
              <w:t>Total</w:t>
            </w:r>
          </w:p>
        </w:tc>
      </w:tr>
      <w:tr>
        <w:trPr>
          <w:trHeight w:val="210"/>
        </w:trPr>
        <w:tc>
          <w:tcPr>
            <w:tcW w:w="8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465361"/>
              </w:rPr>
              <w:t>Public 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21.50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465361"/>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99"/>
              </w:rPr>
              <w:t>60,092,500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465361"/>
              </w:rPr>
              <w:t>Underwriting discounts and commissions</w:t>
            </w:r>
            <w:r>
              <w:rPr>
                <w:rFonts w:ascii="Arial" w:cs="Arial" w:eastAsia="Arial" w:hAnsi="Arial"/>
                <w:sz w:val="11"/>
                <w:szCs w:val="11"/>
                <w:color w:val="465361"/>
              </w:rPr>
              <w:t>(1)</w:t>
            </w:r>
          </w:p>
        </w:tc>
        <w:tc>
          <w:tcPr>
            <w:tcW w:w="120" w:type="dxa"/>
            <w:vAlign w:val="bottom"/>
          </w:tcPr>
          <w:p>
            <w:pPr>
              <w:jc w:val="right"/>
              <w:spacing w:after="0"/>
              <w:rPr>
                <w:sz w:val="20"/>
                <w:szCs w:val="20"/>
                <w:color w:val="auto"/>
              </w:rPr>
            </w:pPr>
            <w:r>
              <w:rPr>
                <w:rFonts w:ascii="Arial" w:cs="Arial" w:eastAsia="Arial" w:hAnsi="Arial"/>
                <w:sz w:val="18"/>
                <w:szCs w:val="18"/>
                <w:color w:val="465361"/>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465361"/>
              </w:rPr>
              <w:t>1.45125</w:t>
            </w:r>
          </w:p>
        </w:tc>
        <w:tc>
          <w:tcPr>
            <w:tcW w:w="360" w:type="dxa"/>
            <w:vAlign w:val="bottom"/>
            <w:gridSpan w:val="2"/>
          </w:tcPr>
          <w:p>
            <w:pPr>
              <w:jc w:val="right"/>
              <w:ind w:right="43"/>
              <w:spacing w:after="0"/>
              <w:rPr>
                <w:sz w:val="20"/>
                <w:szCs w:val="20"/>
                <w:color w:val="auto"/>
              </w:rPr>
            </w:pPr>
            <w:r>
              <w:rPr>
                <w:rFonts w:ascii="Arial" w:cs="Arial" w:eastAsia="Arial" w:hAnsi="Arial"/>
                <w:sz w:val="18"/>
                <w:szCs w:val="18"/>
                <w:color w:val="46536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465361"/>
              </w:rPr>
              <w:t>4,056,244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AVITA Medical,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465361"/>
              </w:rPr>
              <w:t>20.0488</w:t>
            </w:r>
          </w:p>
        </w:tc>
        <w:tc>
          <w:tcPr>
            <w:tcW w:w="3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46536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465361"/>
                <w:w w:val="99"/>
              </w:rPr>
              <w:t>56,036,256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 w:lineRule="exact"/>
        <w:rPr>
          <w:sz w:val="24"/>
          <w:szCs w:val="24"/>
          <w:color w:val="auto"/>
        </w:rPr>
      </w:pPr>
    </w:p>
    <w:p>
      <w:pPr>
        <w:ind w:left="340" w:hanging="224"/>
        <w:spacing w:after="0"/>
        <w:tabs>
          <w:tab w:leader="none" w:pos="340" w:val="left"/>
        </w:tabs>
        <w:numPr>
          <w:ilvl w:val="0"/>
          <w:numId w:val="1"/>
        </w:numPr>
        <w:rPr>
          <w:rFonts w:ascii="Arial" w:cs="Arial" w:eastAsia="Arial" w:hAnsi="Arial"/>
          <w:sz w:val="22"/>
          <w:szCs w:val="22"/>
          <w:color w:val="465361"/>
          <w:vertAlign w:val="superscript"/>
        </w:rPr>
      </w:pPr>
      <w:r>
        <w:rPr>
          <w:rFonts w:ascii="Arial" w:cs="Arial" w:eastAsia="Arial" w:hAnsi="Arial"/>
          <w:sz w:val="13"/>
          <w:szCs w:val="13"/>
          <w:color w:val="465361"/>
        </w:rPr>
        <w:t>See “Underwriting” beginning on page S-18 of this prospectus supplement for a description of the compensation payable to the underwriters and estimated offering expenses.</w:t>
      </w:r>
    </w:p>
    <w:p>
      <w:pPr>
        <w:spacing w:after="0" w:line="141" w:lineRule="exact"/>
        <w:rPr>
          <w:sz w:val="24"/>
          <w:szCs w:val="24"/>
          <w:color w:val="auto"/>
        </w:rPr>
      </w:pPr>
    </w:p>
    <w:p>
      <w:pPr>
        <w:ind w:left="120" w:right="680"/>
        <w:spacing w:after="0" w:line="268" w:lineRule="auto"/>
        <w:rPr>
          <w:sz w:val="20"/>
          <w:szCs w:val="20"/>
          <w:color w:val="auto"/>
        </w:rPr>
      </w:pPr>
      <w:r>
        <w:rPr>
          <w:rFonts w:ascii="Arial" w:cs="Arial" w:eastAsia="Arial" w:hAnsi="Arial"/>
          <w:sz w:val="18"/>
          <w:szCs w:val="18"/>
          <w:color w:val="465361"/>
        </w:rPr>
        <w:t>We have granted a 30-day option to the underwriters to purchase up to 419,250 additional shares of common stock, at the public offering price, less underwriting discounts and commissions.</w:t>
      </w:r>
    </w:p>
    <w:p>
      <w:pPr>
        <w:spacing w:after="0" w:line="132" w:lineRule="exact"/>
        <w:rPr>
          <w:sz w:val="24"/>
          <w:szCs w:val="24"/>
          <w:color w:val="auto"/>
        </w:rPr>
      </w:pPr>
    </w:p>
    <w:p>
      <w:pPr>
        <w:ind w:left="120"/>
        <w:spacing w:after="0"/>
        <w:rPr>
          <w:sz w:val="20"/>
          <w:szCs w:val="20"/>
          <w:color w:val="auto"/>
        </w:rPr>
      </w:pPr>
      <w:r>
        <w:rPr>
          <w:rFonts w:ascii="Arial" w:cs="Arial" w:eastAsia="Arial" w:hAnsi="Arial"/>
          <w:sz w:val="18"/>
          <w:szCs w:val="18"/>
          <w:color w:val="465361"/>
        </w:rPr>
        <w:t>The underwriters expect to deliver our shares to purchasers in the offering on or about March 1, 2021.</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80"/>
        <w:spacing w:after="0"/>
        <w:tabs>
          <w:tab w:leader="none" w:pos="10160" w:val="left"/>
        </w:tabs>
        <w:rPr>
          <w:sz w:val="20"/>
          <w:szCs w:val="20"/>
          <w:color w:val="auto"/>
        </w:rPr>
      </w:pPr>
      <w:r>
        <w:rPr>
          <w:rFonts w:ascii="Arial" w:cs="Arial" w:eastAsia="Arial" w:hAnsi="Arial"/>
          <w:sz w:val="32"/>
          <w:szCs w:val="32"/>
          <w:b w:val="1"/>
          <w:bCs w:val="1"/>
          <w:color w:val="465361"/>
        </w:rPr>
        <w:t>Piper Sandler</w:t>
      </w:r>
      <w:r>
        <w:rPr>
          <w:sz w:val="20"/>
          <w:szCs w:val="20"/>
          <w:color w:val="auto"/>
        </w:rPr>
        <w:tab/>
      </w:r>
      <w:r>
        <w:rPr>
          <w:rFonts w:ascii="Arial" w:cs="Arial" w:eastAsia="Arial" w:hAnsi="Arial"/>
          <w:sz w:val="29"/>
          <w:szCs w:val="29"/>
          <w:b w:val="1"/>
          <w:bCs w:val="1"/>
          <w:color w:val="465361"/>
        </w:rPr>
        <w:t>Cowen</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465361"/>
        </w:rPr>
        <w:t>BTIG</w:t>
      </w:r>
    </w:p>
    <w:p>
      <w:pPr>
        <w:jc w:val="center"/>
        <w:ind w:right="-99"/>
        <w:spacing w:after="0"/>
        <w:rPr>
          <w:sz w:val="20"/>
          <w:szCs w:val="20"/>
          <w:color w:val="auto"/>
        </w:rPr>
      </w:pPr>
      <w:r>
        <w:rPr>
          <w:rFonts w:ascii="Arial" w:cs="Arial" w:eastAsia="Arial" w:hAnsi="Arial"/>
          <w:sz w:val="32"/>
          <w:szCs w:val="32"/>
          <w:b w:val="1"/>
          <w:bCs w:val="1"/>
          <w:color w:val="465361"/>
        </w:rPr>
        <w:t>Lake Street</w:t>
      </w:r>
    </w:p>
    <w:p>
      <w:pPr>
        <w:sectPr>
          <w:pgSz w:w="11900" w:h="16838" w:orient="portrait"/>
          <w:cols w:equalWidth="0" w:num="1">
            <w:col w:w="11140"/>
          </w:cols>
          <w:pgMar w:left="320" w:top="230" w:right="439" w:bottom="1440" w:gutter="0" w:footer="0" w:header="0"/>
        </w:sectPr>
      </w:pPr>
    </w:p>
    <w:p>
      <w:pPr>
        <w:spacing w:after="0" w:line="149"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465361"/>
        </w:rPr>
        <w:t>The date of this prospectus supplement is February 25,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465361"/>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8360" w:type="dxa"/>
            <w:vAlign w:val="bottom"/>
            <w:vMerge w:val="restart"/>
          </w:tcPr>
          <w:p>
            <w:pPr>
              <w:spacing w:after="0"/>
              <w:rPr>
                <w:sz w:val="20"/>
                <w:szCs w:val="20"/>
                <w:color w:val="auto"/>
              </w:rPr>
            </w:pPr>
            <w:r>
              <w:rPr>
                <w:rFonts w:ascii="Arial" w:cs="Arial" w:eastAsia="Arial" w:hAnsi="Arial"/>
                <w:sz w:val="18"/>
                <w:szCs w:val="18"/>
                <w:color w:val="465361"/>
              </w:rPr>
              <w:t>Prospectus Supplement</w:t>
            </w:r>
          </w:p>
        </w:tc>
        <w:tc>
          <w:tcPr>
            <w:tcW w:w="400" w:type="dxa"/>
            <w:vAlign w:val="bottom"/>
            <w:tcBorders>
              <w:bottom w:val="single" w:sz="8" w:color="465361"/>
            </w:tcBorders>
          </w:tcPr>
          <w:p>
            <w:pPr>
              <w:jc w:val="right"/>
              <w:spacing w:after="0"/>
              <w:rPr>
                <w:sz w:val="20"/>
                <w:szCs w:val="20"/>
                <w:color w:val="auto"/>
              </w:rPr>
            </w:pPr>
            <w:r>
              <w:rPr>
                <w:rFonts w:ascii="Arial" w:cs="Arial" w:eastAsia="Arial" w:hAnsi="Arial"/>
                <w:sz w:val="13"/>
                <w:szCs w:val="13"/>
                <w:b w:val="1"/>
                <w:bCs w:val="1"/>
                <w:color w:val="465361"/>
              </w:rPr>
              <w:t>Page</w:t>
            </w:r>
          </w:p>
        </w:tc>
        <w:tc>
          <w:tcPr>
            <w:tcW w:w="0" w:type="dxa"/>
            <w:vAlign w:val="bottom"/>
          </w:tcPr>
          <w:p>
            <w:pPr>
              <w:spacing w:after="0"/>
              <w:rPr>
                <w:sz w:val="1"/>
                <w:szCs w:val="1"/>
                <w:color w:val="auto"/>
              </w:rPr>
            </w:pPr>
          </w:p>
        </w:tc>
      </w:tr>
      <w:tr>
        <w:trPr>
          <w:trHeight w:val="194"/>
        </w:trPr>
        <w:tc>
          <w:tcPr>
            <w:tcW w:w="83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S-ii</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S-ii</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S-6</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S-10</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DIVIDEND POLICY</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CAPITALIZATION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S-12</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DILUTION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S-13</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MATERIAL U.S. FEDERAL INCOME TAX CONSIDERATIONS FOR NON-U.S. HOLDERS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UNDERWRITING</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S-28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EXPERTS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S-28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WHERE YOU CAN FIND MORE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S-28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INCORPORATION OF CERTAIN INFORMATION BY REFERENCE</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S-28</w:t>
            </w: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color w:val="465361"/>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i</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OVERVIEW OF OUR BUSINESS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3</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CAPITAL STOCK</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5</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Common Stock</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5</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Preferred Stock</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WARRANTS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9</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Exercise of Warrants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9</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Modifications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10</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Enforceability of Rights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10</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UNITS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10</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CHESS DEPOSITARY INTERESTS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PLAN OF DISTRIBUTION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BY REFERENCE</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15</w:t>
            </w:r>
          </w:p>
        </w:tc>
        <w:tc>
          <w:tcPr>
            <w:tcW w:w="0" w:type="dxa"/>
            <w:vAlign w:val="bottom"/>
          </w:tcPr>
          <w:p>
            <w:pPr>
              <w:spacing w:after="0"/>
              <w:rPr>
                <w:sz w:val="1"/>
                <w:szCs w:val="1"/>
                <w:color w:val="auto"/>
              </w:rPr>
            </w:pPr>
          </w:p>
        </w:tc>
      </w:tr>
      <w:tr>
        <w:trPr>
          <w:trHeight w:val="364"/>
        </w:trPr>
        <w:tc>
          <w:tcPr>
            <w:tcW w:w="8360" w:type="dxa"/>
            <w:vAlign w:val="bottom"/>
          </w:tcPr>
          <w:p>
            <w:pPr>
              <w:ind w:left="4300"/>
              <w:spacing w:after="0"/>
              <w:rPr>
                <w:sz w:val="20"/>
                <w:szCs w:val="20"/>
                <w:color w:val="auto"/>
              </w:rPr>
            </w:pPr>
            <w:r>
              <w:rPr>
                <w:rFonts w:ascii="Arial" w:cs="Arial" w:eastAsia="Arial" w:hAnsi="Arial"/>
                <w:sz w:val="18"/>
                <w:szCs w:val="18"/>
                <w:color w:val="465361"/>
              </w:rPr>
              <w:t>S-i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465361"/>
        </w:rPr>
        <w:t>ABOUT THIS PROSPECTUS SUPPLEMENT</w:t>
      </w:r>
    </w:p>
    <w:p>
      <w:pPr>
        <w:spacing w:after="0" w:line="17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465361"/>
        </w:rPr>
        <w:t>This document is in two parts. The first part is this prospectus supplement, which describes the specific terms of this offering and certain other matters relating to us, which may also, where applicable, add to and update information contained in the accompanying prospectus and the documents incorporated by reference into this prospectus supplement and the accompanying prospectus. The second part, the accompanying prospectus, dated October 16, 2020, and included as part of our registration statement on Form S-3 (333-249419) gives more general information about securities we may offer from time to time, some of which does not apply to this offering. Generally, when we refer to this prospectus, we are referring to both parts of this document combined together with all documents incorporated by reference. If information in this prospectus supplement is inconsistent with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into this prospectus supplement or the accompanying prospectus — the statement in the document having the later date modifies or supersedes the earlier statement as our business, financial condition, results of operations and prospects may have changed since the earlier date. We have not authorized, nor have the underwriters authorized, anyone to provide you with any information or to make any representation, other than those contained or incorporated by reference in this prospectus supplement, the accompanying prospectus or any free writing prospectus we have prepared by or on behalf of us or to which we have referred you. We and the underwriters each take no responsibility for, and provide no assurance as to the reliability of, any other information that others may give you. The information contained in, or incorporated by reference into, this prospectus supplement and the accompanying prospectus is accurate only as of the date thereof, regardless of the time of delivery of this prospectus supplement and the accompanying prospectus or of any sale of securities.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under the captions “Where You Can Find More Information” and “Incorporation of Certain Information by Reference” in this prospectus supplement.</w:t>
      </w:r>
    </w:p>
    <w:p>
      <w:pPr>
        <w:spacing w:after="0" w:line="1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465361"/>
        </w:rPr>
        <w:t>We and the underwriters are not offering to sell, nor seeking offers to buy, securities in any jurisdictions where such offers and sales are not permitted. The distribution of this prospectus supplement and the accompanying prospectus and the offering of securities in certain jurisdictions or to certain persons within such jurisdictions may be restricted by law. Persons outside the United States who come into possession of this prospectus supplement and the accompanying prospectus must inform themselves about and observe any restrictions relating to the offering of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465361"/>
        </w:rPr>
        <w:t>SPECIAL NOTE REGARDING FORWARD-LOOKING STATEMENTS</w:t>
      </w:r>
    </w:p>
    <w:p>
      <w:pPr>
        <w:spacing w:after="0" w:line="177" w:lineRule="exact"/>
        <w:rPr>
          <w:sz w:val="20"/>
          <w:szCs w:val="20"/>
          <w:color w:val="auto"/>
        </w:rPr>
      </w:pPr>
    </w:p>
    <w:p>
      <w:pPr>
        <w:ind w:left="120" w:right="220"/>
        <w:spacing w:after="0" w:line="294" w:lineRule="auto"/>
        <w:rPr>
          <w:sz w:val="20"/>
          <w:szCs w:val="20"/>
          <w:color w:val="auto"/>
        </w:rPr>
      </w:pPr>
      <w:r>
        <w:rPr>
          <w:rFonts w:ascii="Arial" w:cs="Arial" w:eastAsia="Arial" w:hAnsi="Arial"/>
          <w:sz w:val="16"/>
          <w:szCs w:val="16"/>
          <w:color w:val="465361"/>
        </w:rPr>
        <w:t>This prospectus supplement and the accompanying prospectus, including the documents that we incorporate by reference, contain forward-looking statements within the meaning of the Private Securities Litigation Reform Act of 1995. Such forward-looking statements include those that express plans, expectations,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color w:val="465361"/>
        </w:rPr>
        <w:t>In some cases, you can identify forward-looking statements by terminology, such as “expects,” “anticipates,” “intends,” “estimates,” “plans,” “believes,” “seeks,” “may,” “should,” “could” or the negative of such terms or other similar expressions. Accordingly, these statements involve estimates, assumptions and uncertainties that could cause actual results to differ materially from those expressed in them. These forward-looking statements include, but are not limited to, statements about:</w:t>
      </w:r>
    </w:p>
    <w:p>
      <w:pPr>
        <w:spacing w:after="0" w:line="62" w:lineRule="exact"/>
        <w:rPr>
          <w:sz w:val="20"/>
          <w:szCs w:val="20"/>
          <w:color w:val="auto"/>
        </w:rPr>
      </w:pPr>
    </w:p>
    <w:p>
      <w:pPr>
        <w:ind w:left="1420" w:right="220" w:hanging="427"/>
        <w:spacing w:after="0" w:line="268" w:lineRule="auto"/>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the extent to which the COVID-19 pandemic and related governmental regulations and restrictions may impact our business, including our research, clinical trials, manufacturing and financial condition;</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our expectations regarding the benefits of our RECELL System;</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the initiation, timing, progress and results of our ongoing clinical trials;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the rate and degree of market acceptance of our RECELL System;</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the implementation of our business model and strategic plans for our business;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our estimates of our expenses, future revenue and capital requirements;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our ability to obtain additional funds for our operations;</w:t>
      </w:r>
    </w:p>
    <w:p>
      <w:pPr>
        <w:spacing w:after="0" w:line="90" w:lineRule="exact"/>
        <w:rPr>
          <w:rFonts w:ascii="Arial" w:cs="Arial" w:eastAsia="Arial" w:hAnsi="Arial"/>
          <w:sz w:val="18"/>
          <w:szCs w:val="18"/>
          <w:color w:val="465361"/>
        </w:rPr>
      </w:pPr>
    </w:p>
    <w:p>
      <w:pPr>
        <w:ind w:left="1420" w:right="360" w:hanging="427"/>
        <w:spacing w:after="0" w:line="268" w:lineRule="auto"/>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our ability to obtain and maintain intellectual property protection for our technologies and our ability to operate our business without infringing the intellectual property rights of others;</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our reliance on third-party supply and manufacturing partners to supply the materials and components for, our products;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our ability to attract and retain qualified key management and technical personnel;</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our financial performance; and</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2"/>
        </w:numPr>
        <w:rPr>
          <w:rFonts w:ascii="Arial" w:cs="Arial" w:eastAsia="Arial" w:hAnsi="Arial"/>
          <w:sz w:val="18"/>
          <w:szCs w:val="18"/>
          <w:color w:val="465361"/>
        </w:rPr>
      </w:pPr>
      <w:r>
        <w:rPr>
          <w:rFonts w:ascii="Arial" w:cs="Arial" w:eastAsia="Arial" w:hAnsi="Arial"/>
          <w:sz w:val="18"/>
          <w:szCs w:val="18"/>
          <w:color w:val="465361"/>
        </w:rPr>
        <w:t>developments relating to our competitors, including Mallinckrodt PLC, or our industry.</w:t>
      </w:r>
    </w:p>
    <w:p>
      <w:pPr>
        <w:spacing w:after="0" w:line="171" w:lineRule="exact"/>
        <w:rPr>
          <w:sz w:val="20"/>
          <w:szCs w:val="20"/>
          <w:color w:val="auto"/>
        </w:rPr>
      </w:pPr>
    </w:p>
    <w:p>
      <w:pPr>
        <w:ind w:left="120"/>
        <w:spacing w:after="0" w:line="307" w:lineRule="auto"/>
        <w:rPr>
          <w:sz w:val="20"/>
          <w:szCs w:val="20"/>
          <w:color w:val="auto"/>
        </w:rPr>
      </w:pPr>
      <w:r>
        <w:rPr>
          <w:rFonts w:ascii="Arial" w:cs="Arial" w:eastAsia="Arial" w:hAnsi="Arial"/>
          <w:sz w:val="15"/>
          <w:szCs w:val="15"/>
          <w:color w:val="465361"/>
        </w:rPr>
        <w:t>You should read this prospectus supplement, the accompanying prospectus and the documents that we incorporate by reference herein and therein and have filed as exhibits to the registration statement, of which this prospectus supplement is a part, completely and with the understanding that our actual future results may be materially different from what we expect.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 frame, or at all. We discuss many of these risks in greater detail in the documents incorporated by reference in this prospectus supplement and the accompanying prospectus, including those risks set forth under the heading “Risk Factors” herein and therein. Further, any forward-looking statement speaks only as of the date on which it is made, and except as may be required under applicable laws, we undertake no obligation to update any forward-looking statement after the date of this prospectus supplement.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We qualify all of the information presented in this prospectus supplement and the accompanying prospectus, and particularly our forward-looking statements, by these cautionary statements.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PROSPECTUS SUPPLEMENT SUMMARY</w:t>
      </w:r>
    </w:p>
    <w:p>
      <w:pPr>
        <w:spacing w:after="0" w:line="17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i w:val="1"/>
          <w:iCs w:val="1"/>
          <w:color w:val="465361"/>
        </w:rPr>
        <w:t>This summary highlights information contained elsewhere or incorporated by reference into this prospectus supplement and the accompanying prospectus. This summary does not contain all of the information that you should consider before deciding to invest in our securities. You should read this entire prospectus supplement and the accompanying prospectus carefully, including the information incorporated by reference herein, including the information set forth under the heading “Risk Factors” in this prospectus supplement and incorporated by reference from our Annual Report on Form 10-K for the year ended June 30, 2020, as well as our consolidated financial statements and the related notes and the other documents incorporated by reference into this prospectus supplement and the accompanying prospectus.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Business Overview</w:t>
      </w:r>
    </w:p>
    <w:p>
      <w:pPr>
        <w:spacing w:after="0" w:line="9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465361"/>
        </w:rPr>
        <w:t>The AVITA group of companies (comprising AVITA Medical, Inc., formerly known as AVITA Therapeutics, Inc. (“</w:t>
      </w:r>
      <w:r>
        <w:rPr>
          <w:rFonts w:ascii="Arial" w:cs="Arial" w:eastAsia="Arial" w:hAnsi="Arial"/>
          <w:sz w:val="16"/>
          <w:szCs w:val="16"/>
          <w:b w:val="1"/>
          <w:bCs w:val="1"/>
          <w:color w:val="465361"/>
        </w:rPr>
        <w:t>AVITA</w:t>
      </w:r>
      <w:r>
        <w:rPr>
          <w:rFonts w:ascii="Arial" w:cs="Arial" w:eastAsia="Arial" w:hAnsi="Arial"/>
          <w:sz w:val="16"/>
          <w:szCs w:val="16"/>
          <w:color w:val="465361"/>
        </w:rPr>
        <w:t>” or the “</w:t>
      </w:r>
      <w:r>
        <w:rPr>
          <w:rFonts w:ascii="Arial" w:cs="Arial" w:eastAsia="Arial" w:hAnsi="Arial"/>
          <w:sz w:val="16"/>
          <w:szCs w:val="16"/>
          <w:b w:val="1"/>
          <w:bCs w:val="1"/>
          <w:color w:val="465361"/>
        </w:rPr>
        <w:t>Company</w:t>
      </w:r>
      <w:r>
        <w:rPr>
          <w:rFonts w:ascii="Arial" w:cs="Arial" w:eastAsia="Arial" w:hAnsi="Arial"/>
          <w:sz w:val="16"/>
          <w:szCs w:val="16"/>
          <w:color w:val="465361"/>
        </w:rPr>
        <w:t>”) and its subsidiaries, including AVITA Medical Pty Limited (“</w:t>
      </w:r>
      <w:r>
        <w:rPr>
          <w:rFonts w:ascii="Arial" w:cs="Arial" w:eastAsia="Arial" w:hAnsi="Arial"/>
          <w:sz w:val="16"/>
          <w:szCs w:val="16"/>
          <w:b w:val="1"/>
          <w:bCs w:val="1"/>
          <w:color w:val="465361"/>
        </w:rPr>
        <w:t>AVITA Medical</w:t>
      </w:r>
      <w:r>
        <w:rPr>
          <w:rFonts w:ascii="Arial" w:cs="Arial" w:eastAsia="Arial" w:hAnsi="Arial"/>
          <w:sz w:val="16"/>
          <w:szCs w:val="16"/>
          <w:color w:val="465361"/>
        </w:rPr>
        <w:t>”)) (collectively, “</w:t>
      </w:r>
      <w:r>
        <w:rPr>
          <w:rFonts w:ascii="Arial" w:cs="Arial" w:eastAsia="Arial" w:hAnsi="Arial"/>
          <w:sz w:val="16"/>
          <w:szCs w:val="16"/>
          <w:b w:val="1"/>
          <w:bCs w:val="1"/>
          <w:color w:val="465361"/>
        </w:rPr>
        <w:t>AVITA Group</w:t>
      </w:r>
      <w:r>
        <w:rPr>
          <w:rFonts w:ascii="Arial" w:cs="Arial" w:eastAsia="Arial" w:hAnsi="Arial"/>
          <w:sz w:val="16"/>
          <w:szCs w:val="16"/>
          <w:color w:val="465361"/>
        </w:rPr>
        <w:t>” or “</w:t>
      </w:r>
      <w:r>
        <w:rPr>
          <w:rFonts w:ascii="Arial" w:cs="Arial" w:eastAsia="Arial" w:hAnsi="Arial"/>
          <w:sz w:val="16"/>
          <w:szCs w:val="16"/>
          <w:b w:val="1"/>
          <w:bCs w:val="1"/>
          <w:color w:val="465361"/>
        </w:rPr>
        <w:t>we</w:t>
      </w:r>
      <w:r>
        <w:rPr>
          <w:rFonts w:ascii="Arial" w:cs="Arial" w:eastAsia="Arial" w:hAnsi="Arial"/>
          <w:sz w:val="16"/>
          <w:szCs w:val="16"/>
          <w:color w:val="465361"/>
        </w:rPr>
        <w:t>”, “</w:t>
      </w:r>
      <w:r>
        <w:rPr>
          <w:rFonts w:ascii="Arial" w:cs="Arial" w:eastAsia="Arial" w:hAnsi="Arial"/>
          <w:sz w:val="16"/>
          <w:szCs w:val="16"/>
          <w:b w:val="1"/>
          <w:bCs w:val="1"/>
          <w:color w:val="465361"/>
        </w:rPr>
        <w:t>us</w:t>
      </w:r>
      <w:r>
        <w:rPr>
          <w:rFonts w:ascii="Arial" w:cs="Arial" w:eastAsia="Arial" w:hAnsi="Arial"/>
          <w:sz w:val="16"/>
          <w:szCs w:val="16"/>
          <w:color w:val="465361"/>
        </w:rPr>
        <w:t>”, or “</w:t>
      </w:r>
      <w:r>
        <w:rPr>
          <w:rFonts w:ascii="Arial" w:cs="Arial" w:eastAsia="Arial" w:hAnsi="Arial"/>
          <w:sz w:val="16"/>
          <w:szCs w:val="16"/>
          <w:b w:val="1"/>
          <w:bCs w:val="1"/>
          <w:color w:val="465361"/>
        </w:rPr>
        <w:t>our</w:t>
      </w:r>
      <w:r>
        <w:rPr>
          <w:rFonts w:ascii="Arial" w:cs="Arial" w:eastAsia="Arial" w:hAnsi="Arial"/>
          <w:sz w:val="16"/>
          <w:szCs w:val="16"/>
          <w:color w:val="465361"/>
        </w:rPr>
        <w:t>”) is a regenerative medicine group with a technology platform positioned to address unmet medical needs in burn injuries, trauma and other acute injuries, together with skin defects like vitiligo. Our proprietary platform technology provides innovative treatment solutions derived from the regenerative properties of a patient’s own skin. Our medical device works by preparing Spray-On Skin</w:t>
      </w:r>
      <w:r>
        <w:rPr>
          <w:rFonts w:ascii="Arial" w:cs="Arial" w:eastAsia="Arial" w:hAnsi="Arial"/>
          <w:sz w:val="10"/>
          <w:szCs w:val="10"/>
          <w:color w:val="465361"/>
        </w:rPr>
        <w:t>™</w:t>
      </w:r>
      <w:r>
        <w:rPr>
          <w:rFonts w:ascii="Arial" w:cs="Arial" w:eastAsia="Arial" w:hAnsi="Arial"/>
          <w:sz w:val="16"/>
          <w:szCs w:val="16"/>
          <w:color w:val="465361"/>
        </w:rPr>
        <w:t xml:space="preserve"> Cells, an autologous cellular suspension comprised of the patient’s skin cells, which is then sprayed on the patient in order to regenerate natural healthy epidermis.</w:t>
      </w:r>
    </w:p>
    <w:p>
      <w:pPr>
        <w:spacing w:after="0" w:line="11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Our first United States (“</w:t>
      </w:r>
      <w:r>
        <w:rPr>
          <w:rFonts w:ascii="Arial" w:cs="Arial" w:eastAsia="Arial" w:hAnsi="Arial"/>
          <w:sz w:val="16"/>
          <w:szCs w:val="16"/>
          <w:b w:val="1"/>
          <w:bCs w:val="1"/>
          <w:color w:val="465361"/>
        </w:rPr>
        <w:t>U.S.</w:t>
      </w:r>
      <w:r>
        <w:rPr>
          <w:rFonts w:ascii="Arial" w:cs="Arial" w:eastAsia="Arial" w:hAnsi="Arial"/>
          <w:sz w:val="16"/>
          <w:szCs w:val="16"/>
          <w:color w:val="465361"/>
        </w:rPr>
        <w:t>”) product, the RECELL</w:t>
      </w:r>
      <w:r>
        <w:rPr>
          <w:rFonts w:ascii="Arial" w:cs="Arial" w:eastAsia="Arial" w:hAnsi="Arial"/>
          <w:sz w:val="10"/>
          <w:szCs w:val="10"/>
          <w:color w:val="465361"/>
        </w:rPr>
        <w:t>®</w:t>
      </w:r>
      <w:r>
        <w:rPr>
          <w:rFonts w:ascii="Arial" w:cs="Arial" w:eastAsia="Arial" w:hAnsi="Arial"/>
          <w:sz w:val="16"/>
          <w:szCs w:val="16"/>
          <w:color w:val="465361"/>
        </w:rPr>
        <w:t xml:space="preserve"> System, was approved by the U.S. Food and Drug Administration (“</w:t>
      </w:r>
      <w:r>
        <w:rPr>
          <w:rFonts w:ascii="Arial" w:cs="Arial" w:eastAsia="Arial" w:hAnsi="Arial"/>
          <w:sz w:val="16"/>
          <w:szCs w:val="16"/>
          <w:b w:val="1"/>
          <w:bCs w:val="1"/>
          <w:color w:val="465361"/>
        </w:rPr>
        <w:t>FDA</w:t>
      </w:r>
      <w:r>
        <w:rPr>
          <w:rFonts w:ascii="Arial" w:cs="Arial" w:eastAsia="Arial" w:hAnsi="Arial"/>
          <w:sz w:val="16"/>
          <w:szCs w:val="16"/>
          <w:color w:val="465361"/>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6"/>
          <w:szCs w:val="16"/>
          <w:b w:val="1"/>
          <w:bCs w:val="1"/>
          <w:color w:val="465361"/>
        </w:rPr>
        <w:t>PMA</w:t>
      </w:r>
      <w:r>
        <w:rPr>
          <w:rFonts w:ascii="Arial" w:cs="Arial" w:eastAsia="Arial" w:hAnsi="Arial"/>
          <w:sz w:val="16"/>
          <w:szCs w:val="16"/>
          <w:color w:val="465361"/>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2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465361"/>
        </w:rPr>
        <w:t>Our compelling data from prospective, randomized, controlled clinical trials conducted at major U.S.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40"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color w:val="465361"/>
        </w:rPr>
        <w:t>Following receipt of our PMA, we commenced commercializing the RECELL System in January 2019 in the U.S., and we expect the dominant focus of our commercial efforts to be directed towards the U.S. market going forward. Since receipt of our PMA, we have seen increasing adoption rates in the U.S., and we estimate that as of December 31, 2020, approximately 75% of burn surgeons in the U.S. are certified and 65% of burn centers in the U.S. have been activated (meaning that such burn centers have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analysis approval, have been certified to use the product and have placed at least one commercial order) with growing procedural adoption rate of 8%.</w:t>
      </w:r>
    </w:p>
    <w:p>
      <w:pPr>
        <w:spacing w:after="0" w:line="188" w:lineRule="exact"/>
        <w:rPr>
          <w:sz w:val="20"/>
          <w:szCs w:val="20"/>
          <w:color w:val="auto"/>
        </w:rPr>
      </w:pPr>
    </w:p>
    <w:p>
      <w:pPr>
        <w:ind w:left="120" w:right="60"/>
        <w:spacing w:after="0" w:line="339" w:lineRule="auto"/>
        <w:rPr>
          <w:sz w:val="20"/>
          <w:szCs w:val="20"/>
          <w:color w:val="auto"/>
        </w:rPr>
      </w:pPr>
      <w:r>
        <w:rPr>
          <w:rFonts w:ascii="Arial" w:cs="Arial" w:eastAsia="Arial" w:hAnsi="Arial"/>
          <w:sz w:val="16"/>
          <w:szCs w:val="16"/>
          <w:color w:val="465361"/>
        </w:rPr>
        <w:t>The RECELL</w:t>
      </w:r>
      <w:r>
        <w:rPr>
          <w:rFonts w:ascii="Arial" w:cs="Arial" w:eastAsia="Arial" w:hAnsi="Arial"/>
          <w:sz w:val="10"/>
          <w:szCs w:val="10"/>
          <w:color w:val="465361"/>
        </w:rPr>
        <w:t>®</w:t>
      </w:r>
      <w:r>
        <w:rPr>
          <w:rFonts w:ascii="Arial" w:cs="Arial" w:eastAsia="Arial" w:hAnsi="Arial"/>
          <w:sz w:val="16"/>
          <w:szCs w:val="16"/>
          <w:color w:val="465361"/>
        </w:rPr>
        <w:t xml:space="preserve"> System is Therapeutic Goods Administration (“</w:t>
      </w:r>
      <w:r>
        <w:rPr>
          <w:rFonts w:ascii="Arial" w:cs="Arial" w:eastAsia="Arial" w:hAnsi="Arial"/>
          <w:sz w:val="16"/>
          <w:szCs w:val="16"/>
          <w:b w:val="1"/>
          <w:bCs w:val="1"/>
          <w:color w:val="465361"/>
        </w:rPr>
        <w:t>TGA</w:t>
      </w:r>
      <w:r>
        <w:rPr>
          <w:rFonts w:ascii="Arial" w:cs="Arial" w:eastAsia="Arial" w:hAnsi="Arial"/>
          <w:sz w:val="16"/>
          <w:szCs w:val="16"/>
          <w:color w:val="465361"/>
        </w:rPr>
        <w:t>”)-registered in Australia cleared for use in the treatment of burns, acute wounds, scars and repigmentation (vitiligo). In Europe, the RECELL</w:t>
      </w:r>
      <w:r>
        <w:rPr>
          <w:rFonts w:ascii="Arial" w:cs="Arial" w:eastAsia="Arial" w:hAnsi="Arial"/>
          <w:sz w:val="10"/>
          <w:szCs w:val="10"/>
          <w:color w:val="465361"/>
        </w:rPr>
        <w:t>®</w:t>
      </w:r>
      <w:r>
        <w:rPr>
          <w:rFonts w:ascii="Arial" w:cs="Arial" w:eastAsia="Arial" w:hAnsi="Arial"/>
          <w:sz w:val="16"/>
          <w:szCs w:val="16"/>
          <w:color w:val="465361"/>
        </w:rPr>
        <w:t xml:space="preserve"> System received CE-mark approval for the treatment of burns, chronic wounds, scars and vitiligo.</w:t>
      </w:r>
    </w:p>
    <w:p>
      <w:pPr>
        <w:spacing w:after="0" w:line="8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465361"/>
        </w:rPr>
        <w:t>We have an ongoing clinical trial in the U.S. to investigate the use of the RECELL</w:t>
      </w:r>
      <w:r>
        <w:rPr>
          <w:rFonts w:ascii="Arial" w:cs="Arial" w:eastAsia="Arial" w:hAnsi="Arial"/>
          <w:sz w:val="11"/>
          <w:szCs w:val="11"/>
          <w:color w:val="465361"/>
        </w:rPr>
        <w:t>®</w:t>
      </w:r>
      <w:r>
        <w:rPr>
          <w:rFonts w:ascii="Arial" w:cs="Arial" w:eastAsia="Arial" w:hAnsi="Arial"/>
          <w:sz w:val="18"/>
          <w:szCs w:val="18"/>
          <w:color w:val="465361"/>
        </w:rPr>
        <w:t xml:space="preserve"> System for the treatment of vitiligo. We believe that, subject to FDA approval, the RECELL</w:t>
      </w:r>
      <w:r>
        <w:rPr>
          <w:rFonts w:ascii="Arial" w:cs="Arial" w:eastAsia="Arial" w:hAnsi="Arial"/>
          <w:sz w:val="11"/>
          <w:szCs w:val="11"/>
          <w:color w:val="465361"/>
        </w:rPr>
        <w:t>®</w:t>
      </w:r>
      <w:r>
        <w:rPr>
          <w:rFonts w:ascii="Arial" w:cs="Arial" w:eastAsia="Arial" w:hAnsi="Arial"/>
          <w:sz w:val="18"/>
          <w:szCs w:val="18"/>
          <w:color w:val="465361"/>
        </w:rPr>
        <w:t xml:space="preserve"> System can be an effective therapeutic offering for patients with stable vitiligo. In the U.S. alone, there are approximately 4.5 million individuals with vitiligo, approximately 1.3 million of which have stable vitiligo.</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Intellectual Property</w:t>
      </w:r>
    </w:p>
    <w:p>
      <w:pPr>
        <w:spacing w:after="0" w:line="96" w:lineRule="exact"/>
        <w:rPr>
          <w:sz w:val="20"/>
          <w:szCs w:val="20"/>
          <w:color w:val="auto"/>
        </w:rPr>
      </w:pPr>
    </w:p>
    <w:p>
      <w:pPr>
        <w:ind w:left="120" w:right="340"/>
        <w:spacing w:after="0" w:line="294" w:lineRule="auto"/>
        <w:rPr>
          <w:sz w:val="20"/>
          <w:szCs w:val="20"/>
          <w:color w:val="auto"/>
        </w:rPr>
      </w:pPr>
      <w:r>
        <w:rPr>
          <w:rFonts w:ascii="Arial" w:cs="Arial" w:eastAsia="Arial" w:hAnsi="Arial"/>
          <w:sz w:val="16"/>
          <w:szCs w:val="16"/>
          <w:color w:val="465361"/>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and distribution programs to advance our products and product candidates, and to expand our intellectual property rights. As of December 31, 2020, we had been granted a total of 48 patents and had 17 pending patent applications worldwide.</w:t>
      </w:r>
    </w:p>
    <w:p>
      <w:pPr>
        <w:spacing w:after="0" w:line="115" w:lineRule="exact"/>
        <w:rPr>
          <w:sz w:val="20"/>
          <w:szCs w:val="20"/>
          <w:color w:val="auto"/>
        </w:rPr>
      </w:pPr>
    </w:p>
    <w:p>
      <w:pPr>
        <w:ind w:left="120"/>
        <w:spacing w:after="0" w:line="302" w:lineRule="auto"/>
        <w:rPr>
          <w:sz w:val="20"/>
          <w:szCs w:val="20"/>
          <w:color w:val="auto"/>
        </w:rPr>
      </w:pPr>
      <w:r>
        <w:rPr>
          <w:rFonts w:ascii="Arial" w:cs="Arial" w:eastAsia="Arial" w:hAnsi="Arial"/>
          <w:sz w:val="15"/>
          <w:szCs w:val="15"/>
          <w:color w:val="465361"/>
        </w:rPr>
        <w:t>The U.S. patents and patent applications provide coverage with expected expiration dates ranging from 2022 to 2040. U.S. patents covering the composition of matter related to the current RECELL</w:t>
      </w:r>
      <w:r>
        <w:rPr>
          <w:rFonts w:ascii="Arial" w:cs="Arial" w:eastAsia="Arial" w:hAnsi="Arial"/>
          <w:sz w:val="10"/>
          <w:szCs w:val="10"/>
          <w:color w:val="465361"/>
        </w:rPr>
        <w:t>®</w:t>
      </w:r>
      <w:r>
        <w:rPr>
          <w:rFonts w:ascii="Arial" w:cs="Arial" w:eastAsia="Arial" w:hAnsi="Arial"/>
          <w:sz w:val="15"/>
          <w:szCs w:val="15"/>
          <w:color w:val="465361"/>
        </w:rPr>
        <w:t xml:space="preserve"> System expire in 2022. We have filed a Patent Term Extension (PTE)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w:t>
      </w:r>
    </w:p>
    <w:p>
      <w:pPr>
        <w:spacing w:after="0" w:line="2" w:lineRule="exact"/>
        <w:rPr>
          <w:sz w:val="20"/>
          <w:szCs w:val="20"/>
          <w:color w:val="auto"/>
        </w:rPr>
      </w:pPr>
    </w:p>
    <w:p>
      <w:pPr>
        <w:ind w:left="120" w:right="80"/>
        <w:spacing w:after="0" w:line="302" w:lineRule="auto"/>
        <w:rPr>
          <w:sz w:val="20"/>
          <w:szCs w:val="20"/>
          <w:color w:val="auto"/>
        </w:rPr>
      </w:pPr>
      <w:r>
        <w:rPr>
          <w:rFonts w:ascii="Arial" w:cs="Arial" w:eastAsia="Arial" w:hAnsi="Arial"/>
          <w:sz w:val="16"/>
          <w:szCs w:val="16"/>
          <w:color w:val="465361"/>
        </w:rPr>
        <w:t>No. 9,029,140 is expected to be extended to April 9, 2024. We expect that further research and characterization of the characteristics of the RECELL System, the composition and activity of the Spray-On Skin</w:t>
      </w:r>
      <w:r>
        <w:rPr>
          <w:rFonts w:ascii="Arial" w:cs="Arial" w:eastAsia="Arial" w:hAnsi="Arial"/>
          <w:sz w:val="10"/>
          <w:szCs w:val="10"/>
          <w:color w:val="465361"/>
        </w:rPr>
        <w:t>™</w:t>
      </w:r>
      <w:r>
        <w:rPr>
          <w:rFonts w:ascii="Arial" w:cs="Arial" w:eastAsia="Arial" w:hAnsi="Arial"/>
          <w:sz w:val="16"/>
          <w:szCs w:val="16"/>
          <w:color w:val="465361"/>
        </w:rPr>
        <w:t xml:space="preserve"> Cells solution, and the design of the device currently underway may provide additional claims for which we will be able to pursue additional U.S. and international patent applications in key international markets, parallel to those in the U.S.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Our Opportunity</w:t>
      </w:r>
    </w:p>
    <w:p>
      <w:pPr>
        <w:spacing w:after="0" w:line="96" w:lineRule="exact"/>
        <w:rPr>
          <w:sz w:val="20"/>
          <w:szCs w:val="20"/>
          <w:color w:val="auto"/>
        </w:rPr>
      </w:pPr>
    </w:p>
    <w:p>
      <w:pPr>
        <w:ind w:left="120" w:right="500"/>
        <w:spacing w:after="0" w:line="268" w:lineRule="auto"/>
        <w:rPr>
          <w:sz w:val="20"/>
          <w:szCs w:val="20"/>
          <w:color w:val="auto"/>
        </w:rPr>
      </w:pPr>
      <w:r>
        <w:rPr>
          <w:rFonts w:ascii="Arial" w:cs="Arial" w:eastAsia="Arial" w:hAnsi="Arial"/>
          <w:sz w:val="18"/>
          <w:szCs w:val="18"/>
          <w:color w:val="465361"/>
        </w:rPr>
        <w:t>We believe that our RECELL</w:t>
      </w:r>
      <w:r>
        <w:rPr>
          <w:rFonts w:ascii="Arial" w:cs="Arial" w:eastAsia="Arial" w:hAnsi="Arial"/>
          <w:sz w:val="11"/>
          <w:szCs w:val="11"/>
          <w:color w:val="465361"/>
        </w:rPr>
        <w:t>®</w:t>
      </w:r>
      <w:r>
        <w:rPr>
          <w:rFonts w:ascii="Arial" w:cs="Arial" w:eastAsia="Arial" w:hAnsi="Arial"/>
          <w:sz w:val="18"/>
          <w:szCs w:val="18"/>
          <w:color w:val="465361"/>
        </w:rPr>
        <w:t xml:space="preserve"> System’s uses in the currently approved indication in the U.S. of thermal burns, together with potential indications for treating vitiligo, trauma and pediatric scalds, represents a potential U.S. market of more than $1.5 billion.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Second Fiscal Quarter Ended December 31, 2020 Highlights</w:t>
      </w:r>
    </w:p>
    <w:p>
      <w:pPr>
        <w:spacing w:after="0" w:line="96" w:lineRule="exact"/>
        <w:rPr>
          <w:sz w:val="20"/>
          <w:szCs w:val="20"/>
          <w:color w:val="auto"/>
        </w:rPr>
      </w:pPr>
    </w:p>
    <w:p>
      <w:pPr>
        <w:ind w:left="1420" w:right="180" w:hanging="427"/>
        <w:spacing w:after="0" w:line="268" w:lineRule="auto"/>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Reported U.S based RECELL</w:t>
      </w:r>
      <w:r>
        <w:rPr>
          <w:rFonts w:ascii="Arial" w:cs="Arial" w:eastAsia="Arial" w:hAnsi="Arial"/>
          <w:sz w:val="11"/>
          <w:szCs w:val="11"/>
          <w:color w:val="465361"/>
        </w:rPr>
        <w:t>®</w:t>
      </w:r>
      <w:r>
        <w:rPr>
          <w:rFonts w:ascii="Arial" w:cs="Arial" w:eastAsia="Arial" w:hAnsi="Arial"/>
          <w:sz w:val="18"/>
          <w:szCs w:val="18"/>
          <w:color w:val="465361"/>
        </w:rPr>
        <w:t xml:space="preserve"> System revenue of $5.0 million in the second quarter of 2021 ended December 31, 2020, representing a 62% increase over the same quarter in the prior year.</w:t>
      </w:r>
    </w:p>
    <w:p>
      <w:pPr>
        <w:spacing w:after="0" w:line="50" w:lineRule="exact"/>
        <w:rPr>
          <w:rFonts w:ascii="Arial" w:cs="Arial" w:eastAsia="Arial" w:hAnsi="Arial"/>
          <w:sz w:val="18"/>
          <w:szCs w:val="18"/>
          <w:color w:val="465361"/>
        </w:rPr>
      </w:pPr>
    </w:p>
    <w:p>
      <w:pPr>
        <w:ind w:left="1420" w:right="100" w:hanging="427"/>
        <w:spacing w:after="0" w:line="268" w:lineRule="auto"/>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Operating expenses were $10.4 million in the second quarter of 2021 ended December 31, 2020, representing a 22.4% decrease over the same quarter in the prior year.</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Commercial metrics and progress with additional indications for the RECELL</w:t>
      </w:r>
      <w:r>
        <w:rPr>
          <w:rFonts w:ascii="Arial" w:cs="Arial" w:eastAsia="Arial" w:hAnsi="Arial"/>
          <w:sz w:val="11"/>
          <w:szCs w:val="11"/>
          <w:color w:val="465361"/>
        </w:rPr>
        <w:t>®</w:t>
      </w:r>
      <w:r>
        <w:rPr>
          <w:rFonts w:ascii="Arial" w:cs="Arial" w:eastAsia="Arial" w:hAnsi="Arial"/>
          <w:sz w:val="18"/>
          <w:szCs w:val="18"/>
          <w:color w:val="465361"/>
        </w:rPr>
        <w:t xml:space="preserve"> System:</w:t>
      </w:r>
    </w:p>
    <w:p>
      <w:pPr>
        <w:spacing w:after="0" w:line="90" w:lineRule="exact"/>
        <w:rPr>
          <w:rFonts w:ascii="Arial" w:cs="Arial" w:eastAsia="Arial" w:hAnsi="Arial"/>
          <w:sz w:val="18"/>
          <w:szCs w:val="18"/>
          <w:color w:val="465361"/>
        </w:rPr>
      </w:pPr>
    </w:p>
    <w:p>
      <w:pPr>
        <w:ind w:left="1420"/>
        <w:spacing w:after="0"/>
        <w:rPr>
          <w:rFonts w:ascii="Arial" w:cs="Arial" w:eastAsia="Arial" w:hAnsi="Arial"/>
          <w:sz w:val="18"/>
          <w:szCs w:val="18"/>
          <w:color w:val="465361"/>
        </w:rPr>
      </w:pPr>
      <w:r>
        <w:rPr>
          <w:rFonts w:ascii="Arial" w:cs="Arial" w:eastAsia="Arial" w:hAnsi="Arial"/>
          <w:sz w:val="18"/>
          <w:szCs w:val="18"/>
          <w:color w:val="465361"/>
        </w:rPr>
        <w:t>•</w:t>
      </w:r>
      <w:r>
        <w:rPr>
          <w:rFonts w:ascii="Arial" w:cs="Arial" w:eastAsia="Arial" w:hAnsi="Arial"/>
          <w:sz w:val="15"/>
          <w:szCs w:val="15"/>
          <w:color w:val="465361"/>
        </w:rPr>
        <w:t>Procedural volumes were 487 in the second quarter of 2021, compared to 328 in the same quarter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S-2</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860" w:hanging="435"/>
        <w:spacing w:after="0" w:line="268" w:lineRule="auto"/>
        <w:tabs>
          <w:tab w:leader="none" w:pos="18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Added seven new accounts with hospital burn centers in the second quarter of 2021, resulting in a total of 93 accounts with hospital burn centers as of December 31, 2020; and</w:t>
      </w:r>
    </w:p>
    <w:p>
      <w:pPr>
        <w:spacing w:after="0" w:line="50" w:lineRule="exact"/>
        <w:rPr>
          <w:rFonts w:ascii="Arial" w:cs="Arial" w:eastAsia="Arial" w:hAnsi="Arial"/>
          <w:sz w:val="18"/>
          <w:szCs w:val="18"/>
          <w:color w:val="465361"/>
        </w:rPr>
      </w:pPr>
    </w:p>
    <w:p>
      <w:pPr>
        <w:ind w:left="1860" w:hanging="435"/>
        <w:spacing w:after="0"/>
        <w:tabs>
          <w:tab w:leader="none" w:pos="18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Enrolled nine patients in the pivotal study assessing the use of the RECELL</w:t>
      </w:r>
      <w:r>
        <w:rPr>
          <w:rFonts w:ascii="Arial" w:cs="Arial" w:eastAsia="Arial" w:hAnsi="Arial"/>
          <w:sz w:val="11"/>
          <w:szCs w:val="11"/>
          <w:color w:val="465361"/>
        </w:rPr>
        <w:t>®</w:t>
      </w:r>
      <w:r>
        <w:rPr>
          <w:rFonts w:ascii="Arial" w:cs="Arial" w:eastAsia="Arial" w:hAnsi="Arial"/>
          <w:sz w:val="18"/>
          <w:szCs w:val="18"/>
          <w:color w:val="465361"/>
        </w:rPr>
        <w:t xml:space="preserve"> System to treat stable vitiligo.</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Corporate History</w:t>
      </w:r>
    </w:p>
    <w:p>
      <w:pPr>
        <w:spacing w:after="0" w:line="9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465361"/>
        </w:rPr>
        <w:t>AVITA Therapeutics, Inc. (now AVITA Medical, Inc.), a Delaware corporation, was originally formed in April 2020. The former parent company of the AVITA Group, AVITA Medical Pty Limited (“</w:t>
      </w:r>
      <w:r>
        <w:rPr>
          <w:rFonts w:ascii="Arial" w:cs="Arial" w:eastAsia="Arial" w:hAnsi="Arial"/>
          <w:sz w:val="18"/>
          <w:szCs w:val="18"/>
          <w:b w:val="1"/>
          <w:bCs w:val="1"/>
          <w:color w:val="465361"/>
        </w:rPr>
        <w:t>AVITA Medical</w:t>
      </w:r>
      <w:r>
        <w:rPr>
          <w:rFonts w:ascii="Arial" w:cs="Arial" w:eastAsia="Arial" w:hAnsi="Arial"/>
          <w:sz w:val="18"/>
          <w:szCs w:val="18"/>
          <w:color w:val="465361"/>
        </w:rPr>
        <w:t>”) was formed under the laws of the Commonwealth of Australia in December of 1992 and has operated as AVITA Medical since 2008. AVITA Medical’s ordinary shares originally began trading in Australia on the ASX on August 9, 1993. AVITA Medical’s ordinary shares, in the form of American Depositary Shares (“</w:t>
      </w:r>
      <w:r>
        <w:rPr>
          <w:rFonts w:ascii="Arial" w:cs="Arial" w:eastAsia="Arial" w:hAnsi="Arial"/>
          <w:sz w:val="18"/>
          <w:szCs w:val="18"/>
          <w:b w:val="1"/>
          <w:bCs w:val="1"/>
          <w:color w:val="465361"/>
        </w:rPr>
        <w:t>ADSs</w:t>
      </w:r>
      <w:r>
        <w:rPr>
          <w:rFonts w:ascii="Arial" w:cs="Arial" w:eastAsia="Arial" w:hAnsi="Arial"/>
          <w:sz w:val="18"/>
          <w:szCs w:val="18"/>
          <w:color w:val="465361"/>
        </w:rPr>
        <w:t>”), began trading on the Nasdaq Stock Market LLC (“</w:t>
      </w:r>
      <w:r>
        <w:rPr>
          <w:rFonts w:ascii="Arial" w:cs="Arial" w:eastAsia="Arial" w:hAnsi="Arial"/>
          <w:sz w:val="18"/>
          <w:szCs w:val="18"/>
          <w:b w:val="1"/>
          <w:bCs w:val="1"/>
          <w:color w:val="465361"/>
        </w:rPr>
        <w:t>Nasdaq</w:t>
      </w:r>
      <w:r>
        <w:rPr>
          <w:rFonts w:ascii="Arial" w:cs="Arial" w:eastAsia="Arial" w:hAnsi="Arial"/>
          <w:sz w:val="18"/>
          <w:szCs w:val="18"/>
          <w:color w:val="465361"/>
        </w:rPr>
        <w:t>”) on October 1, 2019 under the ticker symbol “RCEL”.</w:t>
      </w:r>
    </w:p>
    <w:p>
      <w:pPr>
        <w:spacing w:after="0" w:line="14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465361"/>
        </w:rPr>
        <w:t>On June 29, 2020, a statutory scheme of arrangement was implemented under Australian law to change the domicile of the AVITA Group from Australia to the U.S. Under the scheme of arrangement, AVITA Therapeutics became the new parent company of the AVITA Group, and all ordinary shares in AVITA Medical (including ordinary shares represented by ADSs) held by securityholders were exchanged for shares of common stock or CHESS Depositary Interests (“</w:t>
      </w:r>
      <w:r>
        <w:rPr>
          <w:rFonts w:ascii="Arial" w:cs="Arial" w:eastAsia="Arial" w:hAnsi="Arial"/>
          <w:sz w:val="16"/>
          <w:szCs w:val="16"/>
          <w:b w:val="1"/>
          <w:bCs w:val="1"/>
          <w:color w:val="465361"/>
        </w:rPr>
        <w:t>CDIs</w:t>
      </w:r>
      <w:r>
        <w:rPr>
          <w:rFonts w:ascii="Arial" w:cs="Arial" w:eastAsia="Arial" w:hAnsi="Arial"/>
          <w:sz w:val="16"/>
          <w:szCs w:val="16"/>
          <w:color w:val="465361"/>
        </w:rPr>
        <w:t>”). As a result, the existing listing of AVITA Medical Limited (now named AVITA Medical Pty Limited) on the ASX (as its primary listing) and on Nasdaq (as its secondary listing) was inverted and replaced with a new listing of AVITA Therapeutics common stock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 On December 2, 2020, AVITA Therapeutics, Inc., changed its corporate name to AVITA Medical, Inc. after filing a Certificate of Amendment to its Certificate of Incorporation with the Secretary of State of the State of Delaware. The Company’s change of name was registered with the Australian Securities and Investments Commission effective as from 6 January 2021. The Company’s common stock continues to trade on Nasdaq under the symbol “RCEL” and the Company’s CDIs continue to trade on the ASX under the ticker symbol “AVH”.</w:t>
      </w:r>
    </w:p>
    <w:p>
      <w:pPr>
        <w:spacing w:after="0" w:line="126"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color w:val="465361"/>
        </w:rPr>
        <w:t>Our website address is www.avitamedical.com. Information contained on, or accessible through, our website is not part of or incorporated into this prospectus supplement. The SEC maintains an internet site, www.sec.gov, which contains reports, proxy and information statements, and other information regarding issuers, such as us, that file electronically with the SEC. Copies of announcements made by the Company to the ASX are available on ASX’s website (www.asx.com.au).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S-3</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The Offering</w:t>
      </w:r>
    </w:p>
    <w:p>
      <w:pPr>
        <w:sectPr>
          <w:pgSz w:w="11900" w:h="16838" w:orient="portrait"/>
          <w:cols w:equalWidth="0" w:num="1">
            <w:col w:w="10800"/>
          </w:cols>
          <w:pgMar w:left="320" w:top="459" w:right="779" w:bottom="1440" w:gutter="0" w:footer="0" w:header="0"/>
        </w:sectPr>
      </w:pPr>
    </w:p>
    <w:p>
      <w:pPr>
        <w:spacing w:after="0" w:line="285" w:lineRule="exact"/>
        <w:rPr>
          <w:sz w:val="20"/>
          <w:szCs w:val="20"/>
          <w:color w:val="auto"/>
        </w:rPr>
      </w:pPr>
    </w:p>
    <w:p>
      <w:pPr>
        <w:ind w:left="1220"/>
        <w:spacing w:after="0"/>
        <w:rPr>
          <w:sz w:val="20"/>
          <w:szCs w:val="20"/>
          <w:color w:val="auto"/>
        </w:rPr>
      </w:pPr>
      <w:r>
        <w:rPr>
          <w:rFonts w:ascii="Arial" w:cs="Arial" w:eastAsia="Arial" w:hAnsi="Arial"/>
          <w:sz w:val="16"/>
          <w:szCs w:val="16"/>
          <w:color w:val="465361"/>
        </w:rPr>
        <w:t>Common stock offered by us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465361"/>
        </w:rPr>
        <w:t>2,795,000 shares of common stock (or 3,214,250</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465361"/>
        </w:rPr>
        <w:t>shares if the underwriters exercise their option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465361"/>
        </w:rPr>
        <w:t>purchase additional shares in full).</w:t>
      </w:r>
    </w:p>
    <w:p>
      <w:pPr>
        <w:spacing w:after="0" w:line="70" w:lineRule="exact"/>
        <w:rPr>
          <w:sz w:val="20"/>
          <w:szCs w:val="20"/>
          <w:color w:val="auto"/>
        </w:rPr>
      </w:pPr>
    </w:p>
    <w:p>
      <w:pPr>
        <w:sectPr>
          <w:pgSz w:w="11900" w:h="16838" w:orient="portrait"/>
          <w:cols w:equalWidth="0" w:num="2">
            <w:col w:w="5620" w:space="720"/>
            <w:col w:w="4460"/>
          </w:cols>
          <w:pgMar w:left="320" w:top="459" w:right="779" w:bottom="1440" w:gutter="0" w:footer="0" w:header="0"/>
          <w:type w:val="continuous"/>
        </w:sectPr>
      </w:pPr>
    </w:p>
    <w:p>
      <w:pPr>
        <w:ind w:left="1220"/>
        <w:spacing w:after="0"/>
        <w:rPr>
          <w:sz w:val="20"/>
          <w:szCs w:val="20"/>
          <w:color w:val="auto"/>
        </w:rPr>
      </w:pPr>
      <w:r>
        <w:rPr>
          <w:rFonts w:ascii="Arial" w:cs="Arial" w:eastAsia="Arial" w:hAnsi="Arial"/>
          <w:sz w:val="15"/>
          <w:szCs w:val="15"/>
          <w:color w:val="465361"/>
        </w:rPr>
        <w:t>Option to purchase additional shares</w:t>
      </w:r>
    </w:p>
    <w:p>
      <w:pPr>
        <w:spacing w:after="0" w:line="20" w:lineRule="exact"/>
        <w:rPr>
          <w:sz w:val="20"/>
          <w:szCs w:val="20"/>
          <w:color w:val="auto"/>
        </w:rPr>
      </w:pPr>
      <w:r>
        <w:rPr>
          <w:sz w:val="20"/>
          <w:szCs w:val="20"/>
          <w:color w:val="auto"/>
        </w:rPr>
        <w:br w:type="column"/>
      </w:r>
    </w:p>
    <w:p>
      <w:pPr>
        <w:ind w:right="820"/>
        <w:spacing w:after="0" w:line="298" w:lineRule="auto"/>
        <w:rPr>
          <w:sz w:val="20"/>
          <w:szCs w:val="20"/>
          <w:color w:val="auto"/>
        </w:rPr>
      </w:pPr>
      <w:r>
        <w:rPr>
          <w:rFonts w:ascii="Arial" w:cs="Arial" w:eastAsia="Arial" w:hAnsi="Arial"/>
          <w:sz w:val="16"/>
          <w:szCs w:val="16"/>
          <w:color w:val="465361"/>
        </w:rPr>
        <w:t>We have granted the underwriters a 30-day option to purchase up to 419,250 additional shares from us at the public offering price less underwriting discounts and commissions.</w:t>
      </w:r>
    </w:p>
    <w:p>
      <w:pPr>
        <w:spacing w:after="0" w:line="18" w:lineRule="exact"/>
        <w:rPr>
          <w:sz w:val="20"/>
          <w:szCs w:val="20"/>
          <w:color w:val="auto"/>
        </w:rPr>
      </w:pPr>
    </w:p>
    <w:p>
      <w:pPr>
        <w:sectPr>
          <w:pgSz w:w="11900" w:h="16838" w:orient="portrait"/>
          <w:cols w:equalWidth="0" w:num="2">
            <w:col w:w="5620" w:space="720"/>
            <w:col w:w="4460"/>
          </w:cols>
          <w:pgMar w:left="320" w:top="459" w:right="779" w:bottom="1440" w:gutter="0" w:footer="0" w:header="0"/>
          <w:type w:val="continuous"/>
        </w:sectPr>
      </w:pPr>
    </w:p>
    <w:p>
      <w:pPr>
        <w:ind w:left="1220"/>
        <w:spacing w:after="0"/>
        <w:rPr>
          <w:sz w:val="20"/>
          <w:szCs w:val="20"/>
          <w:color w:val="auto"/>
        </w:rPr>
      </w:pPr>
      <w:r>
        <w:rPr>
          <w:rFonts w:ascii="Arial" w:cs="Arial" w:eastAsia="Arial" w:hAnsi="Arial"/>
          <w:sz w:val="16"/>
          <w:szCs w:val="16"/>
          <w:color w:val="465361"/>
        </w:rPr>
        <w:t>Common stock to be outstanding after this offering</w:t>
      </w:r>
    </w:p>
    <w:p>
      <w:pPr>
        <w:spacing w:after="0" w:line="20" w:lineRule="exact"/>
        <w:rPr>
          <w:sz w:val="20"/>
          <w:szCs w:val="20"/>
          <w:color w:val="auto"/>
        </w:rPr>
      </w:pPr>
      <w:r>
        <w:rPr>
          <w:sz w:val="20"/>
          <w:szCs w:val="20"/>
          <w:color w:val="auto"/>
        </w:rPr>
        <w:br w:type="column"/>
      </w:r>
    </w:p>
    <w:p>
      <w:pPr>
        <w:ind w:right="780"/>
        <w:spacing w:after="0" w:line="259" w:lineRule="auto"/>
        <w:rPr>
          <w:sz w:val="20"/>
          <w:szCs w:val="20"/>
          <w:color w:val="auto"/>
        </w:rPr>
      </w:pPr>
      <w:r>
        <w:rPr>
          <w:rFonts w:ascii="Arial" w:cs="Arial" w:eastAsia="Arial" w:hAnsi="Arial"/>
          <w:sz w:val="18"/>
          <w:szCs w:val="18"/>
          <w:color w:val="465361"/>
        </w:rPr>
        <w:t>24,420,058 shares (or 24,839,308 shares if the underwriters exercise their option in full to purchase additional shares).</w:t>
      </w:r>
    </w:p>
    <w:p>
      <w:pPr>
        <w:spacing w:after="0" w:line="45" w:lineRule="exact"/>
        <w:rPr>
          <w:sz w:val="20"/>
          <w:szCs w:val="20"/>
          <w:color w:val="auto"/>
        </w:rPr>
      </w:pPr>
    </w:p>
    <w:p>
      <w:pPr>
        <w:sectPr>
          <w:pgSz w:w="11900" w:h="16838" w:orient="portrait"/>
          <w:cols w:equalWidth="0" w:num="2">
            <w:col w:w="5620" w:space="720"/>
            <w:col w:w="4460"/>
          </w:cols>
          <w:pgMar w:left="320" w:top="459" w:right="779" w:bottom="1440" w:gutter="0" w:footer="0" w:header="0"/>
          <w:type w:val="continuous"/>
        </w:sectPr>
      </w:pPr>
    </w:p>
    <w:p>
      <w:pPr>
        <w:ind w:left="1220"/>
        <w:spacing w:after="0"/>
        <w:rPr>
          <w:sz w:val="20"/>
          <w:szCs w:val="20"/>
          <w:color w:val="auto"/>
        </w:rPr>
      </w:pPr>
      <w:r>
        <w:rPr>
          <w:rFonts w:ascii="Arial" w:cs="Arial" w:eastAsia="Arial" w:hAnsi="Arial"/>
          <w:sz w:val="15"/>
          <w:szCs w:val="15"/>
          <w:color w:val="465361"/>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465361"/>
        </w:rPr>
        <w:t>We estimate that the net proceeds to us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465361"/>
        </w:rPr>
        <w:t>offering, after deducting estimated 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361"/>
        </w:rPr>
        <w:t>discounts and commissions and estimated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361"/>
        </w:rPr>
        <w:t>expenses payable by us, will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361"/>
        </w:rPr>
        <w:t>$55.7 million (or approximately $64.1 million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361"/>
        </w:rPr>
        <w:t>underwriters exercise their option in full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465361"/>
        </w:rPr>
        <w:t>additional shares).</w:t>
      </w:r>
    </w:p>
    <w:p>
      <w:pPr>
        <w:spacing w:after="0" w:line="151" w:lineRule="exact"/>
        <w:rPr>
          <w:sz w:val="20"/>
          <w:szCs w:val="20"/>
          <w:color w:val="auto"/>
        </w:rPr>
      </w:pPr>
    </w:p>
    <w:p>
      <w:pPr>
        <w:sectPr>
          <w:pgSz w:w="11900" w:h="16838" w:orient="portrait"/>
          <w:cols w:equalWidth="0" w:num="2">
            <w:col w:w="5620" w:space="720"/>
            <w:col w:w="4460"/>
          </w:cols>
          <w:pgMar w:left="320" w:top="459" w:right="779" w:bottom="1440" w:gutter="0" w:footer="0" w:header="0"/>
          <w:type w:val="continuous"/>
        </w:sectPr>
      </w:pPr>
    </w:p>
    <w:p>
      <w:pPr>
        <w:ind w:left="6340"/>
        <w:spacing w:after="0"/>
        <w:rPr>
          <w:sz w:val="20"/>
          <w:szCs w:val="20"/>
          <w:color w:val="auto"/>
        </w:rPr>
      </w:pPr>
      <w:r>
        <w:rPr>
          <w:rFonts w:ascii="Arial" w:cs="Arial" w:eastAsia="Arial" w:hAnsi="Arial"/>
          <w:sz w:val="15"/>
          <w:szCs w:val="15"/>
          <w:color w:val="465361"/>
        </w:rPr>
        <w:t>We intend to use the net proceeds of this offering to</w:t>
      </w:r>
    </w:p>
    <w:p>
      <w:pPr>
        <w:spacing w:after="0" w:line="50" w:lineRule="exact"/>
        <w:rPr>
          <w:sz w:val="20"/>
          <w:szCs w:val="20"/>
          <w:color w:val="auto"/>
        </w:rPr>
      </w:pPr>
    </w:p>
    <w:p>
      <w:pPr>
        <w:ind w:left="6340"/>
        <w:spacing w:after="0"/>
        <w:rPr>
          <w:sz w:val="20"/>
          <w:szCs w:val="20"/>
          <w:color w:val="auto"/>
        </w:rPr>
      </w:pPr>
      <w:r>
        <w:rPr>
          <w:rFonts w:ascii="Arial" w:cs="Arial" w:eastAsia="Arial" w:hAnsi="Arial"/>
          <w:sz w:val="16"/>
          <w:szCs w:val="16"/>
          <w:color w:val="465361"/>
        </w:rPr>
        <w:t>fund our product development pipeline, to pursue</w:t>
      </w:r>
    </w:p>
    <w:p>
      <w:pPr>
        <w:spacing w:after="0" w:line="32" w:lineRule="exact"/>
        <w:rPr>
          <w:sz w:val="20"/>
          <w:szCs w:val="20"/>
          <w:color w:val="auto"/>
        </w:rPr>
      </w:pPr>
    </w:p>
    <w:p>
      <w:pPr>
        <w:ind w:left="6340"/>
        <w:spacing w:after="0"/>
        <w:rPr>
          <w:sz w:val="20"/>
          <w:szCs w:val="20"/>
          <w:color w:val="auto"/>
        </w:rPr>
      </w:pPr>
      <w:r>
        <w:rPr>
          <w:rFonts w:ascii="Arial" w:cs="Arial" w:eastAsia="Arial" w:hAnsi="Arial"/>
          <w:sz w:val="16"/>
          <w:szCs w:val="16"/>
          <w:color w:val="465361"/>
        </w:rPr>
        <w:t>approvals of our products for additional indications</w:t>
      </w:r>
    </w:p>
    <w:p>
      <w:pPr>
        <w:spacing w:after="0" w:line="32" w:lineRule="exact"/>
        <w:rPr>
          <w:sz w:val="20"/>
          <w:szCs w:val="20"/>
          <w:color w:val="auto"/>
        </w:rPr>
      </w:pPr>
    </w:p>
    <w:p>
      <w:pPr>
        <w:ind w:left="6340"/>
        <w:spacing w:after="0"/>
        <w:rPr>
          <w:sz w:val="20"/>
          <w:szCs w:val="20"/>
          <w:color w:val="auto"/>
        </w:rPr>
      </w:pPr>
      <w:r>
        <w:rPr>
          <w:rFonts w:ascii="Arial" w:cs="Arial" w:eastAsia="Arial" w:hAnsi="Arial"/>
          <w:sz w:val="16"/>
          <w:szCs w:val="16"/>
          <w:color w:val="465361"/>
        </w:rPr>
        <w:t>and for general corporate purposes, which may</w:t>
      </w:r>
    </w:p>
    <w:p>
      <w:pPr>
        <w:spacing w:after="0" w:line="32" w:lineRule="exact"/>
        <w:rPr>
          <w:sz w:val="20"/>
          <w:szCs w:val="20"/>
          <w:color w:val="auto"/>
        </w:rPr>
      </w:pPr>
    </w:p>
    <w:p>
      <w:pPr>
        <w:ind w:left="6340"/>
        <w:spacing w:after="0"/>
        <w:rPr>
          <w:sz w:val="20"/>
          <w:szCs w:val="20"/>
          <w:color w:val="auto"/>
        </w:rPr>
      </w:pPr>
      <w:r>
        <w:rPr>
          <w:rFonts w:ascii="Arial" w:cs="Arial" w:eastAsia="Arial" w:hAnsi="Arial"/>
          <w:sz w:val="18"/>
          <w:szCs w:val="18"/>
          <w:color w:val="465361"/>
        </w:rPr>
        <w:t>include licensing arrangements. See “Use of</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465361"/>
        </w:rPr>
        <w:t>Proceeds” on page S-6 for further information.</w:t>
      </w:r>
    </w:p>
    <w:p>
      <w:pPr>
        <w:sectPr>
          <w:pgSz w:w="11900" w:h="16838" w:orient="portrait"/>
          <w:cols w:equalWidth="0" w:num="1">
            <w:col w:w="10800"/>
          </w:cols>
          <w:pgMar w:left="320" w:top="459" w:right="779" w:bottom="1440" w:gutter="0" w:footer="0" w:header="0"/>
          <w:type w:val="continuous"/>
        </w:sectPr>
      </w:pP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5"/>
          <w:szCs w:val="15"/>
          <w:color w:val="465361"/>
        </w:rPr>
        <w:t>Risk Factors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465361"/>
        </w:rPr>
        <w:t>Investing in our common stock involves certain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465361"/>
        </w:rPr>
        <w:t>risks. See “Risk Factors” beginning on page S-6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361"/>
        </w:rPr>
        <w:t>this prospectus supplement and the risk factors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361"/>
        </w:rPr>
        <w:t>forth in our Annual Report on Form 10-K for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465361"/>
        </w:rPr>
        <w:t>year ended June 30, 2020, which is incorporated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465361"/>
        </w:rPr>
        <w:t>reference into this prospectus supplement.</w:t>
      </w:r>
    </w:p>
    <w:p>
      <w:pPr>
        <w:spacing w:after="0" w:line="70" w:lineRule="exact"/>
        <w:rPr>
          <w:sz w:val="20"/>
          <w:szCs w:val="20"/>
          <w:color w:val="auto"/>
        </w:rPr>
      </w:pPr>
    </w:p>
    <w:p>
      <w:pPr>
        <w:sectPr>
          <w:pgSz w:w="11900" w:h="16838" w:orient="portrait"/>
          <w:cols w:equalWidth="0" w:num="2">
            <w:col w:w="5620" w:space="720"/>
            <w:col w:w="4460"/>
          </w:cols>
          <w:pgMar w:left="320" w:top="459" w:right="779" w:bottom="1440" w:gutter="0" w:footer="0" w:header="0"/>
          <w:type w:val="continuous"/>
        </w:sectPr>
      </w:pPr>
    </w:p>
    <w:p>
      <w:pPr>
        <w:ind w:left="1220"/>
        <w:spacing w:after="0"/>
        <w:rPr>
          <w:sz w:val="20"/>
          <w:szCs w:val="20"/>
          <w:color w:val="auto"/>
        </w:rPr>
      </w:pPr>
      <w:r>
        <w:rPr>
          <w:rFonts w:ascii="Arial" w:cs="Arial" w:eastAsia="Arial" w:hAnsi="Arial"/>
          <w:sz w:val="16"/>
          <w:szCs w:val="16"/>
          <w:color w:val="465361"/>
        </w:rPr>
        <w:t>Nasdaq Stock Market LLC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65361"/>
        </w:rPr>
        <w:t>“RCEL”</w:t>
      </w:r>
    </w:p>
    <w:p>
      <w:pPr>
        <w:spacing w:after="0" w:line="77" w:lineRule="exact"/>
        <w:rPr>
          <w:sz w:val="20"/>
          <w:szCs w:val="20"/>
          <w:color w:val="auto"/>
        </w:rPr>
      </w:pPr>
    </w:p>
    <w:p>
      <w:pPr>
        <w:sectPr>
          <w:pgSz w:w="11900" w:h="16838" w:orient="portrait"/>
          <w:cols w:equalWidth="0" w:num="2">
            <w:col w:w="5620" w:space="720"/>
            <w:col w:w="4460"/>
          </w:cols>
          <w:pgMar w:left="320" w:top="459" w:right="779" w:bottom="1440" w:gutter="0" w:footer="0" w:header="0"/>
          <w:type w:val="continuous"/>
        </w:sectPr>
      </w:pPr>
    </w:p>
    <w:p>
      <w:pPr>
        <w:ind w:left="1220"/>
        <w:spacing w:after="0"/>
        <w:rPr>
          <w:sz w:val="20"/>
          <w:szCs w:val="20"/>
          <w:color w:val="auto"/>
        </w:rPr>
      </w:pPr>
      <w:r>
        <w:rPr>
          <w:rFonts w:ascii="Arial" w:cs="Arial" w:eastAsia="Arial" w:hAnsi="Arial"/>
          <w:sz w:val="16"/>
          <w:szCs w:val="16"/>
          <w:color w:val="465361"/>
        </w:rPr>
        <w:t>Australian Securities Exchange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65361"/>
        </w:rPr>
        <w:t>“AVH”</w:t>
      </w:r>
    </w:p>
    <w:p>
      <w:pPr>
        <w:spacing w:after="0" w:line="171" w:lineRule="exact"/>
        <w:rPr>
          <w:sz w:val="20"/>
          <w:szCs w:val="20"/>
          <w:color w:val="auto"/>
        </w:rPr>
      </w:pPr>
    </w:p>
    <w:p>
      <w:pPr>
        <w:sectPr>
          <w:pgSz w:w="11900" w:h="16838" w:orient="portrait"/>
          <w:cols w:equalWidth="0" w:num="2">
            <w:col w:w="5620" w:space="720"/>
            <w:col w:w="4460"/>
          </w:cols>
          <w:pgMar w:left="320" w:top="459" w:right="779" w:bottom="1440" w:gutter="0" w:footer="0" w:header="0"/>
          <w:type w:val="continuous"/>
        </w:sectPr>
      </w:pPr>
    </w:p>
    <w:p>
      <w:pPr>
        <w:ind w:left="120" w:right="20"/>
        <w:spacing w:after="0" w:line="268" w:lineRule="auto"/>
        <w:rPr>
          <w:sz w:val="20"/>
          <w:szCs w:val="20"/>
          <w:color w:val="auto"/>
        </w:rPr>
      </w:pPr>
      <w:r>
        <w:rPr>
          <w:rFonts w:ascii="Arial" w:cs="Arial" w:eastAsia="Arial" w:hAnsi="Arial"/>
          <w:sz w:val="18"/>
          <w:szCs w:val="18"/>
          <w:color w:val="465361"/>
        </w:rPr>
        <w:t>Unless we indicate otherwise, the number of shares of our common stock to be outstanding after this offering is based on 21,625,058 shares of common stock outstanding as of December 31, 2020, and excludes the following, in each case as of such date:</w:t>
      </w:r>
    </w:p>
    <w:p>
      <w:pPr>
        <w:spacing w:after="0" w:line="51" w:lineRule="exact"/>
        <w:rPr>
          <w:sz w:val="20"/>
          <w:szCs w:val="20"/>
          <w:color w:val="auto"/>
        </w:rPr>
      </w:pPr>
    </w:p>
    <w:p>
      <w:pPr>
        <w:ind w:left="1420" w:hanging="427"/>
        <w:spacing w:after="0" w:line="268" w:lineRule="auto"/>
        <w:tabs>
          <w:tab w:leader="none" w:pos="142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1,154,270 shares of common stock issuable upon exercise of outstanding stock options under our equity incentive plans at a weighted average exercise price of $13.39 per share;</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147,520 shares of common stock issuable upon vesting of outstanding restricted stock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465361"/>
        </w:rPr>
        <w:t>S-4</w:t>
      </w:r>
    </w:p>
    <w:p>
      <w:pPr>
        <w:sectPr>
          <w:pgSz w:w="11900" w:h="16838" w:orient="portrait"/>
          <w:cols w:equalWidth="0" w:num="1">
            <w:col w:w="10800"/>
          </w:cols>
          <w:pgMar w:left="320" w:top="459" w:right="7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420" w:hanging="427"/>
        <w:spacing w:after="0"/>
        <w:tabs>
          <w:tab w:leader="none" w:pos="1420" w:val="left"/>
        </w:tabs>
        <w:numPr>
          <w:ilvl w:val="0"/>
          <w:numId w:val="6"/>
        </w:numPr>
        <w:rPr>
          <w:rFonts w:ascii="Arial" w:cs="Arial" w:eastAsia="Arial" w:hAnsi="Arial"/>
          <w:sz w:val="15"/>
          <w:szCs w:val="15"/>
          <w:color w:val="465361"/>
        </w:rPr>
      </w:pPr>
      <w:r>
        <w:rPr>
          <w:rFonts w:ascii="Arial" w:cs="Arial" w:eastAsia="Arial" w:hAnsi="Arial"/>
          <w:sz w:val="15"/>
          <w:szCs w:val="15"/>
          <w:color w:val="465361"/>
        </w:rPr>
        <w:t>1,745,000 shares of common stock reserved for issuance pursuant to future awards under our 2020 Omnibus Incentive Plan.</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Unless we indicate otherwise, or the context otherwise requires, this prospectus supplement assumes the following:</w:t>
      </w:r>
    </w:p>
    <w:p>
      <w:pPr>
        <w:spacing w:after="0" w:line="90" w:lineRule="exact"/>
        <w:rPr>
          <w:sz w:val="20"/>
          <w:szCs w:val="20"/>
          <w:color w:val="auto"/>
        </w:rPr>
      </w:pPr>
    </w:p>
    <w:p>
      <w:pPr>
        <w:ind w:left="1420" w:hanging="427"/>
        <w:spacing w:after="0"/>
        <w:tabs>
          <w:tab w:leader="none" w:pos="1420" w:val="left"/>
        </w:tabs>
        <w:numPr>
          <w:ilvl w:val="0"/>
          <w:numId w:val="7"/>
        </w:numPr>
        <w:rPr>
          <w:rFonts w:ascii="Arial" w:cs="Arial" w:eastAsia="Arial" w:hAnsi="Arial"/>
          <w:sz w:val="16"/>
          <w:szCs w:val="16"/>
          <w:color w:val="465361"/>
        </w:rPr>
      </w:pPr>
      <w:r>
        <w:rPr>
          <w:rFonts w:ascii="Arial" w:cs="Arial" w:eastAsia="Arial" w:hAnsi="Arial"/>
          <w:sz w:val="16"/>
          <w:szCs w:val="16"/>
          <w:color w:val="465361"/>
        </w:rPr>
        <w:t>no exercise of outstanding stock options or vesting of restricted stock units subsequent to December 31, 2020; and</w:t>
      </w:r>
    </w:p>
    <w:p>
      <w:pPr>
        <w:spacing w:after="0" w:line="113" w:lineRule="exact"/>
        <w:rPr>
          <w:rFonts w:ascii="Arial" w:cs="Arial" w:eastAsia="Arial" w:hAnsi="Arial"/>
          <w:sz w:val="16"/>
          <w:szCs w:val="16"/>
          <w:color w:val="465361"/>
        </w:rPr>
      </w:pPr>
    </w:p>
    <w:p>
      <w:pPr>
        <w:ind w:left="1420" w:hanging="427"/>
        <w:spacing w:after="0"/>
        <w:tabs>
          <w:tab w:leader="none" w:pos="142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no exercise by the underwriters of their option to purchase additional shares of common stock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4" w:lineRule="exact"/>
        <w:rPr>
          <w:sz w:val="20"/>
          <w:szCs w:val="20"/>
          <w:color w:val="auto"/>
        </w:rPr>
      </w:pPr>
    </w:p>
    <w:p>
      <w:pPr>
        <w:ind w:left="5500"/>
        <w:spacing w:after="0"/>
        <w:rPr>
          <w:sz w:val="20"/>
          <w:szCs w:val="20"/>
          <w:color w:val="auto"/>
        </w:rPr>
      </w:pPr>
      <w:r>
        <w:rPr>
          <w:rFonts w:ascii="Arial" w:cs="Arial" w:eastAsia="Arial" w:hAnsi="Arial"/>
          <w:sz w:val="18"/>
          <w:szCs w:val="18"/>
          <w:color w:val="465361"/>
        </w:rPr>
        <w:t>S-5</w:t>
      </w:r>
    </w:p>
    <w:p>
      <w:pPr>
        <w:sectPr>
          <w:pgSz w:w="11900" w:h="16838" w:orient="portrait"/>
          <w:cols w:equalWidth="0" w:num="1">
            <w:col w:w="10140"/>
          </w:cols>
          <w:pgMar w:left="320" w:top="459" w:right="1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RISK FACTORS</w:t>
      </w:r>
    </w:p>
    <w:p>
      <w:pPr>
        <w:spacing w:after="0" w:line="177" w:lineRule="exact"/>
        <w:rPr>
          <w:sz w:val="20"/>
          <w:szCs w:val="20"/>
          <w:color w:val="auto"/>
        </w:rPr>
      </w:pPr>
    </w:p>
    <w:p>
      <w:pPr>
        <w:ind w:left="120" w:right="80"/>
        <w:spacing w:after="0" w:line="294" w:lineRule="auto"/>
        <w:rPr>
          <w:sz w:val="20"/>
          <w:szCs w:val="20"/>
          <w:color w:val="auto"/>
        </w:rPr>
      </w:pPr>
      <w:r>
        <w:rPr>
          <w:rFonts w:ascii="Arial" w:cs="Arial" w:eastAsia="Arial" w:hAnsi="Arial"/>
          <w:sz w:val="16"/>
          <w:szCs w:val="16"/>
          <w:i w:val="1"/>
          <w:iCs w:val="1"/>
          <w:color w:val="465361"/>
        </w:rPr>
        <w:t>Investing in our common stock involves a high degree of risk. You should carefully consider the following risk factors, as well as the risk factors set forth in our Annual Report on Form 10-K for the year ended June 30, 2020, as updated by our subsequent filings under the Securities Exchange Act of 1934, as amended, each of which is incorporated by reference in this prospectus supplement and the accompanying prospectus, before you make an investment decision. Additional risks we are not presently aware of or that we currently believe are immaterial may also impair our business operations. If any of the following events actually occur, our business, operating results, prospects or financial condition could be materially and adversely affected.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Additional Risks Relating to this Offering</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65361"/>
        </w:rPr>
        <w:t>You will experience immediate and substantial dilution in the net tangible book value per share of the common stock you purchase.</w:t>
      </w:r>
    </w:p>
    <w:p>
      <w:pPr>
        <w:spacing w:after="0" w:line="11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465361"/>
        </w:rPr>
        <w:t>Since the price per share of our common stock being offered is higher than the net tangible book value per share of our common stock, you will suffer substantial dilution in the net tangible book value of the common stock you purchase in this offering. Based on the public offering price of $21.50 per share, and after deducting the underwriting discounts and commissions and estimated offering expenses payable by us, if you purchase shares of common stock in this offering, you will suffer immediate and substantial dilution of $16.87 per share in the net tangible book value of the common stock. See the section entitled “Dilution” in this prospectus supplement for a more detailed discussion of the dilution you will incur if you purchase common stock in this offering. As a result of the dilution to investors purchasing shares in this offering, investors may receive significantly less than the purchase price paid in this offering, if anything, in the event of our liquidation.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65361"/>
        </w:rPr>
        <w:t>Management will have broad discretion as to the use of the proceeds from this offering, and we may not use the proceeds effectively.</w:t>
      </w:r>
    </w:p>
    <w:p>
      <w:pPr>
        <w:spacing w:after="0" w:line="119" w:lineRule="exact"/>
        <w:rPr>
          <w:sz w:val="20"/>
          <w:szCs w:val="20"/>
          <w:color w:val="auto"/>
        </w:rPr>
      </w:pPr>
    </w:p>
    <w:p>
      <w:pPr>
        <w:ind w:left="120" w:right="200"/>
        <w:spacing w:after="0" w:line="294" w:lineRule="auto"/>
        <w:rPr>
          <w:sz w:val="20"/>
          <w:szCs w:val="20"/>
          <w:color w:val="auto"/>
        </w:rPr>
      </w:pPr>
      <w:r>
        <w:rPr>
          <w:rFonts w:ascii="Arial" w:cs="Arial" w:eastAsia="Arial" w:hAnsi="Arial"/>
          <w:sz w:val="16"/>
          <w:szCs w:val="16"/>
          <w:color w:val="465361"/>
        </w:rPr>
        <w:t>We expect to receive net proceeds of $55.7 million from this offering, after deducting the underwriting discounts and commissions and estimated offering expenses payable by us, and assuming no exercise by the underwriters of their option to purchase additional shares. Our management will have broad discretion in the application of the net proceeds from this offering and could spend the proceeds in ways that you do not agree with or that do not improve our results of operations or enhance the value of our common stock — see “Use of Proceeds”. Our failure to apply these funds effectively could have a material adverse effect on our business and cause the price of our common stock to decline.</w:t>
      </w:r>
    </w:p>
    <w:p>
      <w:pPr>
        <w:spacing w:after="0" w:line="109" w:lineRule="exact"/>
        <w:rPr>
          <w:sz w:val="20"/>
          <w:szCs w:val="20"/>
          <w:color w:val="auto"/>
        </w:rPr>
      </w:pPr>
    </w:p>
    <w:p>
      <w:pPr>
        <w:ind w:left="120" w:right="80"/>
        <w:spacing w:after="0" w:line="275" w:lineRule="auto"/>
        <w:rPr>
          <w:sz w:val="20"/>
          <w:szCs w:val="20"/>
          <w:color w:val="auto"/>
        </w:rPr>
      </w:pPr>
      <w:r>
        <w:rPr>
          <w:rFonts w:ascii="Arial" w:cs="Arial" w:eastAsia="Arial" w:hAnsi="Arial"/>
          <w:sz w:val="18"/>
          <w:szCs w:val="18"/>
          <w:b w:val="1"/>
          <w:bCs w:val="1"/>
          <w:color w:val="465361"/>
        </w:rPr>
        <w:t>Because we do not intend to pay dividends on our common stock, stockholders will benefit from an investment in our stock only if it appreciates in value.</w:t>
      </w:r>
    </w:p>
    <w:p>
      <w:pPr>
        <w:spacing w:after="0" w:line="45"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465361"/>
        </w:rPr>
        <w:t>We have never declared or paid any cash dividends on our shares of stock. 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as well as business prospects. Accordingly, realization of a gain on stockholders’ investments will depend on the appreciation of the price of our stock. There is no guarantee that our stock will appreciate in value.</w:t>
      </w:r>
    </w:p>
    <w:p>
      <w:pPr>
        <w:spacing w:after="0" w:line="138" w:lineRule="exact"/>
        <w:rPr>
          <w:sz w:val="20"/>
          <w:szCs w:val="20"/>
          <w:color w:val="auto"/>
        </w:rPr>
      </w:pPr>
    </w:p>
    <w:p>
      <w:pPr>
        <w:ind w:left="120" w:right="200"/>
        <w:spacing w:after="0" w:line="275" w:lineRule="auto"/>
        <w:rPr>
          <w:sz w:val="20"/>
          <w:szCs w:val="20"/>
          <w:color w:val="auto"/>
        </w:rPr>
      </w:pPr>
      <w:r>
        <w:rPr>
          <w:rFonts w:ascii="Arial" w:cs="Arial" w:eastAsia="Arial" w:hAnsi="Arial"/>
          <w:sz w:val="18"/>
          <w:szCs w:val="18"/>
          <w:b w:val="1"/>
          <w:bCs w:val="1"/>
          <w:color w:val="465361"/>
        </w:rPr>
        <w:t>Sales of a significant number of shares of our common stock in the public markets, and other transactions that we may pursue, could depress the market price of our common stock.</w:t>
      </w:r>
    </w:p>
    <w:p>
      <w:pPr>
        <w:spacing w:after="0" w:line="45" w:lineRule="exact"/>
        <w:rPr>
          <w:sz w:val="20"/>
          <w:szCs w:val="20"/>
          <w:color w:val="auto"/>
        </w:rPr>
      </w:pPr>
    </w:p>
    <w:p>
      <w:pPr>
        <w:ind w:left="120" w:right="140"/>
        <w:spacing w:after="0" w:line="268" w:lineRule="auto"/>
        <w:rPr>
          <w:sz w:val="20"/>
          <w:szCs w:val="20"/>
          <w:color w:val="auto"/>
        </w:rPr>
      </w:pPr>
      <w:r>
        <w:rPr>
          <w:rFonts w:ascii="Arial" w:cs="Arial" w:eastAsia="Arial" w:hAnsi="Arial"/>
          <w:sz w:val="18"/>
          <w:szCs w:val="18"/>
          <w:color w:val="465361"/>
        </w:rPr>
        <w:t>Sales of a substantial number of shares of our common stock in the public markets and the perception that those sales may occur could adversely affect the market price of our common stock. The completion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160"/>
        <w:spacing w:after="0" w:line="256" w:lineRule="auto"/>
        <w:rPr>
          <w:sz w:val="20"/>
          <w:szCs w:val="20"/>
          <w:color w:val="auto"/>
        </w:rPr>
      </w:pPr>
      <w:r>
        <w:rPr>
          <w:rFonts w:ascii="Arial" w:cs="Arial" w:eastAsia="Arial" w:hAnsi="Arial"/>
          <w:sz w:val="18"/>
          <w:szCs w:val="18"/>
          <w:color w:val="465361"/>
        </w:rPr>
        <w:t>of this offering will notably increase the number of shares of our common stock that may be sold in the public market because the shares of our common stock issued by us through this offering will be freely tradeable without restriction on further registration under the Securities Act of 1933, as amended. In addition, future issuances of equity securities may dilute the interests of our existing stockholders, including you, and could cause the market price of our common stock to decline.</w:t>
      </w:r>
    </w:p>
    <w:p>
      <w:pPr>
        <w:spacing w:after="0" w:line="13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We have agreed that, subject to specified limited exceptions, for a period of 90 days from the date of this prospectus supplement (the “</w:t>
      </w:r>
      <w:r>
        <w:rPr>
          <w:rFonts w:ascii="Arial" w:cs="Arial" w:eastAsia="Arial" w:hAnsi="Arial"/>
          <w:sz w:val="16"/>
          <w:szCs w:val="16"/>
          <w:b w:val="1"/>
          <w:bCs w:val="1"/>
          <w:color w:val="465361"/>
        </w:rPr>
        <w:t>Lockup Period</w:t>
      </w:r>
      <w:r>
        <w:rPr>
          <w:rFonts w:ascii="Arial" w:cs="Arial" w:eastAsia="Arial" w:hAnsi="Arial"/>
          <w:sz w:val="16"/>
          <w:szCs w:val="16"/>
          <w:color w:val="465361"/>
        </w:rPr>
        <w:t>”), we will not, without the prior written consent of Piper Sandler &amp; Co. and Cowen and Company, LLC, (A) offer, sell, contract to sell, pledge, grant any option to purchase, make any short sale or otherwise transfer or dispose of, directly or indirectly, or file with the SEC a registration statement under the Act relating to, any securities of the Company that are substantially similar to the common stock offered hereby,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(B) enter into any swap or other agreement that transfers, in whole or in part, any of the economic consequences of ownership of the common stock or any such other securities, whether any such transaction described in clause (A) or (B) above is to be settled by delivery of common stock or such other securities, in cash or otherwise (other than the Securities to be sold hereunder or pursuant to employee stock option plans existing on, or upon the conversion or exchange of convertible or exchangeable securities outstanding as of, the date hereof).</w:t>
      </w:r>
    </w:p>
    <w:p>
      <w:pPr>
        <w:spacing w:after="0" w:line="120" w:lineRule="exact"/>
        <w:rPr>
          <w:sz w:val="20"/>
          <w:szCs w:val="20"/>
          <w:color w:val="auto"/>
        </w:rPr>
      </w:pPr>
    </w:p>
    <w:p>
      <w:pPr>
        <w:ind w:left="120" w:right="80"/>
        <w:spacing w:after="0" w:line="308" w:lineRule="auto"/>
        <w:rPr>
          <w:sz w:val="20"/>
          <w:szCs w:val="20"/>
          <w:color w:val="auto"/>
        </w:rPr>
      </w:pPr>
      <w:r>
        <w:rPr>
          <w:rFonts w:ascii="Arial" w:cs="Arial" w:eastAsia="Arial" w:hAnsi="Arial"/>
          <w:sz w:val="15"/>
          <w:szCs w:val="15"/>
          <w:color w:val="465361"/>
        </w:rPr>
        <w:t>Additionally, our executive officers and directors have agreed that, subject to certain exceptions, without the prior written consent of Piper Sandler &amp; Co. and Cowen and Company, LLC, for a period of 90 days from the date of this prospectus supplement, they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(including without limitation, common stock which may be deemed to be beneficially owned by the undersigned in accordance with the rules and regulations of the SEC and securities which may be issued upon exercise of a stock option or warrant) whether now owned or hereafter acquired; (2) enter into any swap or other agreement that transfers, in whole or in part, any of the economic consequences of ownership of the holder’s securities, whether any such transaction described in clause (1) or (2) above is to be settled by delivery of common stock or such other securities, in cash or otherwise; (3) make any demand for or exercise any right with respect to, the registration of any common stock or any security convertible into or exercisable or exchangeable for common stock; or (4) publicly disclose the intention to do any of the foregoing.</w:t>
      </w:r>
    </w:p>
    <w:p>
      <w:pPr>
        <w:spacing w:after="0" w:line="108" w:lineRule="exact"/>
        <w:rPr>
          <w:sz w:val="20"/>
          <w:szCs w:val="20"/>
          <w:color w:val="auto"/>
        </w:rPr>
      </w:pPr>
    </w:p>
    <w:p>
      <w:pPr>
        <w:ind w:left="120" w:right="180"/>
        <w:spacing w:after="0" w:line="268" w:lineRule="auto"/>
        <w:rPr>
          <w:sz w:val="20"/>
          <w:szCs w:val="20"/>
          <w:color w:val="auto"/>
        </w:rPr>
      </w:pPr>
      <w:r>
        <w:rPr>
          <w:rFonts w:ascii="Arial" w:cs="Arial" w:eastAsia="Arial" w:hAnsi="Arial"/>
          <w:sz w:val="18"/>
          <w:szCs w:val="18"/>
          <w:color w:val="465361"/>
        </w:rPr>
        <w:t>Piper Sandler &amp; Co. and Cowen and Company, LLC in their sole discretion may release all or some portion of the shares subject to lock-up agreements at any time and for any reason.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Our stock price may be volatile and purchasers of our common stock could incur substantial losses.</w:t>
      </w:r>
    </w:p>
    <w:p>
      <w:pPr>
        <w:spacing w:after="0" w:line="96" w:lineRule="exact"/>
        <w:rPr>
          <w:sz w:val="20"/>
          <w:szCs w:val="20"/>
          <w:color w:val="auto"/>
        </w:rPr>
      </w:pPr>
    </w:p>
    <w:p>
      <w:pPr>
        <w:ind w:left="120" w:right="300"/>
        <w:spacing w:after="0" w:line="331" w:lineRule="auto"/>
        <w:rPr>
          <w:sz w:val="20"/>
          <w:szCs w:val="20"/>
          <w:color w:val="auto"/>
        </w:rPr>
      </w:pPr>
      <w:r>
        <w:rPr>
          <w:rFonts w:ascii="Arial" w:cs="Arial" w:eastAsia="Arial" w:hAnsi="Arial"/>
          <w:sz w:val="16"/>
          <w:szCs w:val="16"/>
          <w:color w:val="465361"/>
        </w:rPr>
        <w:t>Our stock price has been volatile. The market price for our common stock may be influenced by many factors, including the other risks described in this section titled “Risk Factors,” the risk factors set forth in our Annual Report on Form 10-K for the year ended June 30, 2020 and the following:</w:t>
      </w:r>
    </w:p>
    <w:p>
      <w:pPr>
        <w:spacing w:after="0" w:line="6" w:lineRule="exact"/>
        <w:rPr>
          <w:sz w:val="20"/>
          <w:szCs w:val="20"/>
          <w:color w:val="auto"/>
        </w:rPr>
      </w:pPr>
    </w:p>
    <w:p>
      <w:pPr>
        <w:ind w:left="1420" w:hanging="427"/>
        <w:spacing w:after="0"/>
        <w:tabs>
          <w:tab w:leader="none" w:pos="142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actual or expected fluctuations in our operating results;</w:t>
      </w:r>
    </w:p>
    <w:p>
      <w:pPr>
        <w:spacing w:after="0" w:line="90" w:lineRule="exact"/>
        <w:rPr>
          <w:rFonts w:ascii="Arial" w:cs="Arial" w:eastAsia="Arial" w:hAnsi="Arial"/>
          <w:sz w:val="18"/>
          <w:szCs w:val="18"/>
          <w:color w:val="465361"/>
        </w:rPr>
      </w:pPr>
    </w:p>
    <w:p>
      <w:pPr>
        <w:ind w:left="1420" w:right="60" w:hanging="427"/>
        <w:spacing w:after="0" w:line="268" w:lineRule="auto"/>
        <w:tabs>
          <w:tab w:leader="none" w:pos="142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impact of COVID-19 on our operations, clinical trials (including patient enrollment), availability of materials from our suppliers, and sales of our products;</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actual or expected changes in our growth rates or our competitors’ growth rates;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S-7</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results of clinical trials of our product candidates;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results of clinical trials of our competitors’ products and announcements by competitors of related regulatory approvals;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regulatory actions with respect to our products or our competitors’ products;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reports of one or more patient serious adverse events;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publication of research reports by securities analysts about us or our competitors in the industry;</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6"/>
          <w:szCs w:val="16"/>
          <w:color w:val="465361"/>
        </w:rPr>
      </w:pPr>
      <w:r>
        <w:rPr>
          <w:rFonts w:ascii="Arial" w:cs="Arial" w:eastAsia="Arial" w:hAnsi="Arial"/>
          <w:sz w:val="16"/>
          <w:szCs w:val="16"/>
          <w:color w:val="465361"/>
        </w:rPr>
        <w:t>our failure or the failure of our competitors to meet analysts’ projections or guidance that we or our competitors may give to the market;</w:t>
      </w:r>
    </w:p>
    <w:p>
      <w:pPr>
        <w:spacing w:after="0" w:line="113" w:lineRule="exact"/>
        <w:rPr>
          <w:rFonts w:ascii="Arial" w:cs="Arial" w:eastAsia="Arial" w:hAnsi="Arial"/>
          <w:sz w:val="16"/>
          <w:szCs w:val="16"/>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fluctuations of exchange rates between the U.S. dollar and the Australian dollar;</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issuances by us of debt or equity securities;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litigation involving our company, including shareholder litigation;</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investigations or audits by regulators into the operations of our company;</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proceedings initiated by our competitors or clients;</w:t>
      </w:r>
    </w:p>
    <w:p>
      <w:pPr>
        <w:spacing w:after="0" w:line="90" w:lineRule="exact"/>
        <w:rPr>
          <w:rFonts w:ascii="Arial" w:cs="Arial" w:eastAsia="Arial" w:hAnsi="Arial"/>
          <w:sz w:val="18"/>
          <w:szCs w:val="18"/>
          <w:color w:val="465361"/>
        </w:rPr>
      </w:pPr>
    </w:p>
    <w:p>
      <w:pPr>
        <w:ind w:left="1420" w:right="80" w:hanging="427"/>
        <w:spacing w:after="0" w:line="268" w:lineRule="auto"/>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strategic decisions by us or our competitors, such as acquisitions, divestitures, spin-offs, joint ventures, strategic investments or changes in business strategy;</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5"/>
          <w:szCs w:val="15"/>
          <w:color w:val="465361"/>
        </w:rPr>
      </w:pPr>
      <w:r>
        <w:rPr>
          <w:rFonts w:ascii="Arial" w:cs="Arial" w:eastAsia="Arial" w:hAnsi="Arial"/>
          <w:sz w:val="15"/>
          <w:szCs w:val="15"/>
          <w:color w:val="465361"/>
        </w:rPr>
        <w:t>sales or perceived potential sales of the common stock or CDIs by us, our directors, senior management or our stockholders in the future;</w:t>
      </w:r>
    </w:p>
    <w:p>
      <w:pPr>
        <w:spacing w:after="0" w:line="124" w:lineRule="exact"/>
        <w:rPr>
          <w:rFonts w:ascii="Arial" w:cs="Arial" w:eastAsia="Arial" w:hAnsi="Arial"/>
          <w:sz w:val="15"/>
          <w:szCs w:val="15"/>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short selling or other market manipulation activities;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announcement or expectation of additional financing efforts;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terrorist acts, acts of war or periods of widespread civil unrest;</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economic and social effects of the COVID-19 virus or other pandemics;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natural disasters and other calamities;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changes in market conditions for biopharmaceutical stocks;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our inability to raise additional capital;</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changes in market prices for our product or for our raw materials;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changes in market valuations of similar companies;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changes in key personnel for us or our competitors;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speculation in the press or investment community;</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changes or proposed changes in laws and regulations affecting our industry; and</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conditions in the financial markets in general or changes in general economic conditions.</w:t>
      </w:r>
    </w:p>
    <w:p>
      <w:pPr>
        <w:spacing w:after="0" w:line="171" w:lineRule="exact"/>
        <w:rPr>
          <w:sz w:val="20"/>
          <w:szCs w:val="20"/>
          <w:color w:val="auto"/>
        </w:rPr>
      </w:pPr>
    </w:p>
    <w:p>
      <w:pPr>
        <w:jc w:val="both"/>
        <w:ind w:left="120" w:right="120"/>
        <w:spacing w:after="0" w:line="317" w:lineRule="auto"/>
        <w:rPr>
          <w:sz w:val="20"/>
          <w:szCs w:val="20"/>
          <w:color w:val="auto"/>
        </w:rPr>
      </w:pPr>
      <w:r>
        <w:rPr>
          <w:rFonts w:ascii="Arial" w:cs="Arial" w:eastAsia="Arial" w:hAnsi="Arial"/>
          <w:sz w:val="15"/>
          <w:szCs w:val="15"/>
          <w:color w:val="465361"/>
        </w:rPr>
        <w:t>In addition, the stock markets in general, and the markets for pharmaceutical, biopharmaceutical and biotechnology stocks in particular, have experienced extreme volatility, including as a result of the COVID-19 pandemic, that has often been unrelated to the operating performance of the issuer. Furthermore, the trading price of our common stock may be adversely affected by third-parties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operating performance.</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S-8</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Risks Related to Our Business</w:t>
      </w:r>
    </w:p>
    <w:p>
      <w:pPr>
        <w:spacing w:after="0" w:line="90" w:lineRule="exact"/>
        <w:rPr>
          <w:sz w:val="20"/>
          <w:szCs w:val="20"/>
          <w:color w:val="auto"/>
        </w:rPr>
      </w:pPr>
    </w:p>
    <w:p>
      <w:pPr>
        <w:ind w:left="120" w:right="700"/>
        <w:spacing w:after="0" w:line="334" w:lineRule="auto"/>
        <w:rPr>
          <w:sz w:val="20"/>
          <w:szCs w:val="20"/>
          <w:color w:val="auto"/>
        </w:rPr>
      </w:pPr>
      <w:r>
        <w:rPr>
          <w:rFonts w:ascii="Arial" w:cs="Arial" w:eastAsia="Arial" w:hAnsi="Arial"/>
          <w:sz w:val="16"/>
          <w:szCs w:val="16"/>
          <w:b w:val="1"/>
          <w:bCs w:val="1"/>
          <w:color w:val="465361"/>
        </w:rPr>
        <w:t>We recently received comments from the SEC staff in connection with the staff’s routine review of our filings. The SEC’s review is not yet complete, and we may be required to make changes to our filings in order to respond to the comments of the SEC.</w:t>
      </w:r>
    </w:p>
    <w:p>
      <w:pPr>
        <w:spacing w:after="0" w:line="1"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465361"/>
        </w:rPr>
        <w:t>We recently received a comment letter from the staff of the SEC’s Division of Corporation Finance (the “</w:t>
      </w:r>
      <w:r>
        <w:rPr>
          <w:rFonts w:ascii="Arial" w:cs="Arial" w:eastAsia="Arial" w:hAnsi="Arial"/>
          <w:sz w:val="18"/>
          <w:szCs w:val="18"/>
          <w:b w:val="1"/>
          <w:bCs w:val="1"/>
          <w:color w:val="465361"/>
        </w:rPr>
        <w:t>Staff</w:t>
      </w:r>
      <w:r>
        <w:rPr>
          <w:rFonts w:ascii="Arial" w:cs="Arial" w:eastAsia="Arial" w:hAnsi="Arial"/>
          <w:sz w:val="18"/>
          <w:szCs w:val="18"/>
          <w:color w:val="465361"/>
        </w:rPr>
        <w:t>”) relating to our Annual Report on Form 10-K for the fiscal year ended June 30, 2020 (the “</w:t>
      </w:r>
      <w:r>
        <w:rPr>
          <w:rFonts w:ascii="Arial" w:cs="Arial" w:eastAsia="Arial" w:hAnsi="Arial"/>
          <w:sz w:val="18"/>
          <w:szCs w:val="18"/>
          <w:b w:val="1"/>
          <w:bCs w:val="1"/>
          <w:color w:val="465361"/>
        </w:rPr>
        <w:t>Form 10-K</w:t>
      </w:r>
      <w:r>
        <w:rPr>
          <w:rFonts w:ascii="Arial" w:cs="Arial" w:eastAsia="Arial" w:hAnsi="Arial"/>
          <w:sz w:val="18"/>
          <w:szCs w:val="18"/>
          <w:color w:val="465361"/>
        </w:rPr>
        <w:t>”). The Form 10-K is incorporated by reference into this prospectus supplement and the accompanying prospectus. Primarily, the Staff has provided us with comments regarding our presentation of stock based compensation in our Form 10-K and as well requested that we amend the Form 10-K to correct an inadvertent omission of language from Section 9A “Controls and Procedures” in the Form 10-K.</w:t>
      </w:r>
    </w:p>
    <w:p>
      <w:pPr>
        <w:spacing w:after="0" w:line="144" w:lineRule="exact"/>
        <w:rPr>
          <w:sz w:val="20"/>
          <w:szCs w:val="20"/>
          <w:color w:val="auto"/>
        </w:rPr>
      </w:pPr>
    </w:p>
    <w:p>
      <w:pPr>
        <w:ind w:left="120" w:right="160"/>
        <w:spacing w:after="0" w:line="298" w:lineRule="auto"/>
        <w:rPr>
          <w:sz w:val="20"/>
          <w:szCs w:val="20"/>
          <w:color w:val="auto"/>
        </w:rPr>
      </w:pPr>
      <w:r>
        <w:rPr>
          <w:rFonts w:ascii="Arial" w:cs="Arial" w:eastAsia="Arial" w:hAnsi="Arial"/>
          <w:sz w:val="16"/>
          <w:szCs w:val="16"/>
          <w:color w:val="465361"/>
        </w:rPr>
        <w:t>We have provided the Staff with the information they most recently requested and conformed to the Staff’s comment by prospectively reclassifying the Company’s stock based compensation on our Form 10-Q for the quarter ended December 31, 2020. However, there can be no assurance that the Staff will not require us to revise our Form 10-K in a similar manner as well as our subsequent filings on Form 10-Q. We believe we are in a position to resolve the Staff’s comments although it is possible the Staff will raise additional questions.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465361"/>
        </w:rPr>
        <w:t>S-9</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465361"/>
        </w:rPr>
        <w:t>USE OF PROCEEDS</w:t>
      </w:r>
    </w:p>
    <w:p>
      <w:pPr>
        <w:spacing w:after="0" w:line="17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465361"/>
        </w:rPr>
        <w:t>We estimate that the net proceeds from the sale of the common stock offered pursuant to this prospectus supplement will be approximately $55.7 million, or approximately $64.1 million if the underwriters exercise in full their option to purchase additional shares, after deducting the underwriting discount and the estimated offering expenses that are payable by us.</w:t>
      </w:r>
    </w:p>
    <w:p>
      <w:pPr>
        <w:spacing w:after="0" w:line="140" w:lineRule="exact"/>
        <w:rPr>
          <w:sz w:val="20"/>
          <w:szCs w:val="20"/>
          <w:color w:val="auto"/>
        </w:rPr>
      </w:pPr>
    </w:p>
    <w:p>
      <w:pPr>
        <w:ind w:left="120" w:right="620"/>
        <w:spacing w:after="0" w:line="268" w:lineRule="auto"/>
        <w:rPr>
          <w:sz w:val="20"/>
          <w:szCs w:val="20"/>
          <w:color w:val="auto"/>
        </w:rPr>
      </w:pPr>
      <w:r>
        <w:rPr>
          <w:rFonts w:ascii="Arial" w:cs="Arial" w:eastAsia="Arial" w:hAnsi="Arial"/>
          <w:sz w:val="18"/>
          <w:szCs w:val="18"/>
          <w:color w:val="465361"/>
        </w:rPr>
        <w:t>We currently intend to use the net proceeds from this offering to fund our product development pipeline, to accelerate approvals of our products for additional indications and for general corporate purposes, which may include licensing arrangements.</w:t>
      </w:r>
    </w:p>
    <w:p>
      <w:pPr>
        <w:spacing w:after="0" w:line="13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465361"/>
        </w:rPr>
        <w:t>The amounts and timing of our actual expenditures will depend on numerous factors, including our development and commercialization efforts with respect to our lead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any use, as described above, we intend to invest the net proceeds in high-quality, short-term, interest-bearing securities.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465361"/>
        </w:rPr>
        <w:t>S-10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465361"/>
        </w:rPr>
        <w:t>DIVIDEND POLICY</w:t>
      </w:r>
    </w:p>
    <w:p>
      <w:pPr>
        <w:spacing w:after="0" w:line="177" w:lineRule="exact"/>
        <w:rPr>
          <w:sz w:val="20"/>
          <w:szCs w:val="20"/>
          <w:color w:val="auto"/>
        </w:rPr>
      </w:pPr>
    </w:p>
    <w:p>
      <w:pPr>
        <w:jc w:val="both"/>
        <w:ind w:left="120"/>
        <w:spacing w:after="0" w:line="256" w:lineRule="auto"/>
        <w:rPr>
          <w:sz w:val="20"/>
          <w:szCs w:val="20"/>
          <w:color w:val="auto"/>
        </w:rPr>
      </w:pPr>
      <w:r>
        <w:rPr>
          <w:rFonts w:ascii="Arial" w:cs="Arial" w:eastAsia="Arial" w:hAnsi="Arial"/>
          <w:sz w:val="18"/>
          <w:szCs w:val="18"/>
          <w:color w:val="465361"/>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12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465361"/>
        </w:rPr>
        <w:t>S-11</w:t>
      </w:r>
    </w:p>
    <w:p>
      <w:pPr>
        <w:sectPr>
          <w:pgSz w:w="11900" w:h="16838" w:orient="portrait"/>
          <w:cols w:equalWidth="0" w:num="1">
            <w:col w:w="10760"/>
          </w:cols>
          <w:pgMar w:left="320" w:top="459" w:right="8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465361"/>
        </w:rPr>
        <w:t>CAPITALIZATION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The following table sets forth our cash and our capitalization as of December 31, 2020:</w:t>
      </w:r>
    </w:p>
    <w:p>
      <w:pPr>
        <w:spacing w:after="0" w:line="90" w:lineRule="exact"/>
        <w:rPr>
          <w:sz w:val="20"/>
          <w:szCs w:val="20"/>
          <w:color w:val="auto"/>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on an actual basis; and</w:t>
      </w:r>
    </w:p>
    <w:p>
      <w:pPr>
        <w:spacing w:after="0" w:line="90" w:lineRule="exact"/>
        <w:rPr>
          <w:rFonts w:ascii="Arial" w:cs="Arial" w:eastAsia="Arial" w:hAnsi="Arial"/>
          <w:sz w:val="18"/>
          <w:szCs w:val="18"/>
          <w:color w:val="465361"/>
        </w:rPr>
      </w:pPr>
    </w:p>
    <w:p>
      <w:pPr>
        <w:ind w:left="1420" w:right="320" w:hanging="427"/>
        <w:spacing w:after="0" w:line="268" w:lineRule="auto"/>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on an as adjusted basis to give effect to the issuance and sale by us of shares of common stock in this offering, and after deducting the underwriting discounts and commissions and estimated offering expenses payable by us.</w:t>
      </w:r>
    </w:p>
    <w:p>
      <w:pPr>
        <w:spacing w:after="0" w:line="132"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465361"/>
        </w:rPr>
        <w:t>This table should be read with our audited financial statements and related notes incorporated by reference into this prospectus supplement and the accompanying prospectus. For more details on how you can obtain our SEC reports and other information, you should read the section of this prospectus supplement entitled “Where You Can Find More Information.”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center"/>
              <w:ind w:right="75"/>
              <w:spacing w:after="0"/>
              <w:rPr>
                <w:sz w:val="20"/>
                <w:szCs w:val="20"/>
                <w:color w:val="auto"/>
              </w:rPr>
            </w:pPr>
            <w:r>
              <w:rPr>
                <w:rFonts w:ascii="Arial" w:cs="Arial" w:eastAsia="Arial" w:hAnsi="Arial"/>
                <w:sz w:val="13"/>
                <w:szCs w:val="13"/>
                <w:b w:val="1"/>
                <w:bCs w:val="1"/>
                <w:color w:val="465361"/>
                <w:w w:val="92"/>
              </w:rPr>
              <w:t>December 31,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78"/>
              <w:spacing w:after="0"/>
              <w:rPr>
                <w:sz w:val="20"/>
                <w:szCs w:val="20"/>
                <w:color w:val="auto"/>
              </w:rPr>
            </w:pPr>
            <w:r>
              <w:rPr>
                <w:rFonts w:ascii="Arial" w:cs="Arial" w:eastAsia="Arial" w:hAnsi="Arial"/>
                <w:sz w:val="13"/>
                <w:szCs w:val="13"/>
                <w:b w:val="1"/>
                <w:bCs w:val="1"/>
                <w:color w:val="465361"/>
              </w:rPr>
              <w:t>Actual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465361"/>
                <w:w w:val="92"/>
              </w:rPr>
              <w:t>As adjusted</w:t>
            </w:r>
          </w:p>
        </w:tc>
        <w:tc>
          <w:tcPr>
            <w:tcW w:w="0" w:type="dxa"/>
            <w:vAlign w:val="bottom"/>
          </w:tcPr>
          <w:p>
            <w:pPr>
              <w:spacing w:after="0"/>
              <w:rPr>
                <w:sz w:val="1"/>
                <w:szCs w:val="1"/>
                <w:color w:val="auto"/>
              </w:rPr>
            </w:pPr>
          </w:p>
        </w:tc>
      </w:tr>
      <w:tr>
        <w:trPr>
          <w:trHeight w:val="123"/>
        </w:trPr>
        <w:tc>
          <w:tcPr>
            <w:tcW w:w="8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4"/>
          </w:tcPr>
          <w:p>
            <w:pPr>
              <w:jc w:val="center"/>
              <w:ind w:right="75"/>
              <w:spacing w:after="0" w:line="129" w:lineRule="exact"/>
              <w:rPr>
                <w:sz w:val="20"/>
                <w:szCs w:val="20"/>
                <w:color w:val="auto"/>
              </w:rPr>
            </w:pPr>
            <w:r>
              <w:rPr>
                <w:rFonts w:ascii="Arial" w:cs="Arial" w:eastAsia="Arial" w:hAnsi="Arial"/>
                <w:sz w:val="13"/>
                <w:szCs w:val="13"/>
                <w:b w:val="1"/>
                <w:bCs w:val="1"/>
                <w:color w:val="465361"/>
                <w:w w:val="92"/>
              </w:rPr>
              <w:t>(In thousands, except share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465361"/>
                <w:w w:val="94"/>
              </w:rPr>
              <w:t>per share data)</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465361"/>
                <w:w w:val="94"/>
              </w:rPr>
              <w:t>(Unaudited)</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465361"/>
              </w:rPr>
              <w:t>Cash</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465361"/>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59,765</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46536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465361"/>
              </w:rPr>
              <w:t>115,441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465361"/>
              </w:rPr>
              <w:t>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465361"/>
                <w:w w:val="99"/>
              </w:rPr>
              <w:t>Preferred stock, par value $0.0001 per share; 10,000,000 shares authorized; no shares issued and</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465361"/>
              </w:rPr>
              <w:t>outstanding, actual and as adjusted</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rPr>
              <w:t>—</w:t>
            </w:r>
          </w:p>
        </w:tc>
        <w:tc>
          <w:tcPr>
            <w:tcW w:w="0" w:type="dxa"/>
            <w:vAlign w:val="bottom"/>
          </w:tcPr>
          <w:p>
            <w:pPr>
              <w:spacing w:after="0"/>
              <w:rPr>
                <w:sz w:val="1"/>
                <w:szCs w:val="1"/>
                <w:color w:val="auto"/>
              </w:rPr>
            </w:pPr>
          </w:p>
        </w:tc>
      </w:tr>
      <w:tr>
        <w:trPr>
          <w:trHeight w:val="208"/>
        </w:trPr>
        <w:tc>
          <w:tcPr>
            <w:tcW w:w="8260" w:type="dxa"/>
            <w:vAlign w:val="bottom"/>
          </w:tcPr>
          <w:p>
            <w:pPr>
              <w:ind w:left="420"/>
              <w:spacing w:after="0"/>
              <w:rPr>
                <w:sz w:val="20"/>
                <w:szCs w:val="20"/>
                <w:color w:val="auto"/>
              </w:rPr>
            </w:pPr>
            <w:r>
              <w:rPr>
                <w:rFonts w:ascii="Arial" w:cs="Arial" w:eastAsia="Arial" w:hAnsi="Arial"/>
                <w:sz w:val="18"/>
                <w:szCs w:val="18"/>
                <w:color w:val="465361"/>
              </w:rPr>
              <w:t>Common stock, par value $0.0001 per share; 200,000,000 shares authorized; 21,625,058 shares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640"/>
              <w:spacing w:after="0"/>
              <w:rPr>
                <w:sz w:val="20"/>
                <w:szCs w:val="20"/>
                <w:color w:val="auto"/>
              </w:rPr>
            </w:pPr>
            <w:r>
              <w:rPr>
                <w:rFonts w:ascii="Arial" w:cs="Arial" w:eastAsia="Arial" w:hAnsi="Arial"/>
                <w:sz w:val="18"/>
                <w:szCs w:val="18"/>
                <w:color w:val="465361"/>
              </w:rPr>
              <w:t>issued and outstanding, actual; 24,420,058 shares issued and outstanding, as adjusted</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3</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465361"/>
              </w:rPr>
              <w:t>3</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465361"/>
              </w:rPr>
              <w:t>Additional paid-in capital</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262,086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465361"/>
              </w:rPr>
              <w:t>317,762</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465361"/>
              </w:rPr>
              <w:t>Accumulated other comprehensive income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8,289</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465361"/>
              </w:rPr>
              <w:t>8,289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465361"/>
              </w:rPr>
              <w:t>Accumulated deficit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465361"/>
                <w:w w:val="93"/>
              </w:rPr>
              <w:t>(210,781)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465361"/>
              </w:rPr>
              <w:t>(210,781)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465361"/>
              </w:rPr>
              <w:t>Total stockholders’ equity</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59,597</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465361"/>
              </w:rPr>
              <w:t>115,273</w:t>
            </w:r>
          </w:p>
        </w:tc>
        <w:tc>
          <w:tcPr>
            <w:tcW w:w="0" w:type="dxa"/>
            <w:vAlign w:val="bottom"/>
          </w:tcPr>
          <w:p>
            <w:pPr>
              <w:spacing w:after="0"/>
              <w:rPr>
                <w:sz w:val="1"/>
                <w:szCs w:val="1"/>
                <w:color w:val="auto"/>
              </w:rPr>
            </w:pPr>
          </w:p>
        </w:tc>
      </w:tr>
      <w:tr>
        <w:trPr>
          <w:trHeight w:val="28"/>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465361"/>
              </w:rPr>
              <w:t>Total capitalization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465361"/>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59,597</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46536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465361"/>
              </w:rPr>
              <w:t>115,273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20" w:right="100"/>
        <w:spacing w:after="0" w:line="268" w:lineRule="auto"/>
        <w:rPr>
          <w:sz w:val="20"/>
          <w:szCs w:val="20"/>
          <w:color w:val="auto"/>
        </w:rPr>
      </w:pPr>
      <w:r>
        <w:rPr>
          <w:rFonts w:ascii="Arial" w:cs="Arial" w:eastAsia="Arial" w:hAnsi="Arial"/>
          <w:sz w:val="18"/>
          <w:szCs w:val="18"/>
          <w:color w:val="465361"/>
        </w:rPr>
        <w:t>All information above is based on 21,625,058 shares of common stock outstanding as of December 31, 2020, and excludes the following, in each case as of such date:</w:t>
      </w:r>
    </w:p>
    <w:p>
      <w:pPr>
        <w:spacing w:after="0" w:line="51" w:lineRule="exact"/>
        <w:rPr>
          <w:sz w:val="20"/>
          <w:szCs w:val="20"/>
          <w:color w:val="auto"/>
        </w:rPr>
      </w:pPr>
    </w:p>
    <w:p>
      <w:pPr>
        <w:ind w:left="1420" w:right="340" w:hanging="427"/>
        <w:spacing w:after="0" w:line="268" w:lineRule="auto"/>
        <w:tabs>
          <w:tab w:leader="none" w:pos="142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1,154,270 shares of common stock issuable upon exercise of outstanding stock options under our equity incentive plans at a weighted average exercise price of $13.39 per share;</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147,520 shares of common stock issuable upon vesting of outstanding restricted stock units; and</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1"/>
        </w:numPr>
        <w:rPr>
          <w:rFonts w:ascii="Arial" w:cs="Arial" w:eastAsia="Arial" w:hAnsi="Arial"/>
          <w:sz w:val="16"/>
          <w:szCs w:val="16"/>
          <w:color w:val="465361"/>
        </w:rPr>
      </w:pPr>
      <w:r>
        <w:rPr>
          <w:rFonts w:ascii="Arial" w:cs="Arial" w:eastAsia="Arial" w:hAnsi="Arial"/>
          <w:sz w:val="16"/>
          <w:szCs w:val="16"/>
          <w:color w:val="465361"/>
        </w:rPr>
        <w:t>1,745,000 shares of common stock reserved for issuance pursuant to future awards under our 2020 Omnibus Incentive Plan.</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465361"/>
        </w:rPr>
        <w:t>S-12</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465361"/>
        </w:rPr>
        <w:t>DILUTION</w:t>
      </w:r>
    </w:p>
    <w:p>
      <w:pPr>
        <w:spacing w:after="0" w:line="177" w:lineRule="exact"/>
        <w:rPr>
          <w:sz w:val="20"/>
          <w:szCs w:val="20"/>
          <w:color w:val="auto"/>
        </w:rPr>
      </w:pPr>
    </w:p>
    <w:p>
      <w:pPr>
        <w:ind w:left="120" w:right="20"/>
        <w:spacing w:after="0" w:line="306" w:lineRule="auto"/>
        <w:rPr>
          <w:sz w:val="20"/>
          <w:szCs w:val="20"/>
          <w:color w:val="auto"/>
        </w:rPr>
      </w:pPr>
      <w:r>
        <w:rPr>
          <w:rFonts w:ascii="Arial" w:cs="Arial" w:eastAsia="Arial" w:hAnsi="Arial"/>
          <w:sz w:val="16"/>
          <w:szCs w:val="16"/>
          <w:color w:val="465361"/>
        </w:rPr>
        <w:t>If you invest in our common stock in this offering, your interest will be diluted to the extent of the difference between the public offering price per share of our common stock and the net tangible book value per share of our common stock after this offering. We calculate net tangible book value per share by dividing our net tangible assets (tangible assets less total liabilities) by the number of shares of our common stock issued and outstanding.</w:t>
      </w:r>
    </w:p>
    <w:p>
      <w:pPr>
        <w:spacing w:after="0" w:line="106"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465361"/>
        </w:rPr>
        <w:t>Our net tangible book value at December 31, 2020 was $57.4 million, or $2.65 per share, based on 21,625,058 shares of our common stock outstanding. After giving effect to the issuance and sale of 2,795,000 shares in this offering at the public offering price of $21.50 per share, after deducting underwriting discounts and commissions and estimated offering expenses payable by us, our pro forma as adjusted net tangible book value at December 31, 2020 would have been $113.1 million or $4.63 per share. This represents an immediate increase in pro forma net tangible book value of $1.98 per share to existing stockholders and an immediate dilution of $16.87 per share to investors in this offering. The following table illustrates this per share dilution:</w:t>
      </w:r>
    </w:p>
    <w:p>
      <w:pPr>
        <w:spacing w:after="0" w:line="164"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465361"/>
              </w:rPr>
              <w:t>Public offering price per share of common stock</w:t>
            </w: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465361"/>
                <w:w w:val="84"/>
              </w:rPr>
              <w:t>21.50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465361"/>
              </w:rPr>
              <w:t>Net tangible book value per share as of December 31, 2020</w:t>
            </w:r>
          </w:p>
        </w:tc>
        <w:tc>
          <w:tcPr>
            <w:tcW w:w="700" w:type="dxa"/>
            <w:vAlign w:val="bottom"/>
          </w:tcPr>
          <w:p>
            <w:pPr>
              <w:jc w:val="right"/>
              <w:ind w:right="32"/>
              <w:spacing w:after="0"/>
              <w:rPr>
                <w:sz w:val="20"/>
                <w:szCs w:val="20"/>
                <w:color w:val="auto"/>
              </w:rPr>
            </w:pPr>
            <w:r>
              <w:rPr>
                <w:rFonts w:ascii="Arial" w:cs="Arial" w:eastAsia="Arial" w:hAnsi="Arial"/>
                <w:sz w:val="18"/>
                <w:szCs w:val="18"/>
                <w:color w:val="465361"/>
              </w:rPr>
              <w:t>$</w:t>
            </w:r>
          </w:p>
        </w:tc>
        <w:tc>
          <w:tcPr>
            <w:tcW w:w="860" w:type="dxa"/>
            <w:vAlign w:val="bottom"/>
          </w:tcPr>
          <w:p>
            <w:pPr>
              <w:jc w:val="right"/>
              <w:ind w:right="352"/>
              <w:spacing w:after="0"/>
              <w:rPr>
                <w:sz w:val="20"/>
                <w:szCs w:val="20"/>
                <w:color w:val="auto"/>
              </w:rPr>
            </w:pPr>
            <w:r>
              <w:rPr>
                <w:rFonts w:ascii="Arial" w:cs="Arial" w:eastAsia="Arial" w:hAnsi="Arial"/>
                <w:sz w:val="18"/>
                <w:szCs w:val="18"/>
                <w:color w:val="465361"/>
              </w:rPr>
              <w:t>2.65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465361"/>
              </w:rPr>
              <w:t>Increase per share attributable to this offering</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65361"/>
              </w:rPr>
              <w:t>$</w:t>
            </w:r>
          </w:p>
        </w:tc>
        <w:tc>
          <w:tcPr>
            <w:tcW w:w="8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465361"/>
              </w:rPr>
              <w:t>1.98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6140" w:type="dxa"/>
            <w:vAlign w:val="bottom"/>
          </w:tcPr>
          <w:p>
            <w:pPr>
              <w:spacing w:after="0"/>
              <w:rPr>
                <w:sz w:val="20"/>
                <w:szCs w:val="20"/>
                <w:color w:val="auto"/>
              </w:rPr>
            </w:pPr>
            <w:r>
              <w:rPr>
                <w:rFonts w:ascii="Arial" w:cs="Arial" w:eastAsia="Arial" w:hAnsi="Arial"/>
                <w:sz w:val="18"/>
                <w:szCs w:val="18"/>
                <w:color w:val="465361"/>
                <w:w w:val="94"/>
              </w:rPr>
              <w:t>As adjusted net tangible book value per share as of December 31, 2020 after this</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6140" w:type="dxa"/>
            <w:vAlign w:val="bottom"/>
          </w:tcPr>
          <w:p>
            <w:pPr>
              <w:ind w:left="200"/>
              <w:spacing w:after="0"/>
              <w:rPr>
                <w:sz w:val="20"/>
                <w:szCs w:val="20"/>
                <w:color w:val="auto"/>
              </w:rPr>
            </w:pPr>
            <w:r>
              <w:rPr>
                <w:rFonts w:ascii="Arial" w:cs="Arial" w:eastAsia="Arial" w:hAnsi="Arial"/>
                <w:sz w:val="18"/>
                <w:szCs w:val="18"/>
                <w:color w:val="465361"/>
              </w:rPr>
              <w:t>offering</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465361"/>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465361"/>
              </w:rPr>
              <w:t>4.63</w:t>
            </w:r>
          </w:p>
        </w:tc>
      </w:tr>
      <w:tr>
        <w:trPr>
          <w:trHeight w:val="28"/>
        </w:trPr>
        <w:tc>
          <w:tcPr>
            <w:tcW w:w="6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465361"/>
              </w:rPr>
              <w:t>Dilution per share to new investors participating in this offering</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465361"/>
                <w:w w:val="84"/>
              </w:rPr>
              <w:t>16.87</w:t>
            </w:r>
          </w:p>
        </w:tc>
      </w:tr>
      <w:tr>
        <w:trPr>
          <w:trHeight w:val="20"/>
        </w:trPr>
        <w:tc>
          <w:tcPr>
            <w:tcW w:w="6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120" w:right="40"/>
        <w:spacing w:after="0" w:line="306" w:lineRule="auto"/>
        <w:rPr>
          <w:sz w:val="20"/>
          <w:szCs w:val="20"/>
          <w:color w:val="auto"/>
        </w:rPr>
      </w:pPr>
      <w:r>
        <w:rPr>
          <w:rFonts w:ascii="Arial" w:cs="Arial" w:eastAsia="Arial" w:hAnsi="Arial"/>
          <w:sz w:val="16"/>
          <w:szCs w:val="16"/>
          <w:color w:val="465361"/>
        </w:rPr>
        <w:t>If the underwriters exercise in full their option to purchase additional shares of common stock at the public offering price of $21.50 per share, the as adjusted net tangible book value after this offering would have been $4.89 per share, representing an increase in net tangible book value of $2.24 per share to existing stockholders and immediate dilution in net tangible book value of $16.61 per share to purchasers in this offering.</w:t>
      </w:r>
    </w:p>
    <w:p>
      <w:pPr>
        <w:spacing w:after="0" w:line="106"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465361"/>
        </w:rPr>
        <w:t>To the extent that outstanding options are exercised, or we issue new options under our equity incentive plans, you will experience further dilution. In addition, we may choose to raise additional capital due to market conditions or strategic considerations even if we believe we have sufficient funds for our current or future operating plans. To the extent that the additional capital is raised through the sale of common stock or securities convertible or exchangeable into common stock, such issuance could result in further dilution to our stockholders.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S-13</w:t>
      </w:r>
    </w:p>
    <w:p>
      <w:pPr>
        <w:sectPr>
          <w:pgSz w:w="11900" w:h="16838" w:orient="portrait"/>
          <w:cols w:equalWidth="0" w:num="1">
            <w:col w:w="11020"/>
          </w:cols>
          <w:pgMar w:left="320" w:top="459" w:right="5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MATERIAL U.S. FEDERAL INCOME TAX CONSIDERATIONS FOR NON-U.S. HOLDERS</w:t>
      </w:r>
    </w:p>
    <w:p>
      <w:pPr>
        <w:spacing w:after="0" w:line="177" w:lineRule="exact"/>
        <w:rPr>
          <w:sz w:val="20"/>
          <w:szCs w:val="20"/>
          <w:color w:val="auto"/>
        </w:rPr>
      </w:pPr>
    </w:p>
    <w:p>
      <w:pPr>
        <w:ind w:left="120" w:right="80"/>
        <w:spacing w:after="0" w:line="294" w:lineRule="auto"/>
        <w:rPr>
          <w:sz w:val="20"/>
          <w:szCs w:val="20"/>
          <w:color w:val="auto"/>
        </w:rPr>
      </w:pPr>
      <w:r>
        <w:rPr>
          <w:rFonts w:ascii="Arial" w:cs="Arial" w:eastAsia="Arial" w:hAnsi="Arial"/>
          <w:sz w:val="16"/>
          <w:szCs w:val="16"/>
          <w:color w:val="465361"/>
        </w:rPr>
        <w:t>The following is a discussion of material U.S. federal income tax considerations relating to the acquisition, ownership and disposition of our common stock purchased in this offering by a non-U.S. holder (as defined below). This discussion is based on the provisions of the Internal Revenue Code of 1986, as amended (the “</w:t>
      </w:r>
      <w:r>
        <w:rPr>
          <w:rFonts w:ascii="Arial" w:cs="Arial" w:eastAsia="Arial" w:hAnsi="Arial"/>
          <w:sz w:val="16"/>
          <w:szCs w:val="16"/>
          <w:b w:val="1"/>
          <w:bCs w:val="1"/>
          <w:color w:val="465361"/>
        </w:rPr>
        <w:t>Code</w:t>
      </w:r>
      <w:r>
        <w:rPr>
          <w:rFonts w:ascii="Arial" w:cs="Arial" w:eastAsia="Arial" w:hAnsi="Arial"/>
          <w:sz w:val="16"/>
          <w:szCs w:val="16"/>
          <w:color w:val="465361"/>
        </w:rPr>
        <w:t>”), final, temporary and proposed U.S. Treasury Regulations promulgated thereunder and current administrative rulings and judicial decisions, all as in effect as of the date hereof. All of these authorities may be subject to differing interpretations or repealed, revoked or modified, possibly with retroactive effect, which could materially alter the tax considerations to non-U.S. holders described in this prospectus supplement.</w:t>
      </w:r>
    </w:p>
    <w:p>
      <w:pPr>
        <w:spacing w:after="0" w:line="109" w:lineRule="exact"/>
        <w:rPr>
          <w:sz w:val="20"/>
          <w:szCs w:val="20"/>
          <w:color w:val="auto"/>
        </w:rPr>
      </w:pPr>
    </w:p>
    <w:p>
      <w:pPr>
        <w:jc w:val="both"/>
        <w:ind w:left="120" w:right="60"/>
        <w:spacing w:after="0" w:line="262" w:lineRule="auto"/>
        <w:rPr>
          <w:sz w:val="20"/>
          <w:szCs w:val="20"/>
          <w:color w:val="auto"/>
        </w:rPr>
      </w:pPr>
      <w:r>
        <w:rPr>
          <w:rFonts w:ascii="Arial" w:cs="Arial" w:eastAsia="Arial" w:hAnsi="Arial"/>
          <w:sz w:val="18"/>
          <w:szCs w:val="18"/>
          <w:color w:val="465361"/>
        </w:rPr>
        <w:t>There can be no assurance that the Internal Revenue Service (“</w:t>
      </w:r>
      <w:r>
        <w:rPr>
          <w:rFonts w:ascii="Arial" w:cs="Arial" w:eastAsia="Arial" w:hAnsi="Arial"/>
          <w:sz w:val="18"/>
          <w:szCs w:val="18"/>
          <w:b w:val="1"/>
          <w:bCs w:val="1"/>
          <w:color w:val="465361"/>
        </w:rPr>
        <w:t>IRS</w:t>
      </w:r>
      <w:r>
        <w:rPr>
          <w:rFonts w:ascii="Arial" w:cs="Arial" w:eastAsia="Arial" w:hAnsi="Arial"/>
          <w:sz w:val="18"/>
          <w:szCs w:val="18"/>
          <w:color w:val="465361"/>
        </w:rPr>
        <w:t>”) will not take a contrary position to the tax considerations described herein or that such position will not be sustained by a court. No ruling from the IRS has been obtained with respect to the U.S. federal income tax consequences to a non-U.S. holder of the acquisition, ownership or disposition of our common stock.</w:t>
      </w:r>
    </w:p>
    <w:p>
      <w:pPr>
        <w:spacing w:after="0" w:line="13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465361"/>
        </w:rPr>
        <w:t>This discussion is for general information only and is not tax advice. All prospective non-U.S. holders of our common stock should consult their own tax advisors with respect to the U.S. federal, state, local and non-U.S. income, estate, and other tax consequences of the acquisition, ownership and disposition of our common stock.</w:t>
      </w:r>
    </w:p>
    <w:p>
      <w:pPr>
        <w:spacing w:after="0" w:line="14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As used in this discussion, a “non-U.S. holder” is, for U.S. federal income tax purposes, a beneficial owner of our common stock (other than a partnership or entity or arrangement treated as a partnership for U.S. federal income tax purposes) that is not a U.S. holder. A “U.S. holder” means a beneficial owner of our common stock that is, for U.S. federal income tax purposes, (a) an individual who is a citizen or resident of the United States, (b) a corporation or other entity treated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the Code) have the authority to control all substantial decisions of the trust or (2) has a valid election in effect under applicable U.S. Treasury Regulations to be treated as a United States person.</w:t>
      </w:r>
    </w:p>
    <w:p>
      <w:pPr>
        <w:spacing w:after="0" w:line="124"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465361"/>
        </w:rPr>
        <w:t>This discussion assumes that a prospective non-U.S. holder will hold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In addition, this discussion does not address any aspect of the U.S. federal alternative minimum tax, the Medicare contribution tax on net investment income, U.S. state or local or non-U.S. taxes, any U.S. federal non-income taxes (such as estate or gift taxes) or the special tax rules applicable to particular non-U.S. holders, such as:</w:t>
      </w:r>
    </w:p>
    <w:p>
      <w:pPr>
        <w:spacing w:after="0" w:line="34" w:lineRule="exact"/>
        <w:rPr>
          <w:sz w:val="20"/>
          <w:szCs w:val="20"/>
          <w:color w:val="auto"/>
        </w:rPr>
      </w:pPr>
    </w:p>
    <w:p>
      <w:pPr>
        <w:ind w:left="1420" w:hanging="427"/>
        <w:spacing w:after="0"/>
        <w:tabs>
          <w:tab w:leader="none" w:pos="142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insurance companies and financial institutions;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tax-exempt organizations or governmental organizations;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pension plans;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controlled foreign corporations;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passive foreign investment companies;</w:t>
      </w:r>
    </w:p>
    <w:p>
      <w:pPr>
        <w:spacing w:after="0" w:line="90" w:lineRule="exact"/>
        <w:rPr>
          <w:rFonts w:ascii="Arial" w:cs="Arial" w:eastAsia="Arial" w:hAnsi="Arial"/>
          <w:sz w:val="18"/>
          <w:szCs w:val="18"/>
          <w:color w:val="465361"/>
        </w:rPr>
      </w:pPr>
    </w:p>
    <w:p>
      <w:pPr>
        <w:ind w:left="1420" w:right="340" w:hanging="427"/>
        <w:spacing w:after="0" w:line="268" w:lineRule="auto"/>
        <w:tabs>
          <w:tab w:leader="none" w:pos="142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tax qualified retirement plans and “qualified foreign pension funds” as defined in Section 897(1)(2) of the Code and entities all of the interests of which are held by qualified foreign pension funds;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corporations that accumulate earnings to avoid U.S. federal income tax;</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accrual method taxpayers subject to special tax accounting rules under the Section 451(b) of the Code;</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dealers in securities;</w:t>
      </w:r>
    </w:p>
    <w:p>
      <w:pPr>
        <w:spacing w:after="0" w:line="90" w:lineRule="exact"/>
        <w:rPr>
          <w:rFonts w:ascii="Arial" w:cs="Arial" w:eastAsia="Arial" w:hAnsi="Arial"/>
          <w:sz w:val="18"/>
          <w:szCs w:val="18"/>
          <w:color w:val="465361"/>
        </w:rPr>
      </w:pPr>
    </w:p>
    <w:p>
      <w:pPr>
        <w:ind w:left="1420" w:right="220" w:hanging="427"/>
        <w:spacing w:after="0" w:line="268" w:lineRule="auto"/>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persons deemed to sell our common stock under the constructive sale provisions of the Code or persons that hold our common stock as part of a straddle, conversion transaction, or other integrated investment; and</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former citizens or residents of the United States subject to tax as expatriates.</w:t>
      </w:r>
    </w:p>
    <w:p>
      <w:pPr>
        <w:spacing w:after="0" w:line="171"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color w:val="465361"/>
        </w:rPr>
        <w:t>If a partnership or other entity or arrangement treated as a partnership for U.S. federal income tax purposes is an owner of our common stock, the treatment of a partner in the partnership generally will depend on the status of the partner and the activities of the partnership. We urge any owner of our common stock that is a partnership and partners in that partnership to consult their tax advisors regarding the U.S. federal income tax consequences of purchasing, owning and disposing of our common stock.</w:t>
      </w:r>
    </w:p>
    <w:p>
      <w:pPr>
        <w:spacing w:after="0" w:line="137" w:lineRule="exact"/>
        <w:rPr>
          <w:sz w:val="20"/>
          <w:szCs w:val="20"/>
          <w:color w:val="auto"/>
        </w:rPr>
      </w:pPr>
    </w:p>
    <w:p>
      <w:pPr>
        <w:ind w:left="120" w:right="300"/>
        <w:spacing w:after="0" w:line="258" w:lineRule="auto"/>
        <w:rPr>
          <w:sz w:val="20"/>
          <w:szCs w:val="20"/>
          <w:color w:val="auto"/>
        </w:rPr>
      </w:pPr>
      <w:r>
        <w:rPr>
          <w:rFonts w:ascii="Arial" w:cs="Arial" w:eastAsia="Arial" w:hAnsi="Arial"/>
          <w:sz w:val="18"/>
          <w:szCs w:val="18"/>
          <w:b w:val="1"/>
          <w:bCs w:val="1"/>
          <w:color w:val="465361"/>
        </w:rPr>
        <w:t>PROSPECTIVE INVESTORS SHOULD CONSULT THEIR TAX ADVISORS REGARDING THE PARTICULAR U.S. FEDERAL INCOME TAX CONSEQUENCES TO THEM OF ACQUIRING, OWNING, AND DISPOSING OF OUR COMMON STOCK, AS WELL AS ANY TAX CONSEQUENCES ARISING UNDER ANY STATE, LOCAL, OR NON-U.S. TAX LAWS AND ANY NON-INCOME U.S. FEDERAL TAX LAWS.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Distributions on Our Common Stock</w:t>
      </w:r>
    </w:p>
    <w:p>
      <w:pPr>
        <w:spacing w:after="0" w:line="9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465361"/>
        </w:rPr>
        <w:t>As described in the section entitled “Dividend Policy,” we do not anticipate declaring or paying dividends to non-U.S. holders of our common stock in the foreseeable future. However, if we do make distributions of cash or property on our common stock, such distribution will generally constitute a dividend for U.S. federal income tax purposes to the extent paid from our current or accumulated earnings and profits, as determined under U.S. federal income tax principles. Distributions in excess of our current and accumulated earnings and profits will generally constitute a return of capital to the extent of the non-U.S. holder’s adjusted tax basis in our common stock, and will be applied against and reduce the non-U.S. holder’s adjusted tax basis. Any remaining excess amount will be treated as capital gain, subject to the tax treatment described below in “— Gain on Sale, Exchange or Other Disposition of Our Common Stock.”</w:t>
      </w:r>
    </w:p>
    <w:p>
      <w:pPr>
        <w:spacing w:after="0" w:line="14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Subject to the discussions below regarding effectively connected income, backup withholding and FATCA, dividends paid to a non-U.S. holder will generally be subject to withholding of U.S. federal income tax at a rate of 30% on the gross amount paid, unless the non-U.S. holder is entitled to an exemption from or reduced rate of withholding under an applicable income tax treaty. In order to claim the benefit of an income tax treaty, a non-U.S. holder must provide a properly executed IRS Form W-8BEN or W-8BEN-E, as applicable (or applicable successor form), certifying under penalties of perjury that such non-U.S. holder is entitled to benefits under the applicable income tax treaty and has complied with any special certification requirements prior to the payment of dividends. A non-U.S. holder eligible for a reduced rate of withholding pursuant to an income tax treaty may be eligible to obtain a refund or credit of any excess amounts withheld by timely filing an appropriate claim for a refund with the IRS. Non-U.S. holders should consult their tax advisors regarding possible entitlements to benefits under any income tax treaty.</w:t>
      </w:r>
    </w:p>
    <w:p>
      <w:pPr>
        <w:spacing w:after="0" w:line="124" w:lineRule="exact"/>
        <w:rPr>
          <w:sz w:val="20"/>
          <w:szCs w:val="20"/>
          <w:color w:val="auto"/>
        </w:rPr>
      </w:pPr>
    </w:p>
    <w:p>
      <w:pPr>
        <w:ind w:left="120" w:right="260"/>
        <w:spacing w:after="0" w:line="268" w:lineRule="auto"/>
        <w:rPr>
          <w:sz w:val="20"/>
          <w:szCs w:val="20"/>
          <w:color w:val="auto"/>
        </w:rPr>
      </w:pPr>
      <w:r>
        <w:rPr>
          <w:rFonts w:ascii="Arial" w:cs="Arial" w:eastAsia="Arial" w:hAnsi="Arial"/>
          <w:sz w:val="18"/>
          <w:szCs w:val="18"/>
          <w:color w:val="465361"/>
        </w:rPr>
        <w:t>Dividends paid to a non-U.S. holder that are treated as effectively connected with a trade or business conducted by the non-U.S. holder within the United States (and, if an applicable income tax treaty so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465361"/>
        </w:rPr>
        <w:t>provides, are also attributable to a permanent establishment or a fixed base maintained within the United States by the non-U.S. holder) are generally exempt from the 30% withholding tax. To establish the exemption, a non-U.S. holder must provide a properly executed IRS Form W-8ECI (or successor form), certifying that the dividends are effectively connected with the non-U.S. holder’s conduct of a trade or business within the United States prior to the payment of the dividend. Dividends received by a non-U.S. holder that are treated as effectively connected with a U.S. trade or business generally are subject to U.S. federal income tax at rates applicable to U.S. persons. A non-U.S. holder that is a corporation may, under certain circumstances, be subject to an additional “branch profits tax” imposed at a rate of 30%, or such lower rate as provided by an applicable income tax treaty between the United States and such non-U.S. holder’s country of residence.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Gain On Sale, Exchange or Other Disposition of Our Common Stock</w:t>
      </w:r>
    </w:p>
    <w:p>
      <w:pPr>
        <w:spacing w:after="0" w:line="96" w:lineRule="exact"/>
        <w:rPr>
          <w:sz w:val="20"/>
          <w:szCs w:val="20"/>
          <w:color w:val="auto"/>
        </w:rPr>
      </w:pPr>
    </w:p>
    <w:p>
      <w:pPr>
        <w:ind w:left="120" w:right="100"/>
        <w:spacing w:after="0" w:line="331" w:lineRule="auto"/>
        <w:rPr>
          <w:sz w:val="20"/>
          <w:szCs w:val="20"/>
          <w:color w:val="auto"/>
        </w:rPr>
      </w:pPr>
      <w:r>
        <w:rPr>
          <w:rFonts w:ascii="Arial" w:cs="Arial" w:eastAsia="Arial" w:hAnsi="Arial"/>
          <w:sz w:val="16"/>
          <w:szCs w:val="16"/>
          <w:color w:val="465361"/>
        </w:rPr>
        <w:t>Subject to the discussions below regarding backup withholding and FACTA, a non-U.S. holder will generally not be subject to any U.S. federal income tax or withholding on any gain realized from the non-U.S. holder’s sale, exchange or other disposition of shares of our common stock unless:</w:t>
      </w:r>
    </w:p>
    <w:p>
      <w:pPr>
        <w:spacing w:after="0" w:line="6" w:lineRule="exact"/>
        <w:rPr>
          <w:sz w:val="20"/>
          <w:szCs w:val="20"/>
          <w:color w:val="auto"/>
        </w:rPr>
      </w:pPr>
    </w:p>
    <w:p>
      <w:pPr>
        <w:ind w:left="1420" w:hanging="427"/>
        <w:spacing w:after="0" w:line="298" w:lineRule="auto"/>
        <w:tabs>
          <w:tab w:leader="none" w:pos="1420" w:val="left"/>
        </w:tabs>
        <w:numPr>
          <w:ilvl w:val="0"/>
          <w:numId w:val="14"/>
        </w:numPr>
        <w:rPr>
          <w:rFonts w:ascii="Arial" w:cs="Arial" w:eastAsia="Arial" w:hAnsi="Arial"/>
          <w:sz w:val="16"/>
          <w:szCs w:val="16"/>
          <w:color w:val="465361"/>
        </w:rPr>
      </w:pPr>
      <w:r>
        <w:rPr>
          <w:rFonts w:ascii="Arial" w:cs="Arial" w:eastAsia="Arial" w:hAnsi="Arial"/>
          <w:sz w:val="16"/>
          <w:szCs w:val="16"/>
          <w:color w:val="465361"/>
        </w:rPr>
        <w:t>the gain is effectively connected with a U.S. trade or business (and, if an applicable income tax treaty so provides, is also attributable to a permanent establishment or a fixed base maintained within the United States by the non-U.S. holder), in which case the gain will be taxed on a net-income basis, generally in the same manner as if the non-U.S. holder were a U.S. person, and, if the non-U.S. holder is a corporation, the additional branch profits tax described above in “-Distributions on Our Common Stock” may also apply;</w:t>
      </w:r>
    </w:p>
    <w:p>
      <w:pPr>
        <w:spacing w:after="0" w:line="31" w:lineRule="exact"/>
        <w:rPr>
          <w:rFonts w:ascii="Arial" w:cs="Arial" w:eastAsia="Arial" w:hAnsi="Arial"/>
          <w:sz w:val="16"/>
          <w:szCs w:val="16"/>
          <w:color w:val="465361"/>
        </w:rPr>
      </w:pPr>
    </w:p>
    <w:p>
      <w:pPr>
        <w:ind w:left="1420" w:right="60" w:hanging="427"/>
        <w:spacing w:after="0" w:line="298" w:lineRule="auto"/>
        <w:tabs>
          <w:tab w:leader="none" w:pos="1420" w:val="left"/>
        </w:tabs>
        <w:numPr>
          <w:ilvl w:val="0"/>
          <w:numId w:val="14"/>
        </w:numPr>
        <w:rPr>
          <w:rFonts w:ascii="Arial" w:cs="Arial" w:eastAsia="Arial" w:hAnsi="Arial"/>
          <w:sz w:val="16"/>
          <w:szCs w:val="16"/>
          <w:color w:val="465361"/>
        </w:rPr>
      </w:pPr>
      <w:r>
        <w:rPr>
          <w:rFonts w:ascii="Arial" w:cs="Arial" w:eastAsia="Arial" w:hAnsi="Arial"/>
          <w:sz w:val="16"/>
          <w:szCs w:val="16"/>
          <w:color w:val="465361"/>
        </w:rPr>
        <w:t>the non-U.S. holder is an individual who is present in the United States for 183 days or more in the taxable year of the disposition and certain other conditions are met, in which case the non-U.S. holder will be subject to a 30% tax (or such lower rates as may be provided by an applicable income tax treaty) on the net gain derived from the disposition, which may be offset by U.S.-source capital losses of the non-U.S. holder, if any, provided the non-U.S. holder has timely filed U.S. federal income tax returns with respect to such losses; or</w:t>
      </w:r>
    </w:p>
    <w:p>
      <w:pPr>
        <w:spacing w:after="0" w:line="31" w:lineRule="exact"/>
        <w:rPr>
          <w:rFonts w:ascii="Arial" w:cs="Arial" w:eastAsia="Arial" w:hAnsi="Arial"/>
          <w:sz w:val="16"/>
          <w:szCs w:val="16"/>
          <w:color w:val="465361"/>
        </w:rPr>
      </w:pPr>
    </w:p>
    <w:p>
      <w:pPr>
        <w:ind w:left="1420" w:right="500" w:hanging="427"/>
        <w:spacing w:after="0" w:line="331" w:lineRule="auto"/>
        <w:tabs>
          <w:tab w:leader="none" w:pos="1420" w:val="left"/>
        </w:tabs>
        <w:numPr>
          <w:ilvl w:val="0"/>
          <w:numId w:val="14"/>
        </w:numPr>
        <w:rPr>
          <w:rFonts w:ascii="Arial" w:cs="Arial" w:eastAsia="Arial" w:hAnsi="Arial"/>
          <w:sz w:val="16"/>
          <w:szCs w:val="16"/>
          <w:color w:val="465361"/>
        </w:rPr>
      </w:pPr>
      <w:r>
        <w:rPr>
          <w:rFonts w:ascii="Arial" w:cs="Arial" w:eastAsia="Arial" w:hAnsi="Arial"/>
          <w:sz w:val="16"/>
          <w:szCs w:val="16"/>
          <w:color w:val="465361"/>
        </w:rPr>
        <w:t>we are, or have been at any time during the five-year period preceding such disposition (or the non-U.S. holder’s holding period, if shorter), a “United States real property holding corporation” (a “USRPHC”) under Section 897 of the Code.</w:t>
      </w:r>
    </w:p>
    <w:p>
      <w:pPr>
        <w:spacing w:after="0" w:line="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465361"/>
        </w:rPr>
        <w:t>Generally, we will be a USRPHC if the fair market value of our U.S. real property interests equals or exceeds 50% of the sum of the fair market values of our worldwide real property interests and other assets used or held for use in a trade or business, all as determined under applicable U.S. Treasury Regulations. We believe that we are not currently, and do not anticipate becoming in the future, a USRPHC for U.S. federal income tax purposes. However, because the determination of whether we are a USRPHC depends on the fair market value of our United States real property relative to the fair market value of our other business assets, there can be no assurance that we will not become a USRPHC in the future. If we are a USRPHC and either our common stock is not regularly traded on an established securities market (as defined under applicable Treasury Regulations) or a non-U.S. holder holds, or is treated as holding, more than 5% of our outstanding common stock, directly or indirectly, during the applicable testing period, such non-U.S. holder will generally be taxed on any gain in the same manner as gain that is effectively connected with the conduct of a U.S. trade or business, except that the branch profits tax generally will not apply. Prospective investors are encouraged to consult their own tax advisors regarding the possible consequences to them if we are, or were to become, a USRPHC.</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Information Reporting and Backup Withholding</w:t>
      </w:r>
    </w:p>
    <w:p>
      <w:pPr>
        <w:spacing w:after="0" w:line="96" w:lineRule="exact"/>
        <w:rPr>
          <w:sz w:val="20"/>
          <w:szCs w:val="20"/>
          <w:color w:val="auto"/>
        </w:rPr>
      </w:pPr>
    </w:p>
    <w:p>
      <w:pPr>
        <w:ind w:left="120" w:right="60"/>
        <w:spacing w:after="0" w:line="268" w:lineRule="auto"/>
        <w:rPr>
          <w:sz w:val="20"/>
          <w:szCs w:val="20"/>
          <w:color w:val="auto"/>
        </w:rPr>
      </w:pPr>
      <w:r>
        <w:rPr>
          <w:rFonts w:ascii="Arial" w:cs="Arial" w:eastAsia="Arial" w:hAnsi="Arial"/>
          <w:sz w:val="18"/>
          <w:szCs w:val="18"/>
          <w:color w:val="465361"/>
        </w:rPr>
        <w:t>The applicable withholding agent must report annually to the IRS and to each non-U.S. holder the amount of distributions paid to such non-U.S. holder and the amount of tax withheld, if any. Copies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S-16</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68" w:lineRule="auto"/>
        <w:rPr>
          <w:sz w:val="20"/>
          <w:szCs w:val="20"/>
          <w:color w:val="auto"/>
        </w:rPr>
      </w:pPr>
      <w:r>
        <w:rPr>
          <w:rFonts w:ascii="Arial" w:cs="Arial" w:eastAsia="Arial" w:hAnsi="Arial"/>
          <w:sz w:val="18"/>
          <w:szCs w:val="18"/>
          <w:color w:val="465361"/>
        </w:rPr>
        <w:t>the information returns filed with the IRS to report the distributions and withholding may also be made available to the tax authorities in a country in which the non-U.S. holder is a resident under the provisions of an applicable income tax treaty or agreement.</w:t>
      </w:r>
    </w:p>
    <w:p>
      <w:pPr>
        <w:spacing w:after="0" w:line="13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The United States imposes backup withholding, currently at a rate of 24%, on the gross amount of dividends and certain other types of payments. Dividends paid to a non-U.S. holder will not be subject to backup withholding if proper certification of foreign status (usually on IRS Form W-8BEN, W-8BEN-E or W-8ECI, as applicable) is provided and the payor does not have actual knowledge or reason to know that the non-U.S. holder is a U.S. person. In addition, no backup withholding or information reporting will be required regarding the proceeds of a disposition of our common stock made by a non-U.S. holder within the United States or conducted through certain U.S. financial intermediaries if the payor receives the certification of foreign status described in the preceding sentence and does not have actual knowledge or reason to know that such non-U.S. holder is a U.S. person or the non-U.S. holder otherwise establishes an exemption. Non-U.S. holders should consult their tax advisors regarding the application of the information reporting and backup withholding rules to them.</w:t>
      </w:r>
    </w:p>
    <w:p>
      <w:pPr>
        <w:spacing w:after="0" w:line="124"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465361"/>
        </w:rPr>
        <w:t>Backup withholding is not an additional tax. Rather, amounts withheld under the backup withholding rules from a payment to a non-U.S. holder may be credited against the non-U.S. holder’s U.S. federal income tax liability, if any, and may entitle such holder to a refund, provided that certain required information is furnished to the IRS in a timely manner.</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FATCA</w:t>
      </w:r>
    </w:p>
    <w:p>
      <w:pPr>
        <w:spacing w:after="0" w:line="96" w:lineRule="exact"/>
        <w:rPr>
          <w:sz w:val="20"/>
          <w:szCs w:val="20"/>
          <w:color w:val="auto"/>
        </w:rPr>
      </w:pPr>
    </w:p>
    <w:p>
      <w:pPr>
        <w:ind w:left="120" w:right="40"/>
        <w:spacing w:after="0" w:line="302" w:lineRule="auto"/>
        <w:rPr>
          <w:sz w:val="20"/>
          <w:szCs w:val="20"/>
          <w:color w:val="auto"/>
        </w:rPr>
      </w:pPr>
      <w:r>
        <w:rPr>
          <w:rFonts w:ascii="Arial" w:cs="Arial" w:eastAsia="Arial" w:hAnsi="Arial"/>
          <w:sz w:val="15"/>
          <w:szCs w:val="15"/>
          <w:color w:val="465361"/>
        </w:rPr>
        <w:t>In addition to the withholding described above, Sections 1471 through 1474 of the Code, or FATCA, imposes a 30% withholding tax on dividend payments made by a U.S. person to a foreign financial institution or non-financial foreign entity (including, in some cases, when a foreign financial institution or nonfinancial foreign entity is acting as an intermediary), and, subject to the proposed Treasury Regulations discussed below on the gross proceeds received by a foreign financial institution or non-financial foreign entity as a result of a sale or other disposition of shares of stock issued by a U.S. person, unless</w:t>
      </w:r>
    </w:p>
    <w:p>
      <w:pPr>
        <w:spacing w:after="0" w:line="2" w:lineRule="exact"/>
        <w:rPr>
          <w:sz w:val="20"/>
          <w:szCs w:val="20"/>
          <w:color w:val="auto"/>
        </w:rPr>
      </w:pPr>
    </w:p>
    <w:p>
      <w:pPr>
        <w:ind w:left="120" w:right="260" w:hanging="4"/>
        <w:spacing w:after="0" w:line="288" w:lineRule="auto"/>
        <w:tabs>
          <w:tab w:leader="none" w:pos="330" w:val="left"/>
        </w:tabs>
        <w:numPr>
          <w:ilvl w:val="0"/>
          <w:numId w:val="15"/>
        </w:numPr>
        <w:rPr>
          <w:rFonts w:ascii="Arial" w:cs="Arial" w:eastAsia="Arial" w:hAnsi="Arial"/>
          <w:sz w:val="16"/>
          <w:szCs w:val="16"/>
          <w:color w:val="465361"/>
        </w:rPr>
      </w:pPr>
      <w:r>
        <w:rPr>
          <w:rFonts w:ascii="Arial" w:cs="Arial" w:eastAsia="Arial" w:hAnsi="Arial"/>
          <w:sz w:val="16"/>
          <w:szCs w:val="16"/>
          <w:color w:val="465361"/>
        </w:rPr>
        <w:t>in the case of a foreign financial institution, such institution enters into (or is deemed to have entered into) an agreement with the U.S. Treasury Department to withhold on certain payments, and to collect and provide to the U.S. Treasury Department substantial information regarding certain U.S. account holders of such institution (which includes certain equity and debt holders of such institution, as well as certain account holders that are foreign entities with U.S. owners), (ii) in the case of a non-financial foreign entity, such entity provides the withholding agent with a certification identifying the direct and indirect substantial U.S. owners of the entity, or (iii) the foreign financial institution or non-financial foreign entity otherwise qualifies for an exemption from these rules. Under certain circumstances, a non-U.S. holder might be eligible for refunds or credits of such taxes. An intergovernmental agreement between the United States and an applicable foreign country may modify these requirements.</w:t>
      </w:r>
    </w:p>
    <w:p>
      <w:pPr>
        <w:spacing w:after="0" w:line="12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465361"/>
        </w:rPr>
        <w:t>While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40"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color w:val="465361"/>
        </w:rPr>
        <w:t>Non-U.S. holders should consult their tax advisors regarding the possible implications of FATCA to them in connection with the acquisition, ownership and disposition of our common stock.</w:t>
      </w:r>
    </w:p>
    <w:p>
      <w:pPr>
        <w:spacing w:after="0" w:line="126"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b w:val="1"/>
          <w:bCs w:val="1"/>
          <w:color w:val="465361"/>
        </w:rPr>
        <w:t>EACH PROSPECTIVE INVESTOR SHOULD CONSULT ITS OWN TAX ADVISOR REGARDING THE TAX CONSEQUENCES OF PURCHASING, HOLDING AND DISPOSING OF OUR COMMON STOCK, INCLUDING THE CONSEQUENCES OF ANY PROPOSED OR RECENT CHANGES IN APPLICABLE LAW, AS WELL AS TAX CONSEQUENCES ARISING UNDER ANY STATE, LOCAL, NON-U.S. OR U.S. FEDERAL NON-INCOME TAX LAWS OR UNDER ANY APPLICABLE TAX TREATY.</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S-17</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465361"/>
        </w:rPr>
        <w:t>UNDERWRITING</w:t>
      </w:r>
    </w:p>
    <w:p>
      <w:pPr>
        <w:spacing w:after="0" w:line="177"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465361"/>
        </w:rPr>
        <w:t>We are offering the shares of common stock described in this prospectus supplement through Piper Sandler &amp; Co. and Cowen and Company, LLC, as book-running managers. We have entered into an underwriting agreement with Piper Sandler &amp; Co. and Cowen and Company, LLC, as representatives of the several underwriters named below. Subject to the terms and conditions set forth in the underwriting agreement, we have agreed to sell to the underwriters, and each of the underwriters has agreed, severally and not jointly, to purchase from us, at the public offering price less the underwriting discounts and commissions set forth on the cover page of this prospectus the number of shares of common stock listed opposite its name below.</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149"/>
        </w:trPr>
        <w:tc>
          <w:tcPr>
            <w:tcW w:w="7260" w:type="dxa"/>
            <w:vAlign w:val="bottom"/>
            <w:gridSpan w:val="2"/>
            <w:vMerge w:val="restart"/>
          </w:tcPr>
          <w:p>
            <w:pPr>
              <w:spacing w:after="0"/>
              <w:rPr>
                <w:sz w:val="20"/>
                <w:szCs w:val="20"/>
                <w:color w:val="auto"/>
              </w:rPr>
            </w:pPr>
            <w:r>
              <w:rPr>
                <w:rFonts w:ascii="Arial" w:cs="Arial" w:eastAsia="Arial" w:hAnsi="Arial"/>
                <w:sz w:val="13"/>
                <w:szCs w:val="13"/>
                <w:b w:val="1"/>
                <w:bCs w:val="1"/>
                <w:color w:val="465361"/>
              </w:rPr>
              <w:t>Underwriter</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465361"/>
                <w:w w:val="97"/>
              </w:rPr>
              <w:t>Number</w:t>
            </w:r>
          </w:p>
        </w:tc>
        <w:tc>
          <w:tcPr>
            <w:tcW w:w="0" w:type="dxa"/>
            <w:vAlign w:val="bottom"/>
          </w:tcPr>
          <w:p>
            <w:pPr>
              <w:spacing w:after="0"/>
              <w:rPr>
                <w:sz w:val="1"/>
                <w:szCs w:val="1"/>
                <w:color w:val="auto"/>
              </w:rPr>
            </w:pPr>
          </w:p>
        </w:tc>
      </w:tr>
      <w:tr>
        <w:trPr>
          <w:trHeight w:val="148"/>
        </w:trPr>
        <w:tc>
          <w:tcPr>
            <w:tcW w:w="7260" w:type="dxa"/>
            <w:vAlign w:val="bottom"/>
            <w:gridSpan w:val="2"/>
            <w:vMerge w:val="continue"/>
          </w:tcPr>
          <w:p>
            <w:pPr>
              <w:spacing w:after="0"/>
              <w:rPr>
                <w:sz w:val="12"/>
                <w:szCs w:val="12"/>
                <w:color w:val="auto"/>
              </w:rPr>
            </w:pPr>
          </w:p>
        </w:tc>
        <w:tc>
          <w:tcPr>
            <w:tcW w:w="10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465361"/>
                <w:w w:val="87"/>
              </w:rPr>
              <w:t>of Shares</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465361"/>
              </w:rPr>
              <w:t>Piper Sandler &amp; Co.</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465361"/>
              </w:rPr>
              <w:t>1,187,875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465361"/>
              </w:rPr>
              <w:t>Cowen and Company, LLC</w:t>
            </w:r>
          </w:p>
        </w:tc>
        <w:tc>
          <w:tcPr>
            <w:tcW w:w="920" w:type="dxa"/>
            <w:vAlign w:val="bottom"/>
          </w:tcPr>
          <w:p>
            <w:pPr>
              <w:jc w:val="right"/>
              <w:spacing w:after="0"/>
              <w:rPr>
                <w:sz w:val="20"/>
                <w:szCs w:val="20"/>
                <w:color w:val="auto"/>
              </w:rPr>
            </w:pPr>
            <w:r>
              <w:rPr>
                <w:rFonts w:ascii="Arial" w:cs="Arial" w:eastAsia="Arial" w:hAnsi="Arial"/>
                <w:sz w:val="18"/>
                <w:szCs w:val="18"/>
                <w:color w:val="465361"/>
              </w:rPr>
              <w:t>1,048,125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465361"/>
              </w:rPr>
              <w:t>BTIG,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349,375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465361"/>
              </w:rPr>
              <w:t>Lake Street Capital Markets, LLC</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209,625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465361"/>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2,795,000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20" w:right="20"/>
        <w:spacing w:after="0" w:line="298" w:lineRule="auto"/>
        <w:rPr>
          <w:sz w:val="20"/>
          <w:szCs w:val="20"/>
          <w:color w:val="auto"/>
        </w:rPr>
      </w:pPr>
      <w:r>
        <w:rPr>
          <w:rFonts w:ascii="Arial" w:cs="Arial" w:eastAsia="Arial" w:hAnsi="Arial"/>
          <w:sz w:val="16"/>
          <w:szCs w:val="16"/>
          <w:color w:val="465361"/>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w:t>
      </w:r>
    </w:p>
    <w:p>
      <w:pPr>
        <w:spacing w:after="0" w:line="112" w:lineRule="exact"/>
        <w:rPr>
          <w:sz w:val="20"/>
          <w:szCs w:val="20"/>
          <w:color w:val="auto"/>
        </w:rPr>
      </w:pPr>
    </w:p>
    <w:p>
      <w:pPr>
        <w:jc w:val="both"/>
        <w:ind w:left="120" w:right="120"/>
        <w:spacing w:after="0" w:line="306" w:lineRule="auto"/>
        <w:rPr>
          <w:sz w:val="20"/>
          <w:szCs w:val="20"/>
          <w:color w:val="auto"/>
        </w:rPr>
      </w:pPr>
      <w:r>
        <w:rPr>
          <w:rFonts w:ascii="Arial" w:cs="Arial" w:eastAsia="Arial" w:hAnsi="Arial"/>
          <w:sz w:val="16"/>
          <w:szCs w:val="16"/>
          <w:color w:val="465361"/>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Option to Purchase Additional Shares</w:t>
      </w:r>
    </w:p>
    <w:p>
      <w:pPr>
        <w:spacing w:after="0" w:line="96" w:lineRule="exact"/>
        <w:rPr>
          <w:sz w:val="20"/>
          <w:szCs w:val="20"/>
          <w:color w:val="auto"/>
        </w:rPr>
      </w:pPr>
    </w:p>
    <w:p>
      <w:pPr>
        <w:ind w:left="120" w:right="40"/>
        <w:spacing w:after="0" w:line="298" w:lineRule="auto"/>
        <w:rPr>
          <w:sz w:val="20"/>
          <w:szCs w:val="20"/>
          <w:color w:val="auto"/>
        </w:rPr>
      </w:pPr>
      <w:r>
        <w:rPr>
          <w:rFonts w:ascii="Arial" w:cs="Arial" w:eastAsia="Arial" w:hAnsi="Arial"/>
          <w:sz w:val="16"/>
          <w:szCs w:val="16"/>
          <w:color w:val="465361"/>
        </w:rPr>
        <w:t>We have granted the underwriters an option to purchase up to 419,250 additional shares of common stock from us.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Discounts, Commissions and Expenses</w:t>
      </w:r>
    </w:p>
    <w:p>
      <w:pPr>
        <w:spacing w:after="0" w:line="9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465361"/>
        </w:rPr>
        <w:t>The underwriters have advised us that they propose to offer the shares of common stock to the public at the offering price set forth on the cover page of this prospectus supplement. The underwriters propose to offer the shares to certain dealers, which may include the underwriters, at that price less a concession not in excess of $0.87075 per share of common stock. After the offering, if all of the shares of common stock are not sold at the public offering price, the public offering price and concession may be reduced by the representatives. No such reduction will change the amount of proceeds to be received by us as set forth on the cover of this prospectus.</w:t>
      </w:r>
    </w:p>
    <w:p>
      <w:pPr>
        <w:spacing w:after="0" w:line="147" w:lineRule="exact"/>
        <w:rPr>
          <w:sz w:val="20"/>
          <w:szCs w:val="20"/>
          <w:color w:val="auto"/>
        </w:rPr>
      </w:pPr>
    </w:p>
    <w:p>
      <w:pPr>
        <w:ind w:left="120" w:right="200"/>
        <w:spacing w:after="0" w:line="369" w:lineRule="auto"/>
        <w:rPr>
          <w:sz w:val="20"/>
          <w:szCs w:val="20"/>
          <w:color w:val="auto"/>
        </w:rPr>
      </w:pPr>
      <w:r>
        <w:rPr>
          <w:rFonts w:ascii="Arial" w:cs="Arial" w:eastAsia="Arial" w:hAnsi="Arial"/>
          <w:sz w:val="15"/>
          <w:szCs w:val="15"/>
          <w:color w:val="465361"/>
        </w:rPr>
        <w:t>The underwriting fee is equal to the public offering price per share of common stock less the amount paid by the underwriters to us per share of common stock. The following table shows the per share and total underwriting discounts and commissions to be paid to the underwriters in connection with this</w:t>
      </w:r>
    </w:p>
    <w:p>
      <w:pPr>
        <w:spacing w:after="0" w:line="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465361"/>
        </w:rPr>
        <w:t>S-18</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offering, assuming both no exercise and full exercise of the underwriters’ option to purchase additional shares:</w:t>
      </w:r>
    </w:p>
    <w:p>
      <w:pPr>
        <w:spacing w:after="0" w:line="206" w:lineRule="exact"/>
        <w:rPr>
          <w:sz w:val="20"/>
          <w:szCs w:val="20"/>
          <w:color w:val="auto"/>
        </w:rPr>
      </w:pPr>
    </w:p>
    <w:tbl>
      <w:tblPr>
        <w:tblLayout w:type="fixed"/>
        <w:tblInd w:w="150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b w:val="1"/>
                <w:bCs w:val="1"/>
                <w:color w:val="465361"/>
                <w:w w:val="93"/>
              </w:rPr>
              <w:t>Total Without</w:t>
            </w:r>
          </w:p>
        </w:tc>
        <w:tc>
          <w:tcPr>
            <w:tcW w:w="30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b w:val="1"/>
                <w:bCs w:val="1"/>
                <w:color w:val="465361"/>
              </w:rPr>
              <w:t>Total With Full</w:t>
            </w:r>
          </w:p>
        </w:tc>
      </w:tr>
      <w:tr>
        <w:trPr>
          <w:trHeight w:val="161"/>
        </w:trPr>
        <w:tc>
          <w:tcPr>
            <w:tcW w:w="48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465361"/>
              </w:rPr>
              <w:t>Per Share</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465361"/>
                <w:w w:val="94"/>
              </w:rPr>
              <w:t>Option Exercise</w:t>
            </w:r>
          </w:p>
        </w:tc>
        <w:tc>
          <w:tcPr>
            <w:tcW w:w="3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465361"/>
              </w:rPr>
              <w:t>Option Exercise</w:t>
            </w:r>
          </w:p>
        </w:tc>
      </w:tr>
      <w:tr>
        <w:trPr>
          <w:trHeight w:val="209"/>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465361"/>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21.50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97"/>
              </w:rPr>
              <w:t>60,092,500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465361"/>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93"/>
              </w:rPr>
              <w:t>69,106,375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465361"/>
              </w:rPr>
              <w:t>Underwriting discounts and commissions</w:t>
            </w:r>
          </w:p>
        </w:tc>
        <w:tc>
          <w:tcPr>
            <w:tcW w:w="100" w:type="dxa"/>
            <w:vAlign w:val="bottom"/>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Pr>
          <w:p>
            <w:pPr>
              <w:jc w:val="right"/>
              <w:spacing w:after="0"/>
              <w:rPr>
                <w:sz w:val="20"/>
                <w:szCs w:val="20"/>
                <w:color w:val="auto"/>
              </w:rPr>
            </w:pPr>
            <w:r>
              <w:rPr>
                <w:rFonts w:ascii="Arial" w:cs="Arial" w:eastAsia="Arial" w:hAnsi="Arial"/>
                <w:sz w:val="18"/>
                <w:szCs w:val="18"/>
                <w:color w:val="465361"/>
                <w:w w:val="89"/>
              </w:rPr>
              <w:t>1.45125</w:t>
            </w:r>
          </w:p>
        </w:tc>
        <w:tc>
          <w:tcPr>
            <w:tcW w:w="40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900" w:type="dxa"/>
            <w:vAlign w:val="bottom"/>
          </w:tcPr>
          <w:p>
            <w:pPr>
              <w:jc w:val="right"/>
              <w:spacing w:after="0"/>
              <w:rPr>
                <w:sz w:val="20"/>
                <w:szCs w:val="20"/>
                <w:color w:val="auto"/>
              </w:rPr>
            </w:pPr>
            <w:r>
              <w:rPr>
                <w:rFonts w:ascii="Arial" w:cs="Arial" w:eastAsia="Arial" w:hAnsi="Arial"/>
                <w:sz w:val="18"/>
                <w:szCs w:val="18"/>
                <w:color w:val="465361"/>
              </w:rPr>
              <w:t>4,056,244</w:t>
            </w:r>
          </w:p>
        </w:tc>
        <w:tc>
          <w:tcPr>
            <w:tcW w:w="460" w:type="dxa"/>
            <w:vAlign w:val="bottom"/>
            <w:gridSpan w:val="2"/>
          </w:tcPr>
          <w:p>
            <w:pPr>
              <w:jc w:val="right"/>
              <w:ind w:right="9"/>
              <w:spacing w:after="0"/>
              <w:rPr>
                <w:sz w:val="20"/>
                <w:szCs w:val="20"/>
                <w:color w:val="auto"/>
              </w:rPr>
            </w:pPr>
            <w:r>
              <w:rPr>
                <w:rFonts w:ascii="Arial" w:cs="Arial" w:eastAsia="Arial" w:hAnsi="Arial"/>
                <w:sz w:val="18"/>
                <w:szCs w:val="18"/>
                <w:color w:val="465361"/>
              </w:rPr>
              <w:t>$</w:t>
            </w:r>
          </w:p>
        </w:tc>
        <w:tc>
          <w:tcPr>
            <w:tcW w:w="860" w:type="dxa"/>
            <w:vAlign w:val="bottom"/>
          </w:tcPr>
          <w:p>
            <w:pPr>
              <w:jc w:val="right"/>
              <w:spacing w:after="0"/>
              <w:rPr>
                <w:sz w:val="20"/>
                <w:szCs w:val="20"/>
                <w:color w:val="auto"/>
              </w:rPr>
            </w:pPr>
            <w:r>
              <w:rPr>
                <w:rFonts w:ascii="Arial" w:cs="Arial" w:eastAsia="Arial" w:hAnsi="Arial"/>
                <w:sz w:val="18"/>
                <w:szCs w:val="18"/>
                <w:color w:val="465361"/>
              </w:rPr>
              <w:t>4,664,680</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89"/>
              </w:rPr>
              <w:t>20.0488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7"/>
              </w:rPr>
              <w:t>56,036,256</w:t>
            </w:r>
          </w:p>
        </w:tc>
        <w:tc>
          <w:tcPr>
            <w:tcW w:w="4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46536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3"/>
              </w:rPr>
              <w:t>64,441,695</w:t>
            </w:r>
          </w:p>
        </w:tc>
        <w:tc>
          <w:tcPr>
            <w:tcW w:w="8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120" w:right="60"/>
        <w:spacing w:after="0" w:line="306" w:lineRule="auto"/>
        <w:rPr>
          <w:sz w:val="20"/>
          <w:szCs w:val="20"/>
          <w:color w:val="auto"/>
        </w:rPr>
      </w:pPr>
      <w:r>
        <w:rPr>
          <w:rFonts w:ascii="Arial" w:cs="Arial" w:eastAsia="Arial" w:hAnsi="Arial"/>
          <w:sz w:val="16"/>
          <w:szCs w:val="16"/>
          <w:color w:val="465361"/>
        </w:rPr>
        <w:t>We estimate that the total fees and expenses payable by us, excluding underwriting discount, will be approximately $235,000. We have agreed to reimburse the underwriters for certain expenses incurred by them in connection with the offering, including $125,000 for legal expenses, in addition to the legal and other expenses relating to the clearing of the offering with the Financial Industry Regulatory Authority.</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Indemnification of Underwriters</w:t>
      </w:r>
    </w:p>
    <w:p>
      <w:pPr>
        <w:spacing w:after="0" w:line="96" w:lineRule="exact"/>
        <w:rPr>
          <w:sz w:val="20"/>
          <w:szCs w:val="20"/>
          <w:color w:val="auto"/>
        </w:rPr>
      </w:pPr>
    </w:p>
    <w:p>
      <w:pPr>
        <w:ind w:left="120" w:right="160"/>
        <w:spacing w:after="0" w:line="268" w:lineRule="auto"/>
        <w:rPr>
          <w:sz w:val="20"/>
          <w:szCs w:val="20"/>
          <w:color w:val="auto"/>
        </w:rPr>
      </w:pPr>
      <w:r>
        <w:rPr>
          <w:rFonts w:ascii="Arial" w:cs="Arial" w:eastAsia="Arial" w:hAnsi="Arial"/>
          <w:sz w:val="18"/>
          <w:szCs w:val="18"/>
          <w:color w:val="465361"/>
        </w:rPr>
        <w:t>We have agreed to indemnify the underwriters against certain liabilities, including liabilities under the Securities Act, or to contribute to payments that the underwriters may be required to make in respect of those liabilities.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No Sales of Similar Securities</w:t>
      </w:r>
    </w:p>
    <w:p>
      <w:pPr>
        <w:spacing w:after="0" w:line="9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We have agreed that, subject to specified limited exceptions, for a period of 90 days from the date of this prospectus supplement (the “</w:t>
      </w:r>
      <w:r>
        <w:rPr>
          <w:rFonts w:ascii="Arial" w:cs="Arial" w:eastAsia="Arial" w:hAnsi="Arial"/>
          <w:sz w:val="16"/>
          <w:szCs w:val="16"/>
          <w:b w:val="1"/>
          <w:bCs w:val="1"/>
          <w:color w:val="465361"/>
        </w:rPr>
        <w:t>Lockup Period</w:t>
      </w:r>
      <w:r>
        <w:rPr>
          <w:rFonts w:ascii="Arial" w:cs="Arial" w:eastAsia="Arial" w:hAnsi="Arial"/>
          <w:sz w:val="16"/>
          <w:szCs w:val="16"/>
          <w:color w:val="465361"/>
        </w:rPr>
        <w:t>”), we will not, without the prior written consent of Piper Sandler &amp; Co. and Cowen and Company, LLC, (A) offer, sell, contract to sell, pledge, grant any option to purchase, make any short sale or otherwise transfer or dispose of, directly or indirectly, or file with the SEC a registration statement under the Act relating to, any securities of the Company that are substantially similar to the common stock offered hereby,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(B) enter into any swap or other agreement that transfers, in whole or in part, any of the economic consequences of ownership of the common stock or any such other securities, whether any such transaction described in clause (A) or (B) above is to be settled by delivery of common stock or such other securities, in cash or otherwise (other than the Securities to be sold hereunder or pursuant to employee stock option plans existing on, or upon the conversion or exchange of convertible or exchangeable securities outstanding as of, the date hereof).</w:t>
      </w:r>
    </w:p>
    <w:p>
      <w:pPr>
        <w:spacing w:after="0" w:line="120" w:lineRule="exact"/>
        <w:rPr>
          <w:sz w:val="20"/>
          <w:szCs w:val="20"/>
          <w:color w:val="auto"/>
        </w:rPr>
      </w:pPr>
    </w:p>
    <w:p>
      <w:pPr>
        <w:ind w:left="120" w:right="80"/>
        <w:spacing w:after="0" w:line="308" w:lineRule="auto"/>
        <w:rPr>
          <w:sz w:val="20"/>
          <w:szCs w:val="20"/>
          <w:color w:val="auto"/>
        </w:rPr>
      </w:pPr>
      <w:r>
        <w:rPr>
          <w:rFonts w:ascii="Arial" w:cs="Arial" w:eastAsia="Arial" w:hAnsi="Arial"/>
          <w:sz w:val="15"/>
          <w:szCs w:val="15"/>
          <w:color w:val="465361"/>
        </w:rPr>
        <w:t>Additionally, our executive officers and directors have agreed that, subject to certain exceptions, without the prior written consent of Piper Sandler &amp; Co. and Cowen and Company, LLC, for a period of 90 days from the date of this prospectus supplement, they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(including without limitation, common stock which may be deemed to be beneficially owned by the undersigned in accordance with the rules and regulations of the SEC and securities which may be issued upon exercise of a stock option or warrant) whether now owned or hereafter acquired; (2) enter into any swap or other agreement that transfers, in whole or in part, any of the economic consequences of ownership of the holder’s securities, whether any such transaction described in clause (1) or (2) above is to be settled by delivery of common stock or such other securities, in cash or otherwise; (3) make any demand for or exercise any right with respect to, the registration of any common stock or any security convertible into or exercisable or exchangeable for common stock; or (4) publicly disclose the intention to do any of the foregoing.</w:t>
      </w: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spacing w:after="0" w:line="268" w:lineRule="auto"/>
        <w:rPr>
          <w:sz w:val="20"/>
          <w:szCs w:val="20"/>
          <w:color w:val="auto"/>
        </w:rPr>
      </w:pPr>
      <w:r>
        <w:rPr>
          <w:rFonts w:ascii="Arial" w:cs="Arial" w:eastAsia="Arial" w:hAnsi="Arial"/>
          <w:sz w:val="18"/>
          <w:szCs w:val="18"/>
          <w:color w:val="465361"/>
        </w:rPr>
        <w:t>The restrictions described in the immediately preceding paragraph contained in the lock-up agreements with our directors and executive officers are subject to specified exceptions, including:</w:t>
      </w:r>
    </w:p>
    <w:p>
      <w:pPr>
        <w:spacing w:after="0" w:line="5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transfers as a bona fide gift or gifts;</w:t>
      </w:r>
    </w:p>
    <w:p>
      <w:pPr>
        <w:spacing w:after="0" w:line="90" w:lineRule="exact"/>
        <w:rPr>
          <w:rFonts w:ascii="Arial" w:cs="Arial" w:eastAsia="Arial" w:hAnsi="Arial"/>
          <w:sz w:val="18"/>
          <w:szCs w:val="18"/>
          <w:color w:val="465361"/>
        </w:rPr>
      </w:pPr>
    </w:p>
    <w:p>
      <w:pPr>
        <w:ind w:left="1300" w:hanging="644"/>
        <w:spacing w:after="0"/>
        <w:tabs>
          <w:tab w:leader="none" w:pos="13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transfers to any trust for the direct or indirect benefit of the undersigned or the immediate family of the holder;</w:t>
      </w:r>
    </w:p>
    <w:p>
      <w:pPr>
        <w:spacing w:after="0" w:line="90" w:lineRule="exact"/>
        <w:rPr>
          <w:rFonts w:ascii="Arial" w:cs="Arial" w:eastAsia="Arial" w:hAnsi="Arial"/>
          <w:sz w:val="18"/>
          <w:szCs w:val="18"/>
          <w:color w:val="465361"/>
        </w:rPr>
      </w:pPr>
    </w:p>
    <w:p>
      <w:pPr>
        <w:ind w:left="1300" w:hanging="644"/>
        <w:spacing w:after="0" w:line="298" w:lineRule="auto"/>
        <w:tabs>
          <w:tab w:leader="none" w:pos="1300" w:val="left"/>
        </w:tabs>
        <w:numPr>
          <w:ilvl w:val="0"/>
          <w:numId w:val="16"/>
        </w:numPr>
        <w:rPr>
          <w:rFonts w:ascii="Arial" w:cs="Arial" w:eastAsia="Arial" w:hAnsi="Arial"/>
          <w:sz w:val="16"/>
          <w:szCs w:val="16"/>
          <w:color w:val="465361"/>
        </w:rPr>
      </w:pPr>
      <w:r>
        <w:rPr>
          <w:rFonts w:ascii="Arial" w:cs="Arial" w:eastAsia="Arial" w:hAnsi="Arial"/>
          <w:sz w:val="16"/>
          <w:szCs w:val="16"/>
          <w:color w:val="465361"/>
        </w:rPr>
        <w:t>if the holder is a corporation, partnership, limited liability company, trust or other business entity (1) transfers to another corporation, partnership, limited liability company, trust or other business entity that is a direct or indirect affiliate (as defined in Rule 405 promulgated under the Securities Act of 1933, as amended) of the undersigned or (2) distributions of shares of common stock or any security convertible into or exercisable for common stock to limited partners, limited liability company members or stockholders of the holder;</w:t>
      </w:r>
    </w:p>
    <w:p>
      <w:pPr>
        <w:spacing w:after="0" w:line="31" w:lineRule="exact"/>
        <w:rPr>
          <w:rFonts w:ascii="Arial" w:cs="Arial" w:eastAsia="Arial" w:hAnsi="Arial"/>
          <w:sz w:val="16"/>
          <w:szCs w:val="16"/>
          <w:color w:val="465361"/>
        </w:rPr>
      </w:pPr>
    </w:p>
    <w:p>
      <w:pPr>
        <w:ind w:left="1300" w:hanging="644"/>
        <w:spacing w:after="0"/>
        <w:tabs>
          <w:tab w:leader="none" w:pos="13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if the holder is a trust, transfers to the beneficiary of such trust;</w:t>
      </w:r>
    </w:p>
    <w:p>
      <w:pPr>
        <w:spacing w:after="0" w:line="90" w:lineRule="exact"/>
        <w:rPr>
          <w:rFonts w:ascii="Arial" w:cs="Arial" w:eastAsia="Arial" w:hAnsi="Arial"/>
          <w:sz w:val="18"/>
          <w:szCs w:val="18"/>
          <w:color w:val="465361"/>
        </w:rPr>
      </w:pPr>
    </w:p>
    <w:p>
      <w:pPr>
        <w:ind w:left="1300" w:hanging="644"/>
        <w:spacing w:after="0"/>
        <w:tabs>
          <w:tab w:leader="none" w:pos="13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transfers by testate succession or intestate succession;</w:t>
      </w:r>
    </w:p>
    <w:p>
      <w:pPr>
        <w:spacing w:after="0" w:line="90" w:lineRule="exact"/>
        <w:rPr>
          <w:rFonts w:ascii="Arial" w:cs="Arial" w:eastAsia="Arial" w:hAnsi="Arial"/>
          <w:sz w:val="18"/>
          <w:szCs w:val="18"/>
          <w:color w:val="465361"/>
        </w:rPr>
      </w:pPr>
    </w:p>
    <w:p>
      <w:pPr>
        <w:ind w:left="1300" w:hanging="644"/>
        <w:spacing w:after="0"/>
        <w:tabs>
          <w:tab w:leader="none" w:pos="13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transfers pursuant to the underwriting agreement; or</w:t>
      </w:r>
    </w:p>
    <w:p>
      <w:pPr>
        <w:spacing w:after="0" w:line="90" w:lineRule="exact"/>
        <w:rPr>
          <w:rFonts w:ascii="Arial" w:cs="Arial" w:eastAsia="Arial" w:hAnsi="Arial"/>
          <w:sz w:val="18"/>
          <w:szCs w:val="18"/>
          <w:color w:val="465361"/>
        </w:rPr>
      </w:pPr>
    </w:p>
    <w:p>
      <w:pPr>
        <w:ind w:left="1300" w:hanging="644"/>
        <w:spacing w:after="0"/>
        <w:tabs>
          <w:tab w:leader="none" w:pos="13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in the case of one officer, transfers or sales of common stock pursuant to an existing divorce decree.</w:t>
      </w:r>
    </w:p>
    <w:p>
      <w:pPr>
        <w:spacing w:after="0" w:line="171" w:lineRule="exact"/>
        <w:rPr>
          <w:sz w:val="20"/>
          <w:szCs w:val="20"/>
          <w:color w:val="auto"/>
        </w:rPr>
      </w:pPr>
    </w:p>
    <w:p>
      <w:pPr>
        <w:ind w:left="120" w:right="120"/>
        <w:spacing w:after="0" w:line="306" w:lineRule="auto"/>
        <w:rPr>
          <w:sz w:val="20"/>
          <w:szCs w:val="20"/>
          <w:color w:val="auto"/>
        </w:rPr>
      </w:pPr>
      <w:r>
        <w:rPr>
          <w:rFonts w:ascii="Arial" w:cs="Arial" w:eastAsia="Arial" w:hAnsi="Arial"/>
          <w:sz w:val="16"/>
          <w:szCs w:val="16"/>
          <w:color w:val="465361"/>
        </w:rPr>
        <w:t>provided, in the case of clauses (i)-(v) above, that (x) such transfer shall not involve a disposition for value, (y) the transferee agrees in writing with the underwriters to be bound by the terms of the lock-up agreement, and (z) no filing by any party under Section 16(a) of the Securities Exchange Act of 1934, as amended (the “Exchange Act”), shall be required or shall be made voluntarily in connection with such transfer.</w:t>
      </w:r>
    </w:p>
    <w:p>
      <w:pPr>
        <w:spacing w:after="0" w:line="106" w:lineRule="exact"/>
        <w:rPr>
          <w:sz w:val="20"/>
          <w:szCs w:val="20"/>
          <w:color w:val="auto"/>
        </w:rPr>
      </w:pPr>
    </w:p>
    <w:p>
      <w:pPr>
        <w:ind w:left="120" w:right="760"/>
        <w:spacing w:after="0" w:line="268" w:lineRule="auto"/>
        <w:rPr>
          <w:sz w:val="20"/>
          <w:szCs w:val="20"/>
          <w:color w:val="auto"/>
        </w:rPr>
      </w:pPr>
      <w:r>
        <w:rPr>
          <w:rFonts w:ascii="Arial" w:cs="Arial" w:eastAsia="Arial" w:hAnsi="Arial"/>
          <w:sz w:val="18"/>
          <w:szCs w:val="18"/>
          <w:color w:val="465361"/>
        </w:rPr>
        <w:t>Piper Sandler &amp; Co. and Cowen and Company, LLC, in their discretion, may release the common stock and other securities subject to the lock-up agreements described above in whole or in part at any time.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Listing</w:t>
      </w:r>
    </w:p>
    <w:p>
      <w:pPr>
        <w:spacing w:after="0" w:line="96"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color w:val="465361"/>
        </w:rPr>
        <w:t>Our common stock is listed on Nasdaq Stock Market LLC under the symbol “RCEL.” Our CDIs are listed on the Australian Securities Exchange under the symbol “AVH,” with five CDIs being equivalent to one share of our common stock.</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Price Stabilization, Short Positions and Penalty Bids</w:t>
      </w:r>
    </w:p>
    <w:p>
      <w:pPr>
        <w:spacing w:after="0" w:line="96"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465361"/>
        </w:rPr>
        <w:t>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w:t>
      </w:r>
    </w:p>
    <w:p>
      <w:pPr>
        <w:spacing w:after="0" w:line="147" w:lineRule="exact"/>
        <w:rPr>
          <w:sz w:val="20"/>
          <w:szCs w:val="20"/>
          <w:color w:val="auto"/>
        </w:rPr>
      </w:pPr>
    </w:p>
    <w:p>
      <w:pPr>
        <w:ind w:left="120" w:right="60"/>
        <w:spacing w:after="0" w:line="294" w:lineRule="auto"/>
        <w:rPr>
          <w:sz w:val="20"/>
          <w:szCs w:val="20"/>
          <w:color w:val="auto"/>
        </w:rPr>
      </w:pPr>
      <w:r>
        <w:rPr>
          <w:rFonts w:ascii="Arial" w:cs="Arial" w:eastAsia="Arial" w:hAnsi="Arial"/>
          <w:sz w:val="16"/>
          <w:szCs w:val="16"/>
          <w:color w:val="465361"/>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465361"/>
        </w:rPr>
        <w:t>common stock to the extent that it discourages resales of the common stock. The magnitude or effect of any stabilization or other transactions is uncertain. These transactions may be effected on The Nasdaq Stock Exchange or otherwise and, if commenced, may be discontinued at any time. The underwriters may also engage in passive market making transactions in our common stock. Passive market making consists of displaying bids on The Nasdaq Stock Exchange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the common stock at a level above that which might otherwise prevail in the open market and, if commenced, may be discontinued at any time.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Other Activities and Relationships</w:t>
      </w:r>
    </w:p>
    <w:p>
      <w:pPr>
        <w:spacing w:after="0" w:line="9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465361"/>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In addition, from time to time, certain of the underwriters and their respective affiliates may effect transactions for their own account or the account of customers, and hold on behalf of themselves or their customers, long or short positions in our debt or equity securities or loans, and may do so in the future.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Selling Restrictions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General</w:t>
      </w:r>
    </w:p>
    <w:p>
      <w:pPr>
        <w:spacing w:after="0" w:line="9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465361"/>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Notice to prospective investors in the European Economic Area</w:t>
      </w:r>
    </w:p>
    <w:p>
      <w:pPr>
        <w:spacing w:after="0" w:line="90"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465361"/>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6" w:lineRule="exact"/>
        <w:rPr>
          <w:sz w:val="20"/>
          <w:szCs w:val="20"/>
          <w:color w:val="auto"/>
        </w:rPr>
      </w:pPr>
    </w:p>
    <w:p>
      <w:pPr>
        <w:ind w:left="580" w:hanging="244"/>
        <w:spacing w:after="0"/>
        <w:tabs>
          <w:tab w:leader="none" w:pos="58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to any legal entity which is a qualified investor as defined under the Prospectus Regulation;</w:t>
      </w:r>
    </w:p>
    <w:p>
      <w:pPr>
        <w:spacing w:after="0" w:line="90" w:lineRule="exact"/>
        <w:rPr>
          <w:rFonts w:ascii="Arial" w:cs="Arial" w:eastAsia="Arial" w:hAnsi="Arial"/>
          <w:sz w:val="18"/>
          <w:szCs w:val="18"/>
          <w:color w:val="465361"/>
        </w:rPr>
      </w:pPr>
    </w:p>
    <w:p>
      <w:pPr>
        <w:ind w:left="340" w:right="180" w:hanging="4"/>
        <w:spacing w:after="0" w:line="268" w:lineRule="auto"/>
        <w:tabs>
          <w:tab w:leader="none" w:pos="589"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to fewer than 150 natural or legal persons (other than qualified investors as defined under the Prospectus Regulation), subject to obtaining the prior consent of the underwriters; 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color w:val="465361"/>
        </w:rPr>
        <w:t>(c) in any other circumstances falling within Article 1(4) of the Prospectus Regulation,</w:t>
      </w:r>
    </w:p>
    <w:p>
      <w:pPr>
        <w:spacing w:after="0" w:line="15" w:lineRule="exact"/>
        <w:rPr>
          <w:sz w:val="20"/>
          <w:szCs w:val="20"/>
          <w:color w:val="auto"/>
        </w:rPr>
      </w:pPr>
    </w:p>
    <w:p>
      <w:pPr>
        <w:ind w:left="340" w:right="60"/>
        <w:spacing w:after="0" w:line="286" w:lineRule="auto"/>
        <w:rPr>
          <w:sz w:val="20"/>
          <w:szCs w:val="20"/>
          <w:color w:val="auto"/>
        </w:rPr>
      </w:pPr>
      <w:r>
        <w:rPr>
          <w:rFonts w:ascii="Arial" w:cs="Arial" w:eastAsia="Arial" w:hAnsi="Arial"/>
          <w:sz w:val="16"/>
          <w:szCs w:val="16"/>
          <w:color w:val="465361"/>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26" w:lineRule="exact"/>
        <w:rPr>
          <w:sz w:val="20"/>
          <w:szCs w:val="20"/>
          <w:color w:val="auto"/>
        </w:rPr>
      </w:pPr>
    </w:p>
    <w:p>
      <w:pPr>
        <w:ind w:left="120" w:right="140"/>
        <w:spacing w:after="0" w:line="306" w:lineRule="auto"/>
        <w:rPr>
          <w:sz w:val="20"/>
          <w:szCs w:val="20"/>
          <w:color w:val="auto"/>
        </w:rPr>
      </w:pPr>
      <w:r>
        <w:rPr>
          <w:rFonts w:ascii="Arial" w:cs="Arial" w:eastAsia="Arial" w:hAnsi="Arial"/>
          <w:sz w:val="16"/>
          <w:szCs w:val="16"/>
          <w:color w:val="465361"/>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465361"/>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Notice to prospective investors in the United Kingdom</w:t>
      </w:r>
    </w:p>
    <w:p>
      <w:pPr>
        <w:spacing w:after="0" w:line="9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465361"/>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66" w:lineRule="exact"/>
        <w:rPr>
          <w:sz w:val="20"/>
          <w:szCs w:val="20"/>
          <w:color w:val="auto"/>
        </w:rPr>
      </w:pPr>
    </w:p>
    <w:p>
      <w:pPr>
        <w:ind w:left="1420" w:hanging="427"/>
        <w:spacing w:after="0"/>
        <w:tabs>
          <w:tab w:leader="none" w:pos="142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to any legal entity which is a qualified investor as defined in Article 2 of the UK Prospectus Regulation;</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8"/>
        </w:numPr>
        <w:rPr>
          <w:rFonts w:ascii="Arial" w:cs="Arial" w:eastAsia="Arial" w:hAnsi="Arial"/>
          <w:sz w:val="16"/>
          <w:szCs w:val="16"/>
          <w:color w:val="465361"/>
        </w:rPr>
      </w:pPr>
      <w:r>
        <w:rPr>
          <w:rFonts w:ascii="Arial" w:cs="Arial" w:eastAsia="Arial" w:hAnsi="Arial"/>
          <w:sz w:val="16"/>
          <w:szCs w:val="16"/>
          <w:color w:val="465361"/>
        </w:rPr>
        <w:t>to fewer than 150 natural or legal persons (other than qualified investors as defined in Article 2 of the UK Prospectus Regulation); or</w:t>
      </w:r>
    </w:p>
    <w:p>
      <w:pPr>
        <w:spacing w:after="0" w:line="113" w:lineRule="exact"/>
        <w:rPr>
          <w:rFonts w:ascii="Arial" w:cs="Arial" w:eastAsia="Arial" w:hAnsi="Arial"/>
          <w:sz w:val="16"/>
          <w:szCs w:val="16"/>
          <w:color w:val="465361"/>
        </w:rPr>
      </w:pPr>
    </w:p>
    <w:p>
      <w:pPr>
        <w:ind w:left="1420" w:hanging="427"/>
        <w:spacing w:after="0"/>
        <w:tabs>
          <w:tab w:leader="none" w:pos="142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in any other circumstances falling within section 86 of the Financial Services and Markets Act 2000 (“FSMA”),</w:t>
      </w:r>
    </w:p>
    <w:p>
      <w:pPr>
        <w:spacing w:after="0" w:line="171"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465361"/>
        </w:rPr>
        <w:t>provided that no such offer of shares shall require the Issuer or any representative to publish a prospectus pursuant to section 85 of the FSMA or supplement a prospectus pursuant to Article 23 of the UK Prospectus Regulation.</w:t>
      </w:r>
    </w:p>
    <w:p>
      <w:pPr>
        <w:spacing w:after="0" w:line="132"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color w:val="465361"/>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60"/>
        <w:spacing w:after="0" w:line="306" w:lineRule="auto"/>
        <w:rPr>
          <w:sz w:val="20"/>
          <w:szCs w:val="20"/>
          <w:color w:val="auto"/>
        </w:rPr>
      </w:pPr>
      <w:r>
        <w:rPr>
          <w:rFonts w:ascii="Arial" w:cs="Arial" w:eastAsia="Arial" w:hAnsi="Arial"/>
          <w:sz w:val="16"/>
          <w:szCs w:val="16"/>
          <w:color w:val="465361"/>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Notice to Prospective Investors in Australia</w:t>
      </w:r>
    </w:p>
    <w:p>
      <w:pPr>
        <w:spacing w:after="0" w:line="90" w:lineRule="exact"/>
        <w:rPr>
          <w:sz w:val="20"/>
          <w:szCs w:val="20"/>
          <w:color w:val="auto"/>
        </w:rPr>
      </w:pPr>
    </w:p>
    <w:p>
      <w:pPr>
        <w:ind w:left="120" w:right="140"/>
        <w:spacing w:after="0" w:line="312" w:lineRule="auto"/>
        <w:rPr>
          <w:sz w:val="20"/>
          <w:szCs w:val="20"/>
          <w:color w:val="auto"/>
        </w:rPr>
      </w:pPr>
      <w:r>
        <w:rPr>
          <w:rFonts w:ascii="Arial" w:cs="Arial" w:eastAsia="Arial" w:hAnsi="Arial"/>
          <w:sz w:val="15"/>
          <w:szCs w:val="15"/>
          <w:color w:val="465361"/>
        </w:rPr>
        <w:t xml:space="preserve">Neither this prospectus supplement nor the accompanying prospectus is a prospectus, product disclosure document or other disclosure document for the purposes of the Australian </w:t>
      </w:r>
      <w:r>
        <w:rPr>
          <w:rFonts w:ascii="Arial" w:cs="Arial" w:eastAsia="Arial" w:hAnsi="Arial"/>
          <w:sz w:val="15"/>
          <w:szCs w:val="15"/>
          <w:i w:val="1"/>
          <w:iCs w:val="1"/>
          <w:color w:val="465361"/>
        </w:rPr>
        <w:t>Corporations Act 2001</w:t>
      </w:r>
      <w:r>
        <w:rPr>
          <w:rFonts w:ascii="Arial" w:cs="Arial" w:eastAsia="Arial" w:hAnsi="Arial"/>
          <w:sz w:val="15"/>
          <w:szCs w:val="15"/>
          <w:color w:val="465361"/>
        </w:rPr>
        <w:t xml:space="preserve"> (Cth) (“Corporations Act”) and they do not purport to include the information required for a prospectus, product disclosure document or disclosure document under the Corporations Act and they have not been and will not be lodged with the Australian Securities &amp; Investments Commission. Accordingly, this prospectus supplement and accompanying prospectus is directed only to the categories of exempt persons set out below and no offer or invitation in relation to the issue, sale or purchase of shares of common stock under this prospectus supplement has been or will be made to any person who is unable to provide the representations and warranties set out below. To the extent that you are unable to provide the representations and warranties set out below, any offer or invitation made to you under this document is void and incapable of acceptance.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If you receive this prospectus supplement in Australia and apply for shares of common stock, then you represent and warrant to us as follows:</w:t>
      </w:r>
    </w:p>
    <w:p>
      <w:pPr>
        <w:spacing w:after="0" w:line="113"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you are a person or entity who is either:</w:t>
      </w:r>
    </w:p>
    <w:p>
      <w:pPr>
        <w:spacing w:after="0" w:line="90" w:lineRule="exact"/>
        <w:rPr>
          <w:rFonts w:ascii="Arial" w:cs="Arial" w:eastAsia="Arial" w:hAnsi="Arial"/>
          <w:sz w:val="18"/>
          <w:szCs w:val="18"/>
          <w:color w:val="465361"/>
        </w:rPr>
      </w:pPr>
    </w:p>
    <w:p>
      <w:pPr>
        <w:ind w:left="1860" w:hanging="543"/>
        <w:spacing w:after="0"/>
        <w:tabs>
          <w:tab w:leader="none" w:pos="1860" w:val="left"/>
        </w:tabs>
        <w:numPr>
          <w:ilvl w:val="1"/>
          <w:numId w:val="19"/>
        </w:numPr>
        <w:rPr>
          <w:rFonts w:ascii="Arial" w:cs="Arial" w:eastAsia="Arial" w:hAnsi="Arial"/>
          <w:sz w:val="18"/>
          <w:szCs w:val="18"/>
          <w:color w:val="465361"/>
        </w:rPr>
      </w:pPr>
      <w:r>
        <w:rPr>
          <w:rFonts w:ascii="Arial" w:cs="Arial" w:eastAsia="Arial" w:hAnsi="Arial"/>
          <w:sz w:val="18"/>
          <w:szCs w:val="18"/>
          <w:color w:val="465361"/>
        </w:rPr>
        <w:t>a “sophisticated investor” under section 708(8)(a) or (b) of the Corporations Act;</w:t>
      </w:r>
    </w:p>
    <w:p>
      <w:pPr>
        <w:spacing w:after="0" w:line="90" w:lineRule="exact"/>
        <w:rPr>
          <w:rFonts w:ascii="Arial" w:cs="Arial" w:eastAsia="Arial" w:hAnsi="Arial"/>
          <w:sz w:val="18"/>
          <w:szCs w:val="18"/>
          <w:color w:val="465361"/>
        </w:rPr>
      </w:pPr>
    </w:p>
    <w:p>
      <w:pPr>
        <w:ind w:left="1860" w:right="20" w:hanging="543"/>
        <w:spacing w:after="0" w:line="259" w:lineRule="auto"/>
        <w:tabs>
          <w:tab w:leader="none" w:pos="1860" w:val="left"/>
        </w:tabs>
        <w:numPr>
          <w:ilvl w:val="1"/>
          <w:numId w:val="19"/>
        </w:numPr>
        <w:rPr>
          <w:rFonts w:ascii="Arial" w:cs="Arial" w:eastAsia="Arial" w:hAnsi="Arial"/>
          <w:sz w:val="18"/>
          <w:szCs w:val="18"/>
          <w:color w:val="465361"/>
        </w:rPr>
      </w:pPr>
      <w:r>
        <w:rPr>
          <w:rFonts w:ascii="Arial" w:cs="Arial" w:eastAsia="Arial" w:hAnsi="Arial"/>
          <w:sz w:val="18"/>
          <w:szCs w:val="18"/>
          <w:color w:val="465361"/>
        </w:rPr>
        <w:t>a “sophisticated investor” under section 708(8)(c) or (d) of the Corporations Act and you have provided a certificate to us which complies with the requirements of section 708(8)(c) of the Corporations Act and related regulations before the offer has been made; or</w:t>
      </w:r>
    </w:p>
    <w:p>
      <w:pPr>
        <w:spacing w:after="0" w:line="58" w:lineRule="exact"/>
        <w:rPr>
          <w:rFonts w:ascii="Arial" w:cs="Arial" w:eastAsia="Arial" w:hAnsi="Arial"/>
          <w:sz w:val="18"/>
          <w:szCs w:val="18"/>
          <w:color w:val="465361"/>
        </w:rPr>
      </w:pPr>
    </w:p>
    <w:p>
      <w:pPr>
        <w:ind w:left="1860" w:hanging="543"/>
        <w:spacing w:after="0"/>
        <w:tabs>
          <w:tab w:leader="none" w:pos="1860" w:val="left"/>
        </w:tabs>
        <w:numPr>
          <w:ilvl w:val="1"/>
          <w:numId w:val="19"/>
        </w:numPr>
        <w:rPr>
          <w:rFonts w:ascii="Arial" w:cs="Arial" w:eastAsia="Arial" w:hAnsi="Arial"/>
          <w:sz w:val="18"/>
          <w:szCs w:val="18"/>
          <w:color w:val="465361"/>
        </w:rPr>
      </w:pPr>
      <w:r>
        <w:rPr>
          <w:rFonts w:ascii="Arial" w:cs="Arial" w:eastAsia="Arial" w:hAnsi="Arial"/>
          <w:sz w:val="18"/>
          <w:szCs w:val="18"/>
          <w:color w:val="465361"/>
        </w:rPr>
        <w:t>a “professional investor” within the meaning of section 708(11)(a) or (b) of the Corporations Act; and</w:t>
      </w:r>
    </w:p>
    <w:p>
      <w:pPr>
        <w:spacing w:after="0" w:line="90" w:lineRule="exact"/>
        <w:rPr>
          <w:rFonts w:ascii="Arial" w:cs="Arial" w:eastAsia="Arial" w:hAnsi="Arial"/>
          <w:sz w:val="18"/>
          <w:szCs w:val="18"/>
          <w:color w:val="465361"/>
        </w:rPr>
      </w:pPr>
    </w:p>
    <w:p>
      <w:pPr>
        <w:ind w:left="1300" w:right="80" w:hanging="644"/>
        <w:spacing w:after="0" w:line="256" w:lineRule="auto"/>
        <w:tabs>
          <w:tab w:leader="none" w:pos="13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you will not offer any of the shares of common stock issued to you pursuant to this prospectus supplement for resale in Australia within 12 months of those shares of common stock being issued to you unless any such resale offer is exempt from the requirement to issue a disclosure document under section 708 of the Corporations Act or otherwise. Any person acquiring shares of common stock must observe such Australian on-sale restrictions.</w:t>
      </w:r>
    </w:p>
    <w:p>
      <w:pPr>
        <w:spacing w:after="0" w:line="143"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465361"/>
        </w:rPr>
        <w:t>This document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document is appropriate for their needs, objectives and circumstances, and, if necessary, seek expert advice on those matters.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Canada</w:t>
      </w:r>
    </w:p>
    <w:p>
      <w:pPr>
        <w:spacing w:after="0" w:line="90"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465361"/>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98" w:lineRule="auto"/>
        <w:rPr>
          <w:sz w:val="20"/>
          <w:szCs w:val="20"/>
          <w:color w:val="auto"/>
        </w:rPr>
      </w:pPr>
      <w:r>
        <w:rPr>
          <w:rFonts w:ascii="Arial" w:cs="Arial" w:eastAsia="Arial" w:hAnsi="Arial"/>
          <w:sz w:val="16"/>
          <w:szCs w:val="16"/>
          <w:color w:val="465361"/>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color w:val="465361"/>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Germany</w:t>
      </w:r>
    </w:p>
    <w:p>
      <w:pPr>
        <w:spacing w:after="0" w:line="90"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465361"/>
        </w:rPr>
        <w:t>Each person who is in possession of this prospectus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Hong Kong</w:t>
      </w:r>
    </w:p>
    <w:p>
      <w:pPr>
        <w:spacing w:after="0" w:line="90"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465361"/>
        </w:rPr>
        <w:t>The shares of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shares of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Israel</w:t>
      </w:r>
    </w:p>
    <w:p>
      <w:pPr>
        <w:spacing w:after="0" w:line="90"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465361"/>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spacing w:after="0" w:line="302" w:lineRule="auto"/>
        <w:rPr>
          <w:sz w:val="20"/>
          <w:szCs w:val="20"/>
          <w:color w:val="auto"/>
        </w:rPr>
      </w:pPr>
      <w:r>
        <w:rPr>
          <w:rFonts w:ascii="Arial" w:cs="Arial" w:eastAsia="Arial" w:hAnsi="Arial"/>
          <w:sz w:val="15"/>
          <w:szCs w:val="15"/>
          <w:color w:val="465361"/>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w:t>
      </w:r>
    </w:p>
    <w:p>
      <w:pPr>
        <w:spacing w:after="0" w:line="2" w:lineRule="exact"/>
        <w:rPr>
          <w:sz w:val="20"/>
          <w:szCs w:val="20"/>
          <w:color w:val="auto"/>
        </w:rPr>
      </w:pPr>
    </w:p>
    <w:p>
      <w:pPr>
        <w:ind w:left="120" w:hanging="4"/>
        <w:spacing w:after="0" w:line="290" w:lineRule="auto"/>
        <w:tabs>
          <w:tab w:leader="none" w:pos="427" w:val="left"/>
        </w:tabs>
        <w:numPr>
          <w:ilvl w:val="0"/>
          <w:numId w:val="20"/>
        </w:numPr>
        <w:rPr>
          <w:rFonts w:ascii="Arial" w:cs="Arial" w:eastAsia="Arial" w:hAnsi="Arial"/>
          <w:sz w:val="16"/>
          <w:szCs w:val="16"/>
          <w:color w:val="465361"/>
        </w:rPr>
      </w:pPr>
      <w:r>
        <w:rPr>
          <w:rFonts w:ascii="Arial" w:cs="Arial" w:eastAsia="Arial" w:hAnsi="Arial"/>
          <w:sz w:val="16"/>
          <w:szCs w:val="16"/>
          <w:color w:val="465361"/>
        </w:rPr>
        <w:t>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Singapore</w:t>
      </w:r>
    </w:p>
    <w:p>
      <w:pPr>
        <w:spacing w:after="0" w:line="9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38" w:lineRule="exact"/>
        <w:rPr>
          <w:sz w:val="20"/>
          <w:szCs w:val="20"/>
          <w:color w:val="auto"/>
        </w:rPr>
      </w:pPr>
    </w:p>
    <w:p>
      <w:pPr>
        <w:ind w:left="1300" w:right="20" w:hanging="644"/>
        <w:spacing w:after="0" w:line="268" w:lineRule="auto"/>
        <w:tabs>
          <w:tab w:leader="none" w:pos="13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to an institutional investor (as defined in Section 4A of the Securities and Futures Act (Chapter 289) of Singapore, as modified or amended from time to time (the “SFA”)) pursuant to Section 274 of the SFA;</w:t>
      </w:r>
    </w:p>
    <w:p>
      <w:pPr>
        <w:spacing w:after="0" w:line="50" w:lineRule="exact"/>
        <w:rPr>
          <w:rFonts w:ascii="Arial" w:cs="Arial" w:eastAsia="Arial" w:hAnsi="Arial"/>
          <w:sz w:val="18"/>
          <w:szCs w:val="18"/>
          <w:color w:val="465361"/>
        </w:rPr>
      </w:pPr>
    </w:p>
    <w:p>
      <w:pPr>
        <w:ind w:left="1300" w:right="40" w:hanging="644"/>
        <w:spacing w:after="0" w:line="268" w:lineRule="auto"/>
        <w:tabs>
          <w:tab w:leader="none" w:pos="13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to a relevant person (as defined in Section 275(2) of the SFA) pursuant to Section 275(1) of the SFA and in accordance with the conditions specified in Section 275 of the SFA; or</w:t>
      </w:r>
    </w:p>
    <w:p>
      <w:pPr>
        <w:spacing w:after="0" w:line="50" w:lineRule="exact"/>
        <w:rPr>
          <w:rFonts w:ascii="Arial" w:cs="Arial" w:eastAsia="Arial" w:hAnsi="Arial"/>
          <w:sz w:val="18"/>
          <w:szCs w:val="18"/>
          <w:color w:val="465361"/>
        </w:rPr>
      </w:pPr>
    </w:p>
    <w:p>
      <w:pPr>
        <w:ind w:left="1300" w:hanging="644"/>
        <w:spacing w:after="0"/>
        <w:tabs>
          <w:tab w:leader="none" w:pos="13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otherwise pursuant to, and in accordance with the conditions of, any other applicable provision of the SFA.</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Where the shares are subscribed or purchased under Section 275 of the SFA by a relevant person which is:</w:t>
      </w:r>
    </w:p>
    <w:p>
      <w:pPr>
        <w:spacing w:after="0" w:line="90" w:lineRule="exact"/>
        <w:rPr>
          <w:sz w:val="20"/>
          <w:szCs w:val="20"/>
          <w:color w:val="auto"/>
        </w:rPr>
      </w:pPr>
    </w:p>
    <w:p>
      <w:pPr>
        <w:ind w:left="1300" w:right="80" w:hanging="644"/>
        <w:spacing w:after="0" w:line="331" w:lineRule="auto"/>
        <w:tabs>
          <w:tab w:leader="none" w:pos="1300" w:val="left"/>
        </w:tabs>
        <w:numPr>
          <w:ilvl w:val="0"/>
          <w:numId w:val="22"/>
        </w:numPr>
        <w:rPr>
          <w:rFonts w:ascii="Arial" w:cs="Arial" w:eastAsia="Arial" w:hAnsi="Arial"/>
          <w:sz w:val="16"/>
          <w:szCs w:val="16"/>
          <w:color w:val="465361"/>
        </w:rPr>
      </w:pPr>
      <w:r>
        <w:rPr>
          <w:rFonts w:ascii="Arial" w:cs="Arial" w:eastAsia="Arial" w:hAnsi="Arial"/>
          <w:sz w:val="16"/>
          <w:szCs w:val="16"/>
          <w:color w:val="465361"/>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 w:lineRule="exact"/>
        <w:rPr>
          <w:rFonts w:ascii="Arial" w:cs="Arial" w:eastAsia="Arial" w:hAnsi="Arial"/>
          <w:sz w:val="16"/>
          <w:szCs w:val="16"/>
          <w:color w:val="465361"/>
        </w:rPr>
      </w:pPr>
    </w:p>
    <w:p>
      <w:pPr>
        <w:jc w:val="both"/>
        <w:ind w:left="1300" w:right="300" w:hanging="644"/>
        <w:spacing w:after="0" w:line="306" w:lineRule="auto"/>
        <w:tabs>
          <w:tab w:leader="none" w:pos="1300" w:val="left"/>
        </w:tabs>
        <w:numPr>
          <w:ilvl w:val="0"/>
          <w:numId w:val="22"/>
        </w:numPr>
        <w:rPr>
          <w:rFonts w:ascii="Arial" w:cs="Arial" w:eastAsia="Arial" w:hAnsi="Arial"/>
          <w:sz w:val="16"/>
          <w:szCs w:val="16"/>
          <w:color w:val="465361"/>
        </w:rPr>
      </w:pPr>
      <w:r>
        <w:rPr>
          <w:rFonts w:ascii="Arial" w:cs="Arial" w:eastAsia="Arial" w:hAnsi="Arial"/>
          <w:sz w:val="16"/>
          <w:szCs w:val="16"/>
          <w:color w:val="465361"/>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S-25</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320"/>
        <w:spacing w:after="0"/>
        <w:rPr>
          <w:sz w:val="20"/>
          <w:szCs w:val="20"/>
          <w:color w:val="auto"/>
        </w:rPr>
      </w:pPr>
      <w:r>
        <w:rPr>
          <w:rFonts w:ascii="Arial" w:cs="Arial" w:eastAsia="Arial" w:hAnsi="Arial"/>
          <w:sz w:val="16"/>
          <w:szCs w:val="16"/>
          <w:color w:val="465361"/>
        </w:rPr>
        <w:t>trust shall not be transferred within six months after that corporation or that trust has acquired the shares pursuant to an offer made under</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8"/>
          <w:szCs w:val="18"/>
          <w:color w:val="465361"/>
        </w:rPr>
        <w:t>Section 275 of the SFA except:</w:t>
      </w:r>
    </w:p>
    <w:p>
      <w:pPr>
        <w:spacing w:after="0" w:line="84" w:lineRule="exact"/>
        <w:rPr>
          <w:sz w:val="20"/>
          <w:szCs w:val="20"/>
          <w:color w:val="auto"/>
        </w:rPr>
      </w:pPr>
    </w:p>
    <w:p>
      <w:pPr>
        <w:ind w:left="1860" w:right="200" w:hanging="543"/>
        <w:spacing w:after="0" w:line="268" w:lineRule="auto"/>
        <w:tabs>
          <w:tab w:leader="none" w:pos="186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to an institutional investor or to a relevant person, or to any person arising from an offer referred to in Section 276(4)(i)(B) of the SFA;</w:t>
      </w:r>
    </w:p>
    <w:p>
      <w:pPr>
        <w:spacing w:after="0" w:line="50" w:lineRule="exact"/>
        <w:rPr>
          <w:rFonts w:ascii="Arial" w:cs="Arial" w:eastAsia="Arial" w:hAnsi="Arial"/>
          <w:sz w:val="18"/>
          <w:szCs w:val="18"/>
          <w:color w:val="465361"/>
        </w:rPr>
      </w:pPr>
    </w:p>
    <w:p>
      <w:pPr>
        <w:ind w:left="1860" w:hanging="543"/>
        <w:spacing w:after="0"/>
        <w:tabs>
          <w:tab w:leader="none" w:pos="186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where no consideration is or will be given for the transfer;</w:t>
      </w:r>
    </w:p>
    <w:p>
      <w:pPr>
        <w:spacing w:after="0" w:line="90" w:lineRule="exact"/>
        <w:rPr>
          <w:rFonts w:ascii="Arial" w:cs="Arial" w:eastAsia="Arial" w:hAnsi="Arial"/>
          <w:sz w:val="18"/>
          <w:szCs w:val="18"/>
          <w:color w:val="465361"/>
        </w:rPr>
      </w:pPr>
    </w:p>
    <w:p>
      <w:pPr>
        <w:ind w:left="1860" w:hanging="543"/>
        <w:spacing w:after="0"/>
        <w:tabs>
          <w:tab w:leader="none" w:pos="186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where the transfer is by operation of law;</w:t>
      </w:r>
    </w:p>
    <w:p>
      <w:pPr>
        <w:spacing w:after="0" w:line="90" w:lineRule="exact"/>
        <w:rPr>
          <w:rFonts w:ascii="Arial" w:cs="Arial" w:eastAsia="Arial" w:hAnsi="Arial"/>
          <w:sz w:val="18"/>
          <w:szCs w:val="18"/>
          <w:color w:val="465361"/>
        </w:rPr>
      </w:pPr>
    </w:p>
    <w:p>
      <w:pPr>
        <w:ind w:left="1860" w:hanging="543"/>
        <w:spacing w:after="0"/>
        <w:tabs>
          <w:tab w:leader="none" w:pos="186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as specified in Section 276(7) of the SFA; or</w:t>
      </w:r>
    </w:p>
    <w:p>
      <w:pPr>
        <w:spacing w:after="0" w:line="90" w:lineRule="exact"/>
        <w:rPr>
          <w:rFonts w:ascii="Arial" w:cs="Arial" w:eastAsia="Arial" w:hAnsi="Arial"/>
          <w:sz w:val="18"/>
          <w:szCs w:val="18"/>
          <w:color w:val="465361"/>
        </w:rPr>
      </w:pPr>
    </w:p>
    <w:p>
      <w:pPr>
        <w:ind w:left="1860" w:right="220" w:hanging="543"/>
        <w:spacing w:after="0" w:line="268" w:lineRule="auto"/>
        <w:tabs>
          <w:tab w:leader="none" w:pos="186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as specified in Regulation 37A of the Securities and Futures (Offers of Investments) (Securities and Securities-based Derivatives Contracts) Regulations 2018.</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Switzerland</w:t>
      </w:r>
    </w:p>
    <w:p>
      <w:pPr>
        <w:spacing w:after="0" w:line="90" w:lineRule="exact"/>
        <w:rPr>
          <w:sz w:val="20"/>
          <w:szCs w:val="20"/>
          <w:color w:val="auto"/>
        </w:rPr>
      </w:pPr>
    </w:p>
    <w:p>
      <w:pPr>
        <w:jc w:val="both"/>
        <w:ind w:left="120" w:right="40"/>
        <w:spacing w:after="0" w:line="294" w:lineRule="auto"/>
        <w:rPr>
          <w:sz w:val="20"/>
          <w:szCs w:val="20"/>
          <w:color w:val="auto"/>
        </w:rPr>
      </w:pPr>
      <w:r>
        <w:rPr>
          <w:rFonts w:ascii="Arial" w:cs="Arial" w:eastAsia="Arial" w:hAnsi="Arial"/>
          <w:sz w:val="16"/>
          <w:szCs w:val="16"/>
          <w:color w:val="465361"/>
        </w:rPr>
        <w:t>The shares of common stock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1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465361"/>
        </w:rPr>
        <w:t>Neither this document nor any other offering or marketing material relating to the offering, or the shares of common stock have been or will be filed with or approved by any Swiss regulatory authority. In particular, this document will not be filed with, and the offer of the shares of common stock will not be supervised by, the Swiss Financial Market Supervisory Authority FINMA, and the offer of the shares of common stock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the shares of common stock.</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United Arab Emirates</w:t>
      </w:r>
    </w:p>
    <w:p>
      <w:pPr>
        <w:spacing w:after="0" w:line="9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465361"/>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may not be offered to the public in the UAE and/or any of the free zones.</w:t>
      </w:r>
    </w:p>
    <w:p>
      <w:pPr>
        <w:spacing w:after="0" w:line="120" w:lineRule="exact"/>
        <w:rPr>
          <w:sz w:val="20"/>
          <w:szCs w:val="20"/>
          <w:color w:val="auto"/>
        </w:rPr>
      </w:pPr>
    </w:p>
    <w:p>
      <w:pPr>
        <w:ind w:left="120" w:right="880"/>
        <w:spacing w:after="0" w:line="268" w:lineRule="auto"/>
        <w:rPr>
          <w:sz w:val="20"/>
          <w:szCs w:val="20"/>
          <w:color w:val="auto"/>
        </w:rPr>
      </w:pPr>
      <w:r>
        <w:rPr>
          <w:rFonts w:ascii="Arial" w:cs="Arial" w:eastAsia="Arial" w:hAnsi="Arial"/>
          <w:sz w:val="18"/>
          <w:szCs w:val="18"/>
          <w:color w:val="465361"/>
        </w:rPr>
        <w:t>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France</w:t>
      </w:r>
    </w:p>
    <w:p>
      <w:pPr>
        <w:spacing w:after="0" w:line="90" w:lineRule="exact"/>
        <w:rPr>
          <w:sz w:val="20"/>
          <w:szCs w:val="20"/>
          <w:color w:val="auto"/>
        </w:rPr>
      </w:pPr>
    </w:p>
    <w:p>
      <w:pPr>
        <w:ind w:left="120" w:right="140"/>
        <w:spacing w:after="0" w:line="268" w:lineRule="auto"/>
        <w:rPr>
          <w:sz w:val="20"/>
          <w:szCs w:val="20"/>
          <w:color w:val="auto"/>
        </w:rPr>
      </w:pPr>
      <w:r>
        <w:rPr>
          <w:rFonts w:ascii="Arial" w:cs="Arial" w:eastAsia="Arial" w:hAnsi="Arial"/>
          <w:sz w:val="18"/>
          <w:szCs w:val="18"/>
          <w:color w:val="465361"/>
        </w:rPr>
        <w:t>This prospectus (including any amendment, supplement or replacement thereto) is not being distributed in the context of a public offering in France within the meaning of Article L. 411-1 of the French Monetary and Financial Code (Code monétaire et financier).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40"/>
        <w:spacing w:after="0" w:line="268" w:lineRule="auto"/>
        <w:rPr>
          <w:sz w:val="20"/>
          <w:szCs w:val="20"/>
          <w:color w:val="auto"/>
        </w:rPr>
      </w:pPr>
      <w:r>
        <w:rPr>
          <w:rFonts w:ascii="Arial" w:cs="Arial" w:eastAsia="Arial" w:hAnsi="Arial"/>
          <w:sz w:val="18"/>
          <w:szCs w:val="18"/>
          <w:color w:val="465361"/>
        </w:rPr>
        <w:t>This prospectus has not been and will not be submitted to the French Autorité des marchés financiers (the “AMF”) for approval in France and accordingly may not and will not be distributed to the public in France.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Pursuant to Article 211-3 of the AMF General Regulation, French residents are hereby informed that:</w:t>
      </w:r>
    </w:p>
    <w:p>
      <w:pPr>
        <w:spacing w:after="0" w:line="90"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the transaction does not require a prospectus to be submitted for approval to the AMF;</w:t>
      </w:r>
    </w:p>
    <w:p>
      <w:pPr>
        <w:spacing w:after="0" w:line="90" w:lineRule="exact"/>
        <w:rPr>
          <w:rFonts w:ascii="Arial" w:cs="Arial" w:eastAsia="Arial" w:hAnsi="Arial"/>
          <w:sz w:val="18"/>
          <w:szCs w:val="18"/>
          <w:color w:val="465361"/>
        </w:rPr>
      </w:pPr>
    </w:p>
    <w:p>
      <w:pPr>
        <w:ind w:left="1300" w:hanging="644"/>
        <w:spacing w:after="0" w:line="259" w:lineRule="auto"/>
        <w:tabs>
          <w:tab w:leader="none" w:pos="13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58" w:lineRule="exact"/>
        <w:rPr>
          <w:rFonts w:ascii="Arial" w:cs="Arial" w:eastAsia="Arial" w:hAnsi="Arial"/>
          <w:sz w:val="18"/>
          <w:szCs w:val="18"/>
          <w:color w:val="465361"/>
        </w:rPr>
      </w:pPr>
    </w:p>
    <w:p>
      <w:pPr>
        <w:ind w:left="1300" w:right="100" w:hanging="644"/>
        <w:spacing w:after="0" w:line="268" w:lineRule="auto"/>
        <w:tabs>
          <w:tab w:leader="none" w:pos="13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the financial instruments thus acquired cannot be distributed directly or indirectly to the public otherwise than in accordance with Articles L. 411-1, L. 411-2, L. 412-1 and L. 621-8 to L. 621-8-3 of the Monetary and Financial Code.</w:t>
      </w:r>
    </w:p>
    <w:p>
      <w:pPr>
        <w:spacing w:after="0" w:line="132" w:lineRule="exact"/>
        <w:rPr>
          <w:sz w:val="20"/>
          <w:szCs w:val="20"/>
          <w:color w:val="auto"/>
        </w:rPr>
      </w:pPr>
    </w:p>
    <w:p>
      <w:pPr>
        <w:ind w:left="120" w:right="100"/>
        <w:spacing w:after="0" w:line="298" w:lineRule="auto"/>
        <w:rPr>
          <w:sz w:val="20"/>
          <w:szCs w:val="20"/>
          <w:color w:val="auto"/>
        </w:rPr>
      </w:pPr>
      <w:r>
        <w:rPr>
          <w:rFonts w:ascii="Arial" w:cs="Arial" w:eastAsia="Arial" w:hAnsi="Arial"/>
          <w:sz w:val="16"/>
          <w:szCs w:val="16"/>
          <w:color w:val="465361"/>
        </w:rPr>
        <w:t>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S-27</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LEGAL MATTERS</w:t>
      </w:r>
    </w:p>
    <w:p>
      <w:pPr>
        <w:spacing w:after="0" w:line="177" w:lineRule="exact"/>
        <w:rPr>
          <w:sz w:val="20"/>
          <w:szCs w:val="20"/>
          <w:color w:val="auto"/>
        </w:rPr>
      </w:pPr>
    </w:p>
    <w:p>
      <w:pPr>
        <w:ind w:left="120" w:right="480"/>
        <w:spacing w:after="0" w:line="268" w:lineRule="auto"/>
        <w:rPr>
          <w:sz w:val="20"/>
          <w:szCs w:val="20"/>
          <w:color w:val="auto"/>
        </w:rPr>
      </w:pPr>
      <w:r>
        <w:rPr>
          <w:rFonts w:ascii="Arial" w:cs="Arial" w:eastAsia="Arial" w:hAnsi="Arial"/>
          <w:sz w:val="18"/>
          <w:szCs w:val="18"/>
          <w:color w:val="465361"/>
        </w:rPr>
        <w:t>The validity of the issuance of the securities offered hereby will be passed upon for us by K&amp;L Gates LLP, Seattle, Washington. The underwriters are represented in this offering by Davis Polk &amp; Wardwell LLP, Menlo Park, California.</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EXPERTS</w:t>
      </w:r>
    </w:p>
    <w:p>
      <w:pPr>
        <w:spacing w:after="0" w:line="177" w:lineRule="exact"/>
        <w:rPr>
          <w:sz w:val="20"/>
          <w:szCs w:val="20"/>
          <w:color w:val="auto"/>
        </w:rPr>
      </w:pPr>
    </w:p>
    <w:p>
      <w:pPr>
        <w:jc w:val="both"/>
        <w:ind w:left="120" w:right="60"/>
        <w:spacing w:after="0" w:line="298" w:lineRule="auto"/>
        <w:rPr>
          <w:sz w:val="20"/>
          <w:szCs w:val="20"/>
          <w:color w:val="auto"/>
        </w:rPr>
      </w:pPr>
      <w:r>
        <w:rPr>
          <w:rFonts w:ascii="Arial" w:cs="Arial" w:eastAsia="Arial" w:hAnsi="Arial"/>
          <w:sz w:val="16"/>
          <w:szCs w:val="16"/>
          <w:color w:val="465361"/>
        </w:rPr>
        <w:t>The consolidated balance sheets of AVITA Medical, Inc. as of June 30, 2020 and 2019, and the related consolidated statements of operations, stockholders’ equity, and cash flows for each of the years then ended have been audited by Grant Thornton LLP, independent registered public accounting firm, as stated in their report which is incorporated herein by reference. Such financial statements have been incorporated herein (by reference) in reliance on the report of such firm given upon their authority as experts in accounting and auditing.</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WHERE YOU CAN FIND MORE INFORMATION</w:t>
      </w:r>
    </w:p>
    <w:p>
      <w:pPr>
        <w:spacing w:after="0" w:line="177" w:lineRule="exact"/>
        <w:rPr>
          <w:sz w:val="20"/>
          <w:szCs w:val="20"/>
          <w:color w:val="auto"/>
        </w:rPr>
      </w:pPr>
    </w:p>
    <w:p>
      <w:pPr>
        <w:ind w:left="120" w:right="200"/>
        <w:spacing w:after="0" w:line="290" w:lineRule="auto"/>
        <w:rPr>
          <w:sz w:val="20"/>
          <w:szCs w:val="20"/>
          <w:color w:val="auto"/>
        </w:rPr>
      </w:pPr>
      <w:r>
        <w:rPr>
          <w:rFonts w:ascii="Arial" w:cs="Arial" w:eastAsia="Arial" w:hAnsi="Arial"/>
          <w:sz w:val="16"/>
          <w:szCs w:val="16"/>
          <w:color w:val="465361"/>
        </w:rPr>
        <w:t>This prospectus supplement and the accompanying prospectus are part of the registration statement on Form S-3 (File No. 333-249419) we filed with the Securities and Exchange Commission, or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 You may inspect a copy of the registration statement, including the exhibits and schedules, without charge, at the SEC’s public reference room mentioned below, or obtain a copy from the SEC upon payment of the fees prescribed by the SEC.</w:t>
      </w:r>
    </w:p>
    <w:p>
      <w:pPr>
        <w:spacing w:after="0" w:line="118" w:lineRule="exact"/>
        <w:rPr>
          <w:sz w:val="20"/>
          <w:szCs w:val="20"/>
          <w:color w:val="auto"/>
        </w:rPr>
      </w:pPr>
    </w:p>
    <w:p>
      <w:pPr>
        <w:ind w:left="120" w:right="160"/>
        <w:spacing w:after="0" w:line="331" w:lineRule="auto"/>
        <w:rPr>
          <w:sz w:val="20"/>
          <w:szCs w:val="20"/>
          <w:color w:val="auto"/>
        </w:rPr>
      </w:pPr>
      <w:r>
        <w:rPr>
          <w:rFonts w:ascii="Arial" w:cs="Arial" w:eastAsia="Arial" w:hAnsi="Arial"/>
          <w:sz w:val="16"/>
          <w:szCs w:val="16"/>
          <w:color w:val="465361"/>
        </w:rPr>
        <w:t>Because we are subject to the information and reporting requirements of the Exchange Act, we file annual, quarterly and special reports, proxy statements and other information with the SEC. Our SEC filings are available to the public over the Internet at the SEC’s website at www.sec.gov.</w:t>
      </w:r>
    </w:p>
    <w:p>
      <w:pPr>
        <w:spacing w:after="0" w:line="87" w:lineRule="exact"/>
        <w:rPr>
          <w:sz w:val="20"/>
          <w:szCs w:val="20"/>
          <w:color w:val="auto"/>
        </w:rPr>
      </w:pPr>
    </w:p>
    <w:p>
      <w:pPr>
        <w:ind w:left="120" w:right="620"/>
        <w:spacing w:after="0" w:line="268" w:lineRule="auto"/>
        <w:rPr>
          <w:sz w:val="20"/>
          <w:szCs w:val="20"/>
          <w:color w:val="auto"/>
        </w:rPr>
      </w:pPr>
      <w:r>
        <w:rPr>
          <w:rFonts w:ascii="Arial" w:cs="Arial" w:eastAsia="Arial" w:hAnsi="Arial"/>
          <w:sz w:val="18"/>
          <w:szCs w:val="18"/>
          <w:color w:val="465361"/>
        </w:rPr>
        <w:t>We also maintain a website at www.avitamedical.com. The information set forth on, or accessible through, our website is not part of this prospectus supplement.</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INCORPORATION OF CERTAIN INFORMATION BY REFERENCE</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465361"/>
        </w:rPr>
        <w:t>We incorporate by reference the filed documents listed below, except as superseded, supplemented or modified by this prospectus, and any future filings we will make with the SEC under Sections 13(a), 13(c), 14 or 15(d) of the Exchange Act (unless otherwise noted, the SEC file number for each of the documents listed below is 001-39059):</w:t>
      </w:r>
    </w:p>
    <w:p>
      <w:pPr>
        <w:spacing w:after="0" w:line="59" w:lineRule="exact"/>
        <w:rPr>
          <w:sz w:val="20"/>
          <w:szCs w:val="20"/>
          <w:color w:val="auto"/>
        </w:rPr>
      </w:pPr>
    </w:p>
    <w:p>
      <w:pPr>
        <w:ind w:left="1420" w:hanging="427"/>
        <w:spacing w:after="0"/>
        <w:tabs>
          <w:tab w:leader="none" w:pos="1420"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 xml:space="preserve">Our Annual Report on </w:t>
      </w:r>
      <w:hyperlink r:id="rId54">
        <w:r>
          <w:rPr>
            <w:rFonts w:ascii="Arial" w:cs="Arial" w:eastAsia="Arial" w:hAnsi="Arial"/>
            <w:sz w:val="18"/>
            <w:szCs w:val="18"/>
            <w:u w:val="single" w:color="auto"/>
            <w:color w:val="0000EE"/>
          </w:rPr>
          <w:t>Form 10-K</w:t>
        </w:r>
        <w:r>
          <w:rPr>
            <w:rFonts w:ascii="Arial" w:cs="Arial" w:eastAsia="Arial" w:hAnsi="Arial"/>
            <w:sz w:val="18"/>
            <w:szCs w:val="18"/>
            <w:u w:val="single" w:color="auto"/>
            <w:color w:val="465361"/>
          </w:rPr>
          <w:t xml:space="preserve"> </w:t>
        </w:r>
      </w:hyperlink>
      <w:r>
        <w:rPr>
          <w:rFonts w:ascii="Arial" w:cs="Arial" w:eastAsia="Arial" w:hAnsi="Arial"/>
          <w:sz w:val="18"/>
          <w:szCs w:val="18"/>
          <w:color w:val="465361"/>
        </w:rPr>
        <w:t>for the year ended June 30, 2020, filed with the SEC on August 27, 2020;</w:t>
      </w:r>
    </w:p>
    <w:p>
      <w:pPr>
        <w:spacing w:after="0" w:line="90" w:lineRule="exact"/>
        <w:rPr>
          <w:rFonts w:ascii="Arial" w:cs="Arial" w:eastAsia="Arial" w:hAnsi="Arial"/>
          <w:sz w:val="18"/>
          <w:szCs w:val="18"/>
          <w:color w:val="465361"/>
        </w:rPr>
      </w:pPr>
    </w:p>
    <w:p>
      <w:pPr>
        <w:ind w:left="1420" w:right="680" w:hanging="427"/>
        <w:spacing w:after="0" w:line="268" w:lineRule="auto"/>
        <w:tabs>
          <w:tab w:leader="none" w:pos="1420" w:val="left"/>
        </w:tabs>
        <w:numPr>
          <w:ilvl w:val="0"/>
          <w:numId w:val="25"/>
        </w:numPr>
        <w:rPr>
          <w:rFonts w:ascii="Arial" w:cs="Arial" w:eastAsia="Arial" w:hAnsi="Arial"/>
          <w:sz w:val="18"/>
          <w:szCs w:val="18"/>
          <w:color w:val="0000EE"/>
        </w:rPr>
      </w:pPr>
      <w:r>
        <w:rPr>
          <w:rFonts w:ascii="Arial" w:cs="Arial" w:eastAsia="Arial" w:hAnsi="Arial"/>
          <w:sz w:val="18"/>
          <w:szCs w:val="18"/>
          <w:color w:val="465361"/>
        </w:rPr>
        <w:t xml:space="preserve">Our Quarterly Reports on Form 10-Q for the quarters ended September 30, 2020 and December 31, 2020, filed with the SEC on </w:t>
      </w:r>
      <w:hyperlink r:id="rId55">
        <w:r>
          <w:rPr>
            <w:rFonts w:ascii="Arial" w:cs="Arial" w:eastAsia="Arial" w:hAnsi="Arial"/>
            <w:sz w:val="18"/>
            <w:szCs w:val="18"/>
            <w:u w:val="single" w:color="auto"/>
            <w:color w:val="0000EE"/>
          </w:rPr>
          <w:t>November 11, 2020</w:t>
        </w:r>
        <w:r>
          <w:rPr>
            <w:rFonts w:ascii="Arial" w:cs="Arial" w:eastAsia="Arial" w:hAnsi="Arial"/>
            <w:sz w:val="18"/>
            <w:szCs w:val="18"/>
            <w:color w:val="0000EE"/>
          </w:rPr>
          <w:t xml:space="preserve"> </w:t>
        </w:r>
      </w:hyperlink>
      <w:r>
        <w:rPr>
          <w:rFonts w:ascii="Arial" w:cs="Arial" w:eastAsia="Arial" w:hAnsi="Arial"/>
          <w:sz w:val="18"/>
          <w:szCs w:val="18"/>
          <w:color w:val="465361"/>
        </w:rPr>
        <w:t>and</w:t>
      </w:r>
      <w:r>
        <w:rPr>
          <w:rFonts w:ascii="Arial" w:cs="Arial" w:eastAsia="Arial" w:hAnsi="Arial"/>
          <w:sz w:val="18"/>
          <w:szCs w:val="18"/>
          <w:color w:val="0000EE"/>
        </w:rPr>
        <w:t xml:space="preserve"> </w:t>
      </w:r>
      <w:hyperlink r:id="rId56">
        <w:r>
          <w:rPr>
            <w:rFonts w:ascii="Arial" w:cs="Arial" w:eastAsia="Arial" w:hAnsi="Arial"/>
            <w:sz w:val="18"/>
            <w:szCs w:val="18"/>
            <w:u w:val="single" w:color="auto"/>
            <w:color w:val="0000EE"/>
          </w:rPr>
          <w:t>February 16, 2021</w:t>
        </w:r>
      </w:hyperlink>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color w:val="465361"/>
        </w:rPr>
        <w:t>respectively;</w:t>
      </w:r>
    </w:p>
    <w:p>
      <w:pPr>
        <w:spacing w:after="0" w:line="50" w:lineRule="exact"/>
        <w:rPr>
          <w:rFonts w:ascii="Arial" w:cs="Arial" w:eastAsia="Arial" w:hAnsi="Arial"/>
          <w:sz w:val="18"/>
          <w:szCs w:val="18"/>
          <w:color w:val="0000EE"/>
        </w:rPr>
      </w:pPr>
    </w:p>
    <w:p>
      <w:pPr>
        <w:ind w:left="1420" w:hanging="427"/>
        <w:spacing w:after="0" w:line="259" w:lineRule="auto"/>
        <w:tabs>
          <w:tab w:leader="none" w:pos="1420" w:val="left"/>
        </w:tabs>
        <w:numPr>
          <w:ilvl w:val="0"/>
          <w:numId w:val="25"/>
        </w:numPr>
        <w:rPr>
          <w:rFonts w:ascii="Arial" w:cs="Arial" w:eastAsia="Arial" w:hAnsi="Arial"/>
          <w:sz w:val="18"/>
          <w:szCs w:val="18"/>
          <w:color w:val="0000EE"/>
        </w:rPr>
      </w:pPr>
      <w:r>
        <w:rPr>
          <w:rFonts w:ascii="Arial" w:cs="Arial" w:eastAsia="Arial" w:hAnsi="Arial"/>
          <w:sz w:val="18"/>
          <w:szCs w:val="18"/>
          <w:color w:val="465361"/>
        </w:rPr>
        <w:t xml:space="preserve">Our Current Reports on Form 8-K filed with the SEC on </w:t>
      </w:r>
      <w:hyperlink r:id="rId57">
        <w:r>
          <w:rPr>
            <w:rFonts w:ascii="Arial" w:cs="Arial" w:eastAsia="Arial" w:hAnsi="Arial"/>
            <w:sz w:val="18"/>
            <w:szCs w:val="18"/>
            <w:u w:val="single" w:color="auto"/>
            <w:color w:val="0000EE"/>
          </w:rPr>
          <w:t>July 6, 2020</w:t>
        </w:r>
      </w:hyperlink>
      <w:r>
        <w:rPr>
          <w:rFonts w:ascii="Arial" w:cs="Arial" w:eastAsia="Arial" w:hAnsi="Arial"/>
          <w:sz w:val="18"/>
          <w:szCs w:val="18"/>
          <w:color w:val="465361"/>
        </w:rPr>
        <w:t xml:space="preserve">, </w:t>
      </w:r>
      <w:hyperlink r:id="rId58">
        <w:r>
          <w:rPr>
            <w:rFonts w:ascii="Arial" w:cs="Arial" w:eastAsia="Arial" w:hAnsi="Arial"/>
            <w:sz w:val="18"/>
            <w:szCs w:val="18"/>
            <w:u w:val="single" w:color="auto"/>
            <w:color w:val="0000EE"/>
          </w:rPr>
          <w:t>July 9, 2020</w:t>
        </w:r>
      </w:hyperlink>
      <w:r>
        <w:rPr>
          <w:rFonts w:ascii="Arial" w:cs="Arial" w:eastAsia="Arial" w:hAnsi="Arial"/>
          <w:sz w:val="18"/>
          <w:szCs w:val="18"/>
          <w:color w:val="465361"/>
        </w:rPr>
        <w:t xml:space="preserve">, </w:t>
      </w:r>
      <w:hyperlink r:id="rId59">
        <w:r>
          <w:rPr>
            <w:rFonts w:ascii="Arial" w:cs="Arial" w:eastAsia="Arial" w:hAnsi="Arial"/>
            <w:sz w:val="18"/>
            <w:szCs w:val="18"/>
            <w:u w:val="single" w:color="auto"/>
            <w:color w:val="0000EE"/>
          </w:rPr>
          <w:t>July 13, 2020</w:t>
        </w:r>
      </w:hyperlink>
      <w:r>
        <w:rPr>
          <w:rFonts w:ascii="Arial" w:cs="Arial" w:eastAsia="Arial" w:hAnsi="Arial"/>
          <w:sz w:val="18"/>
          <w:szCs w:val="18"/>
          <w:color w:val="465361"/>
        </w:rPr>
        <w:t xml:space="preserve">, </w:t>
      </w:r>
      <w:hyperlink r:id="rId60">
        <w:r>
          <w:rPr>
            <w:rFonts w:ascii="Arial" w:cs="Arial" w:eastAsia="Arial" w:hAnsi="Arial"/>
            <w:sz w:val="18"/>
            <w:szCs w:val="18"/>
            <w:u w:val="single" w:color="auto"/>
            <w:color w:val="0000EE"/>
          </w:rPr>
          <w:t>August 4, 2020</w:t>
        </w:r>
      </w:hyperlink>
      <w:r>
        <w:rPr>
          <w:rFonts w:ascii="Arial" w:cs="Arial" w:eastAsia="Arial" w:hAnsi="Arial"/>
          <w:sz w:val="18"/>
          <w:szCs w:val="18"/>
          <w:color w:val="465361"/>
        </w:rPr>
        <w:t xml:space="preserve">, </w:t>
      </w:r>
      <w:hyperlink r:id="rId61">
        <w:r>
          <w:rPr>
            <w:rFonts w:ascii="Arial" w:cs="Arial" w:eastAsia="Arial" w:hAnsi="Arial"/>
            <w:sz w:val="18"/>
            <w:szCs w:val="18"/>
            <w:u w:val="single" w:color="auto"/>
            <w:color w:val="0000EE"/>
          </w:rPr>
          <w:t>August 28, 2020</w:t>
        </w:r>
      </w:hyperlink>
      <w:r>
        <w:rPr>
          <w:rFonts w:ascii="Arial" w:cs="Arial" w:eastAsia="Arial" w:hAnsi="Arial"/>
          <w:sz w:val="18"/>
          <w:szCs w:val="18"/>
          <w:color w:val="465361"/>
        </w:rPr>
        <w:t xml:space="preserve">, </w:t>
      </w:r>
      <w:hyperlink r:id="rId62">
        <w:r>
          <w:rPr>
            <w:rFonts w:ascii="Arial" w:cs="Arial" w:eastAsia="Arial" w:hAnsi="Arial"/>
            <w:sz w:val="18"/>
            <w:szCs w:val="18"/>
            <w:u w:val="single" w:color="auto"/>
            <w:color w:val="0000EE"/>
          </w:rPr>
          <w:t>September 10,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13,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2,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5,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6,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10,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12,</w:t>
        </w:r>
      </w:hyperlink>
      <w:r>
        <w:rPr>
          <w:rFonts w:ascii="Arial" w:cs="Arial" w:eastAsia="Arial" w:hAnsi="Arial"/>
          <w:sz w:val="18"/>
          <w:szCs w:val="18"/>
          <w:color w:val="0000EE"/>
        </w:rPr>
        <w:t xml:space="preserve"> </w:t>
      </w:r>
      <w:hyperlink r:id="rId62">
        <w:r>
          <w:rPr>
            <w:rFonts w:ascii="Arial" w:cs="Arial" w:eastAsia="Arial" w:hAnsi="Arial"/>
            <w:sz w:val="18"/>
            <w:szCs w:val="18"/>
            <w:u w:val="single" w:color="auto"/>
            <w:color w:val="0000EE"/>
          </w:rPr>
          <w:t>2020</w:t>
        </w:r>
        <w:r>
          <w:rPr>
            <w:rFonts w:ascii="Arial" w:cs="Arial" w:eastAsia="Arial" w:hAnsi="Arial"/>
            <w:sz w:val="18"/>
            <w:szCs w:val="18"/>
            <w:color w:val="465361"/>
          </w:rPr>
          <w:t>,</w:t>
        </w:r>
        <w:r>
          <w:rPr>
            <w:rFonts w:ascii="Arial" w:cs="Arial" w:eastAsia="Arial" w:hAnsi="Arial"/>
            <w:sz w:val="18"/>
            <w:szCs w:val="18"/>
            <w:color w:val="0000EE"/>
          </w:rPr>
          <w:t xml:space="preserve"> </w:t>
        </w:r>
      </w:hyperlink>
      <w:hyperlink r:id="rId63">
        <w:r>
          <w:rPr>
            <w:rFonts w:ascii="Arial" w:cs="Arial" w:eastAsia="Arial" w:hAnsi="Arial"/>
            <w:sz w:val="18"/>
            <w:szCs w:val="18"/>
            <w:u w:val="single" w:color="auto"/>
            <w:color w:val="0000EE"/>
          </w:rPr>
          <w:t xml:space="preserve">December 2, 2020 </w:t>
        </w:r>
      </w:hyperlink>
      <w:hyperlink r:id="rId62">
        <w:r>
          <w:rPr>
            <w:rFonts w:ascii="Arial" w:cs="Arial" w:eastAsia="Arial" w:hAnsi="Arial"/>
            <w:sz w:val="18"/>
            <w:szCs w:val="18"/>
            <w:color w:val="465361"/>
          </w:rPr>
          <w:t>and</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December 2, 2020</w:t>
        </w:r>
      </w:hyperlink>
      <w:hyperlink r:id="rId62">
        <w:r>
          <w:rPr>
            <w:rFonts w:ascii="Arial" w:cs="Arial" w:eastAsia="Arial" w:hAnsi="Arial"/>
            <w:sz w:val="18"/>
            <w:szCs w:val="18"/>
            <w:color w:val="465361"/>
          </w:rPr>
          <w:t>; and</w:t>
        </w:r>
      </w:hyperlink>
    </w:p>
    <w:p>
      <w:pPr>
        <w:spacing w:after="0" w:line="126"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465361"/>
        </w:rPr>
        <w:t>S-28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20" w:hanging="427"/>
        <w:spacing w:after="0" w:line="259" w:lineRule="auto"/>
        <w:tabs>
          <w:tab w:leader="none" w:pos="1420" w:val="left"/>
        </w:tabs>
        <w:numPr>
          <w:ilvl w:val="0"/>
          <w:numId w:val="26"/>
        </w:numPr>
        <w:rPr>
          <w:rFonts w:ascii="Arial" w:cs="Arial" w:eastAsia="Arial" w:hAnsi="Arial"/>
          <w:sz w:val="18"/>
          <w:szCs w:val="18"/>
          <w:color w:val="465361"/>
        </w:rPr>
      </w:pPr>
      <w:r>
        <w:rPr>
          <w:rFonts w:ascii="Arial" w:cs="Arial" w:eastAsia="Arial" w:hAnsi="Arial"/>
          <w:sz w:val="18"/>
          <w:szCs w:val="18"/>
          <w:color w:val="465361"/>
        </w:rPr>
        <w:t>All documents subsequently filed by us pursuant to Sections 13(a), 13(c), 14 or 15(d) of the Exchange Act after this offering is completed (other than information furnished under Item 2.02 or Item 7.01 of any Form 8-K which information is not deemed filed under the Exchange Act).</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You may request and obtain a copy of these filings, at no cost, by writing or telephoning us at the following address or phone number:</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AVITA Medical, Inc.</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28159 Avenue Stanford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Suite 220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Valencia, CA 91355</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(661) 367-9170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Attn: Donna Shiroma, General Counsel</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334645</wp:posOffset>
            </wp:positionV>
            <wp:extent cx="1466215" cy="642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46621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$200,000,000</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We may offer and sell from time to time our common stock, preferred stock, warrants, and units. The aggregate initial offering price of all securities sold by AVITA Therapeutics, Inc. pursuant to this prospectus and any prospectus supplement will not exceed $200,000,000.</w:t>
      </w:r>
    </w:p>
    <w:p>
      <w:pPr>
        <w:spacing w:after="0" w:line="12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prospectus describes the general terms of these securities and the general manner in which we will offer these securities. The specific terms of any securities we offer will be included in a supplement to this prospectus. The prospectus supplement will also describe the specific manner in which we will offer the securities.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w:t>
      </w:r>
    </w:p>
    <w:p>
      <w:pPr>
        <w:spacing w:after="0" w:line="172" w:lineRule="exact"/>
        <w:rPr>
          <w:sz w:val="20"/>
          <w:szCs w:val="20"/>
          <w:color w:val="auto"/>
        </w:rPr>
      </w:pPr>
    </w:p>
    <w:p>
      <w:pPr>
        <w:ind w:left="120" w:right="2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See “</w:t>
      </w:r>
      <w:hyperlink w:anchor="page3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3 of this prospectus, together with risk factors contained in any applicable prospectus supplement, for factors you should consider before buying any of our securities.</w:t>
      </w:r>
    </w:p>
    <w:p>
      <w:pPr>
        <w:spacing w:after="0" w:line="162" w:lineRule="exact"/>
        <w:rPr>
          <w:sz w:val="20"/>
          <w:szCs w:val="20"/>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We may offer these securities for sale directly to investors or through underwriters, dealers or agents. We will set forth the names of any underwriters, dealers or agents and their compensation in the accompanying prospectus supplement.</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date of this Prospectus is October 16, 2020.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6800" w:type="dxa"/>
            <w:vAlign w:val="bottom"/>
            <w:gridSpan w:val="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180" w:type="dxa"/>
            <w:vAlign w:val="bottom"/>
            <w:vMerge w:val="restart"/>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64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648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FORWARD-LOOKING STATEMENTS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OVERVIEW OF OUR BUSINESS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CAPITAL STOCK</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Common Stock</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Preferred Stock</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WARRANTS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Exercise of Warrants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Modifications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Enforceability of Rights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UNITS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PLAN OF DISTRIBUTION</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1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BY REFERENCE</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prospectus supplement to “AVITA Therapeutics” and to the “Company,” “we,” “us” or “our” are to AVITA Therapeutics, Inc. and its subsidiaries which together are referred to as the “AVITA Group”.</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which we refer to as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 “Where You Can Find More Information” below.</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included or incorporated by reference in this prospectus and the applicable prospectus supplement. We have not authorized anyone else to provide you with different information. We are not making an offer to sell in any jurisdiction in which the offer is not permitted. You should not assume that the information in the prospectus, any prospectus supplement or any other document incorporated by reference in this prospectus is accurate as of any date other than the dates of those documents.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prospectus, including the documents that we incorporate by reference, contains forward-looking statements within the meaning of</w:t>
      </w:r>
    </w:p>
    <w:p>
      <w:pPr>
        <w:spacing w:after="0" w:line="35"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June 30, 2020. These documents are available through our web site or through the SEC’s Electronic Data Gathering and Analysis Retrieval System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 OF OUR BUSINESS</w:t>
      </w:r>
    </w:p>
    <w:p>
      <w:pPr>
        <w:spacing w:after="0" w:line="229" w:lineRule="exact"/>
        <w:rPr>
          <w:sz w:val="20"/>
          <w:szCs w:val="20"/>
          <w:color w:val="auto"/>
        </w:rPr>
      </w:pPr>
    </w:p>
    <w:p>
      <w:pPr>
        <w:ind w:left="120" w:right="320" w:firstLine="440"/>
        <w:spacing w:after="0" w:line="287" w:lineRule="auto"/>
        <w:rPr>
          <w:sz w:val="20"/>
          <w:szCs w:val="20"/>
          <w:color w:val="auto"/>
        </w:rPr>
      </w:pPr>
      <w:r>
        <w:rPr>
          <w:rFonts w:ascii="Arial" w:cs="Arial" w:eastAsia="Arial" w:hAnsi="Arial"/>
          <w:sz w:val="16"/>
          <w:szCs w:val="16"/>
          <w:color w:val="auto"/>
        </w:rPr>
        <w:t>The AVITA Group is a regenerative medicine group with a technology platform positioned to address unmet medical needs in burn injuries, trauma injuries, chronic wounds, and dermatological and aesthetics indications, including vitiligo. Our patented and proprietary platform technology provides innovative treatment solutions derived from the regenerative properties of a patient’s own skin. Our medical device works by</w:t>
      </w:r>
    </w:p>
    <w:p>
      <w:pPr>
        <w:spacing w:after="0" w:line="1"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color w:val="auto"/>
        </w:rPr>
        <w:t>preparing Spray-On Skin</w:t>
      </w:r>
      <w:r>
        <w:rPr>
          <w:rFonts w:ascii="Arial" w:cs="Arial" w:eastAsia="Arial" w:hAnsi="Arial"/>
          <w:sz w:val="15"/>
          <w:szCs w:val="15"/>
          <w:color w:val="auto"/>
        </w:rPr>
        <w:t>™</w:t>
      </w:r>
      <w:r>
        <w:rPr>
          <w:rFonts w:ascii="Arial" w:cs="Arial" w:eastAsia="Arial" w:hAnsi="Arial"/>
          <w:sz w:val="18"/>
          <w:szCs w:val="18"/>
          <w:color w:val="auto"/>
        </w:rPr>
        <w:t xml:space="preserve"> Cells, an autologous cellular suspension comprised of the patient’s skin cells, which is then sprayed on the patient in order to regenerate natural healthy epidermis.</w:t>
      </w:r>
    </w:p>
    <w:p>
      <w:pPr>
        <w:spacing w:after="0" w:line="17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first United States (“</w:t>
      </w:r>
      <w:r>
        <w:rPr>
          <w:rFonts w:ascii="Arial" w:cs="Arial" w:eastAsia="Arial" w:hAnsi="Arial"/>
          <w:sz w:val="16"/>
          <w:szCs w:val="16"/>
          <w:b w:val="1"/>
          <w:bCs w:val="1"/>
          <w:color w:val="auto"/>
        </w:rPr>
        <w:t>U.S.</w:t>
      </w:r>
      <w:r>
        <w:rPr>
          <w:rFonts w:ascii="Arial" w:cs="Arial" w:eastAsia="Arial" w:hAnsi="Arial"/>
          <w:sz w:val="16"/>
          <w:szCs w:val="16"/>
          <w:color w:val="auto"/>
        </w:rPr>
        <w:t>”)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6"/>
          <w:szCs w:val="16"/>
          <w:b w:val="1"/>
          <w:bCs w:val="1"/>
          <w:color w:val="auto"/>
        </w:rPr>
        <w:t>PMA</w:t>
      </w:r>
      <w:r>
        <w:rPr>
          <w:rFonts w:ascii="Arial" w:cs="Arial" w:eastAsia="Arial" w:hAnsi="Arial"/>
          <w:sz w:val="16"/>
          <w:szCs w:val="16"/>
          <w:color w:val="auto"/>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65"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Following receipt of our PMA, we commenced commercializing the RECELL System in January 2019 in the U.S., and we expect the dominant focus of our commercial efforts to be directed towards the U.S. market going forward.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440"/>
        <w:spacing w:after="0" w:line="266" w:lineRule="auto"/>
        <w:rPr>
          <w:sz w:val="20"/>
          <w:szCs w:val="20"/>
          <w:color w:val="auto"/>
        </w:rPr>
      </w:pPr>
      <w:r>
        <w:rPr>
          <w:rFonts w:ascii="Arial" w:cs="Arial" w:eastAsia="Arial" w:hAnsi="Arial"/>
          <w:sz w:val="18"/>
          <w:szCs w:val="18"/>
          <w:color w:val="auto"/>
        </w:rPr>
        <w:t>The RECELL System is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”)-registered in Australia cleared for use in the treatment of burns, acute wounds, scars and repigmentation (vitiligo). In Europe, the RECELL System received CE-mark approval for the treatment of burns, chronic wounds, scars and vitiligo.</w:t>
      </w:r>
    </w:p>
    <w:p>
      <w:pPr>
        <w:spacing w:after="0" w:line="18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or SEC or with the Australian Securities Exchange, or ASX.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AVITA Therapeutics, a Delaware corporation, was originally formed in April 2020. The former parent company of the AVITA Group, AVITA Medical Limited, was formed under the laws of the Commonwealth of Australia in December of 1992, and has operated as AVITA Medical since 2008. AVITA Medical’s ordinary shares originally began trading in Australia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on August 9, 1993. AVITA Medical’s ordinary shares, in the form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began trading on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on October 1, 2019 under the ticker symbol “RCEL”.</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Effective June 29, 2020, we implemented a statutory scheme of arrangement under Australian law to change our domicile from Australia to the U.S. Under the scheme of arrangement, we became the new parent company of the AVITA Group, and all ordinary shares in AVITA Medical (including ordinary shares represented by ADSs) held by securityholders were exchanged for shares of common stock or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As a result, the existing listing of AVITA Medical on the ASX (as its primary listing) and on NASDAQ (as its secondary listing) was inverted and replaced with a new listing of AVITA Therapeutics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w:t>
      </w:r>
    </w:p>
    <w:p>
      <w:pPr>
        <w:spacing w:after="0" w:line="177"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Our principal executive office is located at 28159 Avenue Stanford, Suite 220,Valencia, CA 91355, and our telephone number is 661.367.9170. 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a complete discussion of Risk Factors affecting us, please see our discussion of Risk Factors in our annual report on Form 10-K for the fiscal year ended June 30, 2020 which was filed on August 27, 2020 and is incorporated by reference to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an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capital requirements may require incurring debt or dilution of existing stockholders.</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Acquisition, development and partnership opportunities together with other contingencies may arise, which could require us to raise additional capital or incur debt. If we raise additional capital through the sale of equity, including preferred stock, warrants or convertible debt securities, the percentage ownership of our then existing stockholders will be diluted.</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stockholders will benefit from an investment in our stock only if it appreciates in value.</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never declared or paid any cash dividends on our shares of common stock. We currently intend to retain all future earnings, if any, for use in the operation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any credit facilities and other financing arrangements. Accordingly, realization of a gain on stockholders’ investments will depend on the appreciation of the price of our stock. We can make no guarantee that our common stock will appreciate in value.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Unless specified otherwise in the applicable prospectus supplement, we expect to use the net proceeds we receive from the sale of the securities offered by this prospectus and the accompanying prospectus supplement for general corporate purposes, which may include, among other things:</w:t>
      </w:r>
    </w:p>
    <w:p>
      <w:pPr>
        <w:spacing w:after="0" w:line="2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repayment of debt if 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repurchases and redemptions of securities.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short-term indebtedness.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are a Delaware corporation. The rights of our stockholders are governed by the Delaware General Corporation Law, or the DGCL, and our amended certificate of incorporation (the “Certificate”) and our amended and restated bylaws (the “Bylaws”).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Certificate authorizes the issuance of up to 200,000,000 shares of common stock, $0.0001 par value per share.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the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the Board may consider relevant.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120" w:right="5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outstanding shares of our common stock are fully paid and non-assessable.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Stockholder Meetings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Certificate and Bylaws provide that annual stockholder meetings will be held at a date, place (if any) and time, as exclusively selected by the board of directors. To the extent permitted under applicable law, we may but are not obligated to conduct meetings by remote communications, including by webcast.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Effects of Provisions of the Certificate and Bylaws and DGCL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Some provisions of the DGCL, the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the our best interest, including transactions that might result in a premium over the market price for our common stock.</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 law.</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subject to Section 203 of the DGCL, an anti-takeover law. In general, the statute prohibits a publicly held Delaware corporation from engaging in a business combination with an “interested stockholder” for a period of three years after the date of the transaction in which the person became an interested stockholder. A “business combination” includes a merger, sale of 10% or more of our assets and certain other transactions resulting in a financial benefit to the stockholder. For purposes of Section 203, an “interested stockholder” is defined to include any person that is:</w:t>
      </w:r>
    </w:p>
    <w:p>
      <w:pPr>
        <w:spacing w:after="0" w:line="63"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corporation’s voting stock outstanding, at any time within three years immediately before the relevant date;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affiliate or associate of the persons described in the foregoing bullet points.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the above provisions of Section 203 do not apply if:</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approves the transaction that made the stockholder an interested stockholder before the date of that transaction;</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29" w:lineRule="exact"/>
        <w:rPr>
          <w:rFonts w:ascii="Arial" w:cs="Arial" w:eastAsia="Arial" w:hAnsi="Arial"/>
          <w:sz w:val="16"/>
          <w:szCs w:val="16"/>
          <w:color w:val="auto"/>
        </w:rPr>
      </w:pPr>
    </w:p>
    <w:p>
      <w:pPr>
        <w:ind w:left="1080" w:right="56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combinations approved by our board and authorized at a meeting of our stockholders by an affirmative vote of at least two-thirds of the outstanding voting stock not owned by the interested stockholder.</w:t>
      </w:r>
    </w:p>
    <w:p>
      <w:pPr>
        <w:spacing w:after="0" w:line="12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Proposals and Director Nominations.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stockholders can submit stockholder proposals and nominate candidates for our board of directors if the stockholders follow advance notice procedures described in our Bylaws.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To nominate directors, stockholders must submit a written notice at least 120 days before the first anniversary of the date of our proxy statement for the previous year’s annual stockholders’ meeting. The notice must include the name and address of the stockholder, the class and number of shares owned by the stockholder, information about the nominee required by the SEC and the written consent of the nominee to serve as a director. Our board of directors may require the nominee to furnish the same information as is required in the stockholders’ notice that pertains to the nominee.</w:t>
      </w:r>
    </w:p>
    <w:p>
      <w:pPr>
        <w:spacing w:after="0" w:line="15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Stockholder proposals must be submitted at least 120 days before the first anniversary of the date of our proxy statement for the previous year’s annual stockholders’ meeting. The notice must include a description of the proposal, the reasons for bringing the proposal before the meeting, the name and address of the stockholder, the class and number of shares owned by the stockholder and any material interest of the stockholder in the proposal.</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each case, if we did not hold an annual meeting in the previous year or if we have changed the date of the annual meeting by more than 30 days from the date contemplated in the previous year’s proxy statement, stockholders must submit the notice within a reasonable time before we begin to print and send our proxy materials.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Director nominations and stockholder proposals that are late or that do not include all required information may be rejected. This could prevent stockholders from bringing certain matters before an annual meeting, including making nominations for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Stockholder Meetings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Bylaws provide that a special meeting of stockholders (1) may be called at any time by the order of a majority of the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our common stock.</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Bylaws establish advance notice procedures with respect to stockholder proposals and the nomination of candidates for election as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of the Board of Directors; Election and Removal of Directors; Filling Vacancies</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Our board of directors consists of one or more directors. In any uncontested elections of directors, a director nominee for our board of directors will be elected by the plurality of the votes cast with respect to such director at a meeting at which a quorum is present.</w:t>
      </w:r>
    </w:p>
    <w:p>
      <w:pPr>
        <w:spacing w:after="0" w:line="14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a contested election, a plurality voting standard will apply to director elections. Our directors are elected until the expiration of the term for which they are elected and until their respective successors are duly elected and qualified.</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directors may be removed by the affirmative vote of at least a majority of the holders of our then- outstanding common stock. Furthermore, any vacancy on our board of directors, however occurring, including a vacancy resulting from an increase in the size of the board, may be filled only by a majority vote of the board of directors then in office, even if less than a quorum, or by the sole remaining director.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the Certificate and Bylaws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Certificate may be amended in any manner permitted under the DGCL and the Bylaws may be amended by the holders of at a majority of the voting power of the then outstanding voting stock or by the board of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Liability and Indemnification Matters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of the Certificate and Bylaws provide that the Company is required to indemnify its directors and officers to the fullest extent permitted by Delaware law. The Bylaws also obligate us to advance expenses incurred by a director or officer in advance of the final disposition of any action or proceeding upon delivery us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maintain insurance, at its expense, to protect itself and any director, officer, employee or agent or another corporation, partnership, joint venture, trust, employee benefit plan or other enterprise against any expense, liability or loss, whether or not we would have the power to indemnify such person against such expense, liability or loss under the DGCL.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transfer agent and registrar for our common stock is Computershare Trust Company, N.A, and its address is 250 Royall St., Canton, Massachusetts 02021. The transfer agent and registrar for our CDIs is Computershare Investor Services Pty Limited, and its address is Level 2, 45 St Georges Terrace, Perth WA 6000 Australia.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offer shares of our preferred stock from time to time, in one or more series of preferred stock. Pursuant to our certificate of incorporation, we have the authority to issue 10,000,000 shares of preferred stock, $0.0001 par value. As of October 9, 2020,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 payments and payments upon liquidation. The issuance could decrease the market price of our common stock. The issuance of preferred stock also could delay, deter, or prevent a change of control of the Company.</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summarized material provisions of the preferred stock in this section. This summary is not complete. If we offer preferred stock, will file a form of certificate of designation designating the rights and preferences of the preferred stock with the SEC prior to any issuance of preferred stock, and you should read such certificate of designation for provisions that may be important to you.</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certificate of designation and prospectus supplement relating to any series of preferred stock we are offering will include specific terms relating to the offering. These terms will include some or all of the following: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maximum number of shares of the series of preferred stock;</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dividend rate, if any, or the method of calculating and paying the dividend, the date from which dividends will accrue and whether dividends will be cumulative;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liquidation preference;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purchase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terms for the conversion or exchange of the preferred stock for other securities of us or any other entity;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shares of preferred stock we issue will, at the time of issuance, be fully paid and nonassessable.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prospectus supplement relating to any warrants that we are offering will include specific terms relating to the offering. These terms will include some or all of the following:</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number and terms of the common stock or preferred stock purchasable upon exercise of the warrants, and procedures by which those numbers may be adjusted;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Holders may exercise warrants at any time up to the close of business on the expiration date provided in the applicable prospectus supplement.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the close of business on the expiration date, unexercised warrants are void.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Prior to the exercise of their warrants, holders of warrants will not have any of the rights of holders of the securities subject to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w:t>
      </w:r>
    </w:p>
    <w:p>
      <w:pPr>
        <w:spacing w:after="0" w:line="8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shorten the period of time during which the warrants may be exercised;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otherwise materially and adversely affect the exercise rights of the holders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prospectus supplement relating to any units we are offering will include specific terms relating to the offering. These terms will include some or all of the following:</w:t>
      </w:r>
    </w:p>
    <w:p>
      <w:pPr>
        <w:spacing w:after="0" w:line="76" w:lineRule="exact"/>
        <w:rPr>
          <w:sz w:val="20"/>
          <w:szCs w:val="20"/>
          <w:color w:val="auto"/>
        </w:rPr>
      </w:pPr>
    </w:p>
    <w:p>
      <w:pPr>
        <w:ind w:left="1080" w:right="4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such units will be issued in fully registered or global form.</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CHESS DEPOSITARY INTERESTS</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70"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52" w:lineRule="exact"/>
        <w:rPr>
          <w:sz w:val="20"/>
          <w:szCs w:val="20"/>
          <w:color w:val="auto"/>
        </w:rPr>
      </w:pPr>
    </w:p>
    <w:p>
      <w:pPr>
        <w:ind w:left="1080" w:right="5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transactions on the Nasdaq Stock Market LLC or the ASX in accordance with the rules of the ASX (including through at the market offerings) or any other organized market where the securities may be traded;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offerings of securities exchangeable, convertible or exercisable for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any combination of the above.</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any time a particular offer of securities covered by this prospectus is made, a revised prospectus or prospectus supplement, if required, will be distributed which will set forth:</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or names of any underwriters, broker-dealers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be received by us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commissions, concessions and other items constituting underwriters’ or agents’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commissions or concessions allowed or re-allowed or paid to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additional risk factors applicable to the securities that we propose to sell;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securities exchange on which the securities may be listed.</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w:t>
      </w:r>
    </w:p>
    <w:p>
      <w:pPr>
        <w:spacing w:after="0" w:line="184"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5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In addition, we file annual, quarterly and current reports, proxy statements and other information with the SEC under the Exchange Act. Copies of these reports, proxy statements and other information may be inspected and copied at the Public Reference Room maintained by the SEC at 100 F Street, N.E., Washington, D.C. 20549. Copies of these materials can also be obtained by mail at prescribed rates from the Public Reference Room. Please call the SEC at 1-800-SEC-0330 for further information on the Public Reference Room. The SEC maintains a Website that contains reports, proxy statements and other information regarding Flow. The address of the SEC web site is </w:t>
      </w:r>
      <w:r>
        <w:rPr>
          <w:rFonts w:ascii="Arial" w:cs="Arial" w:eastAsia="Arial" w:hAnsi="Arial"/>
          <w:sz w:val="18"/>
          <w:szCs w:val="18"/>
          <w:u w:val="single" w:color="auto"/>
          <w:color w:val="auto"/>
        </w:rPr>
        <w:t>http://www.sec.gov</w:t>
      </w:r>
      <w:r>
        <w:rPr>
          <w:rFonts w:ascii="Arial" w:cs="Arial" w:eastAsia="Arial" w:hAnsi="Arial"/>
          <w:sz w:val="18"/>
          <w:szCs w:val="18"/>
          <w:color w:val="auto"/>
        </w:rPr>
        <w:t>. Copies of certain information filed by us with the SEC are also available on our website at www.avitamedical.com. Our website is not a part of this prospectus and is not incorporated by reference in this prospectus.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incorporate by reference the filed documents listed below, except as superseded, supplemented or modified by this prospectus, and any future filings we will make with the SEC under Sections 13(a), 13(c), 14 or 15(d) of the Exchange Act:</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June 30, 2020 as filed with the SEC on August 27,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Form 8-K’s dated </w:t>
      </w:r>
      <w:hyperlink r:id="rId61">
        <w:r>
          <w:rPr>
            <w:rFonts w:ascii="Arial" w:cs="Arial" w:eastAsia="Arial" w:hAnsi="Arial"/>
            <w:sz w:val="18"/>
            <w:szCs w:val="18"/>
            <w:u w:val="single" w:color="auto"/>
            <w:color w:val="0000EE"/>
          </w:rPr>
          <w:t>August 28, 2020</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EE"/>
          </w:rPr>
          <w:t>August 31, 2020</w:t>
        </w:r>
      </w:hyperlink>
      <w:r>
        <w:rPr>
          <w:rFonts w:ascii="Arial" w:cs="Arial" w:eastAsia="Arial" w:hAnsi="Arial"/>
          <w:sz w:val="18"/>
          <w:szCs w:val="18"/>
          <w:color w:val="auto"/>
        </w:rPr>
        <w:t xml:space="preserve">, and </w:t>
      </w:r>
      <w:hyperlink r:id="rId85">
        <w:r>
          <w:rPr>
            <w:rFonts w:ascii="Arial" w:cs="Arial" w:eastAsia="Arial" w:hAnsi="Arial"/>
            <w:sz w:val="18"/>
            <w:szCs w:val="18"/>
            <w:u w:val="single" w:color="auto"/>
            <w:color w:val="0000EE"/>
          </w:rPr>
          <w:t>September 10,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description of our common stock contained in our </w:t>
      </w:r>
      <w:hyperlink r:id="rId86">
        <w:r>
          <w:rPr>
            <w:rFonts w:ascii="Arial" w:cs="Arial" w:eastAsia="Arial" w:hAnsi="Arial"/>
            <w:sz w:val="18"/>
            <w:szCs w:val="18"/>
            <w:u w:val="single" w:color="auto"/>
            <w:color w:val="0000EE"/>
          </w:rPr>
          <w:t>Form 8-K 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June 30, 2020, including any amendment or reports filed for the purpose of updating this description;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documents subsequently filed by us pursuant to Sections 13(a), 13(c), 14 or 15(d) of the Exchange Act until this offering is completed,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w:t>
      </w:r>
    </w:p>
    <w:p>
      <w:pPr>
        <w:spacing w:after="0" w:line="18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7"/>
          <w:szCs w:val="17"/>
          <w:color w:val="auto"/>
        </w:rPr>
        <w:t>You may request and obtain a copy of these filings, at no cost, by writing or telephoning us at the following address or phone number:</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28159 Avenue Stanford, Suite 220,</w:t>
      </w:r>
    </w:p>
    <w:p>
      <w:pPr>
        <w:spacing w:after="0" w:line="27"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Valencia, CA 91355</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661.367.9170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Attn: David McIntyre, Chief Financial Officer</w:t>
      </w:r>
    </w:p>
    <w:p>
      <w:pPr>
        <w:spacing w:after="0" w:line="14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320" w:top="459" w:right="5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465361"/>
        </w:rPr>
        <w:t>2,795,000 Shares</w:t>
      </w:r>
    </w:p>
    <w:p>
      <w:pPr>
        <w:spacing w:after="0" w:line="361"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465361"/>
        </w:rPr>
        <w:t>AVITA MEDICAL, INC.</w:t>
      </w:r>
    </w:p>
    <w:p>
      <w:pPr>
        <w:spacing w:after="0" w:line="361"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46536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3058795</wp:posOffset>
            </wp:positionV>
            <wp:extent cx="2091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209169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1181100</wp:posOffset>
            </wp:positionV>
            <wp:extent cx="1534160" cy="677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15341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24"/>
          <w:szCs w:val="24"/>
          <w:b w:val="1"/>
          <w:bCs w:val="1"/>
          <w:color w:val="465361"/>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66040</wp:posOffset>
            </wp:positionV>
            <wp:extent cx="2091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465361"/>
        </w:rPr>
        <w:t>Piper Sandler</w:t>
      </w:r>
    </w:p>
    <w:p>
      <w:pPr>
        <w:spacing w:after="0" w:line="361" w:lineRule="exact"/>
        <w:rPr>
          <w:sz w:val="20"/>
          <w:szCs w:val="20"/>
          <w:color w:val="auto"/>
        </w:rPr>
      </w:pPr>
    </w:p>
    <w:p>
      <w:pPr>
        <w:ind w:left="5140"/>
        <w:spacing w:after="0"/>
        <w:rPr>
          <w:sz w:val="20"/>
          <w:szCs w:val="20"/>
          <w:color w:val="auto"/>
        </w:rPr>
      </w:pPr>
      <w:r>
        <w:rPr>
          <w:rFonts w:ascii="Arial" w:cs="Arial" w:eastAsia="Arial" w:hAnsi="Arial"/>
          <w:sz w:val="32"/>
          <w:szCs w:val="32"/>
          <w:b w:val="1"/>
          <w:bCs w:val="1"/>
          <w:color w:val="465361"/>
        </w:rPr>
        <w:t>Cowen</w:t>
      </w:r>
    </w:p>
    <w:p>
      <w:pPr>
        <w:spacing w:after="0" w:line="361"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465361"/>
        </w:rPr>
        <w:t>BTIG</w:t>
      </w:r>
    </w:p>
    <w:p>
      <w:pPr>
        <w:spacing w:after="0" w:line="361"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465361"/>
        </w:rPr>
        <w:t>Lake Street</w:t>
      </w:r>
    </w:p>
    <w:p>
      <w:pPr>
        <w:spacing w:after="0" w:line="200" w:lineRule="exact"/>
        <w:rPr>
          <w:sz w:val="20"/>
          <w:szCs w:val="20"/>
          <w:color w:val="auto"/>
        </w:rPr>
      </w:pPr>
    </w:p>
    <w:p>
      <w:pPr>
        <w:spacing w:after="0" w:line="35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465361"/>
        </w:rPr>
        <w:t>February 25, 2021</w:t>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Letter"/>
      <w:start w:val="1"/>
    </w:lvl>
    <w:lvl w:ilvl="1">
      <w:lvlJc w:val="left"/>
      <w:lvlText w:val="(%2)"/>
      <w:numFmt w:val="lowerRoman"/>
      <w:start w:val="1"/>
    </w:lvl>
  </w:abstractNum>
  <w:abstractNum w:abstractNumId="19">
    <w:nsid w:val="836C40E"/>
    <w:multiLevelType w:val="hybridMultilevel"/>
    <w:lvl w:ilvl="0">
      <w:lvlJc w:val="left"/>
      <w:lvlText w:val="(%1)"/>
      <w:numFmt w:val="lowerRoman"/>
      <w:start w:val="3"/>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Roman"/>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jpe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jpeg"/><Relationship Id="rId90" Type="http://schemas.openxmlformats.org/officeDocument/2006/relationships/image" Target="media/image69.png"/><Relationship Id="rId54" Type="http://schemas.openxmlformats.org/officeDocument/2006/relationships/hyperlink" Target="http://www.sec.gov/Archives/edgar/data/1762303/000119312520233145/d80602d10k.htm" TargetMode="External"/><Relationship Id="rId55" Type="http://schemas.openxmlformats.org/officeDocument/2006/relationships/hyperlink" Target="http://www.sec.gov/Archives/edgar/data/1762303/000119312520290149/d848036d10q.htm" TargetMode="External"/><Relationship Id="rId56" Type="http://schemas.openxmlformats.org/officeDocument/2006/relationships/hyperlink" Target="http://www.sec.gov/Archives/edgar/data/1762303/000119312521044929/d91453d10q.htm" TargetMode="External"/><Relationship Id="rId57" Type="http://schemas.openxmlformats.org/officeDocument/2006/relationships/hyperlink" Target="http://www.sec.gov/Archives/edgar/data/1762303/000119312520187776/d887854d8k.htm" TargetMode="External"/><Relationship Id="rId58" Type="http://schemas.openxmlformats.org/officeDocument/2006/relationships/hyperlink" Target="http://www.sec.gov/Archives/edgar/data/1762303/000119312520190182/d49750d8k.htm" TargetMode="External"/><Relationship Id="rId59" Type="http://schemas.openxmlformats.org/officeDocument/2006/relationships/hyperlink" Target="http://www.sec.gov/Archives/edgar/data/1762303/000119312520191428/d74553d8k.htm" TargetMode="External"/><Relationship Id="rId60" Type="http://schemas.openxmlformats.org/officeDocument/2006/relationships/hyperlink" Target="http://www.sec.gov/Archives/edgar/data/1762303/000119312520208825/d872824d8k.htm" TargetMode="External"/><Relationship Id="rId61" Type="http://schemas.openxmlformats.org/officeDocument/2006/relationships/hyperlink" Target="http://www.sec.gov/Archives/edgar/data/1762303/000119312520234104/d29517d8k.htm" TargetMode="External"/><Relationship Id="rId62" Type="http://schemas.openxmlformats.org/officeDocument/2006/relationships/hyperlink" Target="http://www.sec.gov/Archives/edgar/data/1762303/000119312520291190/d17517d8k.htm" TargetMode="External"/><Relationship Id="rId63" Type="http://schemas.openxmlformats.org/officeDocument/2006/relationships/hyperlink" Target="http://www.sec.gov/Archives/edgar/data/1762303/000119312520308071/d50549d8k.htm" TargetMode="External"/><Relationship Id="rId64" Type="http://schemas.openxmlformats.org/officeDocument/2006/relationships/hyperlink" Target="http://www.sec.gov/Archives/edgar/data/1762303/000119312520308333/d60911d8k.htm" TargetMode="External"/><Relationship Id="rId84" Type="http://schemas.openxmlformats.org/officeDocument/2006/relationships/hyperlink" Target="http://www.sec.gov/Archives/edgar/data/1762303/000119312520235745/d931852d8k.htm" TargetMode="External"/><Relationship Id="rId85" Type="http://schemas.openxmlformats.org/officeDocument/2006/relationships/hyperlink" Target="http://www.sec.gov/Archives/edgar/data/1762303/000119312520242792/d59000d8k.htm" TargetMode="External"/><Relationship Id="rId86" Type="http://schemas.openxmlformats.org/officeDocument/2006/relationships/hyperlink" Target="http://www.sec.gov/Archives/edgar/data/1762303/000119312520183429/d75062d8k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2021-02-26T06:48:59Z</dcterms:created>
  <dcterms:modified xsi:type="dcterms:W3CDTF">2021-02-26T06:48:59Z</dcterms:modified>
</cp:coreProperties>
</file>