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22"/>
          <w:szCs w:val="22"/>
          <w:b w:val="1"/>
          <w:bCs w:val="1"/>
          <w:color w:val="auto"/>
        </w:rPr>
        <w:t>AVITA MEDICAL, INC.</w:t>
      </w:r>
    </w:p>
    <w:p>
      <w:pPr>
        <w:spacing w:after="0"/>
        <w:rPr>
          <w:sz w:val="20"/>
          <w:szCs w:val="20"/>
          <w:color w:val="auto"/>
        </w:rPr>
      </w:pPr>
      <w:r>
        <w:rPr>
          <w:rFonts w:ascii="Calibri" w:cs="Calibri" w:eastAsia="Calibri" w:hAnsi="Calibri"/>
          <w:sz w:val="22"/>
          <w:szCs w:val="22"/>
          <w:b w:val="1"/>
          <w:bCs w:val="1"/>
          <w:color w:val="auto"/>
        </w:rPr>
        <w:t>LETTER FROM THE CHAIRMAN AND CEO</w:t>
      </w:r>
    </w:p>
    <w:p>
      <w:pPr>
        <w:spacing w:after="0" w:line="272" w:lineRule="exact"/>
        <w:rPr>
          <w:sz w:val="24"/>
          <w:szCs w:val="24"/>
          <w:color w:val="auto"/>
        </w:rPr>
      </w:pPr>
    </w:p>
    <w:p>
      <w:pPr>
        <w:spacing w:after="0"/>
        <w:rPr>
          <w:sz w:val="20"/>
          <w:szCs w:val="20"/>
          <w:color w:val="auto"/>
        </w:rPr>
      </w:pPr>
      <w:r>
        <w:rPr>
          <w:rFonts w:ascii="Calibri" w:cs="Calibri" w:eastAsia="Calibri" w:hAnsi="Calibri"/>
          <w:sz w:val="22"/>
          <w:szCs w:val="22"/>
          <w:color w:val="auto"/>
        </w:rPr>
        <w:t>Dear Shareholder:</w:t>
      </w:r>
    </w:p>
    <w:p>
      <w:pPr>
        <w:spacing w:after="0" w:line="267" w:lineRule="exact"/>
        <w:rPr>
          <w:sz w:val="24"/>
          <w:szCs w:val="24"/>
          <w:color w:val="auto"/>
        </w:rPr>
      </w:pPr>
    </w:p>
    <w:p>
      <w:pPr>
        <w:ind w:right="120"/>
        <w:spacing w:after="0" w:line="244" w:lineRule="auto"/>
        <w:rPr>
          <w:sz w:val="20"/>
          <w:szCs w:val="20"/>
          <w:color w:val="auto"/>
        </w:rPr>
      </w:pPr>
      <w:r>
        <w:rPr>
          <w:rFonts w:ascii="Calibri" w:cs="Calibri" w:eastAsia="Calibri" w:hAnsi="Calibri"/>
          <w:sz w:val="22"/>
          <w:szCs w:val="22"/>
          <w:color w:val="auto"/>
        </w:rPr>
        <w:t>We are pleased that AVITA Medical delivered strong 2022 results, ending the year in a solid financial position. In addition to our organic growth, we had a number of notable accomplishments throughout the year including significantly advancing our pipeline and accelerating launch timelines. Further, we made notable changes to our organization to advance our strategic growth plans and drive sustained growth. Looking ahead, we believe we are well positioned to execute on our plans, while creating value for our shareholders and improving the lives of our patients.</w:t>
      </w:r>
    </w:p>
    <w:p>
      <w:pPr>
        <w:spacing w:after="0" w:line="240" w:lineRule="exact"/>
        <w:rPr>
          <w:sz w:val="24"/>
          <w:szCs w:val="24"/>
          <w:color w:val="auto"/>
        </w:rPr>
      </w:pPr>
    </w:p>
    <w:p>
      <w:pPr>
        <w:spacing w:after="0"/>
        <w:rPr>
          <w:sz w:val="20"/>
          <w:szCs w:val="20"/>
          <w:color w:val="auto"/>
        </w:rPr>
      </w:pPr>
      <w:r>
        <w:rPr>
          <w:rFonts w:ascii="Calibri" w:cs="Calibri" w:eastAsia="Calibri" w:hAnsi="Calibri"/>
          <w:sz w:val="22"/>
          <w:szCs w:val="22"/>
          <w:b w:val="1"/>
          <w:bCs w:val="1"/>
          <w:color w:val="auto"/>
        </w:rPr>
        <w:t>2022 ACCOMLISHMENTS</w:t>
      </w:r>
    </w:p>
    <w:p>
      <w:pPr>
        <w:spacing w:after="0" w:line="270" w:lineRule="exact"/>
        <w:rPr>
          <w:sz w:val="24"/>
          <w:szCs w:val="24"/>
          <w:color w:val="auto"/>
        </w:rPr>
      </w:pPr>
    </w:p>
    <w:p>
      <w:pPr>
        <w:ind w:right="20" w:firstLine="2"/>
        <w:spacing w:after="0" w:line="242" w:lineRule="auto"/>
        <w:rPr>
          <w:sz w:val="20"/>
          <w:szCs w:val="20"/>
          <w:color w:val="auto"/>
        </w:rPr>
      </w:pPr>
      <w:r>
        <w:rPr>
          <w:rFonts w:ascii="Calibri" w:cs="Calibri" w:eastAsia="Calibri" w:hAnsi="Calibri"/>
          <w:sz w:val="22"/>
          <w:szCs w:val="22"/>
          <w:color w:val="auto"/>
        </w:rPr>
        <w:t>In 2022, our full-year commercial revenue was up 36% from the prior year. Throughout the year, we added very few accounts as our sales field organization was configured to only target and sell to the approximately 150 U.S. burn centers, all of which we are approved for use and a vast majority of which are activated. Accordingly, the growth in commercial revenue was largely driven by deeper penetration within existing customer accounts, along with the commencement of commercial sales with COSMOTEC, our partner in Japan. Of significance, the sales and number of patients being treated increased; however, the ratio of RECELL® kits per patient decreased. This indicates an increase in the utilization of RECELL to treat smaller wounds of 30% or less total body surface area (TBSA), reflecting broader adoption in U.S. burn centers. We expect this adoption pattern to continue as reflected in our 2023 commercial revenue guidance, which is expected to be in the range of $49 to $51 million. At midpoint, this is a 47% increase over 2022, this guidance includes our soft tissue launch midyear 2023.</w:t>
      </w:r>
    </w:p>
    <w:p>
      <w:pPr>
        <w:spacing w:after="0" w:line="244" w:lineRule="exact"/>
        <w:rPr>
          <w:sz w:val="24"/>
          <w:szCs w:val="24"/>
          <w:color w:val="auto"/>
        </w:rPr>
      </w:pPr>
    </w:p>
    <w:p>
      <w:pPr>
        <w:ind w:firstLine="1"/>
        <w:spacing w:after="0" w:line="245" w:lineRule="auto"/>
        <w:rPr>
          <w:sz w:val="20"/>
          <w:szCs w:val="20"/>
          <w:color w:val="auto"/>
        </w:rPr>
      </w:pPr>
      <w:r>
        <w:rPr>
          <w:rFonts w:ascii="Calibri" w:cs="Calibri" w:eastAsia="Calibri" w:hAnsi="Calibri"/>
          <w:sz w:val="22"/>
          <w:szCs w:val="22"/>
          <w:color w:val="auto"/>
        </w:rPr>
        <w:t>Early in 2022, we announced the that the U.S. Food and Drug Administration (FDA) approved our Premarket Approval (PMA) supplement application for our ease-of-use RECELL device. We started selling the ease-of-use device in the second quarter to our larger accounts, which has been well received by our customers. Customers prefer this version of RECELL because it streamlines workflow and reduces training efforts from both the customer and the AVITA Medical team.</w:t>
      </w:r>
    </w:p>
    <w:p>
      <w:pPr>
        <w:spacing w:after="0" w:line="242" w:lineRule="exact"/>
        <w:rPr>
          <w:sz w:val="24"/>
          <w:szCs w:val="24"/>
          <w:color w:val="auto"/>
        </w:rPr>
      </w:pPr>
    </w:p>
    <w:p>
      <w:pPr>
        <w:ind w:right="140" w:firstLine="1"/>
        <w:spacing w:after="0" w:line="244" w:lineRule="auto"/>
        <w:rPr>
          <w:sz w:val="20"/>
          <w:szCs w:val="20"/>
          <w:color w:val="auto"/>
        </w:rPr>
      </w:pPr>
      <w:r>
        <w:rPr>
          <w:rFonts w:ascii="Calibri" w:cs="Calibri" w:eastAsia="Calibri" w:hAnsi="Calibri"/>
          <w:sz w:val="22"/>
          <w:szCs w:val="22"/>
          <w:color w:val="auto"/>
        </w:rPr>
        <w:t>In 2022, we grew our commercial presence in Japan. In the first quarter, we received regulatory approval from Japan’s Pharmaceuticals and Medical Devices Agency (PMDA) to market RECELL for the treatment of acute burns in Japan. The approval was championed by our Japanese distribution partner, COSMOTEC. Shortly after, Japan’s Ministry of Health, Labor and Welfare (MHLW) granted the RECELL System marketing approval with favorable reimbursement, and COSMOTEC placed its initial stocking order followed by commercial launch in the fourth quarter.</w:t>
      </w:r>
    </w:p>
    <w:p>
      <w:pPr>
        <w:spacing w:after="0" w:line="241" w:lineRule="exact"/>
        <w:rPr>
          <w:sz w:val="24"/>
          <w:szCs w:val="24"/>
          <w:color w:val="auto"/>
        </w:rPr>
      </w:pPr>
    </w:p>
    <w:p>
      <w:pPr>
        <w:ind w:right="20" w:firstLine="1"/>
        <w:spacing w:after="0" w:line="243" w:lineRule="auto"/>
        <w:rPr>
          <w:sz w:val="20"/>
          <w:szCs w:val="20"/>
          <w:color w:val="auto"/>
        </w:rPr>
      </w:pPr>
      <w:r>
        <w:rPr>
          <w:rFonts w:ascii="Calibri" w:cs="Calibri" w:eastAsia="Calibri" w:hAnsi="Calibri"/>
          <w:sz w:val="22"/>
          <w:szCs w:val="22"/>
          <w:color w:val="auto"/>
        </w:rPr>
        <w:t>In the third quarter, we released positive topline results from our pivotal trials for two new indications: soft tissue repair and vitiligo. The soft tissue repair clinical trial had two co-primary endpoints: one endpoint had a hypothesis of superiority for donor skin sparing and the other co-primary endpoint had a hypothesis of noninferiority for healing. Both co-primary endpoints were met for both donor-sparing superiority and noninferiority healing for RECELL and soft tissue repair. Our vitiligo clinical study evaluated the safety and effectiveness of the RECELL system for repigmentation of stable vitiligo lesions. We are pleased that we met our primary endpoint in this trial. Soon after our results were announced, the FDA granted the RECELL System the Breakthrough Device designation to both proposed indications.</w:t>
      </w:r>
    </w:p>
    <w:p>
      <w:pPr>
        <w:sectPr>
          <w:pgSz w:w="11880" w:h="15480" w:orient="portrait"/>
          <w:cols w:equalWidth="0" w:num="1">
            <w:col w:w="9360"/>
          </w:cols>
          <w:pgMar w:left="1260" w:top="1239" w:right="1260" w:bottom="1027" w:gutter="0" w:footer="0" w:header="0"/>
        </w:sectPr>
      </w:pPr>
    </w:p>
    <w:bookmarkStart w:id="1" w:name="page2"/>
    <w:bookmarkEnd w:id="1"/>
    <w:p>
      <w:pPr>
        <w:ind w:right="220"/>
        <w:spacing w:after="0" w:line="263" w:lineRule="auto"/>
        <w:rPr>
          <w:sz w:val="20"/>
          <w:szCs w:val="20"/>
          <w:color w:val="auto"/>
        </w:rPr>
      </w:pPr>
      <w:r>
        <w:rPr>
          <w:rFonts w:ascii="Calibri" w:cs="Calibri" w:eastAsia="Calibri" w:hAnsi="Calibri"/>
          <w:sz w:val="22"/>
          <w:szCs w:val="22"/>
          <w:color w:val="auto"/>
        </w:rPr>
        <w:t>Under the Breakthrough Device program, AVITA Medical will receive prioritized review and interactive communication with the FDA throughout the premarket review phase.</w:t>
      </w:r>
    </w:p>
    <w:p>
      <w:pPr>
        <w:spacing w:after="0" w:line="218" w:lineRule="exact"/>
        <w:rPr>
          <w:sz w:val="20"/>
          <w:szCs w:val="20"/>
          <w:color w:val="auto"/>
        </w:rPr>
      </w:pPr>
    </w:p>
    <w:p>
      <w:pPr>
        <w:ind w:right="40"/>
        <w:spacing w:after="0" w:line="244" w:lineRule="auto"/>
        <w:rPr>
          <w:sz w:val="20"/>
          <w:szCs w:val="20"/>
          <w:color w:val="auto"/>
        </w:rPr>
      </w:pPr>
      <w:r>
        <w:rPr>
          <w:rFonts w:ascii="Calibri" w:cs="Calibri" w:eastAsia="Calibri" w:hAnsi="Calibri"/>
          <w:sz w:val="22"/>
          <w:szCs w:val="22"/>
          <w:color w:val="auto"/>
        </w:rPr>
        <w:t>We ended the year with two significant submissions to the FDA. In early December, we submitted a PMA supplement application to the FDA to expand the indication of RECELL to include soft tissue repair. A week later, we submitted a PMA application to the FDA to expand the clinical application of RECELL to include the treatment of stable vitiligo. As noted, we have expedited review for both submissions, which have each met or exceeded the primary endpoints in their respective studies used to support the applications. The 180-day review cycle for each application would imply June 2023 approvals.</w:t>
      </w:r>
    </w:p>
    <w:p>
      <w:pPr>
        <w:spacing w:after="0" w:line="23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OUR EXPANDING INDICATIONS</w:t>
      </w:r>
    </w:p>
    <w:p>
      <w:pPr>
        <w:spacing w:after="0" w:line="272" w:lineRule="exact"/>
        <w:rPr>
          <w:sz w:val="20"/>
          <w:szCs w:val="20"/>
          <w:color w:val="auto"/>
        </w:rPr>
      </w:pPr>
    </w:p>
    <w:p>
      <w:pPr>
        <w:spacing w:after="0"/>
        <w:rPr>
          <w:sz w:val="20"/>
          <w:szCs w:val="20"/>
          <w:color w:val="auto"/>
        </w:rPr>
      </w:pPr>
      <w:r>
        <w:rPr>
          <w:rFonts w:ascii="Calibri" w:cs="Calibri" w:eastAsia="Calibri" w:hAnsi="Calibri"/>
          <w:sz w:val="22"/>
          <w:szCs w:val="22"/>
          <w:i w:val="1"/>
          <w:iCs w:val="1"/>
          <w:color w:val="auto"/>
        </w:rPr>
        <w:t>BURNS</w:t>
      </w:r>
    </w:p>
    <w:p>
      <w:pPr>
        <w:ind w:right="20" w:firstLine="1"/>
        <w:spacing w:after="0" w:line="243" w:lineRule="auto"/>
        <w:rPr>
          <w:sz w:val="20"/>
          <w:szCs w:val="20"/>
          <w:color w:val="auto"/>
        </w:rPr>
      </w:pPr>
      <w:r>
        <w:rPr>
          <w:rFonts w:ascii="Calibri" w:cs="Calibri" w:eastAsia="Calibri" w:hAnsi="Calibri"/>
          <w:sz w:val="22"/>
          <w:szCs w:val="22"/>
          <w:color w:val="auto"/>
        </w:rPr>
        <w:t>The treatment of burns is primarily inpatient; however, we also have outpatient reimbursement through our transitional pass-through code. As mentioned, our sales field organization has been focused on selling to the 150 U.S. burn centers where patients with burns over 30% TBSA are required to be treated. Within these burn centers, approximately 25,000 (or 70%) of RECELL eligible cases are treated by roughly 300 surgeons. The remaining 10,000 targeted burn procedures exist in Level I and Level II trauma centers where burns under 30% TBSA are treated. With the transitional pass-through code, expansion into Level I and Level II trauma centers positions our sales organization to pursue the remaining 30% of the burn market we have not previously called on.</w:t>
      </w:r>
    </w:p>
    <w:p>
      <w:pPr>
        <w:spacing w:after="0" w:line="241" w:lineRule="exact"/>
        <w:rPr>
          <w:sz w:val="20"/>
          <w:szCs w:val="20"/>
          <w:color w:val="auto"/>
        </w:rPr>
      </w:pPr>
    </w:p>
    <w:p>
      <w:pPr>
        <w:spacing w:after="0"/>
        <w:rPr>
          <w:sz w:val="20"/>
          <w:szCs w:val="20"/>
          <w:color w:val="auto"/>
        </w:rPr>
      </w:pPr>
      <w:r>
        <w:rPr>
          <w:rFonts w:ascii="Calibri" w:cs="Calibri" w:eastAsia="Calibri" w:hAnsi="Calibri"/>
          <w:sz w:val="22"/>
          <w:szCs w:val="22"/>
          <w:i w:val="1"/>
          <w:iCs w:val="1"/>
          <w:color w:val="auto"/>
        </w:rPr>
        <w:t>SOFT TISSUE REPAIR</w:t>
      </w:r>
    </w:p>
    <w:p>
      <w:pPr>
        <w:ind w:right="120" w:firstLine="1"/>
        <w:spacing w:after="0" w:line="243" w:lineRule="auto"/>
        <w:rPr>
          <w:sz w:val="20"/>
          <w:szCs w:val="20"/>
          <w:color w:val="auto"/>
        </w:rPr>
      </w:pPr>
      <w:r>
        <w:rPr>
          <w:rFonts w:ascii="Calibri" w:cs="Calibri" w:eastAsia="Calibri" w:hAnsi="Calibri"/>
          <w:sz w:val="22"/>
          <w:szCs w:val="22"/>
          <w:color w:val="auto"/>
        </w:rPr>
        <w:t>The soft tissue repair indication has a broad range of applications from abrasions to fasciotomy and degloving, thus expanding our business to encompass all acute wounds. We find the majority of RECELL eligible procedures are treated within Level I and Level II trauma centers in the outpatient setting. Notably, the soft tissue repair indication will utilize the same inpatient and outpatient reimbursement codes as burns. As such, we are targeting 110,000 – 120,000 or more acute wound procedures treated within Level I and Level II trauma centers representing more than 1,000 call points and 2,000 surgeons. This indication will expand our market opportunity roughly five times our current burn center market.</w:t>
      </w:r>
    </w:p>
    <w:p>
      <w:pPr>
        <w:spacing w:after="0" w:line="244" w:lineRule="exact"/>
        <w:rPr>
          <w:sz w:val="20"/>
          <w:szCs w:val="20"/>
          <w:color w:val="auto"/>
        </w:rPr>
      </w:pPr>
    </w:p>
    <w:p>
      <w:pPr>
        <w:spacing w:after="0"/>
        <w:rPr>
          <w:sz w:val="20"/>
          <w:szCs w:val="20"/>
          <w:color w:val="auto"/>
        </w:rPr>
      </w:pPr>
      <w:r>
        <w:rPr>
          <w:rFonts w:ascii="Calibri" w:cs="Calibri" w:eastAsia="Calibri" w:hAnsi="Calibri"/>
          <w:sz w:val="22"/>
          <w:szCs w:val="22"/>
          <w:i w:val="1"/>
          <w:iCs w:val="1"/>
          <w:color w:val="auto"/>
        </w:rPr>
        <w:t>VITILIGO</w:t>
      </w:r>
    </w:p>
    <w:p>
      <w:pPr>
        <w:ind w:firstLine="1"/>
        <w:spacing w:after="0" w:line="242" w:lineRule="auto"/>
        <w:rPr>
          <w:sz w:val="20"/>
          <w:szCs w:val="20"/>
          <w:color w:val="auto"/>
        </w:rPr>
      </w:pPr>
      <w:r>
        <w:rPr>
          <w:rFonts w:ascii="Calibri" w:cs="Calibri" w:eastAsia="Calibri" w:hAnsi="Calibri"/>
          <w:sz w:val="22"/>
          <w:szCs w:val="22"/>
          <w:color w:val="auto"/>
        </w:rPr>
        <w:t>Vitiligo is a chronic autoimmune disease that attacks pigment-producing cells, resulting in spots or patches of lighter or white depigmented skin. Today, vitiligo affects up to 2% of the population worldwide, including an estimated 6.5 million Americans of which approximately 1.3 million have stable vitiligo. Once approved, RECELL offers a breakthrough treatment with first-in-class repigmentation of vitiligo lesions through the transplantation of melanocytes. We are in process of pursuing site of service reimbursement for the use of RECELL in the physician office setting, which is expected by January 2025. During the interim period, we will be implementing cash pay for vitiligo patients and physician-sponsored studies to build our podium presence for an intended commercial launch in January 2025. We estimate the market opportunity to be five times the size of the combined burn and soft tissue repair markets.</w:t>
      </w:r>
    </w:p>
    <w:p>
      <w:pPr>
        <w:spacing w:after="0" w:line="24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2023 A YEAR OF INFLECTION</w:t>
      </w:r>
    </w:p>
    <w:p>
      <w:pPr>
        <w:spacing w:after="0" w:line="270" w:lineRule="exact"/>
        <w:rPr>
          <w:sz w:val="20"/>
          <w:szCs w:val="20"/>
          <w:color w:val="auto"/>
        </w:rPr>
      </w:pPr>
    </w:p>
    <w:p>
      <w:pPr>
        <w:ind w:right="60"/>
        <w:spacing w:after="0" w:line="251" w:lineRule="auto"/>
        <w:rPr>
          <w:sz w:val="20"/>
          <w:szCs w:val="20"/>
          <w:color w:val="auto"/>
        </w:rPr>
      </w:pPr>
      <w:r>
        <w:rPr>
          <w:rFonts w:ascii="Calibri" w:cs="Calibri" w:eastAsia="Calibri" w:hAnsi="Calibri"/>
          <w:sz w:val="22"/>
          <w:szCs w:val="22"/>
          <w:color w:val="auto"/>
        </w:rPr>
        <w:t>Looking ahead, 2023 will be the year of inflection for AVITA Medical, transforming our business to encompass multiple indications and dramatically expanding our growth trajectory. Notably, the pending PMA supplement for soft tissue repair will meaningfully broaden our existing burns market and allow us</w:t>
      </w:r>
    </w:p>
    <w:p>
      <w:pPr>
        <w:sectPr>
          <w:pgSz w:w="11880" w:h="15480" w:orient="portrait"/>
          <w:cols w:equalWidth="0" w:num="1">
            <w:col w:w="9360"/>
          </w:cols>
          <w:pgMar w:left="1260" w:top="1242" w:right="1260" w:bottom="750" w:gutter="0" w:footer="0" w:header="0"/>
        </w:sectPr>
      </w:pPr>
    </w:p>
    <w:bookmarkStart w:id="2" w:name="page3"/>
    <w:bookmarkEnd w:id="2"/>
    <w:p>
      <w:pPr>
        <w:ind w:right="220"/>
        <w:spacing w:after="0"/>
        <w:rPr>
          <w:sz w:val="20"/>
          <w:szCs w:val="20"/>
          <w:color w:val="auto"/>
        </w:rPr>
      </w:pPr>
      <w:r>
        <w:rPr>
          <w:rFonts w:ascii="Calibri" w:cs="Calibri" w:eastAsia="Calibri" w:hAnsi="Calibri"/>
          <w:sz w:val="22"/>
          <w:szCs w:val="22"/>
          <w:color w:val="auto"/>
        </w:rPr>
        <w:t>to leverage our existing burns infrastructure. The commercial plans to maximize the soft tissue repair opportunity and to drive the synergies between burns and soft tissue are underway.</w:t>
      </w:r>
    </w:p>
    <w:p>
      <w:pPr>
        <w:ind w:right="40" w:firstLine="2"/>
        <w:spacing w:after="0" w:line="243" w:lineRule="auto"/>
        <w:rPr>
          <w:sz w:val="20"/>
          <w:szCs w:val="20"/>
          <w:color w:val="auto"/>
        </w:rPr>
      </w:pPr>
      <w:r>
        <w:rPr>
          <w:rFonts w:ascii="Calibri" w:cs="Calibri" w:eastAsia="Calibri" w:hAnsi="Calibri"/>
          <w:sz w:val="22"/>
          <w:szCs w:val="22"/>
          <w:color w:val="auto"/>
        </w:rPr>
        <w:t>The synergies between burns and soft tissue repair are significant and important to our transformation and growth. First, as mentioned, the soft tissue indication utilizes the same reimbursement codes as burns; thus, we will have access to both in-hospital reimbursement through a DRG and outpatient reimbursement through a transitional passthrough code immediately upon FDA approval for soft tissue indications. Second, of the nearly 150 U.S. burn centers that we are presently approved to sell in, approximately half are also either Level I or Level II trauma centers, which treat 110,000 or more soft tissue injuries. These facilities will have immediate access to the expanded label upon FDA approval of soft tissue repair.</w:t>
      </w:r>
    </w:p>
    <w:p>
      <w:pPr>
        <w:spacing w:after="0" w:line="241" w:lineRule="exact"/>
        <w:rPr>
          <w:sz w:val="20"/>
          <w:szCs w:val="20"/>
          <w:color w:val="auto"/>
        </w:rPr>
      </w:pPr>
    </w:p>
    <w:p>
      <w:pPr>
        <w:spacing w:after="0" w:line="247" w:lineRule="auto"/>
        <w:rPr>
          <w:sz w:val="20"/>
          <w:szCs w:val="20"/>
          <w:color w:val="auto"/>
        </w:rPr>
      </w:pPr>
      <w:r>
        <w:rPr>
          <w:rFonts w:ascii="Calibri" w:cs="Calibri" w:eastAsia="Calibri" w:hAnsi="Calibri"/>
          <w:sz w:val="22"/>
          <w:szCs w:val="22"/>
          <w:color w:val="auto"/>
        </w:rPr>
        <w:t>In anticipation of our soft tissue launch, we expect to more than double our existing field sales organization, which will cover both burn and soft tissue accounts. This expansion is ahead of the expected June approval of our PMA supplement for soft tissue repair, such that the team is in place and trained at launch.</w:t>
      </w:r>
    </w:p>
    <w:p>
      <w:pPr>
        <w:spacing w:after="0" w:line="236" w:lineRule="exact"/>
        <w:rPr>
          <w:sz w:val="20"/>
          <w:szCs w:val="20"/>
          <w:color w:val="auto"/>
        </w:rPr>
      </w:pPr>
    </w:p>
    <w:p>
      <w:pPr>
        <w:ind w:right="80"/>
        <w:spacing w:after="0" w:line="244" w:lineRule="auto"/>
        <w:rPr>
          <w:sz w:val="20"/>
          <w:szCs w:val="20"/>
          <w:color w:val="auto"/>
        </w:rPr>
      </w:pPr>
      <w:r>
        <w:rPr>
          <w:rFonts w:ascii="Calibri" w:cs="Calibri" w:eastAsia="Calibri" w:hAnsi="Calibri"/>
          <w:sz w:val="22"/>
          <w:szCs w:val="22"/>
          <w:color w:val="auto"/>
        </w:rPr>
        <w:t>To optimize the burn and soft tissue synergies, we will begin calling on Level I and Level II trauma centers using the opportunity to begin promoting RECELL for burns. Additionally, we will begin seeking value analysis committee approval that will allow for a more rapid soft tissue repair launch. Together, these synergies offer us the unique opportunity to prepare for the full commercial launch of soft tissue on July 1, 2023, as we should have immediate access to our expanded indications along with prior approvals in many of these hospitals upon PMA supplement approval.</w:t>
      </w:r>
    </w:p>
    <w:p>
      <w:pPr>
        <w:spacing w:after="0" w:line="243" w:lineRule="exact"/>
        <w:rPr>
          <w:sz w:val="20"/>
          <w:szCs w:val="20"/>
          <w:color w:val="auto"/>
        </w:rPr>
      </w:pPr>
    </w:p>
    <w:p>
      <w:pPr>
        <w:ind w:right="60" w:firstLine="1"/>
        <w:spacing w:after="0" w:line="242" w:lineRule="auto"/>
        <w:rPr>
          <w:sz w:val="20"/>
          <w:szCs w:val="20"/>
          <w:color w:val="auto"/>
        </w:rPr>
      </w:pPr>
      <w:r>
        <w:rPr>
          <w:rFonts w:ascii="Calibri" w:cs="Calibri" w:eastAsia="Calibri" w:hAnsi="Calibri"/>
          <w:sz w:val="22"/>
          <w:szCs w:val="22"/>
          <w:color w:val="auto"/>
        </w:rPr>
        <w:t>In addition to our expected FDA approvals and the expansion of our field sales organization, plans are underway for our automation device. By way of background, currently, the disaggregation of cells from the autologous sample is done manually and requires frequent training by our field sales team. The process also consumes a significant amount of time of the hospital staff and physicians, which can inhibit adoption of RECELL. Our automation device is designed to automate that disaggregation, which will in turn require less training by our sales organization allowing us to better leverage selling time. Moreover, the automation reduces the burden on physicians and operating room staff, thereby encouraging adoption. Consequently, we believe our automation device will vastly accelerate our growth across burns, soft tissue, and vitiligo. We plan to submit a PMA supplement to the FDA for our automation device by June 30, 2023, with approval projected by January 2024 as will be subject to the 180-day review cycle.</w:t>
      </w:r>
    </w:p>
    <w:p>
      <w:pPr>
        <w:spacing w:after="0" w:line="241" w:lineRule="exact"/>
        <w:rPr>
          <w:sz w:val="20"/>
          <w:szCs w:val="20"/>
          <w:color w:val="auto"/>
        </w:rPr>
      </w:pPr>
    </w:p>
    <w:p>
      <w:pPr>
        <w:ind w:right="140"/>
        <w:spacing w:after="0" w:line="251" w:lineRule="auto"/>
        <w:rPr>
          <w:sz w:val="20"/>
          <w:szCs w:val="20"/>
          <w:color w:val="auto"/>
        </w:rPr>
      </w:pPr>
      <w:r>
        <w:rPr>
          <w:rFonts w:ascii="Calibri" w:cs="Calibri" w:eastAsia="Calibri" w:hAnsi="Calibri"/>
          <w:sz w:val="22"/>
          <w:szCs w:val="22"/>
          <w:color w:val="auto"/>
        </w:rPr>
        <w:t>With the foundation of RECELL, the expansion of indications, and our automation device, our strategic plans set us on a path of revenue growth for the next 3 to 5 years. We thank you for your continued support and encouragement, and look forward to updating you on our progress throughout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44450</wp:posOffset>
            </wp:positionV>
            <wp:extent cx="1512570" cy="6057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2570" cy="605790"/>
                    </a:xfrm>
                    <a:prstGeom prst="rect">
                      <a:avLst/>
                    </a:prstGeom>
                    <a:noFill/>
                  </pic:spPr>
                </pic:pic>
              </a:graphicData>
            </a:graphic>
          </wp:anchor>
        </w:drawing>
        <w:drawing>
          <wp:anchor simplePos="0" relativeHeight="251657728" behindDoc="1" locked="0" layoutInCell="0" allowOverlap="1">
            <wp:simplePos x="0" y="0"/>
            <wp:positionH relativeFrom="column">
              <wp:posOffset>3175000</wp:posOffset>
            </wp:positionH>
            <wp:positionV relativeFrom="paragraph">
              <wp:posOffset>228600</wp:posOffset>
            </wp:positionV>
            <wp:extent cx="1637665" cy="4159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37665" cy="415925"/>
                    </a:xfrm>
                    <a:prstGeom prst="rect">
                      <a:avLst/>
                    </a:prstGeom>
                    <a:noFill/>
                  </pic:spPr>
                </pic:pic>
              </a:graphicData>
            </a:graphic>
          </wp:anchor>
        </w:drawing>
      </w:r>
    </w:p>
    <w:p>
      <w:pPr>
        <w:sectPr>
          <w:pgSz w:w="11880" w:h="15480" w:orient="portrait"/>
          <w:cols w:equalWidth="0" w:num="1">
            <w:col w:w="9260"/>
          </w:cols>
          <w:pgMar w:left="1260" w:top="1242" w:right="13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Calibri" w:cs="Calibri" w:eastAsia="Calibri" w:hAnsi="Calibri"/>
          <w:sz w:val="22"/>
          <w:szCs w:val="22"/>
          <w:color w:val="auto"/>
        </w:rPr>
        <w:t>James Corbett</w:t>
      </w:r>
    </w:p>
    <w:p>
      <w:pPr>
        <w:spacing w:after="0"/>
        <w:rPr>
          <w:sz w:val="20"/>
          <w:szCs w:val="20"/>
          <w:color w:val="auto"/>
        </w:rPr>
      </w:pPr>
      <w:r>
        <w:rPr>
          <w:rFonts w:ascii="Calibri" w:cs="Calibri" w:eastAsia="Calibri" w:hAnsi="Calibri"/>
          <w:sz w:val="21"/>
          <w:szCs w:val="21"/>
          <w:color w:val="auto"/>
        </w:rPr>
        <w:t>Chief Executive Officer</w:t>
      </w:r>
    </w:p>
    <w:p>
      <w:pPr>
        <w:spacing w:after="0" w:line="10" w:lineRule="exact"/>
        <w:rPr>
          <w:sz w:val="20"/>
          <w:szCs w:val="20"/>
          <w:color w:val="auto"/>
        </w:rPr>
      </w:pPr>
    </w:p>
    <w:p>
      <w:pPr>
        <w:spacing w:after="0"/>
        <w:rPr>
          <w:sz w:val="20"/>
          <w:szCs w:val="20"/>
          <w:color w:val="auto"/>
        </w:rPr>
      </w:pPr>
      <w:r>
        <w:rPr>
          <w:rFonts w:ascii="Calibri" w:cs="Calibri" w:eastAsia="Calibri" w:hAnsi="Calibri"/>
          <w:sz w:val="22"/>
          <w:szCs w:val="22"/>
          <w:color w:val="auto"/>
        </w:rPr>
        <w:t>AVITA Medical,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alibri" w:cs="Calibri" w:eastAsia="Calibri" w:hAnsi="Calibri"/>
          <w:sz w:val="22"/>
          <w:szCs w:val="22"/>
          <w:color w:val="auto"/>
        </w:rPr>
        <w:t>Lou Panaccio</w:t>
      </w:r>
    </w:p>
    <w:p>
      <w:pPr>
        <w:spacing w:after="0"/>
        <w:rPr>
          <w:sz w:val="20"/>
          <w:szCs w:val="20"/>
          <w:color w:val="auto"/>
        </w:rPr>
      </w:pPr>
      <w:r>
        <w:rPr>
          <w:rFonts w:ascii="Calibri" w:cs="Calibri" w:eastAsia="Calibri" w:hAnsi="Calibri"/>
          <w:sz w:val="21"/>
          <w:szCs w:val="21"/>
          <w:color w:val="auto"/>
        </w:rPr>
        <w:t>Chairman of the Board of Directors</w:t>
      </w:r>
    </w:p>
    <w:p>
      <w:pPr>
        <w:spacing w:after="0" w:line="10" w:lineRule="exact"/>
        <w:rPr>
          <w:sz w:val="20"/>
          <w:szCs w:val="20"/>
          <w:color w:val="auto"/>
        </w:rPr>
      </w:pPr>
    </w:p>
    <w:p>
      <w:pPr>
        <w:spacing w:after="0"/>
        <w:rPr>
          <w:sz w:val="20"/>
          <w:szCs w:val="20"/>
          <w:color w:val="auto"/>
        </w:rPr>
      </w:pPr>
      <w:r>
        <w:rPr>
          <w:rFonts w:ascii="Calibri" w:cs="Calibri" w:eastAsia="Calibri" w:hAnsi="Calibri"/>
          <w:sz w:val="22"/>
          <w:szCs w:val="22"/>
          <w:color w:val="auto"/>
        </w:rPr>
        <w:t>AVITA Medical, Inc.</w:t>
      </w:r>
    </w:p>
    <w:p>
      <w:pPr>
        <w:sectPr>
          <w:pgSz w:w="11880" w:h="15480" w:orient="portrait"/>
          <w:cols w:equalWidth="0" w:num="2">
            <w:col w:w="4320" w:space="720"/>
            <w:col w:w="4220"/>
          </w:cols>
          <w:pgMar w:left="1260" w:top="1242" w:right="1360" w:bottom="1440" w:gutter="0" w:footer="0" w:header="0"/>
          <w:type w:val="continuous"/>
        </w:sectPr>
      </w:pPr>
    </w:p>
    <w:bookmarkStart w:id="3" w:name="page4"/>
    <w:bookmarkEnd w:id="3"/>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311785</wp:posOffset>
            </wp:positionH>
            <wp:positionV relativeFrom="page">
              <wp:posOffset>580390</wp:posOffset>
            </wp:positionV>
            <wp:extent cx="6921500" cy="438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21500" cy="43815"/>
                    </a:xfrm>
                    <a:prstGeom prst="rect">
                      <a:avLst/>
                    </a:prstGeom>
                    <a:noFill/>
                  </pic:spPr>
                </pic:pic>
              </a:graphicData>
            </a:graphic>
          </wp:anchor>
        </w:drawing>
        <w:t>UNITED STATES</w:t>
      </w:r>
    </w:p>
    <w:p>
      <w:pPr>
        <w:jc w:val="center"/>
        <w:spacing w:after="0" w:line="232" w:lineRule="auto"/>
        <w:rPr>
          <w:sz w:val="20"/>
          <w:szCs w:val="20"/>
          <w:color w:val="auto"/>
        </w:rPr>
      </w:pPr>
      <w:r>
        <w:rPr>
          <w:rFonts w:ascii="Times New Roman" w:cs="Times New Roman" w:eastAsia="Times New Roman" w:hAnsi="Times New Roman"/>
          <w:sz w:val="26"/>
          <w:szCs w:val="26"/>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2725420</wp:posOffset>
            </wp:positionH>
            <wp:positionV relativeFrom="paragraph">
              <wp:posOffset>51435</wp:posOffset>
            </wp:positionV>
            <wp:extent cx="1408430" cy="12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8430" cy="12065"/>
                    </a:xfrm>
                    <a:prstGeom prst="rect">
                      <a:avLst/>
                    </a:prstGeom>
                    <a:noFill/>
                  </pic:spPr>
                </pic:pic>
              </a:graphicData>
            </a:graphic>
          </wp:anchor>
        </w:drawing>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118" w:lineRule="exact"/>
        <w:rPr>
          <w:sz w:val="20"/>
          <w:szCs w:val="20"/>
          <w:color w:val="auto"/>
        </w:rPr>
      </w:pPr>
    </w:p>
    <w:p>
      <w:pPr>
        <w:ind w:left="440" w:hanging="440"/>
        <w:spacing w:after="0"/>
        <w:tabs>
          <w:tab w:leader="none" w:pos="440" w:val="left"/>
        </w:tabs>
        <w:numPr>
          <w:ilvl w:val="0"/>
          <w:numId w:val="1"/>
        </w:numPr>
        <w:rPr>
          <w:rFonts w:ascii="Segoe UI Symbol" w:cs="Segoe UI Symbol" w:eastAsia="Segoe UI Symbol" w:hAnsi="Segoe UI Symbol"/>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2725420</wp:posOffset>
            </wp:positionH>
            <wp:positionV relativeFrom="paragraph">
              <wp:posOffset>-167640</wp:posOffset>
            </wp:positionV>
            <wp:extent cx="1408430" cy="12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8430" cy="12065"/>
                    </a:xfrm>
                    <a:prstGeom prst="rect">
                      <a:avLst/>
                    </a:prstGeom>
                    <a:noFill/>
                  </pic:spPr>
                </pic:pic>
              </a:graphicData>
            </a:graphic>
          </wp:anchor>
        </w:drawing>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0" w:type="dxa"/>
            <w:vAlign w:val="bottom"/>
          </w:tcPr>
          <w:p>
            <w:pPr>
              <w:spacing w:after="0"/>
              <w:rPr>
                <w:sz w:val="19"/>
                <w:szCs w:val="19"/>
                <w:color w:val="auto"/>
              </w:rPr>
            </w:pPr>
          </w:p>
        </w:tc>
        <w:tc>
          <w:tcPr>
            <w:tcW w:w="9300" w:type="dxa"/>
            <w:vAlign w:val="bottom"/>
            <w:gridSpan w:val="2"/>
          </w:tcPr>
          <w:p>
            <w:pPr>
              <w:jc w:val="center"/>
              <w:ind w:left="817"/>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2022</w:t>
            </w:r>
          </w:p>
        </w:tc>
        <w:tc>
          <w:tcPr>
            <w:tcW w:w="0" w:type="dxa"/>
            <w:vAlign w:val="bottom"/>
          </w:tcPr>
          <w:p>
            <w:pPr>
              <w:spacing w:after="0"/>
              <w:rPr>
                <w:sz w:val="1"/>
                <w:szCs w:val="1"/>
                <w:color w:val="auto"/>
              </w:rPr>
            </w:pPr>
          </w:p>
        </w:tc>
      </w:tr>
      <w:tr>
        <w:trPr>
          <w:trHeight w:val="212"/>
        </w:trPr>
        <w:tc>
          <w:tcPr>
            <w:tcW w:w="300" w:type="dxa"/>
            <w:vAlign w:val="bottom"/>
            <w:vMerge w:val="restart"/>
          </w:tcPr>
          <w:p>
            <w:pPr>
              <w:spacing w:after="0"/>
              <w:rPr>
                <w:sz w:val="20"/>
                <w:szCs w:val="20"/>
                <w:color w:val="auto"/>
              </w:rPr>
            </w:pPr>
            <w:r>
              <w:rPr>
                <w:rFonts w:ascii="Segoe UI Symbol" w:cs="Segoe UI Symbol" w:eastAsia="Segoe UI Symbol" w:hAnsi="Segoe UI Symbol"/>
                <w:sz w:val="18"/>
                <w:szCs w:val="18"/>
                <w:color w:val="auto"/>
              </w:rPr>
              <w:t>☐</w:t>
            </w:r>
          </w:p>
        </w:tc>
        <w:tc>
          <w:tcPr>
            <w:tcW w:w="5020" w:type="dxa"/>
            <w:vAlign w:val="bottom"/>
          </w:tcPr>
          <w:p>
            <w:pPr>
              <w:spacing w:after="0"/>
              <w:rPr>
                <w:sz w:val="18"/>
                <w:szCs w:val="18"/>
                <w:color w:val="auto"/>
              </w:rPr>
            </w:pPr>
          </w:p>
        </w:tc>
        <w:tc>
          <w:tcPr>
            <w:tcW w:w="4280" w:type="dxa"/>
            <w:vAlign w:val="bottom"/>
          </w:tcPr>
          <w:p>
            <w:pPr>
              <w:jc w:val="center"/>
              <w:ind w:right="4040"/>
              <w:spacing w:after="0"/>
              <w:rPr>
                <w:sz w:val="20"/>
                <w:szCs w:val="20"/>
                <w:color w:val="auto"/>
              </w:rPr>
            </w:pPr>
            <w:r>
              <w:rPr>
                <w:rFonts w:ascii="Times New Roman" w:cs="Times New Roman" w:eastAsia="Times New Roman" w:hAnsi="Times New Roman"/>
                <w:sz w:val="16"/>
                <w:szCs w:val="16"/>
                <w:b w:val="1"/>
                <w:bCs w:val="1"/>
                <w:color w:val="auto"/>
              </w:rPr>
              <w:t>or</w:t>
            </w:r>
          </w:p>
        </w:tc>
        <w:tc>
          <w:tcPr>
            <w:tcW w:w="0" w:type="dxa"/>
            <w:vAlign w:val="bottom"/>
          </w:tcPr>
          <w:p>
            <w:pPr>
              <w:spacing w:after="0"/>
              <w:rPr>
                <w:sz w:val="1"/>
                <w:szCs w:val="1"/>
                <w:color w:val="auto"/>
              </w:rPr>
            </w:pPr>
          </w:p>
        </w:tc>
      </w:tr>
      <w:tr>
        <w:trPr>
          <w:trHeight w:val="267"/>
        </w:trPr>
        <w:tc>
          <w:tcPr>
            <w:tcW w:w="300" w:type="dxa"/>
            <w:vAlign w:val="bottom"/>
            <w:vMerge w:val="continue"/>
          </w:tcPr>
          <w:p>
            <w:pPr>
              <w:spacing w:after="0"/>
              <w:rPr>
                <w:sz w:val="23"/>
                <w:szCs w:val="23"/>
                <w:color w:val="auto"/>
              </w:rPr>
            </w:pPr>
          </w:p>
        </w:tc>
        <w:tc>
          <w:tcPr>
            <w:tcW w:w="9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w w:val="99"/>
              </w:rPr>
              <w:t>TRANSITION REPORT PURSUANT TO SECTION 13 OR 15(d) OF THE SECURITIES EXCHANGE ACT OF 1934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020" w:type="dxa"/>
            <w:vAlign w:val="bottom"/>
          </w:tcPr>
          <w:p>
            <w:pPr>
              <w:ind w:left="2940"/>
              <w:spacing w:after="0"/>
              <w:rPr>
                <w:sz w:val="20"/>
                <w:szCs w:val="20"/>
                <w:color w:val="auto"/>
              </w:rPr>
            </w:pPr>
            <w:r>
              <w:rPr>
                <w:rFonts w:ascii="Times New Roman" w:cs="Times New Roman" w:eastAsia="Times New Roman" w:hAnsi="Times New Roman"/>
                <w:sz w:val="16"/>
                <w:szCs w:val="16"/>
                <w:b w:val="1"/>
                <w:bCs w:val="1"/>
                <w:color w:val="auto"/>
                <w:w w:val="99"/>
              </w:rPr>
              <w:t>For the transition period from</w:t>
            </w:r>
          </w:p>
        </w:tc>
        <w:tc>
          <w:tcPr>
            <w:tcW w:w="428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to</w:t>
            </w: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9300" w:type="dxa"/>
            <w:vAlign w:val="bottom"/>
            <w:gridSpan w:val="2"/>
          </w:tcPr>
          <w:p>
            <w:pPr>
              <w:jc w:val="center"/>
              <w:ind w:left="837"/>
              <w:spacing w:after="0"/>
              <w:rPr>
                <w:sz w:val="20"/>
                <w:szCs w:val="20"/>
                <w:color w:val="auto"/>
              </w:rPr>
            </w:pPr>
            <w:r>
              <w:rPr>
                <w:rFonts w:ascii="Times New Roman" w:cs="Times New Roman" w:eastAsia="Times New Roman" w:hAnsi="Times New Roman"/>
                <w:sz w:val="16"/>
                <w:szCs w:val="16"/>
                <w:b w:val="1"/>
                <w:bCs w:val="1"/>
                <w:color w:val="auto"/>
              </w:rPr>
              <w:t>Commission File Number: 001-39059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3386455</wp:posOffset>
            </wp:positionH>
            <wp:positionV relativeFrom="paragraph">
              <wp:posOffset>-171450</wp:posOffset>
            </wp:positionV>
            <wp:extent cx="110172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01725" cy="34290"/>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15240</wp:posOffset>
            </wp:positionV>
            <wp:extent cx="1494155" cy="857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4155"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AVITA MEDICAL,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300" w:type="dxa"/>
            <w:vAlign w:val="bottom"/>
          </w:tcPr>
          <w:p>
            <w:pPr>
              <w:jc w:val="center"/>
              <w:ind w:left="238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00" w:type="dxa"/>
            <w:vAlign w:val="bottom"/>
            <w:tcBorders>
              <w:top w:val="single" w:sz="8" w:color="auto"/>
            </w:tcBorders>
          </w:tcPr>
          <w:p>
            <w:pPr>
              <w:spacing w:after="0"/>
              <w:rPr>
                <w:sz w:val="19"/>
                <w:szCs w:val="19"/>
                <w:color w:val="auto"/>
              </w:rPr>
            </w:pPr>
          </w:p>
        </w:tc>
        <w:tc>
          <w:tcPr>
            <w:tcW w:w="2020" w:type="dxa"/>
            <w:vAlign w:val="bottom"/>
            <w:tcBorders>
              <w:top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Pr>
          <w:p>
            <w:pPr>
              <w:jc w:val="center"/>
              <w:ind w:right="880"/>
              <w:spacing w:after="0"/>
              <w:rPr>
                <w:sz w:val="20"/>
                <w:szCs w:val="20"/>
                <w:color w:val="auto"/>
              </w:rPr>
            </w:pPr>
            <w:r>
              <w:rPr>
                <w:rFonts w:ascii="Times New Roman" w:cs="Times New Roman" w:eastAsia="Times New Roman" w:hAnsi="Times New Roman"/>
                <w:sz w:val="16"/>
                <w:szCs w:val="16"/>
                <w:b w:val="1"/>
                <w:bCs w:val="1"/>
                <w:color w:val="auto"/>
              </w:rPr>
              <w:t>85-1021707</w:t>
            </w:r>
          </w:p>
        </w:tc>
        <w:tc>
          <w:tcPr>
            <w:tcW w:w="0" w:type="dxa"/>
            <w:vAlign w:val="bottom"/>
          </w:tcPr>
          <w:p>
            <w:pPr>
              <w:spacing w:after="0"/>
              <w:rPr>
                <w:sz w:val="1"/>
                <w:szCs w:val="1"/>
                <w:color w:val="auto"/>
              </w:rPr>
            </w:pPr>
          </w:p>
        </w:tc>
      </w:tr>
      <w:tr>
        <w:trPr>
          <w:trHeight w:val="180"/>
        </w:trPr>
        <w:tc>
          <w:tcPr>
            <w:tcW w:w="4500" w:type="dxa"/>
            <w:vAlign w:val="bottom"/>
            <w:gridSpan w:val="2"/>
          </w:tcPr>
          <w:p>
            <w:pPr>
              <w:jc w:val="center"/>
              <w:ind w:left="2180"/>
              <w:spacing w:after="0" w:line="180" w:lineRule="exact"/>
              <w:rPr>
                <w:sz w:val="20"/>
                <w:szCs w:val="20"/>
                <w:color w:val="auto"/>
              </w:rPr>
            </w:pPr>
            <w:r>
              <w:rPr>
                <w:rFonts w:ascii="Times New Roman" w:cs="Times New Roman" w:eastAsia="Times New Roman" w:hAnsi="Times New Roman"/>
                <w:sz w:val="16"/>
                <w:szCs w:val="16"/>
                <w:b w:val="1"/>
                <w:bCs w:val="1"/>
                <w:color w:val="auto"/>
                <w:w w:val="99"/>
              </w:rPr>
              <w:t>(State or other jurisdiction of</w:t>
            </w:r>
          </w:p>
        </w:tc>
        <w:tc>
          <w:tcPr>
            <w:tcW w:w="2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60" w:type="dxa"/>
            <w:vAlign w:val="bottom"/>
            <w:gridSpan w:val="2"/>
          </w:tcPr>
          <w:p>
            <w:pPr>
              <w:jc w:val="center"/>
              <w:ind w:right="700"/>
              <w:spacing w:after="0" w:line="180" w:lineRule="exact"/>
              <w:rPr>
                <w:sz w:val="20"/>
                <w:szCs w:val="20"/>
                <w:color w:val="auto"/>
              </w:rPr>
            </w:pPr>
            <w:r>
              <w:rPr>
                <w:rFonts w:ascii="Times New Roman" w:cs="Times New Roman" w:eastAsia="Times New Roman" w:hAnsi="Times New Roman"/>
                <w:sz w:val="16"/>
                <w:szCs w:val="16"/>
                <w:b w:val="1"/>
                <w:bCs w:val="1"/>
                <w:color w:val="auto"/>
              </w:rPr>
              <w:t>(IRS Employer</w:t>
            </w:r>
          </w:p>
        </w:tc>
        <w:tc>
          <w:tcPr>
            <w:tcW w:w="0" w:type="dxa"/>
            <w:vAlign w:val="bottom"/>
          </w:tcPr>
          <w:p>
            <w:pPr>
              <w:spacing w:after="0"/>
              <w:rPr>
                <w:sz w:val="1"/>
                <w:szCs w:val="1"/>
                <w:color w:val="auto"/>
              </w:rPr>
            </w:pPr>
          </w:p>
        </w:tc>
      </w:tr>
      <w:tr>
        <w:trPr>
          <w:trHeight w:val="222"/>
        </w:trPr>
        <w:tc>
          <w:tcPr>
            <w:tcW w:w="4500" w:type="dxa"/>
            <w:vAlign w:val="bottom"/>
            <w:gridSpan w:val="2"/>
          </w:tcPr>
          <w:p>
            <w:pPr>
              <w:jc w:val="center"/>
              <w:ind w:left="2180"/>
              <w:spacing w:after="0"/>
              <w:rPr>
                <w:sz w:val="20"/>
                <w:szCs w:val="20"/>
                <w:color w:val="auto"/>
              </w:rPr>
            </w:pPr>
            <w:r>
              <w:rPr>
                <w:rFonts w:ascii="Times New Roman" w:cs="Times New Roman" w:eastAsia="Times New Roman" w:hAnsi="Times New Roman"/>
                <w:sz w:val="16"/>
                <w:szCs w:val="16"/>
                <w:b w:val="1"/>
                <w:bCs w:val="1"/>
                <w:color w:val="auto"/>
                <w:w w:val="99"/>
              </w:rPr>
              <w:t>incorporation or organization)</w:t>
            </w:r>
          </w:p>
        </w:tc>
        <w:tc>
          <w:tcPr>
            <w:tcW w:w="2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60" w:type="dxa"/>
            <w:vAlign w:val="bottom"/>
            <w:gridSpan w:val="2"/>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rPr>
              <w:t>Identification No.)</w:t>
            </w:r>
          </w:p>
        </w:tc>
        <w:tc>
          <w:tcPr>
            <w:tcW w:w="0" w:type="dxa"/>
            <w:vAlign w:val="bottom"/>
          </w:tcPr>
          <w:p>
            <w:pPr>
              <w:spacing w:after="0"/>
              <w:rPr>
                <w:sz w:val="1"/>
                <w:szCs w:val="1"/>
                <w:color w:val="auto"/>
              </w:rPr>
            </w:pPr>
          </w:p>
        </w:tc>
      </w:tr>
      <w:tr>
        <w:trPr>
          <w:trHeight w:val="198"/>
        </w:trPr>
        <w:tc>
          <w:tcPr>
            <w:tcW w:w="4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80" w:type="dxa"/>
            <w:vAlign w:val="bottom"/>
            <w:gridSpan w:val="2"/>
          </w:tcPr>
          <w:p>
            <w:pPr>
              <w:jc w:val="center"/>
              <w:ind w:right="1380"/>
              <w:spacing w:after="0"/>
              <w:rPr>
                <w:sz w:val="20"/>
                <w:szCs w:val="20"/>
                <w:color w:val="auto"/>
              </w:rPr>
            </w:pPr>
            <w:r>
              <w:rPr>
                <w:rFonts w:ascii="Times New Roman" w:cs="Times New Roman" w:eastAsia="Times New Roman" w:hAnsi="Times New Roman"/>
                <w:sz w:val="16"/>
                <w:szCs w:val="16"/>
                <w:b w:val="1"/>
                <w:bCs w:val="1"/>
                <w:color w:val="auto"/>
                <w:w w:val="99"/>
              </w:rPr>
              <w:t>28159 Avenue Stanford</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4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80" w:type="dxa"/>
            <w:vAlign w:val="bottom"/>
            <w:gridSpan w:val="2"/>
          </w:tcPr>
          <w:p>
            <w:pPr>
              <w:jc w:val="center"/>
              <w:ind w:right="1380"/>
              <w:spacing w:after="0" w:line="178" w:lineRule="exact"/>
              <w:rPr>
                <w:sz w:val="20"/>
                <w:szCs w:val="20"/>
                <w:color w:val="auto"/>
              </w:rPr>
            </w:pPr>
            <w:r>
              <w:rPr>
                <w:rFonts w:ascii="Times New Roman" w:cs="Times New Roman" w:eastAsia="Times New Roman" w:hAnsi="Times New Roman"/>
                <w:sz w:val="16"/>
                <w:szCs w:val="16"/>
                <w:b w:val="1"/>
                <w:bCs w:val="1"/>
                <w:color w:val="auto"/>
              </w:rPr>
              <w:t>Suite 220</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80" w:type="dxa"/>
            <w:vAlign w:val="bottom"/>
            <w:gridSpan w:val="2"/>
          </w:tcPr>
          <w:p>
            <w:pPr>
              <w:jc w:val="center"/>
              <w:ind w:right="1380"/>
              <w:spacing w:after="0" w:line="180" w:lineRule="exact"/>
              <w:rPr>
                <w:sz w:val="20"/>
                <w:szCs w:val="20"/>
                <w:color w:val="auto"/>
              </w:rPr>
            </w:pPr>
            <w:r>
              <w:rPr>
                <w:rFonts w:ascii="Times New Roman" w:cs="Times New Roman" w:eastAsia="Times New Roman" w:hAnsi="Times New Roman"/>
                <w:sz w:val="16"/>
                <w:szCs w:val="16"/>
                <w:b w:val="1"/>
                <w:bCs w:val="1"/>
                <w:color w:val="auto"/>
              </w:rPr>
              <w:t>Valencia, CA 91355</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7680" w:type="dxa"/>
            <w:vAlign w:val="bottom"/>
            <w:gridSpan w:val="4"/>
          </w:tcPr>
          <w:p>
            <w:pPr>
              <w:jc w:val="center"/>
              <w:ind w:left="3020"/>
              <w:spacing w:after="0"/>
              <w:rPr>
                <w:sz w:val="20"/>
                <w:szCs w:val="20"/>
                <w:color w:val="auto"/>
              </w:rPr>
            </w:pPr>
            <w:r>
              <w:rPr>
                <w:rFonts w:ascii="Times New Roman" w:cs="Times New Roman" w:eastAsia="Times New Roman" w:hAnsi="Times New Roman"/>
                <w:sz w:val="16"/>
                <w:szCs w:val="16"/>
                <w:b w:val="1"/>
                <w:bCs w:val="1"/>
                <w:color w:val="auto"/>
                <w:w w:val="99"/>
              </w:rPr>
              <w:t>(Address of principal executive offices and Zip Code)</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140" w:type="dxa"/>
            <w:vAlign w:val="bottom"/>
            <w:gridSpan w:val="5"/>
          </w:tcPr>
          <w:p>
            <w:pPr>
              <w:jc w:val="center"/>
              <w:ind w:left="258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(661) 367-9170</w:t>
            </w: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80" w:type="dxa"/>
            <w:vAlign w:val="bottom"/>
            <w:gridSpan w:val="2"/>
          </w:tcPr>
          <w:p>
            <w:pPr>
              <w:ind w:left="800"/>
              <w:spacing w:after="0" w:line="179" w:lineRule="exact"/>
              <w:rPr>
                <w:sz w:val="20"/>
                <w:szCs w:val="20"/>
                <w:color w:val="auto"/>
              </w:rPr>
            </w:pPr>
            <w:r>
              <w:rPr>
                <w:rFonts w:ascii="Times New Roman" w:cs="Times New Roman" w:eastAsia="Times New Roman" w:hAnsi="Times New Roman"/>
                <w:sz w:val="16"/>
                <w:szCs w:val="16"/>
                <w:b w:val="1"/>
                <w:bCs w:val="1"/>
                <w:color w:val="auto"/>
              </w:rPr>
              <w:t>Trading</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tcPr>
          <w:p>
            <w:pPr>
              <w:jc w:val="center"/>
              <w:ind w:right="60"/>
              <w:spacing w:after="0" w:line="179" w:lineRule="exact"/>
              <w:rPr>
                <w:sz w:val="20"/>
                <w:szCs w:val="20"/>
                <w:color w:val="auto"/>
              </w:rPr>
            </w:pPr>
            <w:r>
              <w:rPr>
                <w:rFonts w:ascii="Times New Roman" w:cs="Times New Roman" w:eastAsia="Times New Roman" w:hAnsi="Times New Roman"/>
                <w:sz w:val="16"/>
                <w:szCs w:val="16"/>
                <w:b w:val="1"/>
                <w:bCs w:val="1"/>
                <w:color w:val="auto"/>
              </w:rPr>
              <w:t>Name of each exchange</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right="90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180" w:type="dxa"/>
            <w:vAlign w:val="bottom"/>
            <w:gridSpan w:val="2"/>
          </w:tcPr>
          <w:p>
            <w:pPr>
              <w:ind w:left="800"/>
              <w:spacing w:after="0"/>
              <w:rPr>
                <w:sz w:val="20"/>
                <w:szCs w:val="20"/>
                <w:color w:val="auto"/>
              </w:rPr>
            </w:pPr>
            <w:r>
              <w:rPr>
                <w:rFonts w:ascii="Times New Roman" w:cs="Times New Roman" w:eastAsia="Times New Roman" w:hAnsi="Times New Roman"/>
                <w:sz w:val="16"/>
                <w:szCs w:val="16"/>
                <w:b w:val="1"/>
                <w:bCs w:val="1"/>
                <w:color w:val="auto"/>
              </w:rPr>
              <w:t>Symbol</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on which registered</w:t>
            </w:r>
          </w:p>
        </w:tc>
        <w:tc>
          <w:tcPr>
            <w:tcW w:w="0" w:type="dxa"/>
            <w:vAlign w:val="bottom"/>
          </w:tcPr>
          <w:p>
            <w:pPr>
              <w:spacing w:after="0"/>
              <w:rPr>
                <w:sz w:val="1"/>
                <w:szCs w:val="1"/>
                <w:color w:val="auto"/>
              </w:rPr>
            </w:pPr>
          </w:p>
        </w:tc>
      </w:tr>
      <w:tr>
        <w:trPr>
          <w:trHeight w:val="222"/>
        </w:trPr>
        <w:tc>
          <w:tcPr>
            <w:tcW w:w="4500" w:type="dxa"/>
            <w:vAlign w:val="bottom"/>
            <w:gridSpan w:val="2"/>
          </w:tcPr>
          <w:p>
            <w:pPr>
              <w:jc w:val="center"/>
              <w:ind w:right="920"/>
              <w:spacing w:after="0"/>
              <w:rPr>
                <w:sz w:val="20"/>
                <w:szCs w:val="20"/>
                <w:color w:val="auto"/>
              </w:rPr>
            </w:pPr>
            <w:r>
              <w:rPr>
                <w:rFonts w:ascii="Times New Roman" w:cs="Times New Roman" w:eastAsia="Times New Roman" w:hAnsi="Times New Roman"/>
                <w:sz w:val="16"/>
                <w:szCs w:val="16"/>
                <w:b w:val="1"/>
                <w:bCs w:val="1"/>
                <w:color w:val="auto"/>
                <w:w w:val="99"/>
              </w:rPr>
              <w:t>Common Stock, par value $0.0001 per share</w:t>
            </w:r>
          </w:p>
        </w:tc>
        <w:tc>
          <w:tcPr>
            <w:tcW w:w="3180" w:type="dxa"/>
            <w:vAlign w:val="bottom"/>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RCEL</w:t>
            </w:r>
          </w:p>
        </w:tc>
        <w:tc>
          <w:tcPr>
            <w:tcW w:w="2520" w:type="dxa"/>
            <w:vAlign w:val="bottom"/>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w w:val="99"/>
              </w:rPr>
              <w:t>The Nasdaq Stock Market LLC</w:t>
            </w:r>
          </w:p>
        </w:tc>
        <w:tc>
          <w:tcPr>
            <w:tcW w:w="0" w:type="dxa"/>
            <w:vAlign w:val="bottom"/>
          </w:tcPr>
          <w:p>
            <w:pPr>
              <w:spacing w:after="0"/>
              <w:rPr>
                <w:sz w:val="1"/>
                <w:szCs w:val="1"/>
                <w:color w:val="auto"/>
              </w:rPr>
            </w:pPr>
          </w:p>
        </w:tc>
      </w:tr>
      <w:tr>
        <w:trPr>
          <w:trHeight w:val="179"/>
        </w:trPr>
        <w:tc>
          <w:tcPr>
            <w:tcW w:w="7680" w:type="dxa"/>
            <w:vAlign w:val="bottom"/>
            <w:gridSpan w:val="4"/>
          </w:tcPr>
          <w:p>
            <w:pPr>
              <w:jc w:val="center"/>
              <w:ind w:left="3040"/>
              <w:spacing w:after="0" w:line="179" w:lineRule="exact"/>
              <w:rPr>
                <w:sz w:val="20"/>
                <w:szCs w:val="20"/>
                <w:color w:val="auto"/>
              </w:rPr>
            </w:pPr>
            <w:r>
              <w:rPr>
                <w:rFonts w:ascii="Times New Roman" w:cs="Times New Roman" w:eastAsia="Times New Roman" w:hAnsi="Times New Roman"/>
                <w:sz w:val="16"/>
                <w:szCs w:val="16"/>
                <w:b w:val="1"/>
                <w:bCs w:val="1"/>
                <w:color w:val="auto"/>
                <w:w w:val="99"/>
              </w:rPr>
              <w:t>Securities registered pursuant to section 12(g) of the Act:</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80" w:type="dxa"/>
            <w:vAlign w:val="bottom"/>
            <w:gridSpan w:val="2"/>
          </w:tcPr>
          <w:p>
            <w:pPr>
              <w:jc w:val="center"/>
              <w:ind w:right="1380"/>
              <w:spacing w:after="0"/>
              <w:rPr>
                <w:sz w:val="20"/>
                <w:szCs w:val="20"/>
                <w:color w:val="auto"/>
              </w:rPr>
            </w:pPr>
            <w:r>
              <w:rPr>
                <w:rFonts w:ascii="Times New Roman" w:cs="Times New Roman" w:eastAsia="Times New Roman" w:hAnsi="Times New Roman"/>
                <w:sz w:val="16"/>
                <w:szCs w:val="16"/>
                <w:b w:val="1"/>
                <w:bCs w:val="1"/>
                <w:color w:val="auto"/>
              </w:rPr>
              <w:t>None</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4300" w:type="dxa"/>
            <w:vAlign w:val="bottom"/>
          </w:tcPr>
          <w:p>
            <w:pPr>
              <w:spacing w:after="0"/>
              <w:rPr>
                <w:sz w:val="4"/>
                <w:szCs w:val="4"/>
                <w:color w:val="auto"/>
              </w:rPr>
            </w:pPr>
          </w:p>
        </w:tc>
        <w:tc>
          <w:tcPr>
            <w:tcW w:w="2220" w:type="dxa"/>
            <w:vAlign w:val="bottom"/>
            <w:tcBorders>
              <w:bottom w:val="single" w:sz="8" w:color="auto"/>
            </w:tcBorders>
            <w:gridSpan w:val="2"/>
          </w:tcPr>
          <w:p>
            <w:pPr>
              <w:spacing w:after="0"/>
              <w:rPr>
                <w:sz w:val="4"/>
                <w:szCs w:val="4"/>
                <w:color w:val="auto"/>
              </w:rPr>
            </w:pPr>
          </w:p>
        </w:tc>
        <w:tc>
          <w:tcPr>
            <w:tcW w:w="1160" w:type="dxa"/>
            <w:vAlign w:val="bottom"/>
          </w:tcPr>
          <w:p>
            <w:pPr>
              <w:spacing w:after="0"/>
              <w:rPr>
                <w:sz w:val="4"/>
                <w:szCs w:val="4"/>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 xml:space="preserve">Yes </w:t>
            </w:r>
            <w:r>
              <w:rPr>
                <w:rFonts w:ascii="Segoe UI Symbol" w:cs="Segoe UI Symbol" w:eastAsia="Segoe UI Symbol" w:hAnsi="Segoe UI Symbol"/>
                <w:sz w:val="16"/>
                <w:szCs w:val="16"/>
                <w:color w:val="auto"/>
              </w:rPr>
              <w:t>☐</w:t>
            </w:r>
          </w:p>
        </w:tc>
        <w:tc>
          <w:tcPr>
            <w:tcW w:w="160" w:type="dxa"/>
            <w:vAlign w:val="bottom"/>
          </w:tcPr>
          <w:p>
            <w:pPr>
              <w:spacing w:after="0"/>
              <w:rPr>
                <w:sz w:val="4"/>
                <w:szCs w:val="4"/>
                <w:color w:val="auto"/>
              </w:rPr>
            </w:pPr>
          </w:p>
        </w:tc>
        <w:tc>
          <w:tcPr>
            <w:tcW w:w="1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 xml:space="preserve">No </w:t>
            </w:r>
            <w:r>
              <w:rPr>
                <w:rFonts w:ascii="Segoe UI Symbol" w:cs="Segoe UI Symbol" w:eastAsia="Segoe UI Symbol" w:hAnsi="Segoe UI Symbol"/>
                <w:sz w:val="16"/>
                <w:szCs w:val="16"/>
                <w:color w:val="auto"/>
              </w:rPr>
              <w:t>☒</w:t>
            </w:r>
          </w:p>
        </w:tc>
        <w:tc>
          <w:tcPr>
            <w:tcW w:w="0" w:type="dxa"/>
            <w:vAlign w:val="bottom"/>
          </w:tcPr>
          <w:p>
            <w:pPr>
              <w:spacing w:after="0"/>
              <w:rPr>
                <w:sz w:val="1"/>
                <w:szCs w:val="1"/>
                <w:color w:val="auto"/>
              </w:rPr>
            </w:pPr>
          </w:p>
        </w:tc>
      </w:tr>
      <w:tr>
        <w:trPr>
          <w:trHeight w:val="201"/>
        </w:trPr>
        <w:tc>
          <w:tcPr>
            <w:tcW w:w="76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460" w:type="dxa"/>
            <w:vAlign w:val="bottom"/>
            <w:vMerge w:val="continue"/>
          </w:tcPr>
          <w:p>
            <w:pPr>
              <w:spacing w:after="0"/>
              <w:rPr>
                <w:sz w:val="17"/>
                <w:szCs w:val="17"/>
                <w:color w:val="auto"/>
              </w:rPr>
            </w:pPr>
          </w:p>
        </w:tc>
        <w:tc>
          <w:tcPr>
            <w:tcW w:w="160" w:type="dxa"/>
            <w:vAlign w:val="bottom"/>
            <w:vMerge w:val="restart"/>
          </w:tcPr>
          <w:p>
            <w:pPr>
              <w:spacing w:after="0"/>
              <w:rPr>
                <w:sz w:val="20"/>
                <w:szCs w:val="20"/>
                <w:color w:val="auto"/>
              </w:rPr>
            </w:pPr>
            <w:r>
              <w:rPr>
                <w:rFonts w:ascii="Segoe UI Symbol" w:cs="Segoe UI Symbol" w:eastAsia="Segoe UI Symbol" w:hAnsi="Segoe UI Symbol"/>
                <w:sz w:val="16"/>
                <w:szCs w:val="16"/>
                <w:color w:val="auto"/>
              </w:rPr>
              <w:t>☐</w:t>
            </w: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76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Yes</w:t>
            </w:r>
          </w:p>
        </w:tc>
        <w:tc>
          <w:tcPr>
            <w:tcW w:w="160" w:type="dxa"/>
            <w:vAlign w:val="bottom"/>
            <w:vMerge w:val="continue"/>
          </w:tcPr>
          <w:p>
            <w:pPr>
              <w:spacing w:after="0"/>
              <w:rPr>
                <w:sz w:val="24"/>
                <w:szCs w:val="24"/>
                <w:color w:val="auto"/>
              </w:rPr>
            </w:pPr>
          </w:p>
        </w:tc>
        <w:tc>
          <w:tcPr>
            <w:tcW w:w="1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No  </w:t>
            </w:r>
            <w:r>
              <w:rPr>
                <w:rFonts w:ascii="Segoe UI Symbol" w:cs="Segoe UI Symbol" w:eastAsia="Segoe UI Symbol" w:hAnsi="Segoe UI Symbo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-747395</wp:posOffset>
            </wp:positionV>
            <wp:extent cx="6884670" cy="31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84670" cy="31750"/>
                    </a:xfrm>
                    <a:prstGeom prst="rect">
                      <a:avLst/>
                    </a:prstGeom>
                    <a:noFill/>
                  </pic:spPr>
                </pic:pic>
              </a:graphicData>
            </a:graphic>
          </wp:anchor>
        </w:drawing>
      </w:r>
    </w:p>
    <w:p>
      <w:pPr>
        <w:spacing w:after="0" w:line="222"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w:t>
      </w:r>
    </w:p>
    <w:p>
      <w:pPr>
        <w:spacing w:after="0"/>
        <w:rPr>
          <w:sz w:val="20"/>
          <w:szCs w:val="20"/>
          <w:color w:val="auto"/>
        </w:rPr>
      </w:pPr>
      <w:r>
        <w:rPr>
          <w:rFonts w:ascii="Times New Roman" w:cs="Times New Roman" w:eastAsia="Times New Roman" w:hAnsi="Times New Roman"/>
          <w:sz w:val="16"/>
          <w:szCs w:val="16"/>
          <w:color w:val="auto"/>
        </w:rPr>
        <w:t>preceding 12 months (or for such shorter period that the registrant was required to file such reports), and (2) has been subject to such filing requirements for the past</w:t>
      </w:r>
    </w:p>
    <w:p>
      <w:pPr>
        <w:spacing w:after="0" w:line="6" w:lineRule="exact"/>
        <w:rPr>
          <w:sz w:val="20"/>
          <w:szCs w:val="20"/>
          <w:color w:val="auto"/>
        </w:rPr>
      </w:pPr>
    </w:p>
    <w:p>
      <w:pPr>
        <w:spacing w:after="0"/>
        <w:tabs>
          <w:tab w:leader="none" w:pos="680" w:val="left"/>
          <w:tab w:leader="none" w:pos="1300" w:val="left"/>
        </w:tabs>
        <w:rPr>
          <w:sz w:val="20"/>
          <w:szCs w:val="20"/>
          <w:color w:val="auto"/>
        </w:rPr>
      </w:pPr>
      <w:r>
        <w:rPr>
          <w:rFonts w:ascii="Times New Roman" w:cs="Times New Roman" w:eastAsia="Times New Roman" w:hAnsi="Times New Roman"/>
          <w:sz w:val="16"/>
          <w:szCs w:val="16"/>
          <w:color w:val="auto"/>
        </w:rPr>
        <w:t>90 days.</w:t>
        <w:tab/>
        <w:t xml:space="preserve">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ab/>
        <w:t xml:space="preserve">No </w:t>
      </w:r>
      <w:r>
        <w:rPr>
          <w:rFonts w:ascii="Segoe UI Symbol" w:cs="Segoe UI Symbol" w:eastAsia="Segoe UI Symbol" w:hAnsi="Segoe UI Symbol"/>
          <w:sz w:val="16"/>
          <w:szCs w:val="16"/>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w:t>
      </w:r>
    </w:p>
    <w:p>
      <w:pPr>
        <w:spacing w:after="0" w:line="8" w:lineRule="exact"/>
        <w:rPr>
          <w:sz w:val="20"/>
          <w:szCs w:val="20"/>
          <w:color w:val="auto"/>
        </w:rPr>
      </w:pPr>
    </w:p>
    <w:p>
      <w:pPr>
        <w:spacing w:after="0"/>
        <w:tabs>
          <w:tab w:leader="none" w:pos="9080" w:val="left"/>
          <w:tab w:leader="none" w:pos="9720" w:val="left"/>
        </w:tabs>
        <w:rPr>
          <w:sz w:val="20"/>
          <w:szCs w:val="20"/>
          <w:color w:val="auto"/>
        </w:rPr>
      </w:pPr>
      <w:r>
        <w:rPr>
          <w:rFonts w:ascii="Times New Roman" w:cs="Times New Roman" w:eastAsia="Times New Roman" w:hAnsi="Times New Roman"/>
          <w:sz w:val="16"/>
          <w:szCs w:val="16"/>
          <w:color w:val="auto"/>
        </w:rPr>
        <w:t>(§ 232.405 of this chapter) during the preceding 12 months (or for such shorter period that the registrant was required to submit such files).</w:t>
        <w:tab/>
        <w:t xml:space="preserve">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ab/>
        <w:t xml:space="preserve">No </w:t>
      </w:r>
      <w:r>
        <w:rPr>
          <w:rFonts w:ascii="Segoe UI Symbol" w:cs="Segoe UI Symbol" w:eastAsia="Segoe UI Symbol" w:hAnsi="Segoe UI Symbol"/>
          <w:sz w:val="16"/>
          <w:szCs w:val="16"/>
          <w:color w:val="auto"/>
        </w:rPr>
        <w:t>☐</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860" w:type="dxa"/>
            <w:vAlign w:val="bottom"/>
          </w:tcPr>
          <w:p>
            <w:pPr>
              <w:ind w:left="1600"/>
              <w:spacing w:after="0"/>
              <w:rPr>
                <w:sz w:val="20"/>
                <w:szCs w:val="20"/>
                <w:color w:val="auto"/>
              </w:rPr>
            </w:pPr>
            <w:r>
              <w:rPr>
                <w:rFonts w:ascii="Segoe UI Symbol" w:cs="Segoe UI Symbol" w:eastAsia="Segoe UI Symbol" w:hAnsi="Segoe UI Symbol"/>
                <w:sz w:val="16"/>
                <w:szCs w:val="16"/>
                <w:color w:val="auto"/>
              </w:rPr>
              <w:t>☐</w:t>
            </w:r>
          </w:p>
        </w:tc>
        <w:tc>
          <w:tcPr>
            <w:tcW w:w="3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Accelerated filer</w:t>
            </w:r>
          </w:p>
        </w:tc>
        <w:tc>
          <w:tcPr>
            <w:tcW w:w="1740" w:type="dxa"/>
            <w:vAlign w:val="bottom"/>
          </w:tcPr>
          <w:p>
            <w:pPr>
              <w:ind w:left="1600"/>
              <w:spacing w:after="0"/>
              <w:rPr>
                <w:sz w:val="20"/>
                <w:szCs w:val="20"/>
                <w:color w:val="auto"/>
              </w:rPr>
            </w:pPr>
            <w:r>
              <w:rPr>
                <w:rFonts w:ascii="Segoe UI Symbol" w:cs="Segoe UI Symbol" w:eastAsia="Segoe UI Symbol" w:hAnsi="Segoe UI Symbol"/>
                <w:sz w:val="16"/>
                <w:szCs w:val="16"/>
                <w:color w:val="auto"/>
                <w:w w:val="86"/>
              </w:rPr>
              <w:t>☐</w:t>
            </w:r>
          </w:p>
        </w:tc>
      </w:tr>
      <w:tr>
        <w:trPr>
          <w:trHeight w:val="252"/>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860" w:type="dxa"/>
            <w:vAlign w:val="bottom"/>
          </w:tcPr>
          <w:p>
            <w:pPr>
              <w:ind w:left="1600"/>
              <w:spacing w:after="0"/>
              <w:rPr>
                <w:sz w:val="20"/>
                <w:szCs w:val="20"/>
                <w:color w:val="auto"/>
              </w:rPr>
            </w:pPr>
            <w:r>
              <w:rPr>
                <w:rFonts w:ascii="Segoe UI Symbol" w:cs="Segoe UI Symbol" w:eastAsia="Segoe UI Symbol" w:hAnsi="Segoe UI Symbol"/>
                <w:sz w:val="16"/>
                <w:szCs w:val="16"/>
                <w:color w:val="auto"/>
              </w:rPr>
              <w:t>☒</w:t>
            </w:r>
          </w:p>
        </w:tc>
        <w:tc>
          <w:tcPr>
            <w:tcW w:w="3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740" w:type="dxa"/>
            <w:vAlign w:val="bottom"/>
          </w:tcPr>
          <w:p>
            <w:pPr>
              <w:ind w:left="1600"/>
              <w:spacing w:after="0"/>
              <w:rPr>
                <w:sz w:val="20"/>
                <w:szCs w:val="20"/>
                <w:color w:val="auto"/>
              </w:rPr>
            </w:pPr>
            <w:r>
              <w:rPr>
                <w:rFonts w:ascii="Segoe UI Symbol" w:cs="Segoe UI Symbol" w:eastAsia="Segoe UI Symbol" w:hAnsi="Segoe UI Symbol"/>
                <w:sz w:val="16"/>
                <w:szCs w:val="16"/>
                <w:color w:val="auto"/>
                <w:w w:val="86"/>
              </w:rPr>
              <w:t>☒</w:t>
            </w:r>
          </w:p>
        </w:tc>
      </w:tr>
      <w:tr>
        <w:trPr>
          <w:trHeight w:val="299"/>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1860" w:type="dxa"/>
            <w:vAlign w:val="bottom"/>
          </w:tcPr>
          <w:p>
            <w:pPr>
              <w:ind w:left="1600"/>
              <w:spacing w:after="0"/>
              <w:rPr>
                <w:sz w:val="20"/>
                <w:szCs w:val="20"/>
                <w:color w:val="auto"/>
              </w:rPr>
            </w:pPr>
            <w:r>
              <w:rPr>
                <w:rFonts w:ascii="Segoe UI Symbol" w:cs="Segoe UI Symbol" w:eastAsia="Segoe UI Symbol" w:hAnsi="Segoe UI Symbol"/>
                <w:sz w:val="16"/>
                <w:szCs w:val="16"/>
                <w:color w:val="auto"/>
              </w:rPr>
              <w:t>☒</w:t>
            </w:r>
          </w:p>
        </w:tc>
        <w:tc>
          <w:tcPr>
            <w:tcW w:w="348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ind w:right="220"/>
        <w:spacing w:after="0" w:line="25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selected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6"/>
          <w:szCs w:val="16"/>
          <w:color w:val="auto"/>
        </w:rPr>
        <w:t>☐</w:t>
      </w:r>
    </w:p>
    <w:p>
      <w:pPr>
        <w:spacing w:after="0" w:line="1" w:lineRule="exact"/>
        <w:rPr>
          <w:sz w:val="20"/>
          <w:szCs w:val="20"/>
          <w:color w:val="auto"/>
        </w:rPr>
      </w:pPr>
    </w:p>
    <w:p>
      <w:pPr>
        <w:ind w:right="500"/>
        <w:spacing w:after="0" w:line="224"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tabs>
          <w:tab w:leader="none" w:pos="560" w:val="left"/>
        </w:tabs>
        <w:rPr>
          <w:sz w:val="20"/>
          <w:szCs w:val="20"/>
          <w:color w:val="auto"/>
        </w:rPr>
      </w:pPr>
      <w:r>
        <w:rPr>
          <w:rFonts w:ascii="Times New Roman" w:cs="Times New Roman" w:eastAsia="Times New Roman" w:hAnsi="Times New Roman"/>
          <w:sz w:val="16"/>
          <w:szCs w:val="16"/>
          <w:color w:val="auto"/>
        </w:rPr>
        <w:t>report.</w:t>
      </w:r>
      <w:r>
        <w:rPr>
          <w:sz w:val="20"/>
          <w:szCs w:val="20"/>
          <w:color w:val="auto"/>
        </w:rPr>
        <w:tab/>
      </w:r>
      <w:r>
        <w:rPr>
          <w:rFonts w:ascii="Segoe UI Symbol" w:cs="Segoe UI Symbol" w:eastAsia="Segoe UI Symbol" w:hAnsi="Segoe UI Symbol"/>
          <w:sz w:val="16"/>
          <w:szCs w:val="16"/>
          <w:color w:val="auto"/>
        </w:rPr>
        <w:t>☐</w:t>
      </w:r>
    </w:p>
    <w:p>
      <w:pPr>
        <w:spacing w:after="0" w:line="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6"/>
          <w:szCs w:val="16"/>
          <w:color w:val="auto"/>
        </w:rPr>
        <w:t>☐</w:t>
      </w:r>
    </w:p>
    <w:p>
      <w:pPr>
        <w:spacing w:after="0" w:line="1"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oﬃcers during the relevant recovery period pursuant to §240.10D-1(b). </w:t>
      </w:r>
      <w:r>
        <w:rPr>
          <w:rFonts w:ascii="Segoe UI Symbol" w:cs="Segoe UI Symbol" w:eastAsia="Segoe UI Symbol" w:hAnsi="Segoe UI Symbol"/>
          <w:sz w:val="16"/>
          <w:szCs w:val="16"/>
          <w:color w:val="auto"/>
        </w:rPr>
        <w:t>☐</w:t>
      </w:r>
    </w:p>
    <w:p>
      <w:pPr>
        <w:spacing w:after="0" w:line="1" w:lineRule="exact"/>
        <w:rPr>
          <w:sz w:val="20"/>
          <w:szCs w:val="20"/>
          <w:color w:val="auto"/>
        </w:rPr>
      </w:pPr>
    </w:p>
    <w:p>
      <w:pPr>
        <w:spacing w:after="0"/>
        <w:tabs>
          <w:tab w:leader="none" w:pos="7420" w:val="left"/>
          <w:tab w:leader="none" w:pos="80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Segoe UI Symbol" w:cs="Segoe UI Symbol" w:eastAsia="Segoe UI Symbol" w:hAnsi="Segoe UI Symbol"/>
          <w:sz w:val="16"/>
          <w:szCs w:val="16"/>
          <w:color w:val="auto"/>
        </w:rPr>
        <w:t>☐</w:t>
      </w:r>
      <w:r>
        <w:rPr>
          <w:rFonts w:ascii="Times New Roman" w:cs="Times New Roman" w:eastAsia="Times New Roman" w:hAnsi="Times New Roman"/>
          <w:sz w:val="16"/>
          <w:szCs w:val="16"/>
          <w:color w:val="auto"/>
        </w:rPr>
        <w:tab/>
        <w:t xml:space="preserve">No </w:t>
      </w:r>
      <w:r>
        <w:rPr>
          <w:rFonts w:ascii="Segoe UI Symbol" w:cs="Segoe UI Symbol" w:eastAsia="Segoe UI Symbol" w:hAnsi="Segoe UI Symbol"/>
          <w:sz w:val="16"/>
          <w:szCs w:val="16"/>
          <w:color w:val="auto"/>
        </w:rPr>
        <w:t>☒</w:t>
      </w:r>
    </w:p>
    <w:p>
      <w:pPr>
        <w:spacing w:after="0" w:line="84"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was approximately $117,461,038 on June 30, 2022, using the closing price on that day of $4.75.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the registrant’s $0.0001 par value common stock outstanding as of February 13, 2023 was 25,296,086</w:t>
      </w:r>
      <w:r>
        <w:rPr>
          <w:rFonts w:ascii="Times New Roman" w:cs="Times New Roman" w:eastAsia="Times New Roman" w:hAnsi="Times New Roman"/>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28575</wp:posOffset>
            </wp:positionV>
            <wp:extent cx="6921500" cy="438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1500" cy="43815"/>
                    </a:xfrm>
                    <a:prstGeom prst="rect">
                      <a:avLst/>
                    </a:prstGeom>
                    <a:noFill/>
                  </pic:spPr>
                </pic:pic>
              </a:graphicData>
            </a:graphic>
          </wp:anchor>
        </w:drawing>
      </w:r>
    </w:p>
    <w:p>
      <w:pPr>
        <w:sectPr>
          <w:pgSz w:w="11880" w:h="15480" w:orient="portrait"/>
          <w:cols w:equalWidth="0" w:num="1">
            <w:col w:w="10800"/>
          </w:cols>
          <w:pgMar w:left="540" w:top="949" w:right="540" w:bottom="744"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74"/>
        </w:trPr>
        <w:tc>
          <w:tcPr>
            <w:tcW w:w="860" w:type="dxa"/>
            <w:vAlign w:val="bottom"/>
          </w:tcPr>
          <w:p>
            <w:pPr>
              <w:spacing w:after="0"/>
              <w:rPr>
                <w:sz w:val="23"/>
                <w:szCs w:val="23"/>
                <w:color w:val="auto"/>
              </w:rPr>
            </w:pPr>
          </w:p>
        </w:tc>
        <w:tc>
          <w:tcPr>
            <w:tcW w:w="9480" w:type="dxa"/>
            <w:vAlign w:val="bottom"/>
          </w:tcPr>
          <w:p>
            <w:pPr>
              <w:ind w:left="346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500" w:type="dxa"/>
            <w:vAlign w:val="bottom"/>
          </w:tcPr>
          <w:p>
            <w:pPr>
              <w:spacing w:after="0"/>
              <w:rPr>
                <w:sz w:val="23"/>
                <w:szCs w:val="23"/>
                <w:color w:val="auto"/>
              </w:rPr>
            </w:pPr>
          </w:p>
        </w:tc>
      </w:tr>
      <w:tr>
        <w:trPr>
          <w:trHeight w:val="440"/>
        </w:trPr>
        <w:tc>
          <w:tcPr>
            <w:tcW w:w="860" w:type="dxa"/>
            <w:vAlign w:val="bottom"/>
          </w:tcPr>
          <w:p>
            <w:pPr>
              <w:spacing w:after="0"/>
              <w:rPr>
                <w:sz w:val="24"/>
                <w:szCs w:val="24"/>
                <w:color w:val="auto"/>
              </w:rPr>
            </w:pPr>
          </w:p>
        </w:tc>
        <w:tc>
          <w:tcPr>
            <w:tcW w:w="9480" w:type="dxa"/>
            <w:vAlign w:val="bottom"/>
          </w:tcPr>
          <w:p>
            <w:pPr>
              <w:spacing w:after="0"/>
              <w:rPr>
                <w:sz w:val="24"/>
                <w:szCs w:val="24"/>
                <w:color w:val="auto"/>
              </w:rPr>
            </w:pPr>
          </w:p>
        </w:tc>
        <w:tc>
          <w:tcPr>
            <w:tcW w:w="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87"/>
        </w:trPr>
        <w:tc>
          <w:tcPr>
            <w:tcW w:w="10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FORWARD LOOKING STATEMENTS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49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PART 1</w:t>
            </w:r>
          </w:p>
        </w:tc>
        <w:tc>
          <w:tcPr>
            <w:tcW w:w="94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508"/>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1.</w:t>
            </w:r>
          </w:p>
        </w:tc>
        <w:tc>
          <w:tcPr>
            <w:tcW w:w="94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Business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5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1A.</w:t>
            </w:r>
          </w:p>
        </w:tc>
        <w:tc>
          <w:tcPr>
            <w:tcW w:w="94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Risk Factors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52"/>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1B.</w:t>
            </w:r>
          </w:p>
        </w:tc>
        <w:tc>
          <w:tcPr>
            <w:tcW w:w="94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Unresolved Staff Comments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5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2.</w:t>
            </w:r>
          </w:p>
        </w:tc>
        <w:tc>
          <w:tcPr>
            <w:tcW w:w="94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Properties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5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3.</w:t>
            </w:r>
          </w:p>
        </w:tc>
        <w:tc>
          <w:tcPr>
            <w:tcW w:w="94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Legal Proceedings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67"/>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4.</w:t>
            </w:r>
          </w:p>
        </w:tc>
        <w:tc>
          <w:tcPr>
            <w:tcW w:w="94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Mine Safety Disclosures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508"/>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PART II</w:t>
            </w:r>
          </w:p>
        </w:tc>
        <w:tc>
          <w:tcPr>
            <w:tcW w:w="94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5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5.</w:t>
            </w:r>
          </w:p>
        </w:tc>
        <w:tc>
          <w:tcPr>
            <w:tcW w:w="94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 Equity Securities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52"/>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6.</w:t>
            </w:r>
          </w:p>
        </w:tc>
        <w:tc>
          <w:tcPr>
            <w:tcW w:w="94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[Reserved]</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5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7.</w:t>
            </w:r>
          </w:p>
        </w:tc>
        <w:tc>
          <w:tcPr>
            <w:tcW w:w="94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5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7A.</w:t>
            </w:r>
          </w:p>
        </w:tc>
        <w:tc>
          <w:tcPr>
            <w:tcW w:w="94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5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8.</w:t>
            </w:r>
          </w:p>
        </w:tc>
        <w:tc>
          <w:tcPr>
            <w:tcW w:w="94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5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9.</w:t>
            </w:r>
          </w:p>
        </w:tc>
        <w:tc>
          <w:tcPr>
            <w:tcW w:w="94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5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9A.</w:t>
            </w:r>
          </w:p>
        </w:tc>
        <w:tc>
          <w:tcPr>
            <w:tcW w:w="94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Controls and Procedures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52"/>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9B.</w:t>
            </w:r>
          </w:p>
        </w:tc>
        <w:tc>
          <w:tcPr>
            <w:tcW w:w="94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Other Information</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67"/>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9C.</w:t>
            </w:r>
          </w:p>
        </w:tc>
        <w:tc>
          <w:tcPr>
            <w:tcW w:w="94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472"/>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PART III</w:t>
            </w:r>
          </w:p>
        </w:tc>
        <w:tc>
          <w:tcPr>
            <w:tcW w:w="94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5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10.</w:t>
            </w:r>
          </w:p>
        </w:tc>
        <w:tc>
          <w:tcPr>
            <w:tcW w:w="94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Directors, Executive Officers and Corporate Governance</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5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11.</w:t>
            </w:r>
          </w:p>
        </w:tc>
        <w:tc>
          <w:tcPr>
            <w:tcW w:w="94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Executive Compensation</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5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12.</w:t>
            </w:r>
          </w:p>
        </w:tc>
        <w:tc>
          <w:tcPr>
            <w:tcW w:w="94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 Matters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5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13.</w:t>
            </w:r>
          </w:p>
        </w:tc>
        <w:tc>
          <w:tcPr>
            <w:tcW w:w="94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Certain Relationships and Related Party Transactions, and Director Independence</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7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14.</w:t>
            </w:r>
          </w:p>
        </w:tc>
        <w:tc>
          <w:tcPr>
            <w:tcW w:w="94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Principal Accounting Fees and Services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472"/>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PART IV</w:t>
            </w:r>
          </w:p>
        </w:tc>
        <w:tc>
          <w:tcPr>
            <w:tcW w:w="94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5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15.</w:t>
            </w:r>
          </w:p>
        </w:tc>
        <w:tc>
          <w:tcPr>
            <w:tcW w:w="94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Exhibits, Financial Statement and Schedules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67"/>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Item 16.</w:t>
            </w:r>
          </w:p>
        </w:tc>
        <w:tc>
          <w:tcPr>
            <w:tcW w:w="94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Form 10-K Summary</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490"/>
        </w:trPr>
        <w:tc>
          <w:tcPr>
            <w:tcW w:w="10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SIGNATURES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bl>
    <w:p>
      <w:pPr>
        <w:spacing w:after="0" w:line="200" w:lineRule="exact"/>
        <w:rPr>
          <w:sz w:val="20"/>
          <w:szCs w:val="20"/>
          <w:color w:val="auto"/>
        </w:rPr>
      </w:pPr>
    </w:p>
    <w:p>
      <w:pPr>
        <w:sectPr>
          <w:pgSz w:w="11880" w:h="15480" w:orient="portrait"/>
          <w:cols w:equalWidth="0" w:num="1">
            <w:col w:w="10840"/>
          </w:cols>
          <w:pgMar w:left="540" w:top="946" w:right="500" w:bottom="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i</w:t>
      </w:r>
    </w:p>
    <w:p>
      <w:pPr>
        <w:sectPr>
          <w:pgSz w:w="11880" w:h="15480" w:orient="portrait"/>
          <w:cols w:equalWidth="0" w:num="1">
            <w:col w:w="10840"/>
          </w:cols>
          <w:pgMar w:left="540" w:top="946" w:right="500" w:bottom="62"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47"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i w:val="1"/>
          <w:iCs w:val="1"/>
          <w:color w:val="auto"/>
        </w:rPr>
        <w:t>This Annual Report on Form 1‰-K (this “Annual Report”) and our other public filings contain forward-looking statements within the meaning of the Private Securities Litigation Reform Act of 1‹‹5. Forward-looking statements give expectations or forecasts of future events. Forward-looking statements can sometimes, but not always, be identified by words such as “believe,” “expect,” “anticipate,” “estimate,” “project,” “plan,” “should,” “intend,” “may,” “will,” “would,” “potential” and similar expressions to future periods. Forward-looking statements are not based on historical facts but rather represent current expectations and assumptions. Factors that may influence or contribute to the inaccuracy of the forward-looking statements or cause actual results to differ materially from expected or desired results may include, without limitation› future revenues; solvency; future industry market conditions; future changes in our capacity and operations; future operating and overhead costs; failure to obtain, maintain and enforce our intellectual property rights; regulatory and related approvals; the conduct or outcome of pre-clinical or clinical (human) studies; operational and management restructuring activities (including implementation of methodologies and changes in the board of directors); future employment and contributions of personnel; our ability to attract and retain qualified personnel</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effects on the global economy of the ongoing COVID-1‹ pandemic; tax and interest rates; inflation, recession, financial market disruptions and other economic conditions; productivity, business process, rationalization, investment, acquisition and acquisition integrations, consulting, operational, tax, financial and capital projects and initiatives; changes in the legal or regulatory environment; and future working capital, costs, revenues, business opportunities, cash flows, margins, earnings and growth.</w:t>
      </w:r>
    </w:p>
    <w:p>
      <w:pPr>
        <w:spacing w:after="0" w:line="211"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i w:val="1"/>
          <w:iCs w:val="1"/>
          <w:color w:val="auto"/>
        </w:rPr>
        <w:t>Forward-looking statements relate to the future and are subject to many risks, assumptions and uncertainties, including those risks set forth in this Annual Report in Part I, Item IA Risk Factors and elsewhere. Although we believe the expectations reflected in the forward-looking statements are reasonable, actual results, developments and business decisions could differ materially from those contemplated by such forward-looking statements. The environment in which we operate is highly competitive, highly regulated and rapidly changing and it is not possible for our management to predict all risks, as new risks emerge from time to time.</w:t>
      </w:r>
    </w:p>
    <w:p>
      <w:pPr>
        <w:spacing w:after="0" w:line="197" w:lineRule="exact"/>
        <w:rPr>
          <w:sz w:val="20"/>
          <w:szCs w:val="20"/>
          <w:color w:val="auto"/>
        </w:rPr>
      </w:pPr>
    </w:p>
    <w:p>
      <w:pPr>
        <w:ind w:right="400" w:firstLine="490"/>
        <w:spacing w:after="0" w:line="258" w:lineRule="auto"/>
        <w:rPr>
          <w:sz w:val="20"/>
          <w:szCs w:val="20"/>
          <w:color w:val="auto"/>
        </w:rPr>
      </w:pPr>
      <w:r>
        <w:rPr>
          <w:rFonts w:ascii="Times New Roman" w:cs="Times New Roman" w:eastAsia="Times New Roman" w:hAnsi="Times New Roman"/>
          <w:sz w:val="20"/>
          <w:szCs w:val="20"/>
          <w:i w:val="1"/>
          <w:iCs w:val="1"/>
          <w:color w:val="auto"/>
        </w:rPr>
        <w:t>All subsequent written and oral forward-looking statements by or attributable to us or persons acting on our behalf are expressly qualified in their entirety by these factors. We undertake no obligation to publicly update or revise any forward-looking statements whether as a result of new information, future developments or otherwise, except as may be required by law.</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Currency</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In this Annual Report, all references to “dollars” or “$” are to the currency of the United States.</w:t>
      </w:r>
    </w:p>
    <w:p>
      <w:pPr>
        <w:sectPr>
          <w:pgSz w:w="11880" w:h="15480" w:orient="portrait"/>
          <w:cols w:equalWidth="0" w:num="1">
            <w:col w:w="10780"/>
          </w:cols>
          <w:pgMar w:left="540" w:top="884"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w:t>
      </w:r>
    </w:p>
    <w:p>
      <w:pPr>
        <w:sectPr>
          <w:pgSz w:w="11880" w:h="15480" w:orient="portrait"/>
          <w:cols w:equalWidth="0" w:num="1">
            <w:col w:w="10780"/>
          </w:cols>
          <w:pgMar w:left="540" w:top="884" w:right="560" w:bottom="0" w:gutter="0" w:footer="0" w:header="0"/>
          <w:type w:val="continuous"/>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228" w:lineRule="exact"/>
        <w:rPr>
          <w:sz w:val="20"/>
          <w:szCs w:val="20"/>
          <w:color w:val="auto"/>
        </w:rPr>
      </w:pPr>
    </w:p>
    <w:p>
      <w:pPr>
        <w:ind w:right="160" w:firstLine="720"/>
        <w:spacing w:after="0" w:line="250" w:lineRule="auto"/>
        <w:rPr>
          <w:sz w:val="20"/>
          <w:szCs w:val="20"/>
          <w:color w:val="auto"/>
        </w:rPr>
      </w:pPr>
      <w:r>
        <w:rPr>
          <w:rFonts w:ascii="Times New Roman" w:cs="Times New Roman" w:eastAsia="Times New Roman" w:hAnsi="Times New Roman"/>
          <w:sz w:val="20"/>
          <w:szCs w:val="20"/>
          <w:color w:val="auto"/>
        </w:rPr>
        <w:t>AVITA Medical, Inc. and its subsidiaries (including AVITA Medical Pty Limited (•</w:t>
      </w:r>
      <w:r>
        <w:rPr>
          <w:rFonts w:ascii="Times New Roman" w:cs="Times New Roman" w:eastAsia="Times New Roman" w:hAnsi="Times New Roman"/>
          <w:sz w:val="20"/>
          <w:szCs w:val="20"/>
          <w:b w:val="1"/>
          <w:bCs w:val="1"/>
          <w:color w:val="auto"/>
        </w:rPr>
        <w:t>AVITA Australia</w:t>
      </w:r>
      <w:r>
        <w:rPr>
          <w:rFonts w:ascii="Times New Roman" w:cs="Times New Roman" w:eastAsia="Times New Roman" w:hAnsi="Times New Roman"/>
          <w:sz w:val="20"/>
          <w:szCs w:val="20"/>
          <w:color w:val="auto"/>
        </w:rPr>
        <w:t>•) (collectively, “</w:t>
      </w:r>
      <w:r>
        <w:rPr>
          <w:rFonts w:ascii="Times New Roman" w:cs="Times New Roman" w:eastAsia="Times New Roman" w:hAnsi="Times New Roman"/>
          <w:sz w:val="20"/>
          <w:szCs w:val="20"/>
          <w:b w:val="1"/>
          <w:bCs w:val="1"/>
          <w:color w:val="auto"/>
        </w:rPr>
        <w:t>AVITA Medical</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we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our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is a regenerative medicine company leading the development and commercialization of devices and autologous cellular therapies for skin restoration. Our patented and proprietary RECELL® System (“</w:t>
      </w:r>
      <w:r>
        <w:rPr>
          <w:rFonts w:ascii="Times New Roman" w:cs="Times New Roman" w:eastAsia="Times New Roman" w:hAnsi="Times New Roman"/>
          <w:sz w:val="20"/>
          <w:szCs w:val="20"/>
          <w:b w:val="1"/>
          <w:bCs w:val="1"/>
          <w:color w:val="auto"/>
        </w:rPr>
        <w:t>RECELL System</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RECELL</w:t>
      </w:r>
      <w:r>
        <w:rPr>
          <w:rFonts w:ascii="Times New Roman" w:cs="Times New Roman" w:eastAsia="Times New Roman" w:hAnsi="Times New Roman"/>
          <w:sz w:val="20"/>
          <w:szCs w:val="20"/>
          <w:color w:val="auto"/>
        </w:rPr>
        <w:t>”) technology platform harnesses the regenerative properties of a patient’s own skin to create Spray-On Skin</w:t>
      </w:r>
      <w:r>
        <w:rPr>
          <w:rFonts w:ascii="Times New Roman" w:cs="Times New Roman" w:eastAsia="Times New Roman" w:hAnsi="Times New Roman"/>
          <w:sz w:val="11"/>
          <w:szCs w:val="11"/>
          <w:color w:val="auto"/>
        </w:rPr>
        <w:t>™</w:t>
      </w:r>
      <w:r>
        <w:rPr>
          <w:rFonts w:ascii="Times New Roman" w:cs="Times New Roman" w:eastAsia="Times New Roman" w:hAnsi="Times New Roman"/>
          <w:sz w:val="20"/>
          <w:szCs w:val="20"/>
          <w:color w:val="auto"/>
        </w:rPr>
        <w:t xml:space="preserve"> Cells, an autologous skin cell suspension that is sprayed onto the patient to regenerate natural healthy skin.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w:t>
      </w:r>
    </w:p>
    <w:p>
      <w:pPr>
        <w:spacing w:after="0" w:line="235"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Headquartered in Valencia, California, the Company began as a laboratory spin-off in the Australian State of Western Australia. AVITA Medical's former parent company, AVITA Australia (formerly known as Clinical Cell Culture) was founded under the laws of the Commonwealth of Australia in December 1992 and changed its name to AVITA Medical Ltd in 2008. AVITA Australia's ordinary shares originally began trading in Australia on the Australian Securities Exchange (“</w:t>
      </w:r>
      <w:r>
        <w:rPr>
          <w:rFonts w:ascii="Times New Roman" w:cs="Times New Roman" w:eastAsia="Times New Roman" w:hAnsi="Times New Roman"/>
          <w:sz w:val="20"/>
          <w:szCs w:val="20"/>
          <w:b w:val="1"/>
          <w:bCs w:val="1"/>
          <w:color w:val="auto"/>
        </w:rPr>
        <w:t>ASX</w:t>
      </w:r>
      <w:r>
        <w:rPr>
          <w:rFonts w:ascii="Times New Roman" w:cs="Times New Roman" w:eastAsia="Times New Roman" w:hAnsi="Times New Roman"/>
          <w:sz w:val="20"/>
          <w:szCs w:val="20"/>
          <w:color w:val="auto"/>
        </w:rPr>
        <w:t>”) on August 9, 1993. AVITA Australia's American Depositary Shares (“</w:t>
      </w:r>
      <w:r>
        <w:rPr>
          <w:rFonts w:ascii="Times New Roman" w:cs="Times New Roman" w:eastAsia="Times New Roman" w:hAnsi="Times New Roman"/>
          <w:sz w:val="20"/>
          <w:szCs w:val="20"/>
          <w:b w:val="1"/>
          <w:bCs w:val="1"/>
          <w:color w:val="auto"/>
        </w:rPr>
        <w:t>ADSs</w:t>
      </w:r>
      <w:r>
        <w:rPr>
          <w:rFonts w:ascii="Times New Roman" w:cs="Times New Roman" w:eastAsia="Times New Roman" w:hAnsi="Times New Roman"/>
          <w:sz w:val="20"/>
          <w:szCs w:val="20"/>
          <w:color w:val="auto"/>
        </w:rPr>
        <w:t>”) traded over the counter on the OTCQX under the ticker symbol “AVMXY” from May 14, 2012 through September 30, 2019 and its ADSs began trading on the Nasdaq on October 1, 2019, under the ticker symbol “RCEL”.</w:t>
      </w:r>
    </w:p>
    <w:p>
      <w:pPr>
        <w:spacing w:after="0" w:line="188" w:lineRule="exact"/>
        <w:rPr>
          <w:sz w:val="20"/>
          <w:szCs w:val="20"/>
          <w:color w:val="auto"/>
        </w:rPr>
      </w:pPr>
    </w:p>
    <w:p>
      <w:pPr>
        <w:ind w:right="200" w:firstLine="720"/>
        <w:spacing w:after="0" w:line="259" w:lineRule="auto"/>
        <w:rPr>
          <w:sz w:val="20"/>
          <w:szCs w:val="20"/>
          <w:color w:val="auto"/>
        </w:rPr>
      </w:pPr>
      <w:r>
        <w:rPr>
          <w:rFonts w:ascii="Times New Roman" w:cs="Times New Roman" w:eastAsia="Times New Roman" w:hAnsi="Times New Roman"/>
          <w:sz w:val="20"/>
          <w:szCs w:val="20"/>
          <w:color w:val="auto"/>
        </w:rPr>
        <w:t>On June 29, 2020, AVITA Australia implemented a statutory scheme of arrangement under Australian law to effect a redomiciliation of AVITA Medical from Australia to the United States (the “</w:t>
      </w:r>
      <w:r>
        <w:rPr>
          <w:rFonts w:ascii="Times New Roman" w:cs="Times New Roman" w:eastAsia="Times New Roman" w:hAnsi="Times New Roman"/>
          <w:sz w:val="20"/>
          <w:szCs w:val="20"/>
          <w:b w:val="1"/>
          <w:bCs w:val="1"/>
          <w:color w:val="auto"/>
        </w:rPr>
        <w:t>Redomiciliation</w:t>
      </w:r>
      <w:r>
        <w:rPr>
          <w:rFonts w:ascii="Times New Roman" w:cs="Times New Roman" w:eastAsia="Times New Roman" w:hAnsi="Times New Roman"/>
          <w:sz w:val="20"/>
          <w:szCs w:val="20"/>
          <w:color w:val="auto"/>
        </w:rPr>
        <w:t>”). The Redomiciliation was approved by shareholders on June 15, 2020 and approved by the Federal Court of Australia on June 22, 2020.</w:t>
      </w:r>
    </w:p>
    <w:p>
      <w:pPr>
        <w:spacing w:after="0" w:line="177"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auto"/>
        </w:rPr>
        <w:t>Pursuant to the Redomiciliation, all ordinary shares in AVITA Australia were exchanged for shares of common stock in the Company (AVITA Medical, Inc.). As a result, the Company became the sole shareholder of AVITA Australia. In conjunction with the Redomiciliation, an implicit consolidation or reverse split on a 1 for 100 basis was implemented whereby shareholders of AVITA Australia received one share of common stock in the Company for every 100 shares held in AVITA Australia.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Under the Redomiciliation, eligible shareholders in AVITA Australia received consideration in the form of:</w:t>
      </w:r>
    </w:p>
    <w:p>
      <w:pPr>
        <w:spacing w:after="0" w:line="12" w:lineRule="exact"/>
        <w:rPr>
          <w:sz w:val="20"/>
          <w:szCs w:val="20"/>
          <w:color w:val="auto"/>
        </w:rPr>
      </w:pPr>
    </w:p>
    <w:p>
      <w:pPr>
        <w:ind w:left="1080" w:right="80" w:hanging="360"/>
        <w:spacing w:after="0" w:line="247" w:lineRule="auto"/>
        <w:tabs>
          <w:tab w:leader="none" w:pos="108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five CHESS Depositary Interests (“</w:t>
      </w:r>
      <w:r>
        <w:rPr>
          <w:rFonts w:ascii="Times New Roman" w:cs="Times New Roman" w:eastAsia="Times New Roman" w:hAnsi="Times New Roman"/>
          <w:sz w:val="20"/>
          <w:szCs w:val="20"/>
          <w:b w:val="1"/>
          <w:bCs w:val="1"/>
          <w:color w:val="auto"/>
        </w:rPr>
        <w:t>CDIs</w:t>
      </w:r>
      <w:r>
        <w:rPr>
          <w:rFonts w:ascii="Times New Roman" w:cs="Times New Roman" w:eastAsia="Times New Roman" w:hAnsi="Times New Roman"/>
          <w:sz w:val="20"/>
          <w:szCs w:val="20"/>
          <w:color w:val="auto"/>
        </w:rPr>
        <w:t>”) in the Company for every 100 ordinary shares in AVITA Australia that were held by them; or</w:t>
      </w:r>
    </w:p>
    <w:p>
      <w:pPr>
        <w:spacing w:after="0" w:line="1" w:lineRule="exact"/>
        <w:rPr>
          <w:rFonts w:ascii="Arial" w:cs="Arial" w:eastAsia="Arial" w:hAnsi="Arial"/>
          <w:sz w:val="20"/>
          <w:szCs w:val="20"/>
          <w:color w:val="auto"/>
        </w:rPr>
      </w:pPr>
    </w:p>
    <w:p>
      <w:pPr>
        <w:ind w:left="1080" w:hanging="360"/>
        <w:spacing w:after="0"/>
        <w:tabs>
          <w:tab w:leader="none" w:pos="108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0"/>
          <w:szCs w:val="20"/>
          <w:color w:val="auto"/>
        </w:rPr>
        <w:t>one share of common stock in the Company for every five ADSs in AVITA Australia that were held by them.</w:t>
      </w:r>
    </w:p>
    <w:p>
      <w:pPr>
        <w:spacing w:after="0" w:line="230" w:lineRule="exact"/>
        <w:rPr>
          <w:sz w:val="20"/>
          <w:szCs w:val="20"/>
          <w:color w:val="auto"/>
        </w:rPr>
      </w:pPr>
    </w:p>
    <w:p>
      <w:pPr>
        <w:ind w:right="160" w:firstLine="720"/>
        <w:spacing w:after="0" w:line="260" w:lineRule="auto"/>
        <w:rPr>
          <w:sz w:val="20"/>
          <w:szCs w:val="20"/>
          <w:color w:val="auto"/>
        </w:rPr>
      </w:pPr>
      <w:r>
        <w:rPr>
          <w:rFonts w:ascii="Times New Roman" w:cs="Times New Roman" w:eastAsia="Times New Roman" w:hAnsi="Times New Roman"/>
          <w:sz w:val="20"/>
          <w:szCs w:val="20"/>
          <w:color w:val="auto"/>
        </w:rPr>
        <w:t>The Company’s CDIs are quoted on the ASX under AVITA Australia's former ASX ticker code, “AVH”. The Company’s shares of common stock are quoted on Nasdaq under AVITA Australia's former Nasdaq ticker code, “RCEL”. One share of common stock on Nasdaq is equivalent to five CDIs on the ASX.</w:t>
      </w:r>
    </w:p>
    <w:p>
      <w:pPr>
        <w:spacing w:after="0" w:line="172" w:lineRule="exact"/>
        <w:rPr>
          <w:sz w:val="20"/>
          <w:szCs w:val="20"/>
          <w:color w:val="auto"/>
        </w:rPr>
      </w:pPr>
    </w:p>
    <w:p>
      <w:pPr>
        <w:ind w:right="120" w:firstLine="720"/>
        <w:spacing w:after="0" w:line="259" w:lineRule="auto"/>
        <w:rPr>
          <w:sz w:val="20"/>
          <w:szCs w:val="20"/>
          <w:color w:val="auto"/>
        </w:rPr>
      </w:pPr>
      <w:r>
        <w:rPr>
          <w:rFonts w:ascii="Times New Roman" w:cs="Times New Roman" w:eastAsia="Times New Roman" w:hAnsi="Times New Roman"/>
          <w:sz w:val="20"/>
          <w:szCs w:val="20"/>
          <w:color w:val="auto"/>
        </w:rPr>
        <w:t>As a result of the ‘implicit consolidation’ that occurred under the Redomiciliation, the number of shares of common stock issued and outstanding in the Company (as set out in the consolidated financial statements) is less than the number of ordinary shares of AVITA Australia that was set out in the consolidated financial statements of AVITA Australia prior to August 28, 2020.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COVID-19 IMPACT ON OUR BUSINESS</w:t>
      </w:r>
    </w:p>
    <w:p>
      <w:pPr>
        <w:spacing w:after="0" w:line="232" w:lineRule="exact"/>
        <w:rPr>
          <w:sz w:val="20"/>
          <w:szCs w:val="20"/>
          <w:color w:val="auto"/>
        </w:rPr>
      </w:pPr>
    </w:p>
    <w:p>
      <w:pPr>
        <w:ind w:right="20" w:firstLine="721"/>
        <w:spacing w:after="0" w:line="247" w:lineRule="auto"/>
        <w:rPr>
          <w:sz w:val="20"/>
          <w:szCs w:val="20"/>
          <w:color w:val="auto"/>
        </w:rPr>
      </w:pPr>
      <w:r>
        <w:rPr>
          <w:rFonts w:ascii="Times New Roman" w:cs="Times New Roman" w:eastAsia="Times New Roman" w:hAnsi="Times New Roman"/>
          <w:sz w:val="20"/>
          <w:szCs w:val="20"/>
          <w:color w:val="auto"/>
        </w:rPr>
        <w:t>The ongoing pandemic caused by the spread of coronavirus (“COVID-19”) has created significant disruptions to the U.S. and global economies and financial markets. The global impact of the pandemic has fluctuated since early 2020. At times, in the United States, state and local governmental authorities have responded by issuing orders, of varying degrees, requiring quarantines, restrictions on travel and minimizing social gathering/interactions and mandatory closures of certain non-essential businesses. Many of the restrictions have been periodically updated as infection rates in the U.S. have risen and fallen, as new variants have emerged, as vaccines have become available, and new information about transmission has been discovered.</w:t>
      </w:r>
    </w:p>
    <w:p>
      <w:pPr>
        <w:spacing w:after="0" w:line="191" w:lineRule="exact"/>
        <w:rPr>
          <w:sz w:val="20"/>
          <w:szCs w:val="20"/>
          <w:color w:val="auto"/>
        </w:rPr>
      </w:pPr>
    </w:p>
    <w:p>
      <w:pPr>
        <w:jc w:val="center"/>
        <w:spacing w:after="0" w:line="249" w:lineRule="auto"/>
        <w:rPr>
          <w:sz w:val="20"/>
          <w:szCs w:val="20"/>
          <w:color w:val="auto"/>
        </w:rPr>
      </w:pPr>
      <w:r>
        <w:rPr>
          <w:rFonts w:ascii="Times New Roman" w:cs="Times New Roman" w:eastAsia="Times New Roman" w:hAnsi="Times New Roman"/>
          <w:sz w:val="20"/>
          <w:szCs w:val="20"/>
          <w:color w:val="auto"/>
        </w:rPr>
        <w:t>In response to the pandemic, we acted swiftly by implementing protocols to ensure continuity of our manufacturing, increasing our safety stock and to provide for the safety of our employees. We implemented a number of measures designed to protect the health and safety of our employees, support our customers and promote business continuity. Early on, our business and operations were impacted by the ongoing effects of the pandemic with restrictions on travel and access to our customers or temporary suspension of treatment of burn patients or re-distribution of those patients to other treatment facilities and resulted in a reduction in the volume of</w:t>
      </w:r>
    </w:p>
    <w:p>
      <w:pPr>
        <w:sectPr>
          <w:pgSz w:w="11880" w:h="15480" w:orient="portrait"/>
          <w:cols w:equalWidth="0" w:num="1">
            <w:col w:w="10780"/>
          </w:cols>
          <w:pgMar w:left="540" w:top="884" w:right="560" w:bottom="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w:t>
      </w:r>
    </w:p>
    <w:p>
      <w:pPr>
        <w:sectPr>
          <w:pgSz w:w="11880" w:h="15480" w:orient="portrait"/>
          <w:cols w:equalWidth="0" w:num="1">
            <w:col w:w="10780"/>
          </w:cols>
          <w:pgMar w:left="540" w:top="884" w:right="560" w:bottom="0" w:gutter="0" w:footer="0" w:header="0"/>
          <w:type w:val="continuous"/>
        </w:sectPr>
      </w:pPr>
    </w:p>
    <w:bookmarkStart w:id="8" w:name="page9"/>
    <w:bookmarkEnd w:id="8"/>
    <w:p>
      <w:pPr>
        <w:ind w:right="140"/>
        <w:spacing w:after="0" w:line="307" w:lineRule="auto"/>
        <w:rPr>
          <w:sz w:val="20"/>
          <w:szCs w:val="20"/>
          <w:color w:val="auto"/>
        </w:rPr>
      </w:pPr>
      <w:r>
        <w:rPr>
          <w:rFonts w:ascii="Times New Roman" w:cs="Times New Roman" w:eastAsia="Times New Roman" w:hAnsi="Times New Roman"/>
          <w:sz w:val="19"/>
          <w:szCs w:val="19"/>
          <w:color w:val="auto"/>
        </w:rPr>
        <w:t>burn procedures using the RECELL following the implementation of those protective measures. In addition, we experienced periodic enrollment cessation in our clinical trials due to COVID-19 as well as having individuals excluded due to contracting the virus.</w:t>
      </w:r>
    </w:p>
    <w:p>
      <w:pPr>
        <w:spacing w:after="0" w:line="133"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auto"/>
        </w:rPr>
        <w:t>As of the date of this filing, we have resumed on-site work schedules for all employees. The COVID-19 pandemic has not materially adversely affected our financial results and business operations for the fiscal year-ended December 31, 2022; however, we are unable to predict the impact that COVID-19 may have on our business, operations, and financial results and condition in the future because of the numerous uncertainties created by the unprecedented nature of the pandemic.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STRATEGY</w:t>
      </w:r>
    </w:p>
    <w:p>
      <w:pPr>
        <w:spacing w:after="0" w:line="232" w:lineRule="exact"/>
        <w:rPr>
          <w:sz w:val="20"/>
          <w:szCs w:val="20"/>
          <w:color w:val="auto"/>
        </w:rPr>
      </w:pPr>
    </w:p>
    <w:p>
      <w:pPr>
        <w:ind w:right="280" w:firstLine="720"/>
        <w:spacing w:after="0" w:line="247" w:lineRule="auto"/>
        <w:rPr>
          <w:sz w:val="20"/>
          <w:szCs w:val="20"/>
          <w:color w:val="auto"/>
        </w:rPr>
      </w:pPr>
      <w:r>
        <w:rPr>
          <w:rFonts w:ascii="Times New Roman" w:cs="Times New Roman" w:eastAsia="Times New Roman" w:hAnsi="Times New Roman"/>
          <w:sz w:val="20"/>
          <w:szCs w:val="20"/>
          <w:color w:val="auto"/>
        </w:rPr>
        <w:t>Our objective is to become the leading provider of regenerative medicine addressing unmet medical needs in burn injuries, trauma injuries, and in dermatological and aesthetics indications, such as vitiligo. To achieve this objective, we intend to:</w:t>
      </w:r>
    </w:p>
    <w:p>
      <w:pPr>
        <w:spacing w:after="0" w:line="2" w:lineRule="exact"/>
        <w:rPr>
          <w:sz w:val="20"/>
          <w:szCs w:val="20"/>
          <w:color w:val="auto"/>
        </w:rPr>
      </w:pPr>
    </w:p>
    <w:p>
      <w:pPr>
        <w:ind w:left="1080" w:right="260" w:hanging="360"/>
        <w:spacing w:after="0" w:line="247"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Become the standard of care in the U.S. burns industry by increasing RECELL System penetration in burn centers and with burn physicians;</w:t>
      </w:r>
    </w:p>
    <w:p>
      <w:pPr>
        <w:spacing w:after="0" w:line="1" w:lineRule="exact"/>
        <w:rPr>
          <w:rFonts w:ascii="Arial" w:cs="Arial" w:eastAsia="Arial" w:hAnsi="Arial"/>
          <w:sz w:val="20"/>
          <w:szCs w:val="20"/>
          <w:color w:val="auto"/>
        </w:rPr>
      </w:pPr>
    </w:p>
    <w:p>
      <w:pPr>
        <w:ind w:left="1080" w:right="20" w:hanging="360"/>
        <w:spacing w:after="0" w:line="243"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Commercialize the RECELL System in the U.S. for use in soft tissue repair following approval of our pending premarket approval (“</w:t>
      </w:r>
      <w:r>
        <w:rPr>
          <w:rFonts w:ascii="Times New Roman" w:cs="Times New Roman" w:eastAsia="Times New Roman" w:hAnsi="Times New Roman"/>
          <w:sz w:val="20"/>
          <w:szCs w:val="20"/>
          <w:b w:val="1"/>
          <w:bCs w:val="1"/>
          <w:color w:val="auto"/>
        </w:rPr>
        <w:t>PMA</w:t>
      </w:r>
      <w:r>
        <w:rPr>
          <w:rFonts w:ascii="Times New Roman" w:cs="Times New Roman" w:eastAsia="Times New Roman" w:hAnsi="Times New Roman"/>
          <w:sz w:val="20"/>
          <w:szCs w:val="20"/>
          <w:color w:val="auto"/>
        </w:rPr>
        <w:t>”) supplement, which was submitted to the U.S. Food and Drug Administration (“</w:t>
      </w:r>
      <w:r>
        <w:rPr>
          <w:rFonts w:ascii="Times New Roman" w:cs="Times New Roman" w:eastAsia="Times New Roman" w:hAnsi="Times New Roman"/>
          <w:sz w:val="20"/>
          <w:szCs w:val="20"/>
          <w:b w:val="1"/>
          <w:bCs w:val="1"/>
          <w:color w:val="auto"/>
        </w:rPr>
        <w:t>FDA</w:t>
      </w:r>
      <w:r>
        <w:rPr>
          <w:rFonts w:ascii="Times New Roman" w:cs="Times New Roman" w:eastAsia="Times New Roman" w:hAnsi="Times New Roman"/>
          <w:sz w:val="20"/>
          <w:szCs w:val="20"/>
          <w:color w:val="auto"/>
        </w:rPr>
        <w:t>”) in December 2022. Following anticipated FDA approval of RECELL for soft tissue repair, we plan to commence a full commercial launch in July 2023 with both inpatient and outpatient reimbursement in place;</w:t>
      </w:r>
    </w:p>
    <w:p>
      <w:pPr>
        <w:spacing w:after="0" w:line="1" w:lineRule="exact"/>
        <w:rPr>
          <w:rFonts w:ascii="Arial" w:cs="Arial" w:eastAsia="Arial" w:hAnsi="Arial"/>
          <w:sz w:val="20"/>
          <w:szCs w:val="20"/>
          <w:color w:val="auto"/>
        </w:rPr>
      </w:pPr>
    </w:p>
    <w:p>
      <w:pPr>
        <w:ind w:left="1080" w:right="120" w:hanging="360"/>
        <w:spacing w:after="0" w:line="243"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Commercialize the RECELL System in the U.S. for use in treatment of vitiligo following approval of our pending PMA application, which was submitted to the FDA in December 2022. Subsequent to anticipated FDA approval of RECELLfor vitiligo, we plan to commence a full commercial launch following receipt of in-office reimbursement, which we believe will occur by January 2025;</w:t>
      </w:r>
    </w:p>
    <w:p>
      <w:pPr>
        <w:spacing w:after="0" w:line="1" w:lineRule="exact"/>
        <w:rPr>
          <w:rFonts w:ascii="Arial" w:cs="Arial" w:eastAsia="Arial" w:hAnsi="Arial"/>
          <w:sz w:val="20"/>
          <w:szCs w:val="20"/>
          <w:color w:val="auto"/>
        </w:rPr>
      </w:pPr>
    </w:p>
    <w:p>
      <w:pPr>
        <w:ind w:left="1080" w:right="1140" w:hanging="360"/>
        <w:spacing w:after="0" w:line="247"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Evaluate potential commercialization applications for the RECELL System related to skin rejuvenation and Epidermolysis Bullosa indications;</w:t>
      </w:r>
    </w:p>
    <w:p>
      <w:pPr>
        <w:ind w:left="1080" w:hanging="360"/>
        <w:spacing w:after="0" w:line="246"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Further invest in our RECELL System platform to automate and improve workflow, speed, and ease of use as it relates to specific indications, as well as to build upon our intellectual property;</w:t>
      </w:r>
    </w:p>
    <w:p>
      <w:pPr>
        <w:ind w:left="1080" w:hanging="359"/>
        <w:spacing w:after="0" w:line="236"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Continue to build upon commercial activities in Japan through our partnership with COSMOTEC Company, Ltd</w:t>
      </w:r>
    </w:p>
    <w:p>
      <w:pPr>
        <w:ind w:left="1080" w:right="20"/>
        <w:spacing w:after="0" w:line="249" w:lineRule="auto"/>
        <w:rPr>
          <w:rFonts w:ascii="Arial" w:cs="Arial" w:eastAsia="Arial" w:hAnsi="Arial"/>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COSMOTEC</w:t>
      </w:r>
      <w:r>
        <w:rPr>
          <w:rFonts w:ascii="Times New Roman" w:cs="Times New Roman" w:eastAsia="Times New Roman" w:hAnsi="Times New Roman"/>
          <w:sz w:val="20"/>
          <w:szCs w:val="20"/>
          <w:color w:val="auto"/>
        </w:rPr>
        <w:t>”) with our current Pharmaceuticals and Medical Devices Act (“</w:t>
      </w:r>
      <w:r>
        <w:rPr>
          <w:rFonts w:ascii="Times New Roman" w:cs="Times New Roman" w:eastAsia="Times New Roman" w:hAnsi="Times New Roman"/>
          <w:sz w:val="20"/>
          <w:szCs w:val="20"/>
          <w:b w:val="1"/>
          <w:bCs w:val="1"/>
          <w:color w:val="auto"/>
        </w:rPr>
        <w:t>PMDA</w:t>
      </w:r>
      <w:r>
        <w:rPr>
          <w:rFonts w:ascii="Times New Roman" w:cs="Times New Roman" w:eastAsia="Times New Roman" w:hAnsi="Times New Roman"/>
          <w:sz w:val="20"/>
          <w:szCs w:val="20"/>
          <w:color w:val="auto"/>
        </w:rPr>
        <w:t>”) approval for RECELL with an indication in burns;</w:t>
      </w:r>
    </w:p>
    <w:p>
      <w:pPr>
        <w:spacing w:after="0" w:line="1" w:lineRule="exact"/>
        <w:rPr>
          <w:rFonts w:ascii="Arial" w:cs="Arial" w:eastAsia="Arial" w:hAnsi="Arial"/>
          <w:sz w:val="20"/>
          <w:szCs w:val="20"/>
          <w:color w:val="auto"/>
        </w:rPr>
      </w:pPr>
    </w:p>
    <w:p>
      <w:pPr>
        <w:ind w:left="1080" w:right="80" w:hanging="359"/>
        <w:spacing w:after="0" w:line="247"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Develop and pursue viable commercial activities outside of the U.S. and Japan once we have received FDA approval for RECELL System indications in soft tissue and vitiligo;</w:t>
      </w:r>
    </w:p>
    <w:p>
      <w:pPr>
        <w:ind w:left="1080" w:right="160" w:hanging="359"/>
        <w:spacing w:after="0" w:line="246"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Pursue business development opportunities that are complementary to our core RECELL System indications and/or our targeted markets; and</w:t>
      </w:r>
    </w:p>
    <w:p>
      <w:pPr>
        <w:ind w:left="1080" w:right="420" w:hanging="359"/>
        <w:spacing w:after="0" w:line="278" w:lineRule="auto"/>
        <w:tabs>
          <w:tab w:leader="none" w:pos="108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Improve our margins and profitability by leveraging our current team and infrastructure across an expanding base of business in burns and in future indications.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RECELL® PLATFORM</w:t>
      </w:r>
    </w:p>
    <w:p>
      <w:pPr>
        <w:spacing w:after="0" w:line="232" w:lineRule="exact"/>
        <w:rPr>
          <w:sz w:val="20"/>
          <w:szCs w:val="20"/>
          <w:color w:val="auto"/>
        </w:rPr>
      </w:pPr>
    </w:p>
    <w:p>
      <w:pPr>
        <w:ind w:right="20" w:firstLine="721"/>
        <w:spacing w:after="0" w:line="244" w:lineRule="auto"/>
        <w:rPr>
          <w:sz w:val="20"/>
          <w:szCs w:val="20"/>
          <w:color w:val="auto"/>
        </w:rPr>
      </w:pPr>
      <w:r>
        <w:rPr>
          <w:rFonts w:ascii="Times New Roman" w:cs="Times New Roman" w:eastAsia="Times New Roman" w:hAnsi="Times New Roman"/>
          <w:sz w:val="20"/>
          <w:szCs w:val="20"/>
          <w:color w:val="auto"/>
        </w:rPr>
        <w:t>The RECELL System has a long-established safety profile, and clear potential for clinical and health-economic value propositions across a range of skin-related clinical indications. The patented and proprietary platform technology underlying Spray-On Skin™ Cells originated in Australia, based on the seminal work of Professor Fiona Wood and fellow scientist Marie Stoner. RECELL was initially launched in the E.U. in 2005, and then in Australia in 2006, ahead of pivotal outcomes data demonstrating clinical performance relative to standard care. Pivotal trials were conducted in the U.S. beginning in 2010. In September 2018, the FDA approved RECELL as a Class 3 device through a PMA for the treatment of acute thermal burn injuries in patients 18 years and older. Following receipt of our original PMA, we commenced commercialization of the RECELL System in January 2019 in the United States. RECELL is a first-of-kind medical device approved through FDA’s Center for Biologics Evaluation and Research, and the first Class 3 device approved for use in burn care in over 20 years.</w:t>
      </w:r>
    </w:p>
    <w:p>
      <w:pPr>
        <w:spacing w:after="0" w:line="197" w:lineRule="exact"/>
        <w:rPr>
          <w:sz w:val="20"/>
          <w:szCs w:val="20"/>
          <w:color w:val="auto"/>
        </w:rPr>
      </w:pPr>
    </w:p>
    <w:p>
      <w:pPr>
        <w:ind w:right="20" w:firstLine="721"/>
        <w:spacing w:after="0" w:line="244" w:lineRule="auto"/>
        <w:rPr>
          <w:sz w:val="20"/>
          <w:szCs w:val="20"/>
          <w:color w:val="auto"/>
        </w:rPr>
      </w:pPr>
      <w:r>
        <w:rPr>
          <w:rFonts w:ascii="Times New Roman" w:cs="Times New Roman" w:eastAsia="Times New Roman" w:hAnsi="Times New Roman"/>
          <w:sz w:val="20"/>
          <w:szCs w:val="20"/>
          <w:color w:val="auto"/>
        </w:rPr>
        <w:t>The RECELL System is a single use (disposable), stand-alone, battery operated, autologous cell harvesting device containing enzymatic and buffer solutions, sterile surgical instruments, and actuators to achieve the disaggregation and delivery of skin cells. The platform technology of the RECELL System allows for the preparation and delivery of Spray-On Skin Cells, an autologous cellular suspension comprised of the patient’s own skin cells necessary to regenerate natural healthy epidermis. These Spray-On Skin Cells are prepared at the point of care in as little as 30 minutes, providing a new way to treat thermal burns, other wounds, skin injuries or defects of the skin. The skin cell suspension includes keratinocytes, fibroblasts, and melanocytes, all of which play critical roles in skin regeneration. The treatment of burns with RECELL yields proven and significant reduction in the harvesting of donor skin. Donor sites are of great concern amongst burn patients. Burn wounds treated using RECELL show comparable results in burn wound healing outcomes relative to conventional grafting, despite the use of less donor site tissue. The ability of RECELL to retain melanocytes in the cell suspension is notable as these cells are critical for the restoration of natural pigmentation to the area treated,</w:t>
      </w:r>
    </w:p>
    <w:p>
      <w:pPr>
        <w:sectPr>
          <w:pgSz w:w="11880" w:h="15480" w:orient="portrait"/>
          <w:cols w:equalWidth="0" w:num="1">
            <w:col w:w="10800"/>
          </w:cols>
          <w:pgMar w:left="540" w:top="887" w:right="540" w:bottom="0" w:gutter="0" w:footer="0" w:header="0"/>
        </w:sect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880" w:h="15480" w:orient="portrait"/>
          <w:cols w:equalWidth="0" w:num="1">
            <w:col w:w="10800"/>
          </w:cols>
          <w:pgMar w:left="540" w:top="887" w:right="540" w:bottom="0" w:gutter="0" w:footer="0" w:header="0"/>
          <w:type w:val="continuous"/>
        </w:sectPr>
      </w:pPr>
    </w:p>
    <w:bookmarkStart w:id="9" w:name="page10"/>
    <w:bookmarkEnd w:id="9"/>
    <w:p>
      <w:pPr>
        <w:ind w:right="720"/>
        <w:spacing w:after="0" w:line="279" w:lineRule="auto"/>
        <w:rPr>
          <w:sz w:val="20"/>
          <w:szCs w:val="20"/>
          <w:color w:val="auto"/>
        </w:rPr>
      </w:pPr>
      <w:r>
        <w:rPr>
          <w:rFonts w:ascii="Times New Roman" w:cs="Times New Roman" w:eastAsia="Times New Roman" w:hAnsi="Times New Roman"/>
          <w:sz w:val="20"/>
          <w:szCs w:val="20"/>
          <w:color w:val="auto"/>
        </w:rPr>
        <w:t>which is being further evaluated in ongoing clinical trials. Skin cell suspension is a powerful therapeutic with the potential for addressing unmet needs in a number of clinical indications, including burns, soft tissue repair, and vitiligo.</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&amp; DEVELOPMENT</w:t>
      </w:r>
    </w:p>
    <w:p>
      <w:pPr>
        <w:spacing w:after="0" w:line="232" w:lineRule="exact"/>
        <w:rPr>
          <w:sz w:val="20"/>
          <w:szCs w:val="20"/>
          <w:color w:val="auto"/>
        </w:rPr>
      </w:pPr>
    </w:p>
    <w:p>
      <w:pPr>
        <w:ind w:right="240" w:firstLine="720"/>
        <w:spacing w:after="0" w:line="247" w:lineRule="auto"/>
        <w:rPr>
          <w:sz w:val="20"/>
          <w:szCs w:val="20"/>
          <w:color w:val="auto"/>
        </w:rPr>
      </w:pPr>
      <w:r>
        <w:rPr>
          <w:rFonts w:ascii="Times New Roman" w:cs="Times New Roman" w:eastAsia="Times New Roman" w:hAnsi="Times New Roman"/>
          <w:sz w:val="20"/>
          <w:szCs w:val="20"/>
          <w:color w:val="auto"/>
        </w:rPr>
        <w:t>The launch of the RECELL System into the U.S. market provided an opportunity to gain valuable, in-depth insight into the patient care pathway, as well as the workflow for surgical management of burn wounds. We continue to commit significant and increasing resources in product development to ensure that our device continues to evolve and has robust patent protection. In February 2022, the FDA approved the PMA supplement for RECELL Autologous Cell Harvesting Device, an enhanced RECELL system aimed at providing clinicians a more efficient user experience and simplified workflow. This new version of the RECELL System offers improved convenience along with an opportunity to expand our intellectual property portfolio.</w:t>
      </w:r>
    </w:p>
    <w:p>
      <w:pPr>
        <w:spacing w:after="0" w:line="190"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color w:val="auto"/>
        </w:rPr>
        <w:t>Further product development is ongoing on a next generation device for more automated implementation of the core Spray-On Skin Cells technology, to advance the user experience toward less hands-on processing time. With each iteration of our RECELL System development, we anticipate preservation of the therapeutic power of Spray-on Skin Cells, deployed in devices that become appropriate for use in an increasing range of clinical settings. This is particularly important as we aim to enter the dermatology space, where there is a shift toward an emphasis on the volume of patients treated in a day.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summary, our research and development efforts are currently focused on:</w:t>
      </w:r>
    </w:p>
    <w:p>
      <w:pPr>
        <w:spacing w:after="0" w:line="15" w:lineRule="exact"/>
        <w:rPr>
          <w:sz w:val="20"/>
          <w:szCs w:val="20"/>
          <w:color w:val="auto"/>
        </w:rPr>
      </w:pPr>
    </w:p>
    <w:p>
      <w:pPr>
        <w:ind w:left="1080" w:right="180" w:hanging="360"/>
        <w:spacing w:after="0" w:line="243" w:lineRule="auto"/>
        <w:tabs>
          <w:tab w:leader="none" w:pos="10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Further clinical development of the RECELL System in additional skin-focused clinical indications where the platform can be leveraged. Specifically, to expand our footprint within wounds and dermatology, such as soft tissue repair and vitiligo. These activities are generally characterized by pivotal studies for which the FDA has approved an Investigational Device Exemption (“</w:t>
      </w:r>
      <w:r>
        <w:rPr>
          <w:rFonts w:ascii="Times New Roman" w:cs="Times New Roman" w:eastAsia="Times New Roman" w:hAnsi="Times New Roman"/>
          <w:sz w:val="20"/>
          <w:szCs w:val="20"/>
          <w:b w:val="1"/>
          <w:bCs w:val="1"/>
          <w:color w:val="auto"/>
        </w:rPr>
        <w:t>IDE</w:t>
      </w:r>
      <w:r>
        <w:rPr>
          <w:rFonts w:ascii="Times New Roman" w:cs="Times New Roman" w:eastAsia="Times New Roman" w:hAnsi="Times New Roman"/>
          <w:sz w:val="20"/>
          <w:szCs w:val="20"/>
          <w:color w:val="auto"/>
        </w:rPr>
        <w:t>”)</w:t>
      </w:r>
    </w:p>
    <w:p>
      <w:pPr>
        <w:spacing w:after="0" w:line="1" w:lineRule="exact"/>
        <w:rPr>
          <w:rFonts w:ascii="Arial" w:cs="Arial" w:eastAsia="Arial" w:hAnsi="Arial"/>
          <w:sz w:val="20"/>
          <w:szCs w:val="20"/>
          <w:color w:val="auto"/>
        </w:rPr>
      </w:pPr>
    </w:p>
    <w:p>
      <w:pPr>
        <w:ind w:left="1080" w:hanging="360"/>
        <w:spacing w:after="0"/>
        <w:tabs>
          <w:tab w:leader="none" w:pos="10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RECELL platform technology evolution to automate and improve workflow, speed, and ease of use</w:t>
      </w:r>
    </w:p>
    <w:p>
      <w:pPr>
        <w:spacing w:after="0" w:line="13" w:lineRule="exact"/>
        <w:rPr>
          <w:rFonts w:ascii="Arial" w:cs="Arial" w:eastAsia="Arial" w:hAnsi="Arial"/>
          <w:sz w:val="20"/>
          <w:szCs w:val="20"/>
          <w:color w:val="auto"/>
        </w:rPr>
      </w:pPr>
    </w:p>
    <w:p>
      <w:pPr>
        <w:ind w:left="1080" w:right="220" w:hanging="360"/>
        <w:spacing w:after="0" w:line="259" w:lineRule="auto"/>
        <w:tabs>
          <w:tab w:leader="none" w:pos="10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Further research and characterization of the RECELL System design and the composition and activity of the Spray-On Skin Cells suspension to support further clinical development of the platform, and to expand our intellectual property estate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TARGET MARKETS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Burns</w:t>
      </w:r>
    </w:p>
    <w:p>
      <w:pPr>
        <w:spacing w:after="0" w:line="232" w:lineRule="exact"/>
        <w:rPr>
          <w:sz w:val="20"/>
          <w:szCs w:val="20"/>
          <w:color w:val="auto"/>
        </w:rPr>
      </w:pPr>
    </w:p>
    <w:p>
      <w:pPr>
        <w:ind w:right="340" w:firstLine="720"/>
        <w:spacing w:after="0" w:line="250" w:lineRule="auto"/>
        <w:rPr>
          <w:sz w:val="20"/>
          <w:szCs w:val="20"/>
          <w:color w:val="auto"/>
        </w:rPr>
      </w:pPr>
      <w:r>
        <w:rPr>
          <w:rFonts w:ascii="Times New Roman" w:cs="Times New Roman" w:eastAsia="Times New Roman" w:hAnsi="Times New Roman"/>
          <w:sz w:val="20"/>
          <w:szCs w:val="20"/>
          <w:color w:val="auto"/>
        </w:rPr>
        <w:t>Acute thermal burns are life-threatening and debilitating injuries that are among the most challenging and expensive to manage. These injuries require complex surgical procedures, long and costly hospitalization, and have a high potential for clinical complications and requirement for rehabilitation and scar treatment. In the U.S., approximately 40,000 people have burn injuries severe enough to require hospital admission annually, and it is estimated that 3,300 patients die each year. The majority of patients treated on an inpatient basis in the U.S. are treated in specialized burn centers.</w:t>
      </w:r>
    </w:p>
    <w:p>
      <w:pPr>
        <w:spacing w:after="0" w:line="183" w:lineRule="exact"/>
        <w:rPr>
          <w:sz w:val="20"/>
          <w:szCs w:val="20"/>
          <w:color w:val="auto"/>
        </w:rPr>
      </w:pPr>
    </w:p>
    <w:p>
      <w:pPr>
        <w:ind w:right="20" w:firstLine="721"/>
        <w:spacing w:after="0" w:line="248" w:lineRule="auto"/>
        <w:rPr>
          <w:sz w:val="20"/>
          <w:szCs w:val="20"/>
          <w:color w:val="auto"/>
        </w:rPr>
      </w:pPr>
      <w:r>
        <w:rPr>
          <w:rFonts w:ascii="Times New Roman" w:cs="Times New Roman" w:eastAsia="Times New Roman" w:hAnsi="Times New Roman"/>
          <w:sz w:val="20"/>
          <w:szCs w:val="20"/>
          <w:color w:val="auto"/>
        </w:rPr>
        <w:t>Severe burns (typically defined as second- and third-degree) are commonly treated with autologous split-thickness skin grafts (“</w:t>
      </w:r>
      <w:r>
        <w:rPr>
          <w:rFonts w:ascii="Times New Roman" w:cs="Times New Roman" w:eastAsia="Times New Roman" w:hAnsi="Times New Roman"/>
          <w:sz w:val="20"/>
          <w:szCs w:val="20"/>
          <w:b w:val="1"/>
          <w:bCs w:val="1"/>
          <w:color w:val="auto"/>
        </w:rPr>
        <w:t>STSGs</w:t>
      </w:r>
      <w:r>
        <w:rPr>
          <w:rFonts w:ascii="Times New Roman" w:cs="Times New Roman" w:eastAsia="Times New Roman" w:hAnsi="Times New Roman"/>
          <w:sz w:val="20"/>
          <w:szCs w:val="20"/>
          <w:color w:val="auto"/>
        </w:rPr>
        <w:t>”) to achieve definitive closure of the burn wound. In a STSG, or autograft, donor skin is harvested from a healthy area of the patient’s skin. The donor skin is then typically perforated into a mesh that can be expanded and transferred to cover the prepared burn injury. Treatment with STSG results in additional trauma for the patient due to creation of a new donor site wound. Although the use of STSG has been a standard treatment for more than 50 years, autografting is associated with significant pain, itching, infection, dyschromia, dyspigmentation, delayed healing, and hypertrophic scarring of the donor site.</w:t>
      </w:r>
    </w:p>
    <w:p>
      <w:pPr>
        <w:spacing w:after="0" w:line="185" w:lineRule="exact"/>
        <w:rPr>
          <w:sz w:val="20"/>
          <w:szCs w:val="20"/>
          <w:color w:val="auto"/>
        </w:rPr>
      </w:pPr>
    </w:p>
    <w:p>
      <w:pPr>
        <w:ind w:firstLine="721"/>
        <w:spacing w:after="0" w:line="244" w:lineRule="auto"/>
        <w:rPr>
          <w:sz w:val="20"/>
          <w:szCs w:val="20"/>
          <w:color w:val="auto"/>
        </w:rPr>
      </w:pPr>
      <w:r>
        <w:rPr>
          <w:rFonts w:ascii="Times New Roman" w:cs="Times New Roman" w:eastAsia="Times New Roman" w:hAnsi="Times New Roman"/>
          <w:sz w:val="20"/>
          <w:szCs w:val="20"/>
          <w:color w:val="auto"/>
        </w:rPr>
        <w:t>The clinical benefits of earlier wound closure are well recognized and include increased survival, reduced hospital length of stay, decreased pain duration, and reduced infection-related complications. However, in large burn injuries, the patient may have insufficient donor skin available to allow for immediate and complete treatment of the entire burn injury area when using traditional grafting techniques. The lack of available healthy donor skin in patients with large burn injuries is often the central problem impacting time to autografting and definitive closure of the wounds. In extensively burned patients, surgeons often must wait until the donor sites have healed so they can re-harvest from the sites, resulting in delays in treatment and closure, requiring multiple procedures, and extending hospital stay. While waiting for donor skin, the burn wounds may be temporarily covered by allogeneic skin (allograft, cadaver skin) or xenograft (typically pig skin). The overall cost of treatment with STSG is expensive - for example it would cost approximately $579,000 and 59.4 days in hospital for a patient with a 40% Total Body Surface Area (“</w:t>
      </w:r>
      <w:r>
        <w:rPr>
          <w:rFonts w:ascii="Times New Roman" w:cs="Times New Roman" w:eastAsia="Times New Roman" w:hAnsi="Times New Roman"/>
          <w:sz w:val="20"/>
          <w:szCs w:val="20"/>
          <w:b w:val="1"/>
          <w:bCs w:val="1"/>
          <w:color w:val="auto"/>
        </w:rPr>
        <w:t>TBSA</w:t>
      </w:r>
      <w:r>
        <w:rPr>
          <w:rFonts w:ascii="Times New Roman" w:cs="Times New Roman" w:eastAsia="Times New Roman" w:hAnsi="Times New Roman"/>
          <w:sz w:val="20"/>
          <w:szCs w:val="20"/>
          <w:color w:val="auto"/>
        </w:rPr>
        <w:t>”) mixed-depth burn injury to recover and return to normal day to day activities.</w:t>
      </w:r>
    </w:p>
    <w:p>
      <w:pPr>
        <w:spacing w:after="0" w:line="192" w:lineRule="exact"/>
        <w:rPr>
          <w:sz w:val="20"/>
          <w:szCs w:val="20"/>
          <w:color w:val="auto"/>
        </w:rPr>
      </w:pPr>
    </w:p>
    <w:p>
      <w:pPr>
        <w:ind w:right="180" w:firstLine="721"/>
        <w:spacing w:after="0" w:line="279" w:lineRule="auto"/>
        <w:rPr>
          <w:sz w:val="20"/>
          <w:szCs w:val="20"/>
          <w:color w:val="auto"/>
        </w:rPr>
      </w:pPr>
      <w:r>
        <w:rPr>
          <w:rFonts w:ascii="Times New Roman" w:cs="Times New Roman" w:eastAsia="Times New Roman" w:hAnsi="Times New Roman"/>
          <w:sz w:val="19"/>
          <w:szCs w:val="19"/>
          <w:color w:val="auto"/>
        </w:rPr>
        <w:t>The RECELL System was approved by the FDA in September 2018 for the treatment of second- and third-degree acute thermal burn injuries in patients 18 years and older. In June 2021, the FDA approved an expanded indication for use to also include treatment of full-thickness (third-degree) pediatric burns, which represent close to a quarter of all burn injuries in the U.S., as well as</w:t>
      </w:r>
    </w:p>
    <w:p>
      <w:pPr>
        <w:sectPr>
          <w:pgSz w:w="11880" w:h="15480" w:orient="portrait"/>
          <w:cols w:equalWidth="0" w:num="1">
            <w:col w:w="10800"/>
          </w:cols>
          <w:pgMar w:left="540" w:top="887" w:right="540" w:bottom="0" w:gutter="0" w:footer="0" w:header="0"/>
        </w:sectPr>
      </w:pP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880" w:h="15480" w:orient="portrait"/>
          <w:cols w:equalWidth="0" w:num="1">
            <w:col w:w="10800"/>
          </w:cols>
          <w:pgMar w:left="540" w:top="887" w:right="540" w:bottom="0" w:gutter="0" w:footer="0" w:header="0"/>
          <w:type w:val="continuous"/>
        </w:sectPr>
      </w:pPr>
    </w:p>
    <w:bookmarkStart w:id="10" w:name="page11"/>
    <w:bookmarkEnd w:id="10"/>
    <w:p>
      <w:pPr>
        <w:spacing w:after="0" w:line="260" w:lineRule="auto"/>
        <w:rPr>
          <w:sz w:val="20"/>
          <w:szCs w:val="20"/>
          <w:color w:val="auto"/>
        </w:rPr>
      </w:pPr>
      <w:r>
        <w:rPr>
          <w:rFonts w:ascii="Times New Roman" w:cs="Times New Roman" w:eastAsia="Times New Roman" w:hAnsi="Times New Roman"/>
          <w:sz w:val="20"/>
          <w:szCs w:val="20"/>
          <w:color w:val="auto"/>
        </w:rPr>
        <w:t xml:space="preserve">full-thickness burn injuries greater than 50% TBSA. As a result of having achieved an expanded indication for use in pediatric burns, the Biomedical Advanced Research and Development Authority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BARDA</w:t>
      </w:r>
      <w:r>
        <w:rPr>
          <w:rFonts w:ascii="Times New Roman" w:cs="Times New Roman" w:eastAsia="Times New Roman" w:hAnsi="Times New Roman"/>
          <w:sz w:val="20"/>
          <w:szCs w:val="20"/>
          <w:color w:val="auto"/>
        </w:rPr>
        <w:t>”) funded U.S. Pediatric Burns trial has been closed to new enrollment (refer to BARDA Contract section below).</w:t>
      </w:r>
    </w:p>
    <w:p>
      <w:pPr>
        <w:spacing w:after="0" w:line="172" w:lineRule="exact"/>
        <w:rPr>
          <w:sz w:val="20"/>
          <w:szCs w:val="20"/>
          <w:color w:val="auto"/>
        </w:rPr>
      </w:pPr>
    </w:p>
    <w:p>
      <w:pPr>
        <w:ind w:right="80" w:firstLine="720"/>
        <w:spacing w:after="0" w:line="248" w:lineRule="auto"/>
        <w:rPr>
          <w:sz w:val="20"/>
          <w:szCs w:val="20"/>
          <w:color w:val="auto"/>
        </w:rPr>
      </w:pPr>
      <w:r>
        <w:rPr>
          <w:rFonts w:ascii="Times New Roman" w:cs="Times New Roman" w:eastAsia="Times New Roman" w:hAnsi="Times New Roman"/>
          <w:sz w:val="20"/>
          <w:szCs w:val="20"/>
          <w:color w:val="auto"/>
        </w:rPr>
        <w:t>The pivotal studies leading to the RECELL System’s FDA PMA for the treatment of acute thermal burns demonstrated that the RECELL System treated burns used 97.5% less donor skin when used alone in second-degree burns, and 32% less donor skin when used with autograft for third-degree burns, compared to standard of care autografting. In these studies, a statistically significant reduction in donor skin required to treat burn patients with the RECELL System was realized without any associated compromise to healing or safety outcomes. Donor site outcomes from the clinical trial for second-degree burns also revealed a statistically significant reduction in patient-reported pain, increased patient satisfaction and improved scar outcomes.</w:t>
      </w:r>
    </w:p>
    <w:p>
      <w:pPr>
        <w:spacing w:after="0" w:line="185" w:lineRule="exact"/>
        <w:rPr>
          <w:sz w:val="20"/>
          <w:szCs w:val="20"/>
          <w:color w:val="auto"/>
        </w:rPr>
      </w:pPr>
    </w:p>
    <w:p>
      <w:pPr>
        <w:ind w:right="280" w:firstLine="720"/>
        <w:spacing w:after="0" w:line="253" w:lineRule="auto"/>
        <w:rPr>
          <w:sz w:val="20"/>
          <w:szCs w:val="20"/>
          <w:color w:val="auto"/>
        </w:rPr>
      </w:pPr>
      <w:r>
        <w:rPr>
          <w:rFonts w:ascii="Times New Roman" w:cs="Times New Roman" w:eastAsia="Times New Roman" w:hAnsi="Times New Roman"/>
          <w:sz w:val="20"/>
          <w:szCs w:val="20"/>
          <w:color w:val="auto"/>
        </w:rPr>
        <w:t>The RECELL System offers fewer procedures required for definitive closure versus conventional autografts. In pediatric cases using the RECELL System, there were 56% fewer mean surgical procedures (N = 284) compared to the American Burn Association’s National Burn Repository (</w:t>
      </w:r>
      <w:r>
        <w:rPr>
          <w:rFonts w:ascii="Times New Roman" w:cs="Times New Roman" w:eastAsia="Times New Roman" w:hAnsi="Times New Roman"/>
          <w:sz w:val="20"/>
          <w:szCs w:val="20"/>
          <w:b w:val="1"/>
          <w:bCs w:val="1"/>
          <w:color w:val="auto"/>
        </w:rPr>
        <w:t>“NBR”</w:t>
      </w:r>
      <w:r>
        <w:rPr>
          <w:rFonts w:ascii="Times New Roman" w:cs="Times New Roman" w:eastAsia="Times New Roman" w:hAnsi="Times New Roman"/>
          <w:sz w:val="20"/>
          <w:szCs w:val="20"/>
          <w:color w:val="auto"/>
        </w:rPr>
        <w:t>). Additionally, in patients with &gt;50% TBSA, the RECELL System provided 60% fewer mean surgical procedures versus NBR (N =318).</w:t>
      </w:r>
    </w:p>
    <w:p>
      <w:pPr>
        <w:spacing w:after="0" w:line="180" w:lineRule="exact"/>
        <w:rPr>
          <w:sz w:val="20"/>
          <w:szCs w:val="20"/>
          <w:color w:val="auto"/>
        </w:rPr>
      </w:pPr>
    </w:p>
    <w:p>
      <w:pPr>
        <w:ind w:right="100" w:firstLine="720"/>
        <w:spacing w:after="0" w:line="246" w:lineRule="auto"/>
        <w:rPr>
          <w:sz w:val="20"/>
          <w:szCs w:val="20"/>
          <w:color w:val="auto"/>
        </w:rPr>
      </w:pPr>
      <w:r>
        <w:rPr>
          <w:rFonts w:ascii="Times New Roman" w:cs="Times New Roman" w:eastAsia="Times New Roman" w:hAnsi="Times New Roman"/>
          <w:sz w:val="20"/>
          <w:szCs w:val="20"/>
          <w:color w:val="auto"/>
        </w:rPr>
        <w:t>In addition to robust clinical data, RECELL has proven health economic benefits and a compelling cost-effectiveness model which shows that treatment using the RECELL System for deep partial-thickness burns reduces total treatment costs by an average of 26%, or approximately $37,000, for patients with 10% TBSA and approximately $150,000, for patients with 40% TBSA. For full-thickness burns, treatment using the RECELL System reduced total treatment cost by 3%, or approximately $6,000 for patients with 10% TBSA and by 42% or approximately $243,000, for patients with 40% TBSA. These cost reductions are attributed to decreasing the length of hospital stay, reducing the number of procedures required to close the burn wound, and minimizing the donor site size and associated wound care. All of these cost savings estimates are net of the cost of the RECELL System.</w:t>
      </w:r>
    </w:p>
    <w:p>
      <w:pPr>
        <w:spacing w:after="0" w:line="191" w:lineRule="exact"/>
        <w:rPr>
          <w:sz w:val="20"/>
          <w:szCs w:val="20"/>
          <w:color w:val="auto"/>
        </w:rPr>
      </w:pPr>
    </w:p>
    <w:p>
      <w:pPr>
        <w:ind w:right="80" w:firstLine="720"/>
        <w:spacing w:after="0" w:line="249" w:lineRule="auto"/>
        <w:rPr>
          <w:sz w:val="20"/>
          <w:szCs w:val="20"/>
          <w:color w:val="auto"/>
        </w:rPr>
      </w:pPr>
      <w:r>
        <w:rPr>
          <w:rFonts w:ascii="Times New Roman" w:cs="Times New Roman" w:eastAsia="Times New Roman" w:hAnsi="Times New Roman"/>
          <w:sz w:val="20"/>
          <w:szCs w:val="20"/>
          <w:color w:val="auto"/>
        </w:rPr>
        <w:t>A budget impact model was developed and has been used to calculate the annual budget impact of current standard of care for the treatment of burns versus treatment using the RECELL System for a burn center with 200 patients. The model shows that treatment using the RECELL System reduces annual total treatment costs from approximately $39.4 million to $32.6 million, saving 17% or approximately $6.8 million per year. In addition, real world evidence has been published by the Doctors at IQVIA and funded by the Company and BARDA indicating that these economic savings are demonstrated in a wide range of burn sizes.</w:t>
      </w:r>
    </w:p>
    <w:p>
      <w:pPr>
        <w:spacing w:after="0" w:line="187" w:lineRule="exact"/>
        <w:rPr>
          <w:sz w:val="20"/>
          <w:szCs w:val="20"/>
          <w:color w:val="auto"/>
        </w:rPr>
      </w:pPr>
    </w:p>
    <w:p>
      <w:pPr>
        <w:jc w:val="both"/>
        <w:ind w:firstLine="721"/>
        <w:spacing w:after="0" w:line="249" w:lineRule="auto"/>
        <w:rPr>
          <w:sz w:val="20"/>
          <w:szCs w:val="20"/>
          <w:color w:val="auto"/>
        </w:rPr>
      </w:pPr>
      <w:r>
        <w:rPr>
          <w:rFonts w:ascii="Times New Roman" w:cs="Times New Roman" w:eastAsia="Times New Roman" w:hAnsi="Times New Roman"/>
          <w:sz w:val="20"/>
          <w:szCs w:val="20"/>
          <w:color w:val="auto"/>
        </w:rPr>
        <w:t>The market for treatment of burns in the U.S. is highly concentrated, with approximately 150 burn centers and approximately 300 burn surgeons who treat the majority of severe burns in the country (i.e., ž75%). Accordingly, our target market is predominantly focused on burn centers. Our goal is to establish RECELL as the standard of care for any burn injury that requires grafting for patients with 5% TBSA injury or greater. In the U.S., we estimate that there are approximately 35,000 patients annually that could benefit from our technology. Each RECELL System can treat up to 10% TBSA, and many patients require more than one device.</w:t>
      </w:r>
    </w:p>
    <w:p>
      <w:pPr>
        <w:spacing w:after="0" w:line="187" w:lineRule="exact"/>
        <w:rPr>
          <w:sz w:val="20"/>
          <w:szCs w:val="20"/>
          <w:color w:val="auto"/>
        </w:rPr>
      </w:pPr>
    </w:p>
    <w:p>
      <w:pPr>
        <w:ind w:right="20" w:firstLine="721"/>
        <w:spacing w:after="0" w:line="247" w:lineRule="auto"/>
        <w:rPr>
          <w:sz w:val="20"/>
          <w:szCs w:val="20"/>
          <w:color w:val="auto"/>
        </w:rPr>
      </w:pPr>
      <w:r>
        <w:rPr>
          <w:rFonts w:ascii="Times New Roman" w:cs="Times New Roman" w:eastAsia="Times New Roman" w:hAnsi="Times New Roman"/>
          <w:sz w:val="20"/>
          <w:szCs w:val="20"/>
          <w:color w:val="auto"/>
        </w:rPr>
        <w:t>AVITA Medical has a policy of providing the RECELL System to a provider only after they have been certified, which includes extensive training in the use of the product and in the aftercare of the patient. In general, we have found that most U.S. burn centers follow the industry-standard process of evaluating the RECELL System and then taking it through their hospital’s Value Analysis Committee (“</w:t>
      </w:r>
      <w:r>
        <w:rPr>
          <w:rFonts w:ascii="Times New Roman" w:cs="Times New Roman" w:eastAsia="Times New Roman" w:hAnsi="Times New Roman"/>
          <w:sz w:val="20"/>
          <w:szCs w:val="20"/>
          <w:b w:val="1"/>
          <w:bCs w:val="1"/>
          <w:color w:val="auto"/>
        </w:rPr>
        <w:t>VAC</w:t>
      </w:r>
      <w:r>
        <w:rPr>
          <w:rFonts w:ascii="Times New Roman" w:cs="Times New Roman" w:eastAsia="Times New Roman" w:hAnsi="Times New Roman"/>
          <w:sz w:val="20"/>
          <w:szCs w:val="20"/>
          <w:color w:val="auto"/>
        </w:rPr>
        <w:t>”) prior to purchasing. In general, most surgeons follow a typical adoption curve, starting from where they see the greatest economic and clinical value, which is the use of RECELL for treatment of larger burns. With time and continued use, surgeons typically progress to adoption of RECELL for smaller, less severe burns and facial burns.</w:t>
      </w:r>
    </w:p>
    <w:p>
      <w:pPr>
        <w:spacing w:after="0" w:line="191" w:lineRule="exact"/>
        <w:rPr>
          <w:sz w:val="20"/>
          <w:szCs w:val="20"/>
          <w:color w:val="auto"/>
        </w:rPr>
      </w:pPr>
    </w:p>
    <w:p>
      <w:pPr>
        <w:ind w:right="20" w:firstLine="721"/>
        <w:spacing w:after="0" w:line="243" w:lineRule="auto"/>
        <w:rPr>
          <w:sz w:val="20"/>
          <w:szCs w:val="20"/>
          <w:color w:val="auto"/>
        </w:rPr>
      </w:pPr>
      <w:r>
        <w:rPr>
          <w:rFonts w:ascii="Times New Roman" w:cs="Times New Roman" w:eastAsia="Times New Roman" w:hAnsi="Times New Roman"/>
          <w:sz w:val="20"/>
          <w:szCs w:val="20"/>
          <w:color w:val="auto"/>
        </w:rPr>
        <w:t>In the U.S., several existing reimbursement codes were in place prior to the commencement of commercial sales of the RECELL System. For inpatient treatment of burn patients, U.S. hospitals are reimbursed under DRG (Diagnosis Related Group) Codes based on diagnosis of a patient’s injuries. For physicians, CPT (Current Procedural Terminology) codes for use in RECELL System procedures are recommended by the American Burn Association and are the same for both inpatient and outpatient use. In August 2020, we filed a Transitional Pass-through Payment Application (“</w:t>
      </w:r>
      <w:r>
        <w:rPr>
          <w:rFonts w:ascii="Times New Roman" w:cs="Times New Roman" w:eastAsia="Times New Roman" w:hAnsi="Times New Roman"/>
          <w:sz w:val="20"/>
          <w:szCs w:val="20"/>
          <w:b w:val="1"/>
          <w:bCs w:val="1"/>
          <w:color w:val="auto"/>
        </w:rPr>
        <w:t>TPT</w:t>
      </w:r>
      <w:r>
        <w:rPr>
          <w:rFonts w:ascii="Times New Roman" w:cs="Times New Roman" w:eastAsia="Times New Roman" w:hAnsi="Times New Roman"/>
          <w:sz w:val="20"/>
          <w:szCs w:val="20"/>
          <w:color w:val="auto"/>
        </w:rPr>
        <w:t>”) with The Centers for Medicare &amp; Medicaid Services (“</w:t>
      </w:r>
      <w:r>
        <w:rPr>
          <w:rFonts w:ascii="Times New Roman" w:cs="Times New Roman" w:eastAsia="Times New Roman" w:hAnsi="Times New Roman"/>
          <w:sz w:val="20"/>
          <w:szCs w:val="20"/>
          <w:b w:val="1"/>
          <w:bCs w:val="1"/>
          <w:color w:val="auto"/>
        </w:rPr>
        <w:t>CMS</w:t>
      </w:r>
      <w:r>
        <w:rPr>
          <w:rFonts w:ascii="Times New Roman" w:cs="Times New Roman" w:eastAsia="Times New Roman" w:hAnsi="Times New Roman"/>
          <w:sz w:val="20"/>
          <w:szCs w:val="20"/>
          <w:color w:val="auto"/>
        </w:rPr>
        <w:t>”) to support a separate, additional Medicare payment for use of the RECELL System in the Outpatient Setting. On November 3, 2021, the Company was informed that CMS approved our TPT submission with the code effective as of January 1, 2022. The new “C” code provides additional payment which offsets the cost of the device in hospital outpatient facilities and ambulatory surgical centers for Medicare beneficiaries over a 2-to-3-year period before converting to a permanent code. Following the granting of the code, the Company is working with commercial carriers to ensure broader coverage. The new “C” code is not indication specific and lays the foundation for growth in other indications outside of acute thermal burns (such as soft tissue repair).</w:t>
      </w:r>
    </w:p>
    <w:p>
      <w:pPr>
        <w:spacing w:after="0" w:line="199" w:lineRule="exact"/>
        <w:rPr>
          <w:sz w:val="20"/>
          <w:szCs w:val="20"/>
          <w:color w:val="auto"/>
        </w:rPr>
      </w:pPr>
    </w:p>
    <w:p>
      <w:pPr>
        <w:jc w:val="both"/>
        <w:ind w:right="260" w:firstLine="721"/>
        <w:spacing w:after="0" w:line="270" w:lineRule="auto"/>
        <w:rPr>
          <w:sz w:val="20"/>
          <w:szCs w:val="20"/>
          <w:color w:val="auto"/>
        </w:rPr>
      </w:pPr>
      <w:r>
        <w:rPr>
          <w:rFonts w:ascii="Times New Roman" w:cs="Times New Roman" w:eastAsia="Times New Roman" w:hAnsi="Times New Roman"/>
          <w:sz w:val="19"/>
          <w:szCs w:val="19"/>
          <w:color w:val="auto"/>
        </w:rPr>
        <w:t>Japan is the second largest healthcare market, with approximately 6,000 patients per year who suffer from severe burns in Japan. Large patient populations coupled with healthy reimbursement coverage makes Japan an attractive market for the RECELL System. In February 2019, we entered into a collaboration with COSMOTEC, an M3 Group company, to market and distribute the RECELL System in Japan. We worked with COSMOTEC to advance our application for approval of the RECELL System in Japan</w:t>
      </w:r>
    </w:p>
    <w:p>
      <w:pPr>
        <w:sectPr>
          <w:pgSz w:w="11880" w:h="15480" w:orient="portrait"/>
          <w:cols w:equalWidth="0" w:num="1">
            <w:col w:w="10800"/>
          </w:cols>
          <w:pgMar w:left="540" w:top="887" w:right="540" w:bottom="0" w:gutter="0" w:footer="0" w:header="0"/>
        </w:sectPr>
      </w:pP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880" w:h="15480" w:orient="portrait"/>
          <w:cols w:equalWidth="0" w:num="1">
            <w:col w:w="10800"/>
          </w:cols>
          <w:pgMar w:left="540" w:top="887" w:right="540" w:bottom="0" w:gutter="0" w:footer="0" w:header="0"/>
          <w:type w:val="continuous"/>
        </w:sectPr>
      </w:pPr>
    </w:p>
    <w:bookmarkStart w:id="11" w:name="page12"/>
    <w:bookmarkEnd w:id="11"/>
    <w:p>
      <w:pPr>
        <w:jc w:val="both"/>
        <w:ind w:right="60"/>
        <w:spacing w:after="0" w:line="261" w:lineRule="auto"/>
        <w:rPr>
          <w:sz w:val="20"/>
          <w:szCs w:val="20"/>
          <w:color w:val="auto"/>
        </w:rPr>
      </w:pPr>
      <w:r>
        <w:rPr>
          <w:rFonts w:ascii="Times New Roman" w:cs="Times New Roman" w:eastAsia="Times New Roman" w:hAnsi="Times New Roman"/>
          <w:sz w:val="20"/>
          <w:szCs w:val="20"/>
          <w:color w:val="auto"/>
        </w:rPr>
        <w:t>pursuant to Japan’s Pharmaceuticals and Medical Devices Act (“</w:t>
      </w:r>
      <w:r>
        <w:rPr>
          <w:rFonts w:ascii="Times New Roman" w:cs="Times New Roman" w:eastAsia="Times New Roman" w:hAnsi="Times New Roman"/>
          <w:sz w:val="20"/>
          <w:szCs w:val="20"/>
          <w:b w:val="1"/>
          <w:bCs w:val="1"/>
          <w:color w:val="auto"/>
        </w:rPr>
        <w:t>PMDA</w:t>
      </w:r>
      <w:r>
        <w:rPr>
          <w:rFonts w:ascii="Times New Roman" w:cs="Times New Roman" w:eastAsia="Times New Roman" w:hAnsi="Times New Roman"/>
          <w:sz w:val="20"/>
          <w:szCs w:val="20"/>
          <w:color w:val="auto"/>
        </w:rPr>
        <w:t>”). In February 2022, our application for regulatory approval was approved by the PMDA for both adult and pediatric burns. In September 2022, COSMOTEC commercially launched RECELL in Japan following Japan’s Ministry of Health, Labor, and Welfare approval of reimbursement pricing.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Soft Tissue Repair</w:t>
      </w:r>
    </w:p>
    <w:p>
      <w:pPr>
        <w:spacing w:after="0" w:line="234" w:lineRule="exact"/>
        <w:rPr>
          <w:sz w:val="20"/>
          <w:szCs w:val="20"/>
          <w:color w:val="auto"/>
        </w:rPr>
      </w:pPr>
    </w:p>
    <w:p>
      <w:pPr>
        <w:ind w:right="160" w:firstLine="720"/>
        <w:spacing w:after="0" w:line="259" w:lineRule="auto"/>
        <w:rPr>
          <w:sz w:val="20"/>
          <w:szCs w:val="20"/>
          <w:color w:val="auto"/>
        </w:rPr>
      </w:pPr>
      <w:r>
        <w:rPr>
          <w:rFonts w:ascii="Times New Roman" w:cs="Times New Roman" w:eastAsia="Times New Roman" w:hAnsi="Times New Roman"/>
          <w:sz w:val="20"/>
          <w:szCs w:val="20"/>
          <w:color w:val="auto"/>
        </w:rPr>
        <w:t>Soft tissue repair includes treatment of injuries caused by non-burn trauma, including excision of infected tissue, such as necrotizing soft tissue infections. While minor skin defects may be primarily closed with sutures or standard wound care, larger open defects require more complicated approaches, including skin grafts, tissue flaps and dermal matrices.</w:t>
      </w:r>
    </w:p>
    <w:p>
      <w:pPr>
        <w:spacing w:after="0" w:line="175"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Similar to the burns indication, soft tissue repair is associated with large areas of skin loss and as such, some of the top unmet needs identified by surgeons are closely aligned:</w:t>
      </w:r>
    </w:p>
    <w:p>
      <w:pPr>
        <w:spacing w:after="0" w:line="2" w:lineRule="exact"/>
        <w:rPr>
          <w:sz w:val="20"/>
          <w:szCs w:val="20"/>
          <w:color w:val="auto"/>
        </w:rPr>
      </w:pPr>
    </w:p>
    <w:p>
      <w:pPr>
        <w:ind w:left="1080" w:hanging="360"/>
        <w:spacing w:after="0"/>
        <w:tabs>
          <w:tab w:leader="none" w:pos="10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Reduced donor skin harvesting</w:t>
      </w:r>
    </w:p>
    <w:p>
      <w:pPr>
        <w:spacing w:after="0" w:line="14" w:lineRule="exact"/>
        <w:rPr>
          <w:rFonts w:ascii="Arial" w:cs="Arial" w:eastAsia="Arial" w:hAnsi="Arial"/>
          <w:sz w:val="20"/>
          <w:szCs w:val="20"/>
          <w:color w:val="auto"/>
        </w:rPr>
      </w:pPr>
    </w:p>
    <w:p>
      <w:pPr>
        <w:ind w:left="1080" w:hanging="360"/>
        <w:spacing w:after="0"/>
        <w:tabs>
          <w:tab w:leader="none" w:pos="10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Reduced scarring</w:t>
      </w:r>
    </w:p>
    <w:p>
      <w:pPr>
        <w:spacing w:after="0" w:line="13" w:lineRule="exact"/>
        <w:rPr>
          <w:rFonts w:ascii="Arial" w:cs="Arial" w:eastAsia="Arial" w:hAnsi="Arial"/>
          <w:sz w:val="20"/>
          <w:szCs w:val="20"/>
          <w:color w:val="auto"/>
        </w:rPr>
      </w:pPr>
    </w:p>
    <w:p>
      <w:pPr>
        <w:ind w:left="1080" w:hanging="360"/>
        <w:spacing w:after="0"/>
        <w:tabs>
          <w:tab w:leader="none" w:pos="10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Reduced pain</w:t>
      </w:r>
    </w:p>
    <w:p>
      <w:pPr>
        <w:spacing w:after="0" w:line="11" w:lineRule="exact"/>
        <w:rPr>
          <w:rFonts w:ascii="Arial" w:cs="Arial" w:eastAsia="Arial" w:hAnsi="Arial"/>
          <w:sz w:val="20"/>
          <w:szCs w:val="20"/>
          <w:color w:val="auto"/>
        </w:rPr>
      </w:pPr>
    </w:p>
    <w:p>
      <w:pPr>
        <w:ind w:left="1080" w:hanging="360"/>
        <w:spacing w:after="0"/>
        <w:tabs>
          <w:tab w:leader="none" w:pos="108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Uniform pigmentation with surrounding skin</w:t>
      </w:r>
    </w:p>
    <w:p>
      <w:pPr>
        <w:spacing w:after="0" w:line="230" w:lineRule="exact"/>
        <w:rPr>
          <w:sz w:val="20"/>
          <w:szCs w:val="20"/>
          <w:color w:val="auto"/>
        </w:rPr>
      </w:pPr>
    </w:p>
    <w:p>
      <w:pPr>
        <w:ind w:right="240" w:firstLine="720"/>
        <w:spacing w:after="0" w:line="253" w:lineRule="auto"/>
        <w:rPr>
          <w:sz w:val="20"/>
          <w:szCs w:val="20"/>
          <w:color w:val="auto"/>
        </w:rPr>
      </w:pPr>
      <w:r>
        <w:rPr>
          <w:rFonts w:ascii="Times New Roman" w:cs="Times New Roman" w:eastAsia="Times New Roman" w:hAnsi="Times New Roman"/>
          <w:sz w:val="20"/>
          <w:szCs w:val="20"/>
          <w:color w:val="auto"/>
        </w:rPr>
        <w:t>Given the interest to reduce donor skin harvesting, just as with the burns indication, we designed a clinical trial to demonstrate the use of less donor skin without compromising healing outcomes relative to conventional autografting. The trial is essentially a repeat of the successful previous trial in full-thickness burns, but with a population of patients with full-thickness, non-burn injuries.</w:t>
      </w:r>
    </w:p>
    <w:p>
      <w:pPr>
        <w:spacing w:after="0" w:line="177"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On September 17, 2019, the FDA approved an Investigational Device Exemption (“</w:t>
      </w:r>
      <w:r>
        <w:rPr>
          <w:rFonts w:ascii="Times New Roman" w:cs="Times New Roman" w:eastAsia="Times New Roman" w:hAnsi="Times New Roman"/>
          <w:sz w:val="20"/>
          <w:szCs w:val="20"/>
          <w:b w:val="1"/>
          <w:bCs w:val="1"/>
          <w:color w:val="auto"/>
        </w:rPr>
        <w:t>IDE</w:t>
      </w:r>
      <w:r>
        <w:rPr>
          <w:rFonts w:ascii="Times New Roman" w:cs="Times New Roman" w:eastAsia="Times New Roman" w:hAnsi="Times New Roman"/>
          <w:sz w:val="20"/>
          <w:szCs w:val="20"/>
          <w:color w:val="auto"/>
        </w:rPr>
        <w:t>”) to conduct a pivotal trial evaluating the safety and effectiveness of the RECELL System in combination with meshed autografting for the treatment of acute full-thickness skin defects. Subsequently, on March 2, 2020, we initiated a prospective, multi-center, randomized controlled study for soft tissue repair with the enrollment of the first patient at the Arizona Burn Center at Valleywise Medical Health Center in Phoenix, AZ. Each patient had a control wound treated with conventional skin grafting and a wound treated with expanded skin grafting in combination with RECELL. Enrollment of this pivotal study was completed in January of 2022. In August 2022, the company announced positive topline results in which the study met both of its co-primary endpoints. Subsequently, the RECELL System earned the FDA Breakthrough Device designation for the proposed indication of soft tissue repair in November 2022. In December 2022, the Company submitted a PMA supplement application to the FDA. The supplement, if approved, will expand the indication of RECELL to include soft tissue repair.</w:t>
      </w:r>
    </w:p>
    <w:p>
      <w:pPr>
        <w:spacing w:after="0" w:line="195" w:lineRule="exact"/>
        <w:rPr>
          <w:sz w:val="20"/>
          <w:szCs w:val="20"/>
          <w:color w:val="auto"/>
        </w:rPr>
      </w:pPr>
    </w:p>
    <w:p>
      <w:pPr>
        <w:ind w:right="40" w:firstLine="721"/>
        <w:spacing w:after="0" w:line="243" w:lineRule="auto"/>
        <w:rPr>
          <w:sz w:val="20"/>
          <w:szCs w:val="20"/>
          <w:color w:val="auto"/>
        </w:rPr>
      </w:pPr>
      <w:r>
        <w:rPr>
          <w:rFonts w:ascii="Times New Roman" w:cs="Times New Roman" w:eastAsia="Times New Roman" w:hAnsi="Times New Roman"/>
          <w:sz w:val="20"/>
          <w:szCs w:val="20"/>
          <w:color w:val="auto"/>
        </w:rPr>
        <w:t>Open wounds associated with traumatic injuries caused over 4.5 million hospital visits in the U.S. in 2017, and traumatic wounds rank among the five most costly medical conditions. We estimate that the total annual addressable U.S. market for RECELL in soft tissue repair is approximately $1 billion. The majority of our current burn accounts represent opportunities for use of RECELL in soft tissue repair. We plan to build out our existing field team to cover approximately 1,500 acute wound accounts (representing both burn and trauma accounts). Our expansion allows for coverage of over 75% of total targeted procedures. Based on market research, degloving (a type of injury where the skin is ripped from the underlying tissue), abrasions, and infectious disease (e.g., necrotizing soft tissue infections, like flesh-eating disease) have the greatest stated intent to use. We anticipate RECELL being used in both the inpatient &amp; outpatient settings across a wide range of wound sizes. Market research indicates that surgeons treating soft tissue injuries believe RECELL will offer benefits over current treatment options, allowing surgeons to address key unmet needs. From a reimbursement perspective, the same DRG code that is currently being used to treat inpatient burns can be applied to soft tissue repair once FDA approval is received. Additionally, pending FDA approval of the PMA supplement application, the outpatient TPT “C” code we have been granted for RECELL can also be utilized for soft tissue repair in the outpatient setting.</w:t>
      </w:r>
    </w:p>
    <w:p>
      <w:pPr>
        <w:spacing w:after="0" w:line="197" w:lineRule="exact"/>
        <w:rPr>
          <w:sz w:val="20"/>
          <w:szCs w:val="20"/>
          <w:color w:val="auto"/>
        </w:rPr>
      </w:pPr>
    </w:p>
    <w:p>
      <w:pPr>
        <w:ind w:firstLine="721"/>
        <w:spacing w:after="0" w:line="249" w:lineRule="auto"/>
        <w:rPr>
          <w:sz w:val="20"/>
          <w:szCs w:val="20"/>
          <w:color w:val="auto"/>
        </w:rPr>
      </w:pPr>
      <w:r>
        <w:rPr>
          <w:rFonts w:ascii="Times New Roman" w:cs="Times New Roman" w:eastAsia="Times New Roman" w:hAnsi="Times New Roman"/>
          <w:sz w:val="20"/>
          <w:szCs w:val="20"/>
          <w:color w:val="auto"/>
        </w:rPr>
        <w:t>Clinical study data and international product usage supports clinical benefits of RECELL use in soft tissue repair. In the pivotal study, RECELL met both co-primary endpoints, demonstrating statistically significant donor sparing and non-inferior healing outcomes with RECELL versus standard of care. In addition, RECELL has been successfully used outside the U.S. for many years and there exist several case reports on the treatment of traumatic injuries (soft tissue repair) that have been the subject of peer-reviewed scientific publications and presentations at medical conferences.</w:t>
      </w:r>
    </w:p>
    <w:p>
      <w:pPr>
        <w:spacing w:after="0" w:line="187" w:lineRule="exact"/>
        <w:rPr>
          <w:sz w:val="20"/>
          <w:szCs w:val="20"/>
          <w:color w:val="auto"/>
        </w:rPr>
      </w:pPr>
    </w:p>
    <w:p>
      <w:pPr>
        <w:ind w:right="80" w:firstLine="721"/>
        <w:spacing w:after="0" w:line="247" w:lineRule="auto"/>
        <w:rPr>
          <w:sz w:val="20"/>
          <w:szCs w:val="20"/>
          <w:color w:val="auto"/>
        </w:rPr>
      </w:pPr>
      <w:r>
        <w:rPr>
          <w:rFonts w:ascii="Times New Roman" w:cs="Times New Roman" w:eastAsia="Times New Roman" w:hAnsi="Times New Roman"/>
          <w:sz w:val="20"/>
          <w:szCs w:val="20"/>
          <w:color w:val="auto"/>
        </w:rPr>
        <w:t>Soft tissue repair represents a significant opportunity which AVITA Medical can pursue leveraging its existing and future resources while also creating synergies with the burns market. As of February 23, 2023, approximately 50% of the U.S. burn centers are classified as Level 1 and Level 2 trauma centers. Those Level 1 and Level 2 trauma centers currently utilizing RECELL should be able to use RECELL to repair soft tissue immediately following FDA approval as these centers have already approved RECELL through their respective VACs. Further, we will be expanding our burn market opportunity by virtue of our soft tissue launch as we will be extending our reach to include trauma centers.</w:t>
      </w:r>
    </w:p>
    <w:p>
      <w:pPr>
        <w:sectPr>
          <w:pgSz w:w="11880" w:h="15480" w:orient="portrait"/>
          <w:cols w:equalWidth="0" w:num="1">
            <w:col w:w="10800"/>
          </w:cols>
          <w:pgMar w:left="540" w:top="884" w:right="540" w:bottom="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880" w:h="15480" w:orient="portrait"/>
          <w:cols w:equalWidth="0" w:num="1">
            <w:col w:w="10800"/>
          </w:cols>
          <w:pgMar w:left="540" w:top="884" w:right="54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auto"/>
        </w:rPr>
        <w:t>Vitiligo</w:t>
      </w:r>
    </w:p>
    <w:p>
      <w:pPr>
        <w:spacing w:after="0" w:line="203" w:lineRule="exact"/>
        <w:rPr>
          <w:sz w:val="20"/>
          <w:szCs w:val="20"/>
          <w:color w:val="auto"/>
        </w:rPr>
      </w:pPr>
    </w:p>
    <w:p>
      <w:pPr>
        <w:ind w:right="200" w:firstLine="720"/>
        <w:spacing w:after="0" w:line="244" w:lineRule="auto"/>
        <w:rPr>
          <w:sz w:val="20"/>
          <w:szCs w:val="20"/>
          <w:color w:val="auto"/>
        </w:rPr>
      </w:pPr>
      <w:r>
        <w:rPr>
          <w:rFonts w:ascii="Times New Roman" w:cs="Times New Roman" w:eastAsia="Times New Roman" w:hAnsi="Times New Roman"/>
          <w:sz w:val="20"/>
          <w:szCs w:val="20"/>
          <w:color w:val="auto"/>
        </w:rPr>
        <w:t>Vitiligo is a disease that causes the loss of skin pigmentation, or color, in patches. The extent of color loss from vitiligo is unpredictable, can affect the skin on any part of the body, and may also affect hair and the inside of the mouth. Vitiligo occurs when melanocytes, the pigment-producing skin cells, die or stop producing melanin, the pigment that gives skin, hair, and eyes color. Vitiligo is believed to be an autoimmune disorder in which a patient’s immune system attacks and destroys the melanocytes in the skin. It may also be caused by heredity factors or a triggering event, such as sunburn, stress, or exposure to industrial chemicals. Vitiligo affects people of all skin types, but it may be more noticeable in people with darker skin. It is estimated that worldwide vitiligo prevalence is between 0.5 to 2% of the population. The condition is not life-threatening or physically painful, but it can significantly alter physical appearance and have negative emotional and psychological consequences, thus causing a cascade of medical conditions with associated costs.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Vitiligo cannot be cured at present, and treatments generally fall into one of two categories:</w:t>
      </w:r>
    </w:p>
    <w:p>
      <w:pPr>
        <w:ind w:left="1080" w:right="100" w:hanging="360"/>
        <w:spacing w:after="0"/>
        <w:tabs>
          <w:tab w:leader="none" w:pos="10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Treatments to arrest the spread of vitiligo, such as steroid creams and non-steroidal anti-inflammatory creams. There are also a number of therapies under development designed to target the underlying autoimmune disease. One challenge in terms of achieving the desired patient outcome is that stopping the spread of vitiligo may not restore pigmentation to the areas already damaged.</w:t>
      </w:r>
    </w:p>
    <w:p>
      <w:pPr>
        <w:spacing w:after="0" w:line="2" w:lineRule="exact"/>
        <w:rPr>
          <w:rFonts w:ascii="Times New Roman" w:cs="Times New Roman" w:eastAsia="Times New Roman" w:hAnsi="Times New Roman"/>
          <w:sz w:val="20"/>
          <w:szCs w:val="20"/>
          <w:color w:val="auto"/>
        </w:rPr>
      </w:pPr>
    </w:p>
    <w:p>
      <w:pPr>
        <w:ind w:left="1080" w:right="240" w:hanging="360"/>
        <w:spacing w:after="0" w:line="258" w:lineRule="auto"/>
        <w:tabs>
          <w:tab w:leader="none" w:pos="10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Treatments to restore pigmentation include skin grafting, laser phototherapy (with and without topicals), and Melanocyte-Keratinocyte Transplantation Procedure (“</w:t>
      </w:r>
      <w:r>
        <w:rPr>
          <w:rFonts w:ascii="Times New Roman" w:cs="Times New Roman" w:eastAsia="Times New Roman" w:hAnsi="Times New Roman"/>
          <w:sz w:val="20"/>
          <w:szCs w:val="20"/>
          <w:b w:val="1"/>
          <w:bCs w:val="1"/>
          <w:color w:val="auto"/>
        </w:rPr>
        <w:t>MKTP</w:t>
      </w:r>
      <w:r>
        <w:rPr>
          <w:rFonts w:ascii="Times New Roman" w:cs="Times New Roman" w:eastAsia="Times New Roman" w:hAnsi="Times New Roman"/>
          <w:sz w:val="20"/>
          <w:szCs w:val="20"/>
          <w:color w:val="auto"/>
        </w:rPr>
        <w:t>”). MKTP requires expensive and substantial laboratory equipment and is currently only available in a handful of locations in the U.S.</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RECELL does not treat underlying autoimmune disease. Rather, it works to restore pigmentation.</w:t>
      </w:r>
    </w:p>
    <w:p>
      <w:pPr>
        <w:spacing w:after="0" w:line="231"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According to the FDA panel in 2021, there is a high level of depression, anxiety, and negative quality of life among vitiligo patients. Interest in vitiligo treatment tends to increase in individuals who have lesions in more visible areas (such as the face, neck and hands) as well as the younger female population. In 2022, over 400,000 patients pursued treatment for vitiligo in the U.S. We estimate that there are approximately 1.3 million people in the U.S. with stable vitiligo and a total addressable market of approximately $5 billion. Vitiligo rates a ‘7.61’ on the Dermatology Life Quality Index (“</w:t>
      </w:r>
      <w:r>
        <w:rPr>
          <w:rFonts w:ascii="Times New Roman" w:cs="Times New Roman" w:eastAsia="Times New Roman" w:hAnsi="Times New Roman"/>
          <w:sz w:val="20"/>
          <w:szCs w:val="20"/>
          <w:b w:val="1"/>
          <w:bCs w:val="1"/>
          <w:color w:val="auto"/>
        </w:rPr>
        <w:t>DLQI</w:t>
      </w:r>
      <w:r>
        <w:rPr>
          <w:rFonts w:ascii="Times New Roman" w:cs="Times New Roman" w:eastAsia="Times New Roman" w:hAnsi="Times New Roman"/>
          <w:sz w:val="20"/>
          <w:szCs w:val="20"/>
          <w:color w:val="auto"/>
        </w:rPr>
        <w:t>”), which is in the same range of other aesthetic dermatological disease analogs which receive healthy positive reimbursement such as Rosacea (5.2), Psoriasis (9.3) and Atopic Dermatitis (12.79).</w:t>
      </w:r>
    </w:p>
    <w:p>
      <w:pPr>
        <w:spacing w:after="0" w:line="189" w:lineRule="exact"/>
        <w:rPr>
          <w:sz w:val="20"/>
          <w:szCs w:val="20"/>
          <w:color w:val="auto"/>
        </w:rPr>
      </w:pPr>
    </w:p>
    <w:p>
      <w:pPr>
        <w:ind w:right="40" w:firstLine="721"/>
        <w:spacing w:after="0" w:line="247" w:lineRule="auto"/>
        <w:rPr>
          <w:sz w:val="20"/>
          <w:szCs w:val="20"/>
          <w:color w:val="auto"/>
        </w:rPr>
      </w:pPr>
      <w:r>
        <w:rPr>
          <w:rFonts w:ascii="Times New Roman" w:cs="Times New Roman" w:eastAsia="Times New Roman" w:hAnsi="Times New Roman"/>
          <w:sz w:val="20"/>
          <w:szCs w:val="20"/>
          <w:color w:val="auto"/>
        </w:rPr>
        <w:t>The market is expected to grow, especially over the next decade, with the advent of novel treatment options including oral and topical Janus Kinase (“</w:t>
      </w:r>
      <w:r>
        <w:rPr>
          <w:rFonts w:ascii="Times New Roman" w:cs="Times New Roman" w:eastAsia="Times New Roman" w:hAnsi="Times New Roman"/>
          <w:sz w:val="20"/>
          <w:szCs w:val="20"/>
          <w:b w:val="1"/>
          <w:bCs w:val="1"/>
          <w:color w:val="auto"/>
        </w:rPr>
        <w:t>JAK</w:t>
      </w:r>
      <w:r>
        <w:rPr>
          <w:rFonts w:ascii="Times New Roman" w:cs="Times New Roman" w:eastAsia="Times New Roman" w:hAnsi="Times New Roman"/>
          <w:sz w:val="20"/>
          <w:szCs w:val="20"/>
          <w:color w:val="auto"/>
        </w:rPr>
        <w:t>”) inhibitors, such as Opzelura. Although these new products will both stabilize and re-pigment some patients, it is anticipated that many patients will need additional modes of treatment for re-pigmentation. Products (immunosuppressants) working to stabilize vitiligo and RECELL (working to restore pigmentation) are complementary. Further, large pharmaceutical companies with immunosuppressant assets in development will likely invest in disease awareness campaigns which will further grow consumer awareness and the market.</w:t>
      </w:r>
    </w:p>
    <w:p>
      <w:pPr>
        <w:spacing w:after="0" w:line="190" w:lineRule="exact"/>
        <w:rPr>
          <w:sz w:val="20"/>
          <w:szCs w:val="20"/>
          <w:color w:val="auto"/>
        </w:rPr>
      </w:pPr>
    </w:p>
    <w:p>
      <w:pPr>
        <w:ind w:right="60" w:firstLine="721"/>
        <w:spacing w:after="0" w:line="245" w:lineRule="auto"/>
        <w:rPr>
          <w:sz w:val="20"/>
          <w:szCs w:val="20"/>
          <w:color w:val="auto"/>
        </w:rPr>
      </w:pPr>
      <w:r>
        <w:rPr>
          <w:rFonts w:ascii="Times New Roman" w:cs="Times New Roman" w:eastAsia="Times New Roman" w:hAnsi="Times New Roman"/>
          <w:sz w:val="20"/>
          <w:szCs w:val="20"/>
          <w:color w:val="auto"/>
        </w:rPr>
        <w:t>On July 1, 2020, the FDA approved our IDE application for a pivotal study in vitiligo which is titled “A Prospective Multi-Arm Blinded-Evaluator Within-Subject Randomized Controlled Clinical Study to Investigate the Safety and Effectiveness of RECELL for Repigmentation of Stable Vitiligo.” The primary endpoint compared the incidence of successful (80%, by area) repigmentation for RECELL treatment versus that of standard of care phototherapy. The Company commenced enrollment in the vitiligo pivotal study in September 2020. The last subject enrolled in the study was treated in January 2022. In September 2022, the Company announced positive topline results in which its primary endpoint was met. Subsequently, the RECELL System earned the FDA Breakthrough Device designation for the proposed indication of vitiligo in November 2022. In December 2022, the Company submitted a PMA application to the FDA. The application, if approved, will expand the indication of RECELL to include treatment of vitiligo.</w:t>
      </w:r>
    </w:p>
    <w:p>
      <w:pPr>
        <w:spacing w:after="0" w:line="187" w:lineRule="exact"/>
        <w:rPr>
          <w:sz w:val="20"/>
          <w:szCs w:val="20"/>
          <w:color w:val="auto"/>
        </w:rPr>
      </w:pPr>
    </w:p>
    <w:p>
      <w:pPr>
        <w:ind w:firstLine="721"/>
        <w:spacing w:after="0" w:line="253" w:lineRule="auto"/>
        <w:rPr>
          <w:sz w:val="20"/>
          <w:szCs w:val="20"/>
          <w:color w:val="auto"/>
        </w:rPr>
      </w:pPr>
      <w:r>
        <w:rPr>
          <w:rFonts w:ascii="Times New Roman" w:cs="Times New Roman" w:eastAsia="Times New Roman" w:hAnsi="Times New Roman"/>
          <w:sz w:val="20"/>
          <w:szCs w:val="20"/>
          <w:color w:val="auto"/>
        </w:rPr>
        <w:t>More than 1,000 patients have been successfully treated with the RECELL System for stable vitiligo outside of the U.S., and to date there are eleven publications demonstrating the benefits of the RECELL System in vitiligo. We believe that RECELL would be the first point-of-care device which provides a standardized in-office treatment to durably restore depigmented areas for patients with stable (or non-progressive) vitiligo.</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Epidermolysis Bullosa</w:t>
      </w:r>
    </w:p>
    <w:p>
      <w:pPr>
        <w:spacing w:after="0" w:line="234" w:lineRule="exact"/>
        <w:rPr>
          <w:sz w:val="20"/>
          <w:szCs w:val="20"/>
          <w:color w:val="auto"/>
        </w:rPr>
      </w:pPr>
    </w:p>
    <w:p>
      <w:pPr>
        <w:ind w:right="60" w:firstLine="721"/>
        <w:spacing w:after="0" w:line="259" w:lineRule="auto"/>
        <w:rPr>
          <w:sz w:val="20"/>
          <w:szCs w:val="20"/>
          <w:color w:val="auto"/>
        </w:rPr>
      </w:pPr>
      <w:r>
        <w:rPr>
          <w:rFonts w:ascii="Times New Roman" w:cs="Times New Roman" w:eastAsia="Times New Roman" w:hAnsi="Times New Roman"/>
          <w:sz w:val="20"/>
          <w:szCs w:val="20"/>
          <w:color w:val="auto"/>
        </w:rPr>
        <w:t>The RECELL System has been studied in a wide variety of indications and has been shown to enable patients to regenerate natural healthy skin in instances where the patient’s outer skin covering, or epidermis, has been lost or damaged. In addition to these applications of the RECELL System, we are pursuing related opportunities where the RECELL System’s ability to harness the natural</w:t>
      </w:r>
    </w:p>
    <w:p>
      <w:pPr>
        <w:sectPr>
          <w:pgSz w:w="11880" w:h="15480" w:orient="portrait"/>
          <w:cols w:equalWidth="0" w:num="1">
            <w:col w:w="10800"/>
          </w:cols>
          <w:pgMar w:left="540" w:top="884" w:right="540" w:bottom="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880" w:h="15480" w:orient="portrait"/>
          <w:cols w:equalWidth="0" w:num="1">
            <w:col w:w="10800"/>
          </w:cols>
          <w:pgMar w:left="540" w:top="884" w:right="540" w:bottom="0" w:gutter="0" w:footer="0" w:header="0"/>
          <w:type w:val="continuous"/>
        </w:sectPr>
      </w:pPr>
    </w:p>
    <w:bookmarkStart w:id="13" w:name="page14"/>
    <w:bookmarkEnd w:id="13"/>
    <w:p>
      <w:pPr>
        <w:ind w:right="340"/>
        <w:spacing w:after="0" w:line="279" w:lineRule="auto"/>
        <w:rPr>
          <w:sz w:val="20"/>
          <w:szCs w:val="20"/>
          <w:color w:val="auto"/>
        </w:rPr>
      </w:pPr>
      <w:r>
        <w:rPr>
          <w:rFonts w:ascii="Times New Roman" w:cs="Times New Roman" w:eastAsia="Times New Roman" w:hAnsi="Times New Roman"/>
          <w:sz w:val="20"/>
          <w:szCs w:val="20"/>
          <w:color w:val="auto"/>
        </w:rPr>
        <w:t>healing capabilities of the body could be augmented with the use of genetically-modified cells for treatment of certain genetic skin disorders. In this way, the RECELL System could potentially be used as a vehicle for other therapeutic offerings.</w:t>
      </w:r>
    </w:p>
    <w:p>
      <w:pPr>
        <w:spacing w:after="0" w:line="149" w:lineRule="exact"/>
        <w:rPr>
          <w:sz w:val="20"/>
          <w:szCs w:val="20"/>
          <w:color w:val="auto"/>
        </w:rPr>
      </w:pPr>
    </w:p>
    <w:p>
      <w:pPr>
        <w:ind w:right="140" w:firstLine="720"/>
        <w:spacing w:after="0" w:line="243" w:lineRule="auto"/>
        <w:rPr>
          <w:sz w:val="20"/>
          <w:szCs w:val="20"/>
          <w:color w:val="auto"/>
        </w:rPr>
      </w:pPr>
      <w:r>
        <w:rPr>
          <w:rFonts w:ascii="Times New Roman" w:cs="Times New Roman" w:eastAsia="Times New Roman" w:hAnsi="Times New Roman"/>
          <w:sz w:val="20"/>
          <w:szCs w:val="20"/>
          <w:color w:val="auto"/>
        </w:rPr>
        <w:t>Epidermolysis Bullosa (“</w:t>
      </w:r>
      <w:r>
        <w:rPr>
          <w:rFonts w:ascii="Times New Roman" w:cs="Times New Roman" w:eastAsia="Times New Roman" w:hAnsi="Times New Roman"/>
          <w:sz w:val="20"/>
          <w:szCs w:val="20"/>
          <w:b w:val="1"/>
          <w:bCs w:val="1"/>
          <w:color w:val="auto"/>
        </w:rPr>
        <w:t>EB</w:t>
      </w:r>
      <w:r>
        <w:rPr>
          <w:rFonts w:ascii="Times New Roman" w:cs="Times New Roman" w:eastAsia="Times New Roman" w:hAnsi="Times New Roman"/>
          <w:sz w:val="20"/>
          <w:szCs w:val="20"/>
          <w:color w:val="auto"/>
        </w:rPr>
        <w:t>”) is a rare and incurable group of disorders caused by mutations in genes encoding structural skin proteins. EB is characterized by skin fragility and blistering leading to chronic wounds due to normal mechanical trauma. Dystrophic EB (“</w:t>
      </w:r>
      <w:r>
        <w:rPr>
          <w:rFonts w:ascii="Times New Roman" w:cs="Times New Roman" w:eastAsia="Times New Roman" w:hAnsi="Times New Roman"/>
          <w:sz w:val="20"/>
          <w:szCs w:val="20"/>
          <w:b w:val="1"/>
          <w:bCs w:val="1"/>
          <w:color w:val="auto"/>
        </w:rPr>
        <w:t>DEB</w:t>
      </w:r>
      <w:r>
        <w:rPr>
          <w:rFonts w:ascii="Times New Roman" w:cs="Times New Roman" w:eastAsia="Times New Roman" w:hAnsi="Times New Roman"/>
          <w:sz w:val="20"/>
          <w:szCs w:val="20"/>
          <w:color w:val="auto"/>
        </w:rPr>
        <w:t>”) is often associated with widespread blistering, pain, pruritus, extensive scarring, increased risk of squamous cell carcinoma with increased mortality. Signs typically occur at birth and persist over a lifetime. Currently, there are no FDA-approved treatments. All treatment options are palliative—focused primarily on pain and nutritional management, itching relief, and wound care (bandaging) with a significant cost burden ranging from $200,000-$500,000 per year per patient.</w:t>
      </w:r>
    </w:p>
    <w:p>
      <w:pPr>
        <w:spacing w:after="0" w:line="180" w:lineRule="exact"/>
        <w:rPr>
          <w:sz w:val="20"/>
          <w:szCs w:val="20"/>
          <w:color w:val="auto"/>
        </w:rPr>
      </w:pPr>
    </w:p>
    <w:p>
      <w:pPr>
        <w:ind w:right="20" w:firstLine="720"/>
        <w:spacing w:after="0" w:line="239" w:lineRule="auto"/>
        <w:rPr>
          <w:sz w:val="20"/>
          <w:szCs w:val="20"/>
          <w:color w:val="auto"/>
        </w:rPr>
      </w:pPr>
      <w:r>
        <w:rPr>
          <w:rFonts w:ascii="Times New Roman" w:cs="Times New Roman" w:eastAsia="Times New Roman" w:hAnsi="Times New Roman"/>
          <w:sz w:val="20"/>
          <w:szCs w:val="20"/>
          <w:color w:val="auto"/>
        </w:rPr>
        <w:t>In November 2019, AVITA Medical entered into a research agreement with the Gates Center for Regenerative Medicine at the University of Colorado School of Medicine (“</w:t>
      </w:r>
      <w:r>
        <w:rPr>
          <w:rFonts w:ascii="Times New Roman" w:cs="Times New Roman" w:eastAsia="Times New Roman" w:hAnsi="Times New Roman"/>
          <w:sz w:val="20"/>
          <w:szCs w:val="20"/>
          <w:b w:val="1"/>
          <w:bCs w:val="1"/>
          <w:color w:val="auto"/>
        </w:rPr>
        <w:t>Gates Center</w:t>
      </w:r>
      <w:r>
        <w:rPr>
          <w:rFonts w:ascii="Times New Roman" w:cs="Times New Roman" w:eastAsia="Times New Roman" w:hAnsi="Times New Roman"/>
          <w:sz w:val="20"/>
          <w:szCs w:val="20"/>
          <w:color w:val="auto"/>
        </w:rPr>
        <w:t>”) for the purpose of seeking to establish pre-clinical proof-of-concept for a spray-on treatment of genetically corrected cells. Pursuant to this agreement, recessive dystrophic bullosa (“RDEB”) cells have been successfully reverse-differentiated and corrected, yielding iPSCs (induced pluripotent stem cells). Further, iPSCs have been forward-differentiated, amplified, and used to successfully regenerate skin in an immunocompromised mouse model. We have paired the RECELL System Spray-On Skin Cells technology and expertise with the Gates Center’s innovative patent-pending combined reprogramming and gene-editing technology, with the intent to allow the skin cells of patients with EB to function properly. Under the arrangement with the Gates Center, we retain the option to exclusively license technologies emerging from the partnership for further development and commercialization. While we remain interested in the therapeutic potential of modified Spray-On Skin Cells, the sponsored research agreement has concluded, and the Company is currently evaluating its potential next steps.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Rejuvenation</w:t>
      </w:r>
    </w:p>
    <w:p>
      <w:pPr>
        <w:spacing w:after="0" w:line="222" w:lineRule="exact"/>
        <w:rPr>
          <w:sz w:val="20"/>
          <w:szCs w:val="20"/>
          <w:color w:val="auto"/>
        </w:rPr>
      </w:pPr>
    </w:p>
    <w:p>
      <w:pPr>
        <w:ind w:right="260" w:firstLine="721"/>
        <w:spacing w:after="0" w:line="248" w:lineRule="auto"/>
        <w:rPr>
          <w:sz w:val="20"/>
          <w:szCs w:val="20"/>
          <w:color w:val="auto"/>
        </w:rPr>
      </w:pPr>
      <w:r>
        <w:rPr>
          <w:rFonts w:ascii="Times New Roman" w:cs="Times New Roman" w:eastAsia="Times New Roman" w:hAnsi="Times New Roman"/>
          <w:sz w:val="20"/>
          <w:szCs w:val="20"/>
          <w:color w:val="auto"/>
        </w:rPr>
        <w:t>We believe that reversing aging at a cellular level has the potential to impact rejuvenation by driving functional changes to skin cells. This will be significantly different from existing products, such as cosmeceuticals that supplement proteins to cells, and surgical approaches that do not alter cellular stat but alter tissue morphology. An approach for molecular reversal of the underlying defects resulting in aging could have a profound effect on rejuvenation.</w:t>
      </w:r>
    </w:p>
    <w:p>
      <w:pPr>
        <w:spacing w:after="0" w:line="175" w:lineRule="exact"/>
        <w:rPr>
          <w:sz w:val="20"/>
          <w:szCs w:val="20"/>
          <w:color w:val="auto"/>
        </w:rPr>
      </w:pPr>
    </w:p>
    <w:p>
      <w:pPr>
        <w:ind w:right="80" w:firstLine="721"/>
        <w:spacing w:after="0" w:line="248" w:lineRule="auto"/>
        <w:rPr>
          <w:sz w:val="20"/>
          <w:szCs w:val="20"/>
          <w:color w:val="auto"/>
        </w:rPr>
      </w:pPr>
      <w:r>
        <w:rPr>
          <w:rFonts w:ascii="Times New Roman" w:cs="Times New Roman" w:eastAsia="Times New Roman" w:hAnsi="Times New Roman"/>
          <w:sz w:val="20"/>
          <w:szCs w:val="20"/>
          <w:color w:val="auto"/>
        </w:rPr>
        <w:t>In November 2020, AVITA Medical announced a preclinical research agreement with the Houston Methodist Research Institute (“</w:t>
      </w:r>
      <w:r>
        <w:rPr>
          <w:rFonts w:ascii="Times New Roman" w:cs="Times New Roman" w:eastAsia="Times New Roman" w:hAnsi="Times New Roman"/>
          <w:sz w:val="20"/>
          <w:szCs w:val="20"/>
          <w:b w:val="1"/>
          <w:bCs w:val="1"/>
          <w:color w:val="auto"/>
        </w:rPr>
        <w:t>HMRI</w:t>
      </w:r>
      <w:r>
        <w:rPr>
          <w:rFonts w:ascii="Times New Roman" w:cs="Times New Roman" w:eastAsia="Times New Roman" w:hAnsi="Times New Roman"/>
          <w:sz w:val="20"/>
          <w:szCs w:val="20"/>
          <w:color w:val="auto"/>
        </w:rPr>
        <w:t>”) to explore molecular reversal of cellular aging through a novel cell suspension delivery system. AVITA Medical retains the option to exclusively license HMRI’s patented technology as well as the right of first negotiations to HMRI’s technologies emerging from the partnership for further development and commercialization.</w:t>
      </w:r>
    </w:p>
    <w:p>
      <w:pPr>
        <w:spacing w:after="0" w:line="177" w:lineRule="exact"/>
        <w:rPr>
          <w:sz w:val="20"/>
          <w:szCs w:val="20"/>
          <w:color w:val="auto"/>
        </w:rPr>
      </w:pPr>
    </w:p>
    <w:p>
      <w:pPr>
        <w:ind w:firstLine="721"/>
        <w:spacing w:after="0" w:line="244" w:lineRule="auto"/>
        <w:rPr>
          <w:sz w:val="20"/>
          <w:szCs w:val="20"/>
          <w:color w:val="auto"/>
        </w:rPr>
      </w:pPr>
      <w:r>
        <w:rPr>
          <w:rFonts w:ascii="Times New Roman" w:cs="Times New Roman" w:eastAsia="Times New Roman" w:hAnsi="Times New Roman"/>
          <w:sz w:val="20"/>
          <w:szCs w:val="20"/>
          <w:color w:val="auto"/>
        </w:rPr>
        <w:t>HMRI is a compelling partner for this work. Dr. John Cooke and his team have developed a novel, patented approach of telomerase reverse transcriptase delivery to reverse cellular aging and have been widely recognized as leaders in this space with multiple peer reviewed publications, grants, and awards. Further, HMRI has a strong program in translational medicine, including the Center for Rapid Device Translation that supports preclinical testing and GLP environments which could enable rapid translation from research into clinical trials.</w:t>
      </w:r>
    </w:p>
    <w:p>
      <w:pPr>
        <w:spacing w:after="0" w:line="180" w:lineRule="exact"/>
        <w:rPr>
          <w:sz w:val="20"/>
          <w:szCs w:val="20"/>
          <w:color w:val="auto"/>
        </w:rPr>
      </w:pPr>
    </w:p>
    <w:p>
      <w:pPr>
        <w:ind w:firstLine="721"/>
        <w:spacing w:after="0" w:line="254" w:lineRule="auto"/>
        <w:rPr>
          <w:sz w:val="20"/>
          <w:szCs w:val="20"/>
          <w:color w:val="auto"/>
        </w:rPr>
      </w:pPr>
      <w:r>
        <w:rPr>
          <w:rFonts w:ascii="Times New Roman" w:cs="Times New Roman" w:eastAsia="Times New Roman" w:hAnsi="Times New Roman"/>
          <w:sz w:val="20"/>
          <w:szCs w:val="20"/>
          <w:color w:val="auto"/>
        </w:rPr>
        <w:t>In collaboration with HMRI, skin cells harvested using the RECELL Device have been molecularly reverse-aged, and used to regenerate skin in a mouse model, thereby establishing proof of concept. Work is ongoing to characterize the tissue to identify functional attributes associated with rejuvenated skin.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222" w:lineRule="exact"/>
        <w:rPr>
          <w:sz w:val="20"/>
          <w:szCs w:val="20"/>
          <w:color w:val="auto"/>
        </w:rPr>
      </w:pPr>
    </w:p>
    <w:p>
      <w:pPr>
        <w:ind w:right="260" w:firstLine="721"/>
        <w:spacing w:after="0" w:line="245" w:lineRule="auto"/>
        <w:rPr>
          <w:sz w:val="20"/>
          <w:szCs w:val="20"/>
          <w:color w:val="auto"/>
        </w:rPr>
      </w:pPr>
      <w:r>
        <w:rPr>
          <w:rFonts w:ascii="Times New Roman" w:cs="Times New Roman" w:eastAsia="Times New Roman" w:hAnsi="Times New Roman"/>
          <w:sz w:val="20"/>
          <w:szCs w:val="20"/>
          <w:color w:val="auto"/>
        </w:rPr>
        <w:t>A primary objective of our field sales team is to build upon burn community awareness that has resulted from an extensive series of RECELL System related burn conference presentations and scientific publications to further expand interest in the clinical and economic benefits of the RECELL System. In addition, our field sales team provides robust clinical case support and staff training. It is not uncommon in the burn community to have rotating staff and it is our commitment for all those working with RECELL to be comfortable with the technology both during the procedure as well as during aftercare.</w:t>
      </w:r>
    </w:p>
    <w:p>
      <w:pPr>
        <w:spacing w:after="0" w:line="177" w:lineRule="exact"/>
        <w:rPr>
          <w:sz w:val="20"/>
          <w:szCs w:val="20"/>
          <w:color w:val="auto"/>
        </w:rPr>
      </w:pPr>
    </w:p>
    <w:p>
      <w:pPr>
        <w:jc w:val="both"/>
        <w:ind w:firstLine="721"/>
        <w:spacing w:after="0" w:line="248" w:lineRule="auto"/>
        <w:rPr>
          <w:sz w:val="20"/>
          <w:szCs w:val="20"/>
          <w:color w:val="auto"/>
        </w:rPr>
      </w:pPr>
      <w:r>
        <w:rPr>
          <w:rFonts w:ascii="Times New Roman" w:cs="Times New Roman" w:eastAsia="Times New Roman" w:hAnsi="Times New Roman"/>
          <w:sz w:val="20"/>
          <w:szCs w:val="20"/>
          <w:color w:val="auto"/>
        </w:rPr>
        <w:t>We sell the RECELL System in the U.S. through our direct commercial organization consisting of 26 field personnel who are supported by corporate marketing, reimbursement, scientific and medical affairs, operations, and corporate leadership. The field sales team was recruited and hired subsequent to the September 2018 FDA PMA and trained prior to the U.S. market launch of RECELL in January 2019. Our field organization is composed of highly experienced medical sales representatives as well as former burn nurses.</w:t>
      </w:r>
    </w:p>
    <w:p>
      <w:pPr>
        <w:spacing w:after="0" w:line="178" w:lineRule="exact"/>
        <w:rPr>
          <w:sz w:val="20"/>
          <w:szCs w:val="20"/>
          <w:color w:val="auto"/>
        </w:rPr>
      </w:pPr>
    </w:p>
    <w:p>
      <w:pPr>
        <w:ind w:right="200" w:firstLine="721"/>
        <w:spacing w:after="0" w:line="247" w:lineRule="auto"/>
        <w:rPr>
          <w:sz w:val="20"/>
          <w:szCs w:val="20"/>
          <w:color w:val="auto"/>
        </w:rPr>
      </w:pPr>
      <w:r>
        <w:rPr>
          <w:rFonts w:ascii="Times New Roman" w:cs="Times New Roman" w:eastAsia="Times New Roman" w:hAnsi="Times New Roman"/>
          <w:sz w:val="20"/>
          <w:szCs w:val="20"/>
          <w:color w:val="auto"/>
        </w:rPr>
        <w:t>We anticipate the U.S. market launch of RECELL for soft tissue repair in July 2023. The majority of our current burn accounts represent opportunities for the use of RECELL in soft tissue repair; however, we plan to significantly expand the existing burns field team to cover both burn and trauma accounts prior to the market launch of RECELL for soft tissue repair. The expansion plan allows for coverage of over 75% of total targeted procedures.</w:t>
      </w:r>
    </w:p>
    <w:p>
      <w:pPr>
        <w:sectPr>
          <w:pgSz w:w="11880" w:h="15480" w:orient="portrait"/>
          <w:cols w:equalWidth="0" w:num="1">
            <w:col w:w="10780"/>
          </w:cols>
          <w:pgMar w:left="540" w:top="887" w:right="560" w:bottom="0" w:gutter="0" w:footer="0" w:header="0"/>
        </w:sect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w:t>
      </w:r>
    </w:p>
    <w:p>
      <w:pPr>
        <w:sectPr>
          <w:pgSz w:w="11880" w:h="15480" w:orient="portrait"/>
          <w:cols w:equalWidth="0" w:num="1">
            <w:col w:w="10780"/>
          </w:cols>
          <w:pgMar w:left="540" w:top="887" w:right="560"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234"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AVITA Medical’s investment in the U.S. commercial success of RECELL has led to the development of best-in-class teams supporting sales, clinical education and training, reimbursement, medical affairs, as well as corporate management and infrastructure. As of December 31, 2022, we had 126 employees full-time and part-time employees. As of December 31, 2022, 98% of our workforce was based in the United States, with a significant number of our management and professional employees having prior experience with leading medical product, biotech, or pharmaceutical companies. None of our employees are covered by collective bargaining agreements.</w:t>
      </w:r>
    </w:p>
    <w:p>
      <w:pPr>
        <w:spacing w:after="0" w:line="188"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We embrace differences, diversity and varying perspectives amongst our employee base and are proud to be an equal opportunity employer. We do not discriminate based on race, religious creed, color, national origin, ancestry, physical disability, mental disability, medical condition, genetic information, marital status, sex, gender, gender identity, gender expression, age, military or veteran status, sexual orientation or any other protected characteristic established by federal, state, or local laws. A diverse workforce as well as an inclusive culture and work environment are fundamentally important and strategic to us beginning with our Board of Directors and CEO and extending to all levels of the Company. As of December 31, 2022, our executive leadership team was 50% female, our senior leadership team was 38% female, and our total employee base was 47% female. In addition to promoting gender diversity, we encourage ethnically diverse talent when recruiting as well as providing employee training and development focusing on workplace diversity and inclusion.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32" w:lineRule="exact"/>
        <w:rPr>
          <w:sz w:val="20"/>
          <w:szCs w:val="20"/>
          <w:color w:val="auto"/>
        </w:rPr>
      </w:pPr>
    </w:p>
    <w:p>
      <w:pPr>
        <w:ind w:right="260" w:firstLine="720"/>
        <w:spacing w:after="0" w:line="250" w:lineRule="auto"/>
        <w:rPr>
          <w:sz w:val="20"/>
          <w:szCs w:val="20"/>
          <w:color w:val="auto"/>
        </w:rPr>
      </w:pPr>
      <w:r>
        <w:rPr>
          <w:rFonts w:ascii="Times New Roman" w:cs="Times New Roman" w:eastAsia="Times New Roman" w:hAnsi="Times New Roman"/>
          <w:sz w:val="20"/>
          <w:szCs w:val="20"/>
          <w:color w:val="auto"/>
        </w:rPr>
        <w:t>We seek to protect our intellectual property, core technologies, and other know-how through a combination of patents, trademarks, trade secrets, non-disclosure and confidentiality agreements, licenses, assignments of invention and other contractual arrangements with our employees, consultants, partners, suppliers, customers, and others. Additionally, we rely on our research and development program, clinical trials, know-how and marketing programs to advance our products and product candidates, and to expand our intellectual property rights.</w:t>
      </w:r>
    </w:p>
    <w:p>
      <w:pPr>
        <w:spacing w:after="0" w:line="183" w:lineRule="exact"/>
        <w:rPr>
          <w:sz w:val="20"/>
          <w:szCs w:val="20"/>
          <w:color w:val="auto"/>
        </w:rPr>
      </w:pPr>
    </w:p>
    <w:p>
      <w:pPr>
        <w:ind w:right="160" w:firstLine="721"/>
        <w:spacing w:after="0" w:line="247" w:lineRule="auto"/>
        <w:rPr>
          <w:sz w:val="20"/>
          <w:szCs w:val="20"/>
          <w:color w:val="auto"/>
        </w:rPr>
      </w:pPr>
      <w:r>
        <w:rPr>
          <w:rFonts w:ascii="Times New Roman" w:cs="Times New Roman" w:eastAsia="Times New Roman" w:hAnsi="Times New Roman"/>
          <w:sz w:val="20"/>
          <w:szCs w:val="20"/>
          <w:color w:val="auto"/>
        </w:rPr>
        <w:t>As of December 31, 2022, we had been granted a total of 19 patents and had 27 patent applications pending worldwide. The Company’s patent portfolio encompasses assets in the U.S., China, Japan, Australia, Brazil, Canada, France, Germany, Hong Kong, Italy, Spain, the United Kingdom, and applications pending before the European Patent Office (</w:t>
      </w:r>
      <w:r>
        <w:rPr>
          <w:rFonts w:ascii="Times New Roman" w:cs="Times New Roman" w:eastAsia="Times New Roman" w:hAnsi="Times New Roman"/>
          <w:sz w:val="20"/>
          <w:szCs w:val="20"/>
          <w:b w:val="1"/>
          <w:bCs w:val="1"/>
          <w:color w:val="auto"/>
        </w:rPr>
        <w:t>“EPO”</w:t>
      </w:r>
      <w:r>
        <w:rPr>
          <w:rFonts w:ascii="Times New Roman" w:cs="Times New Roman" w:eastAsia="Times New Roman" w:hAnsi="Times New Roman"/>
          <w:sz w:val="20"/>
          <w:szCs w:val="20"/>
          <w:color w:val="auto"/>
        </w:rPr>
        <w:t>). Notably, as discussed more fully below, our core U.S. patent remains in force until February 6, 2024, and we expect it to be extended through April 9, 2024. In addition to patent protection, we believe that the regulatory approval processes around the world will continue to provide significant barriers to entry against meaningful competition.</w:t>
      </w:r>
    </w:p>
    <w:p>
      <w:pPr>
        <w:spacing w:after="0" w:line="190" w:lineRule="exact"/>
        <w:rPr>
          <w:sz w:val="20"/>
          <w:szCs w:val="20"/>
          <w:color w:val="auto"/>
        </w:rPr>
      </w:pPr>
    </w:p>
    <w:p>
      <w:pPr>
        <w:ind w:right="100" w:firstLine="721"/>
        <w:spacing w:after="0" w:line="245" w:lineRule="auto"/>
        <w:rPr>
          <w:sz w:val="20"/>
          <w:szCs w:val="20"/>
          <w:color w:val="auto"/>
        </w:rPr>
      </w:pPr>
      <w:r>
        <w:rPr>
          <w:rFonts w:ascii="Times New Roman" w:cs="Times New Roman" w:eastAsia="Times New Roman" w:hAnsi="Times New Roman"/>
          <w:sz w:val="20"/>
          <w:szCs w:val="20"/>
          <w:color w:val="auto"/>
        </w:rPr>
        <w:t>AVITA Medical’s patent portfolio covers AVITA Medical’s core RECELL System, methods of using the RECELL System, the Regenerative Epidermal Suspension (“</w:t>
      </w:r>
      <w:r>
        <w:rPr>
          <w:rFonts w:ascii="Times New Roman" w:cs="Times New Roman" w:eastAsia="Times New Roman" w:hAnsi="Times New Roman"/>
          <w:sz w:val="20"/>
          <w:szCs w:val="20"/>
          <w:b w:val="1"/>
          <w:bCs w:val="1"/>
          <w:color w:val="auto"/>
        </w:rPr>
        <w:t>RES®</w:t>
      </w:r>
      <w:r>
        <w:rPr>
          <w:rFonts w:ascii="Times New Roman" w:cs="Times New Roman" w:eastAsia="Times New Roman" w:hAnsi="Times New Roman"/>
          <w:sz w:val="20"/>
          <w:szCs w:val="20"/>
          <w:color w:val="auto"/>
        </w:rPr>
        <w:t>”), methods of preparing a cell suspension with exogenous agents to promote wound healing, as well as to one or more automated systems for tissue processing and preparation of cell suspensions. AVITA Medical’s pending patent applications cover an all-in-one RECELL System embodiment and methods of evaluating the therapeutic potential of RES, as well as new modifications to RES that are showing potential for therapeutic results. We expect that our research and development pipeline, strategic partnerships with universities, and improvements to the RECELL System and RES will result in additional and diverse patent applications for automated tissue processing and RES-related compositions of matter, along with related methods of use, in the next calendar year.</w:t>
      </w:r>
    </w:p>
    <w:p>
      <w:pPr>
        <w:spacing w:after="0" w:line="191" w:lineRule="exact"/>
        <w:rPr>
          <w:sz w:val="20"/>
          <w:szCs w:val="20"/>
          <w:color w:val="auto"/>
        </w:rPr>
      </w:pPr>
    </w:p>
    <w:p>
      <w:pPr>
        <w:ind w:right="80" w:firstLine="721"/>
        <w:spacing w:after="0" w:line="246" w:lineRule="auto"/>
        <w:rPr>
          <w:sz w:val="20"/>
          <w:szCs w:val="20"/>
          <w:color w:val="auto"/>
        </w:rPr>
      </w:pPr>
      <w:r>
        <w:rPr>
          <w:rFonts w:ascii="Times New Roman" w:cs="Times New Roman" w:eastAsia="Times New Roman" w:hAnsi="Times New Roman"/>
          <w:sz w:val="20"/>
          <w:szCs w:val="20"/>
          <w:color w:val="auto"/>
        </w:rPr>
        <w:t>In 2019, AVITA Medical filed a Patent Term Extension (“PTE”) application with the U.S. Patent and Trademark Office requesting an extension of the patent term for U.S. Patent No. 9,029,140, “Cell suspension preparation technique and device” as a result of patent term lost to the FDA regulatory process. If the term extension requested in the PTE application is approved, the patent term of U.S. Patent No. 9,029,140, which covers the RECELL System, will be extended to April 9, 2024. An interim PTE application was approved on December 12, 2022, for U.S. Patent No. 9,029,140 that extends its expiration date until February 6, 2024 while we wait for full approval of the PTE application. AVITA Medical’s other patents have expected expiration dates ranging from 2032 to 2033, while AVITA Medical’s pending patent applications, if granted, would have expiration dates ranging from 2032 to 2041.</w:t>
      </w:r>
    </w:p>
    <w:p>
      <w:pPr>
        <w:spacing w:after="0" w:line="191" w:lineRule="exact"/>
        <w:rPr>
          <w:sz w:val="20"/>
          <w:szCs w:val="20"/>
          <w:color w:val="auto"/>
        </w:rPr>
      </w:pPr>
    </w:p>
    <w:p>
      <w:pPr>
        <w:ind w:right="160" w:firstLine="721"/>
        <w:spacing w:after="0" w:line="246" w:lineRule="auto"/>
        <w:rPr>
          <w:sz w:val="20"/>
          <w:szCs w:val="20"/>
          <w:color w:val="auto"/>
        </w:rPr>
      </w:pPr>
      <w:r>
        <w:rPr>
          <w:rFonts w:ascii="Times New Roman" w:cs="Times New Roman" w:eastAsia="Times New Roman" w:hAnsi="Times New Roman"/>
          <w:sz w:val="20"/>
          <w:szCs w:val="20"/>
          <w:color w:val="auto"/>
        </w:rPr>
        <w:t>Additionally, AVITA Medical owns and defends a global trademark portfolio comprising 125 registered trademarks, common or state law trademarks, and pending trademark applications. Recently, AVITA Medical received U.S. federal trademark registration on the marks “AVITA Medical” and the AVITA Medical logo. AVITA Medical also owns trademark registrations for “RECELL,” “Spray-On Skin,” the RECELL System logo, “RES,” and others in the U.S. and international markets. In addition to patent and trademark protection, we also rely on trade secrets, know-how, and other proprietary information to develop and maintain our competitive position. We have robust confidentiality and invention disclosure procedures in place that incentivize our employees to innovate and allow us to maintain our rights to AVITA Medical innovations.</w:t>
      </w:r>
    </w:p>
    <w:p>
      <w:pPr>
        <w:sectPr>
          <w:pgSz w:w="11880" w:h="15480" w:orient="portrait"/>
          <w:cols w:equalWidth="0" w:num="1">
            <w:col w:w="10800"/>
          </w:cols>
          <w:pgMar w:left="540" w:top="1114" w:right="540" w:bottom="0" w:gutter="0" w:footer="0" w:header="0"/>
        </w:sectPr>
      </w:pP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880" w:h="15480" w:orient="portrait"/>
          <w:cols w:equalWidth="0" w:num="1">
            <w:col w:w="10800"/>
          </w:cols>
          <w:pgMar w:left="540" w:top="1114" w:right="540" w:bottom="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color w:val="auto"/>
        </w:rPr>
        <w:t>FACILITIES</w:t>
      </w:r>
    </w:p>
    <w:p>
      <w:pPr>
        <w:spacing w:after="0" w:line="234" w:lineRule="exact"/>
        <w:rPr>
          <w:sz w:val="20"/>
          <w:szCs w:val="20"/>
          <w:color w:val="auto"/>
        </w:rPr>
      </w:pPr>
    </w:p>
    <w:p>
      <w:pPr>
        <w:ind w:right="120" w:firstLine="720"/>
        <w:spacing w:after="0" w:line="249" w:lineRule="auto"/>
        <w:rPr>
          <w:sz w:val="20"/>
          <w:szCs w:val="20"/>
          <w:color w:val="auto"/>
        </w:rPr>
      </w:pPr>
      <w:r>
        <w:rPr>
          <w:rFonts w:ascii="Times New Roman" w:cs="Times New Roman" w:eastAsia="Times New Roman" w:hAnsi="Times New Roman"/>
          <w:sz w:val="20"/>
          <w:szCs w:val="20"/>
          <w:color w:val="auto"/>
        </w:rPr>
        <w:t>AVITA Medical leases approximately 17,500 square feet of administrative and office space in Valencia, California that is currently leased through October 31, 2026. The Company operates an FDA-registered production plant in Ventura, California, in a 27,480 square foot facility that is currently leased through September 30, 2024. The Ventura facility has two 3-year options to extend the lease, at our sole option, which allows for a total lease extension period through September 30, 2030. We also lease a limited amount of incubator space in Irvine, California for scientific research and product development activities.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 SUPPLY AND PRODUCTION</w:t>
      </w:r>
    </w:p>
    <w:p>
      <w:pPr>
        <w:spacing w:after="0" w:line="228"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auto"/>
        </w:rPr>
        <w:t>We produce the RECELL System in the Ventura facility under current Good Manufacturing Practices (“</w:t>
      </w:r>
      <w:r>
        <w:rPr>
          <w:rFonts w:ascii="Times New Roman" w:cs="Times New Roman" w:eastAsia="Times New Roman" w:hAnsi="Times New Roman"/>
          <w:sz w:val="20"/>
          <w:szCs w:val="20"/>
          <w:b w:val="1"/>
          <w:bCs w:val="1"/>
          <w:color w:val="auto"/>
        </w:rPr>
        <w:t>cGMP</w:t>
      </w:r>
      <w:r>
        <w:rPr>
          <w:rFonts w:ascii="Times New Roman" w:cs="Times New Roman" w:eastAsia="Times New Roman" w:hAnsi="Times New Roman"/>
          <w:sz w:val="20"/>
          <w:szCs w:val="20"/>
          <w:color w:val="auto"/>
        </w:rPr>
        <w:t>”) and per ISO 13485, which also meets the regulatory requirements of other jurisdictions in which we sell the RECELL System. We maintain a state of regulatory compliance and inspection readiness at all times, and any future material changes to our production processes for the RECELL System will be submitted for approval to the FDA and regulatory authorities in other jurisdictions as required.</w:t>
      </w:r>
    </w:p>
    <w:p>
      <w:pPr>
        <w:spacing w:after="0" w:line="182" w:lineRule="exact"/>
        <w:rPr>
          <w:sz w:val="20"/>
          <w:szCs w:val="20"/>
          <w:color w:val="auto"/>
        </w:rPr>
      </w:pPr>
    </w:p>
    <w:p>
      <w:pPr>
        <w:ind w:right="460" w:firstLine="720"/>
        <w:spacing w:after="0" w:line="260" w:lineRule="auto"/>
        <w:rPr>
          <w:sz w:val="20"/>
          <w:szCs w:val="20"/>
          <w:color w:val="auto"/>
        </w:rPr>
      </w:pPr>
      <w:r>
        <w:rPr>
          <w:rFonts w:ascii="Times New Roman" w:cs="Times New Roman" w:eastAsia="Times New Roman" w:hAnsi="Times New Roman"/>
          <w:sz w:val="20"/>
          <w:szCs w:val="20"/>
          <w:color w:val="auto"/>
        </w:rPr>
        <w:t>Within the Ventura facility we perform the final manufacturing, assembly, packaging, and warehousing of the RECELL System. Also included within the Ventura facility is a secure controlled-temperature warehouse that complies with the vendor-managed inventory (“</w:t>
      </w:r>
      <w:r>
        <w:rPr>
          <w:rFonts w:ascii="Times New Roman" w:cs="Times New Roman" w:eastAsia="Times New Roman" w:hAnsi="Times New Roman"/>
          <w:sz w:val="20"/>
          <w:szCs w:val="20"/>
          <w:b w:val="1"/>
          <w:bCs w:val="1"/>
          <w:color w:val="auto"/>
        </w:rPr>
        <w:t>VMI</w:t>
      </w:r>
      <w:r>
        <w:rPr>
          <w:rFonts w:ascii="Times New Roman" w:cs="Times New Roman" w:eastAsia="Times New Roman" w:hAnsi="Times New Roman"/>
          <w:sz w:val="20"/>
          <w:szCs w:val="20"/>
          <w:color w:val="auto"/>
        </w:rPr>
        <w:t>”) requirements of the contract with BARDA. See below for details.</w:t>
      </w:r>
    </w:p>
    <w:p>
      <w:pPr>
        <w:spacing w:after="0" w:line="172"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color w:val="auto"/>
        </w:rPr>
        <w:t>AVITA Medical sources multiple components, sub-assemblies, and materials from third-party suppliers, who are required to meet our cGMP quality specifications and associated regulatory requirements. To ensure continuity of supply, we maintain multiple sources of supply for key components, subassemblies and materials, and the majority of critical raw materials and services have multiple qualified suppliers. While a small number of materials remain single sourced, we are actively working to qualify and validate additional suppliers for these materials as we continue to evaluate methods of removing risk from the supply chain for the RECELL System. We believe that our current manufacturing capacity at the Ventura facility is sufficient to meet the expected commercial demand for the RECELL System for burns, as well as other indications under development, for the foreseeable future.</w:t>
      </w:r>
    </w:p>
    <w:p>
      <w:pPr>
        <w:spacing w:after="0" w:line="189" w:lineRule="exact"/>
        <w:rPr>
          <w:sz w:val="20"/>
          <w:szCs w:val="20"/>
          <w:color w:val="auto"/>
        </w:rPr>
      </w:pPr>
    </w:p>
    <w:p>
      <w:pPr>
        <w:jc w:val="both"/>
        <w:ind w:right="380" w:firstLine="720"/>
        <w:spacing w:after="0" w:line="259" w:lineRule="auto"/>
        <w:rPr>
          <w:sz w:val="20"/>
          <w:szCs w:val="20"/>
          <w:color w:val="auto"/>
        </w:rPr>
      </w:pPr>
      <w:r>
        <w:rPr>
          <w:rFonts w:ascii="Times New Roman" w:cs="Times New Roman" w:eastAsia="Times New Roman" w:hAnsi="Times New Roman"/>
          <w:sz w:val="20"/>
          <w:szCs w:val="20"/>
          <w:color w:val="auto"/>
        </w:rPr>
        <w:t>AVITA Medical serves the U.S. burn market by shipping the RECELL System directly from our Ventura facility to U.S. burn centers. From time-to-time we may also store small quantities of the RECELL System at satellite distribution sites within the U.S. to better support access of the RECELL System to our U.S. customers.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BARDA CONTRACT</w:t>
      </w:r>
    </w:p>
    <w:p>
      <w:pPr>
        <w:spacing w:after="0" w:line="232" w:lineRule="exact"/>
        <w:rPr>
          <w:sz w:val="20"/>
          <w:szCs w:val="20"/>
          <w:color w:val="auto"/>
        </w:rPr>
      </w:pPr>
    </w:p>
    <w:p>
      <w:pPr>
        <w:ind w:right="200" w:firstLine="721"/>
        <w:spacing w:after="0" w:line="247" w:lineRule="auto"/>
        <w:rPr>
          <w:sz w:val="20"/>
          <w:szCs w:val="20"/>
          <w:color w:val="auto"/>
        </w:rPr>
      </w:pPr>
      <w:r>
        <w:rPr>
          <w:rFonts w:ascii="Times New Roman" w:cs="Times New Roman" w:eastAsia="Times New Roman" w:hAnsi="Times New Roman"/>
          <w:sz w:val="20"/>
          <w:szCs w:val="20"/>
          <w:color w:val="auto"/>
        </w:rPr>
        <w:t>We have a contract with the BARDA, under the Assistant Secretary for Preparedness and Response, within the U.S. Department of Health and Human Services, valued at approximately $53.3 million. The contract provided funding for the development of the RECELL System. The contract will continue to provide funding for future use of the product as a medical countermeasure to assist disaster preparedness and response in the U.S. for mass casualty events involving burn injuries. We entered into the contract on September 29, 2015, and the scope has expanded through a number of amendments to the contract. The current contract period continues to December 31, 2023, with the option by BARDA to terminate earlier.</w:t>
      </w:r>
    </w:p>
    <w:p>
      <w:pPr>
        <w:spacing w:after="0" w:line="191" w:lineRule="exact"/>
        <w:rPr>
          <w:sz w:val="20"/>
          <w:szCs w:val="20"/>
          <w:color w:val="auto"/>
        </w:rPr>
      </w:pPr>
    </w:p>
    <w:p>
      <w:pPr>
        <w:ind w:right="40" w:firstLine="721"/>
        <w:spacing w:after="0" w:line="243" w:lineRule="auto"/>
        <w:rPr>
          <w:sz w:val="20"/>
          <w:szCs w:val="20"/>
          <w:color w:val="auto"/>
        </w:rPr>
      </w:pPr>
      <w:r>
        <w:rPr>
          <w:rFonts w:ascii="Times New Roman" w:cs="Times New Roman" w:eastAsia="Times New Roman" w:hAnsi="Times New Roman"/>
          <w:sz w:val="20"/>
          <w:szCs w:val="20"/>
          <w:color w:val="auto"/>
        </w:rPr>
        <w:t>Under the contract, BARDA has provided funding and technical support for the development of the RECELL System. BARDA funded the completion of two randomized, controlled pivotal clinical trials, as well as Compassionate Use and Continued Access programs, and development of the health economic model demonstrating the cost savings associated with the RECELL System. BARDA exercised a contract option to fund a randomized, controlled clinical trial for a pediatric early intervention study which commenced enrollment in March 2020, and closed to enrollment in June 2021, subsequent to FDA-approval of an expanded RECELL indication for use that includes treatment of pediatric patients. Currently, the BARDA contract is supporting the Company’s clinical trial in soft-tissue repair. Also included in the BARDA contract was a provision for procurement of the RECELL System under a vendor-managed inventory system to bolster emergency preparedness in the amount of $7.6 million. Further, BARDA expanded the awarded contract to provide supplemental funding of $1.6 million to support the logistics of emergency deployment of RECELL Systems for use in mass casualty or other emergency situations. We are contracted to manage this inventory of product until the earlier of the federal government requesting shipment or at contract termination on December 31, 2023. As of December 31, 2022, we had received cumulative payments of $37.9 million under the BARDA contract.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34" w:lineRule="exact"/>
        <w:rPr>
          <w:sz w:val="20"/>
          <w:szCs w:val="20"/>
          <w:color w:val="auto"/>
        </w:rPr>
      </w:pPr>
    </w:p>
    <w:p>
      <w:pPr>
        <w:ind w:right="80" w:firstLine="720"/>
        <w:spacing w:after="0" w:line="278" w:lineRule="auto"/>
        <w:rPr>
          <w:sz w:val="20"/>
          <w:szCs w:val="20"/>
          <w:color w:val="auto"/>
        </w:rPr>
      </w:pPr>
      <w:r>
        <w:rPr>
          <w:rFonts w:ascii="Times New Roman" w:cs="Times New Roman" w:eastAsia="Times New Roman" w:hAnsi="Times New Roman"/>
          <w:sz w:val="19"/>
          <w:szCs w:val="19"/>
          <w:color w:val="auto"/>
        </w:rPr>
        <w:t>The medical device, biotechnology and pharmaceutical industries are intensely competitive and subject to significant technological developments and changes in practice. While we believe that our innovative technology, knowledge, experience, and scientific resources provide us with competitive advantages, we may face competition from many different sources with respect to the</w:t>
      </w:r>
    </w:p>
    <w:p>
      <w:pPr>
        <w:sectPr>
          <w:pgSz w:w="11880" w:h="15480" w:orient="portrait"/>
          <w:cols w:equalWidth="0" w:num="1">
            <w:col w:w="10800"/>
          </w:cols>
          <w:pgMar w:left="540" w:top="1114" w:right="540" w:bottom="0" w:gutter="0" w:footer="0" w:header="0"/>
        </w:sectPr>
      </w:pP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10800"/>
          </w:cols>
          <w:pgMar w:left="540" w:top="1114" w:right="540" w:bottom="0" w:gutter="0" w:footer="0" w:header="0"/>
          <w:type w:val="continuous"/>
        </w:sectPr>
      </w:pPr>
    </w:p>
    <w:bookmarkStart w:id="16" w:name="page17"/>
    <w:bookmarkEnd w:id="16"/>
    <w:p>
      <w:pPr>
        <w:ind w:right="240"/>
        <w:spacing w:after="0" w:line="271" w:lineRule="auto"/>
        <w:rPr>
          <w:sz w:val="20"/>
          <w:szCs w:val="20"/>
          <w:color w:val="auto"/>
        </w:rPr>
      </w:pPr>
      <w:r>
        <w:rPr>
          <w:rFonts w:ascii="Times New Roman" w:cs="Times New Roman" w:eastAsia="Times New Roman" w:hAnsi="Times New Roman"/>
          <w:sz w:val="19"/>
          <w:szCs w:val="19"/>
          <w:color w:val="auto"/>
        </w:rPr>
        <w:t>RECELL System or any product candidates that we may seek to develop and commercialize in the future. Possible competitors may include medical device, pharmaceutical and wound care companies, academic and medical institutions, governmental agencies, medical practitioners, and public and private research institutions, among others. Any product that we successfully develop and commercialize will compete with both existing therapies and any new therapies that may become available in the future.</w:t>
      </w:r>
    </w:p>
    <w:p>
      <w:pPr>
        <w:spacing w:after="0" w:line="163" w:lineRule="exact"/>
        <w:rPr>
          <w:sz w:val="20"/>
          <w:szCs w:val="20"/>
          <w:color w:val="auto"/>
        </w:rPr>
      </w:pPr>
    </w:p>
    <w:p>
      <w:pPr>
        <w:ind w:right="100" w:firstLine="720"/>
        <w:spacing w:after="0" w:line="236" w:lineRule="auto"/>
        <w:rPr>
          <w:sz w:val="20"/>
          <w:szCs w:val="20"/>
          <w:color w:val="auto"/>
        </w:rPr>
      </w:pPr>
      <w:r>
        <w:rPr>
          <w:rFonts w:ascii="Times New Roman" w:cs="Times New Roman" w:eastAsia="Times New Roman" w:hAnsi="Times New Roman"/>
          <w:sz w:val="20"/>
          <w:szCs w:val="20"/>
          <w:color w:val="auto"/>
        </w:rPr>
        <w:t>Our primary competitor in the burns market is the current standard of care, primarily split-thickness autografts. Although the RECELL System is complementary with autografts for the treatment of many burn injuries, we face competition from this traditional surgical procedure for many burn patients. However, based on our clinical trials, we believe that the RECELL System has sustainable competitive clinical and economic advantages over this current standard of care. We face additional competition in the burns market from other FDA-approved products such as Epicel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provided by Vericel Corporation as well as from Stratagraft® provided by Mallinckrodt.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REGULATIONS</w:t>
      </w:r>
    </w:p>
    <w:p>
      <w:pPr>
        <w:spacing w:after="0" w:line="235" w:lineRule="exact"/>
        <w:rPr>
          <w:sz w:val="20"/>
          <w:szCs w:val="20"/>
          <w:color w:val="auto"/>
        </w:rPr>
      </w:pPr>
    </w:p>
    <w:p>
      <w:pPr>
        <w:ind w:right="40" w:firstLine="720"/>
        <w:spacing w:after="0" w:line="243" w:lineRule="auto"/>
        <w:rPr>
          <w:sz w:val="20"/>
          <w:szCs w:val="20"/>
          <w:color w:val="auto"/>
        </w:rPr>
      </w:pPr>
      <w:r>
        <w:rPr>
          <w:rFonts w:ascii="Times New Roman" w:cs="Times New Roman" w:eastAsia="Times New Roman" w:hAnsi="Times New Roman"/>
          <w:sz w:val="20"/>
          <w:szCs w:val="20"/>
          <w:color w:val="auto"/>
        </w:rPr>
        <w:t>The production and marketing of the RECELL System and any additional product candidates developed in future ongoing research and development activities are subject to regulation by numerous governmental authorities including the FDA in the U.S. and similar agencies in other countries throughout the world. Pursuant to its authority under the Federal Food, Drug, and Cosmetic Act (the “</w:t>
      </w:r>
      <w:r>
        <w:rPr>
          <w:rFonts w:ascii="Times New Roman" w:cs="Times New Roman" w:eastAsia="Times New Roman" w:hAnsi="Times New Roman"/>
          <w:sz w:val="20"/>
          <w:szCs w:val="20"/>
          <w:b w:val="1"/>
          <w:bCs w:val="1"/>
          <w:color w:val="auto"/>
        </w:rPr>
        <w:t>FD&amp;C Act</w:t>
      </w:r>
      <w:r>
        <w:rPr>
          <w:rFonts w:ascii="Times New Roman" w:cs="Times New Roman" w:eastAsia="Times New Roman" w:hAnsi="Times New Roman"/>
          <w:sz w:val="20"/>
          <w:szCs w:val="20"/>
          <w:color w:val="auto"/>
        </w:rPr>
        <w:t>”), the FDA has jurisdiction over medical devices in the U.S. The FDA regulates the design, development, manufacturing, and distribution of medical devices to ensure that medical products distributed domestically are safe and effective for their intended uses. The FD&amp;C Act classifies medical devices into one of three categories based on the risks associated with the device and the level of control necessary to provide reasonable assurance of safety and effectiveness. Devices deemed by the FDA to pose the greatest risk, such as life-sustaining, life-supporting or implantable devices, or devices deemed not substantially equivalent to a previously 510(k) cleared device are categorized as Class III. These devices typically require submission and approval of a PMA. The RECELL System is categorized as a Class III medical device, and in September 2018 the FDA granted our PMA for use in the treatment of acute thermal burns in patients 18 years and older. In June 2021, the FDA approved a supplement to our PMA to expand the use of RECELL in pediatric patients with full-thickness burns. In December 2022, the Company submitted a PMA supplement to expand the use of RECELL for soft tissue repair and an original PMA application to expand the use of RECELL for treatment of vitiligo.</w:t>
      </w:r>
    </w:p>
    <w:p>
      <w:pPr>
        <w:spacing w:after="0" w:line="189" w:lineRule="exact"/>
        <w:rPr>
          <w:sz w:val="20"/>
          <w:szCs w:val="20"/>
          <w:color w:val="auto"/>
        </w:rPr>
      </w:pPr>
    </w:p>
    <w:p>
      <w:pPr>
        <w:ind w:firstLine="721"/>
        <w:spacing w:after="0" w:line="243" w:lineRule="auto"/>
        <w:rPr>
          <w:sz w:val="20"/>
          <w:szCs w:val="20"/>
          <w:color w:val="auto"/>
        </w:rPr>
      </w:pPr>
      <w:r>
        <w:rPr>
          <w:rFonts w:ascii="Times New Roman" w:cs="Times New Roman" w:eastAsia="Times New Roman" w:hAnsi="Times New Roman"/>
          <w:sz w:val="20"/>
          <w:szCs w:val="20"/>
          <w:color w:val="auto"/>
        </w:rPr>
        <w:t>To support PMA supplements in the U.S. or applications for approval in other regions, the completion of additional clinical and non-clinical studies and supporting development activities will likely be required. Clinical trials can take many years to complete and require the expenditure of substantial resources. The length of time varies substantially according to the type, complexity, novelty and intended use of the product candidate. We cannot make any assurances that once clinical trials are completed by us or a collaborative partner, that we will be able to submit as scheduled a marketing approval request to the applicable governmental regulatory authority, or that such request and application will be reviewed and cleared by such governmental authority in a timely manner, or at all. Although we intend to make use of fast-track and abbreviated regulatory approval programs when possible and commercially appropriate, we cannot be certain that we will be able to obtain the clearances and approvals necessary for clinical testing or for manufacturing and marketing our product candidates. Delays in obtaining regulatory approvals could adversely affect the development and commercialization of our product candidates and could adversely impact our business, financial condition, and results of operations. During the course of clinical trials and non-clinical studies, product candidates may exhibit unforeseen and unacceptable safety considerations. If any unacceptable side effects were to occur, we may, or regulatory authorities may require us to, interrupt, limit, delay or abort the development of our potential products.</w:t>
      </w:r>
    </w:p>
    <w:p>
      <w:pPr>
        <w:spacing w:after="0" w:line="194" w:lineRule="exact"/>
        <w:rPr>
          <w:sz w:val="20"/>
          <w:szCs w:val="20"/>
          <w:color w:val="auto"/>
        </w:rPr>
      </w:pPr>
    </w:p>
    <w:p>
      <w:pPr>
        <w:ind w:firstLine="721"/>
        <w:spacing w:after="0" w:line="243" w:lineRule="auto"/>
        <w:rPr>
          <w:sz w:val="20"/>
          <w:szCs w:val="20"/>
          <w:color w:val="auto"/>
        </w:rPr>
      </w:pPr>
      <w:r>
        <w:rPr>
          <w:rFonts w:ascii="Times New Roman" w:cs="Times New Roman" w:eastAsia="Times New Roman" w:hAnsi="Times New Roman"/>
          <w:sz w:val="20"/>
          <w:szCs w:val="20"/>
          <w:color w:val="auto"/>
        </w:rPr>
        <w:t>Any products manufactured or distributed by us pursuant to regulatory approvals are subject to continuing regulation by the FDA and similar agencies in other countries, including maintaining records supporting manufacturing and distribution under cGMP regulations, periodic reporting, advertising, promotion, compliance with any post-approval requirements imposed as a conditional of approval, recordkeeping and reporting requirements, including adverse events experiences. After approval, material changes to the approved product, such as adding new indications or other labeling claims, or changes to the manufacturing process, are subject to prior approval by FDA and other regulatory agencies. Medical device manufacturers and their subcontractors are required to register their establishments with the FDA, certain state agencies and international agencies. Subcontractors are subject to periodic announced and unannounced inspections by the FDA and other agencies for compliance with cGMP requirements. We have established processes in place for categorization of vendor criticality and the associated activities for qualification and monitoring of vendors. These activities include but are not limited to, requiring certification of supplier in conformance to relevant cGMP regulations and other FDA and international agency regulatory requirements, approved supplier lists, and regular Company conducted audits. In addition, all goods and services purchased from suppliers by us must be purchased from only those suppliers on the approved supplier list. Furthermore, the Company itself will continue to comply with all relevant FDA requirements and regulations and any applicable international agency regulatory requirements in its continued manufacturing and promotion of its FDA approved commercial product.</w:t>
      </w:r>
    </w:p>
    <w:p>
      <w:pPr>
        <w:sectPr>
          <w:pgSz w:w="11880" w:h="15480" w:orient="portrait"/>
          <w:cols w:equalWidth="0" w:num="1">
            <w:col w:w="10800"/>
          </w:cols>
          <w:pgMar w:left="540" w:top="88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10800"/>
          </w:cols>
          <w:pgMar w:left="540" w:top="887" w:right="540" w:bottom="0" w:gutter="0" w:footer="0" w:header="0"/>
          <w:type w:val="continuous"/>
        </w:sectPr>
      </w:pPr>
    </w:p>
    <w:bookmarkStart w:id="17" w:name="page18"/>
    <w:bookmarkEnd w:id="17"/>
    <w:p>
      <w:pPr>
        <w:ind w:right="500" w:firstLine="720"/>
        <w:spacing w:after="0" w:line="259" w:lineRule="auto"/>
        <w:rPr>
          <w:sz w:val="20"/>
          <w:szCs w:val="20"/>
          <w:color w:val="auto"/>
        </w:rPr>
      </w:pPr>
      <w:r>
        <w:rPr>
          <w:rFonts w:ascii="Times New Roman" w:cs="Times New Roman" w:eastAsia="Times New Roman" w:hAnsi="Times New Roman"/>
          <w:sz w:val="20"/>
          <w:szCs w:val="20"/>
          <w:color w:val="auto"/>
        </w:rPr>
        <w:t>In addition to FDA approval in the U.S., the RECELL System has received various approvals and registrations in international markets. The RECELL System is TGA-registered in Australia, received CE-mark approval in Europe, and received Japan’s Pharmaceuticals and Medical Devices Act (PMDA) approval for burns in Japan.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HEALTHCARE LAWS AND REGULATIONS</w:t>
      </w:r>
    </w:p>
    <w:p>
      <w:pPr>
        <w:spacing w:after="0" w:line="200" w:lineRule="exact"/>
        <w:rPr>
          <w:sz w:val="20"/>
          <w:szCs w:val="20"/>
          <w:color w:val="auto"/>
        </w:rPr>
      </w:pPr>
    </w:p>
    <w:p>
      <w:pPr>
        <w:ind w:right="80" w:firstLine="720"/>
        <w:spacing w:after="0" w:line="253" w:lineRule="auto"/>
        <w:rPr>
          <w:sz w:val="20"/>
          <w:szCs w:val="20"/>
          <w:color w:val="auto"/>
        </w:rPr>
      </w:pPr>
      <w:r>
        <w:rPr>
          <w:rFonts w:ascii="Times New Roman" w:cs="Times New Roman" w:eastAsia="Times New Roman" w:hAnsi="Times New Roman"/>
          <w:sz w:val="20"/>
          <w:szCs w:val="20"/>
          <w:color w:val="auto"/>
        </w:rPr>
        <w:t>AVITA Medical is a manufacturer of a medical device and therefore we are subject to regulations by the FDA and various federal and state healthcare laws and regulations. These regulations govern our advertising and promotional practices, our interactions with healthcare providers (“</w:t>
      </w:r>
      <w:r>
        <w:rPr>
          <w:rFonts w:ascii="Times New Roman" w:cs="Times New Roman" w:eastAsia="Times New Roman" w:hAnsi="Times New Roman"/>
          <w:sz w:val="20"/>
          <w:szCs w:val="20"/>
          <w:b w:val="1"/>
          <w:bCs w:val="1"/>
          <w:color w:val="auto"/>
        </w:rPr>
        <w:t>HCPs</w:t>
      </w:r>
      <w:r>
        <w:rPr>
          <w:rFonts w:ascii="Times New Roman" w:cs="Times New Roman" w:eastAsia="Times New Roman" w:hAnsi="Times New Roman"/>
          <w:sz w:val="20"/>
          <w:szCs w:val="20"/>
          <w:color w:val="auto"/>
        </w:rPr>
        <w:t>”), and our reporting of any payments made to HCPs. AVITA Medical is committed to the highest standards of business conduct in accordance with the AdvaMed Code of Ethics.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Interactions with Healthcare Providers</w:t>
      </w:r>
    </w:p>
    <w:p>
      <w:pPr>
        <w:spacing w:after="0" w:line="229" w:lineRule="exact"/>
        <w:rPr>
          <w:sz w:val="20"/>
          <w:szCs w:val="20"/>
          <w:color w:val="auto"/>
        </w:rPr>
      </w:pPr>
    </w:p>
    <w:p>
      <w:pPr>
        <w:ind w:right="60" w:firstLine="720"/>
        <w:spacing w:after="0" w:line="244" w:lineRule="auto"/>
        <w:rPr>
          <w:sz w:val="20"/>
          <w:szCs w:val="20"/>
          <w:color w:val="auto"/>
        </w:rPr>
      </w:pPr>
      <w:r>
        <w:rPr>
          <w:rFonts w:ascii="Times New Roman" w:cs="Times New Roman" w:eastAsia="Times New Roman" w:hAnsi="Times New Roman"/>
          <w:sz w:val="20"/>
          <w:szCs w:val="20"/>
          <w:color w:val="auto"/>
        </w:rPr>
        <w:t>Providing any benefits or advantages to HCPs in order to induce or encourage the use or referral of AVITA products is strictly prohibited by both U.S. and international laws and regulations. Restrictions under applicable Federal and State healthcare laws and regulations include but are not limited to the following:</w:t>
      </w:r>
    </w:p>
    <w:p>
      <w:pPr>
        <w:spacing w:after="0" w:line="1" w:lineRule="exact"/>
        <w:rPr>
          <w:sz w:val="20"/>
          <w:szCs w:val="20"/>
          <w:color w:val="auto"/>
        </w:rPr>
      </w:pPr>
    </w:p>
    <w:p>
      <w:pPr>
        <w:ind w:left="1080" w:hanging="360"/>
        <w:spacing w:after="0" w:line="244" w:lineRule="auto"/>
        <w:tabs>
          <w:tab w:leader="none" w:pos="10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healthcare Anti-Kickback Statute (“</w:t>
      </w:r>
      <w:r>
        <w:rPr>
          <w:rFonts w:ascii="Times New Roman" w:cs="Times New Roman" w:eastAsia="Times New Roman" w:hAnsi="Times New Roman"/>
          <w:sz w:val="20"/>
          <w:szCs w:val="20"/>
          <w:b w:val="1"/>
          <w:bCs w:val="1"/>
          <w:color w:val="auto"/>
        </w:rPr>
        <w:t>AKS</w:t>
      </w:r>
      <w:r>
        <w:rPr>
          <w:rFonts w:ascii="Times New Roman" w:cs="Times New Roman" w:eastAsia="Times New Roman" w:hAnsi="Times New Roman"/>
          <w:sz w:val="20"/>
          <w:szCs w:val="20"/>
          <w:color w:val="auto"/>
        </w:rPr>
        <w:t>”). AKS prohibits any person from soliciting, offering, receiving, or providing any remuneration in cash or in kind, whether directly or indirectly, to induce or reward the referral, purchase, lease, order, or recommendation of any item or service for which payment may be made in whole or in part under a federal healthcare program such as Medicare and Medicaid</w:t>
      </w:r>
    </w:p>
    <w:p>
      <w:pPr>
        <w:ind w:left="1080" w:right="100" w:hanging="360"/>
        <w:spacing w:after="0" w:line="242" w:lineRule="auto"/>
        <w:tabs>
          <w:tab w:leader="none" w:pos="10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False Claims Act (“</w:t>
      </w:r>
      <w:r>
        <w:rPr>
          <w:rFonts w:ascii="Times New Roman" w:cs="Times New Roman" w:eastAsia="Times New Roman" w:hAnsi="Times New Roman"/>
          <w:sz w:val="20"/>
          <w:szCs w:val="20"/>
          <w:b w:val="1"/>
          <w:bCs w:val="1"/>
          <w:color w:val="auto"/>
        </w:rPr>
        <w:t>FCA</w:t>
      </w:r>
      <w:r>
        <w:rPr>
          <w:rFonts w:ascii="Times New Roman" w:cs="Times New Roman" w:eastAsia="Times New Roman" w:hAnsi="Times New Roman"/>
          <w:sz w:val="20"/>
          <w:szCs w:val="20"/>
          <w:color w:val="auto"/>
        </w:rPr>
        <w:t>”). FCA may be enforced by either the U.S. Department of Justice or private whistleblowers should they choose to bring civil (qui tam) actions on behalf of the federal government. The FCA imposes civil penalties, as well as liability for treble damages and for attorneys’ fees and costs, on individuals or entities who knowingly present, or cause to be presented, claims for payment that are false or fraudulent to the federal government. FCA also imposes similar penalties on those who make a false statement material to a fraudulent claim, or who improperly avoid, decrease, or conceal an obligation to pay money to the federal government</w:t>
      </w:r>
    </w:p>
    <w:p>
      <w:pPr>
        <w:spacing w:after="0" w:line="2" w:lineRule="exact"/>
        <w:rPr>
          <w:rFonts w:ascii="Arial" w:cs="Arial" w:eastAsia="Arial" w:hAnsi="Arial"/>
          <w:sz w:val="20"/>
          <w:szCs w:val="20"/>
          <w:color w:val="auto"/>
        </w:rPr>
      </w:pPr>
    </w:p>
    <w:p>
      <w:pPr>
        <w:ind w:left="1080" w:right="340" w:hanging="360"/>
        <w:spacing w:after="0" w:line="278" w:lineRule="auto"/>
        <w:tabs>
          <w:tab w:leader="none" w:pos="108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State and foreign laws and regulations may apply to sales or marketing arrangements and claims involving healthcare devices or services reimbursed by non-governmental third-party payors</w:t>
      </w:r>
    </w:p>
    <w:p>
      <w:pPr>
        <w:spacing w:after="0" w:line="155" w:lineRule="exact"/>
        <w:rPr>
          <w:sz w:val="20"/>
          <w:szCs w:val="20"/>
          <w:color w:val="auto"/>
        </w:rPr>
      </w:pPr>
    </w:p>
    <w:p>
      <w:pPr>
        <w:ind w:right="160" w:firstLine="720"/>
        <w:spacing w:after="0" w:line="250" w:lineRule="auto"/>
        <w:rPr>
          <w:sz w:val="20"/>
          <w:szCs w:val="20"/>
          <w:color w:val="auto"/>
        </w:rPr>
      </w:pPr>
      <w:r>
        <w:rPr>
          <w:rFonts w:ascii="Times New Roman" w:cs="Times New Roman" w:eastAsia="Times New Roman" w:hAnsi="Times New Roman"/>
          <w:sz w:val="20"/>
          <w:szCs w:val="20"/>
          <w:color w:val="auto"/>
        </w:rPr>
        <w:t>Additionally, certain state laws require medical device companies to comply with voluntary guidelines in our interactions with healthcare providers promulgated by global trade associations and relevant compliance guidance issued by the U.S. Department of Health and Human Services, Office of Inspector General. Such laws prohibit medical device manufacturers from offering or providing certain types of payments or gifts to health care providers; and/or require the disclosure of gifts or payments to healthcare providers.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Interactions with Foreign Officials and Entities</w:t>
      </w:r>
    </w:p>
    <w:p>
      <w:pPr>
        <w:spacing w:after="0" w:line="228" w:lineRule="exact"/>
        <w:rPr>
          <w:sz w:val="20"/>
          <w:szCs w:val="20"/>
          <w:color w:val="auto"/>
        </w:rPr>
      </w:pPr>
    </w:p>
    <w:p>
      <w:pPr>
        <w:ind w:right="100" w:firstLine="720"/>
        <w:spacing w:after="0" w:line="246" w:lineRule="auto"/>
        <w:rPr>
          <w:sz w:val="20"/>
          <w:szCs w:val="20"/>
          <w:color w:val="auto"/>
        </w:rPr>
      </w:pPr>
      <w:r>
        <w:rPr>
          <w:rFonts w:ascii="Times New Roman" w:cs="Times New Roman" w:eastAsia="Times New Roman" w:hAnsi="Times New Roman"/>
          <w:sz w:val="20"/>
          <w:szCs w:val="20"/>
          <w:color w:val="auto"/>
        </w:rPr>
        <w:t>The U.S. Foreign Corrupt Practices Act (“</w:t>
      </w:r>
      <w:r>
        <w:rPr>
          <w:rFonts w:ascii="Times New Roman" w:cs="Times New Roman" w:eastAsia="Times New Roman" w:hAnsi="Times New Roman"/>
          <w:sz w:val="20"/>
          <w:szCs w:val="20"/>
          <w:b w:val="1"/>
          <w:bCs w:val="1"/>
          <w:color w:val="auto"/>
        </w:rPr>
        <w:t>FCPA</w:t>
      </w:r>
      <w:r>
        <w:rPr>
          <w:rFonts w:ascii="Times New Roman" w:cs="Times New Roman" w:eastAsia="Times New Roman" w:hAnsi="Times New Roman"/>
          <w:sz w:val="20"/>
          <w:szCs w:val="20"/>
          <w:color w:val="auto"/>
        </w:rPr>
        <w:t>”)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accounting provisions requiring the companies to maintain books and records that accurately and fairly reflect all transactions of the companies, including international subsidiaries, and to devise and maintain an adequate system of internal accounting controls for international operations. We are also subject to similar regulations under the Australian bribery laws and other anti-corruption laws that apply in countries where we do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Federal and State Reporting</w:t>
      </w:r>
    </w:p>
    <w:p>
      <w:pPr>
        <w:spacing w:after="0" w:line="231" w:lineRule="exact"/>
        <w:rPr>
          <w:sz w:val="20"/>
          <w:szCs w:val="20"/>
          <w:color w:val="auto"/>
        </w:rPr>
      </w:pPr>
    </w:p>
    <w:p>
      <w:pPr>
        <w:ind w:right="80" w:firstLine="720"/>
        <w:spacing w:after="0" w:line="271" w:lineRule="auto"/>
        <w:rPr>
          <w:sz w:val="20"/>
          <w:szCs w:val="20"/>
          <w:color w:val="auto"/>
        </w:rPr>
      </w:pPr>
      <w:r>
        <w:rPr>
          <w:rFonts w:ascii="Times New Roman" w:cs="Times New Roman" w:eastAsia="Times New Roman" w:hAnsi="Times New Roman"/>
          <w:sz w:val="19"/>
          <w:szCs w:val="19"/>
          <w:color w:val="auto"/>
        </w:rPr>
        <w:t>Pursuant to the federal National Physician Payment Transparence Program (Open Payments) Act, AVITA Medical is required to report annually to the Centers for Medicare and Medicaid Services within the U.S. Department of Health and Human Services. Additionally, in adhering to federal reporting requirements, all relevant state marketing reporting regulations, any payments, and transfers of value to physicians and teaching hospitals, as well as other categories of disclosures must be reported annually.</w:t>
      </w:r>
    </w:p>
    <w:p>
      <w:pPr>
        <w:sectPr>
          <w:pgSz w:w="11880" w:h="15480" w:orient="portrait"/>
          <w:cols w:equalWidth="0" w:num="1">
            <w:col w:w="10800"/>
          </w:cols>
          <w:pgMar w:left="540" w:top="1118"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10800"/>
          </w:cols>
          <w:pgMar w:left="540" w:top="1118" w:right="540"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u w:val="single" w:color="auto"/>
          <w:color w:val="auto"/>
        </w:rPr>
        <w:t>Privac</w:t>
      </w:r>
      <w:r>
        <w:rPr>
          <w:rFonts w:ascii="Times New Roman" w:cs="Times New Roman" w:eastAsia="Times New Roman" w:hAnsi="Times New Roman"/>
          <w:sz w:val="20"/>
          <w:szCs w:val="20"/>
          <w:color w:val="auto"/>
        </w:rPr>
        <w:t>y</w:t>
      </w:r>
    </w:p>
    <w:p>
      <w:pPr>
        <w:spacing w:after="0" w:line="197" w:lineRule="exact"/>
        <w:rPr>
          <w:sz w:val="20"/>
          <w:szCs w:val="20"/>
          <w:color w:val="auto"/>
        </w:rPr>
      </w:pPr>
    </w:p>
    <w:p>
      <w:pPr>
        <w:ind w:right="180" w:firstLine="720"/>
        <w:spacing w:after="0" w:line="250" w:lineRule="auto"/>
        <w:rPr>
          <w:sz w:val="20"/>
          <w:szCs w:val="20"/>
          <w:color w:val="auto"/>
        </w:rPr>
      </w:pPr>
      <w:r>
        <w:rPr>
          <w:rFonts w:ascii="Times New Roman" w:cs="Times New Roman" w:eastAsia="Times New Roman" w:hAnsi="Times New Roman"/>
          <w:sz w:val="20"/>
          <w:szCs w:val="20"/>
          <w:color w:val="auto"/>
        </w:rPr>
        <w:t>AVITA Medical must comply with the federal Health Insurance Portability and Accountability Act of 1996 (“</w:t>
      </w:r>
      <w:r>
        <w:rPr>
          <w:rFonts w:ascii="Times New Roman" w:cs="Times New Roman" w:eastAsia="Times New Roman" w:hAnsi="Times New Roman"/>
          <w:sz w:val="20"/>
          <w:szCs w:val="20"/>
          <w:b w:val="1"/>
          <w:bCs w:val="1"/>
          <w:color w:val="auto"/>
        </w:rPr>
        <w:t>HIPAA</w:t>
      </w:r>
      <w:r>
        <w:rPr>
          <w:rFonts w:ascii="Times New Roman" w:cs="Times New Roman" w:eastAsia="Times New Roman" w:hAnsi="Times New Roman"/>
          <w:sz w:val="20"/>
          <w:szCs w:val="20"/>
          <w:color w:val="auto"/>
        </w:rPr>
        <w:t>”) which imposes criminal and civil liability for, among other conduct, making false statements relating to healthcare matters and executing a scheme to defraud any healthcare benefit program. It also imposes criminal and civil liability and penalties on those who violate requirements such as mandatory contractual terms which are intended to safeguard the security, transmission and use of individually identifiable health information.</w:t>
      </w:r>
    </w:p>
    <w:p>
      <w:pPr>
        <w:spacing w:after="0" w:line="185" w:lineRule="exact"/>
        <w:rPr>
          <w:sz w:val="20"/>
          <w:szCs w:val="20"/>
          <w:color w:val="auto"/>
        </w:rPr>
      </w:pPr>
    </w:p>
    <w:p>
      <w:pPr>
        <w:ind w:right="220" w:firstLine="720"/>
        <w:spacing w:after="0" w:line="253" w:lineRule="auto"/>
        <w:rPr>
          <w:sz w:val="20"/>
          <w:szCs w:val="20"/>
          <w:color w:val="auto"/>
        </w:rPr>
      </w:pPr>
      <w:r>
        <w:rPr>
          <w:rFonts w:ascii="Times New Roman" w:cs="Times New Roman" w:eastAsia="Times New Roman" w:hAnsi="Times New Roman"/>
          <w:sz w:val="20"/>
          <w:szCs w:val="20"/>
          <w:color w:val="auto"/>
        </w:rPr>
        <w:t>Various state and foreign laws also govern the privacy and security of health information such as the European Union General Data Protection Regulation (“</w:t>
      </w:r>
      <w:r>
        <w:rPr>
          <w:rFonts w:ascii="Times New Roman" w:cs="Times New Roman" w:eastAsia="Times New Roman" w:hAnsi="Times New Roman"/>
          <w:sz w:val="20"/>
          <w:szCs w:val="20"/>
          <w:b w:val="1"/>
          <w:bCs w:val="1"/>
          <w:color w:val="auto"/>
        </w:rPr>
        <w:t>GDPR</w:t>
      </w:r>
      <w:r>
        <w:rPr>
          <w:rFonts w:ascii="Times New Roman" w:cs="Times New Roman" w:eastAsia="Times New Roman" w:hAnsi="Times New Roman"/>
          <w:sz w:val="20"/>
          <w:szCs w:val="20"/>
          <w:color w:val="auto"/>
        </w:rPr>
        <w:t>”). GDPR governs the use of individual health data and other personal information and imposes strict obligations and restrictions on the ability to use, access, process, and disseminate health data from clinical trials and adverse event reporting, among others.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HEALTH AND SAFETY MATTERS</w:t>
      </w:r>
    </w:p>
    <w:p>
      <w:pPr>
        <w:spacing w:after="0" w:line="235" w:lineRule="exact"/>
        <w:rPr>
          <w:sz w:val="20"/>
          <w:szCs w:val="20"/>
          <w:color w:val="auto"/>
        </w:rPr>
      </w:pPr>
    </w:p>
    <w:p>
      <w:pPr>
        <w:ind w:right="80" w:firstLine="720"/>
        <w:spacing w:after="0" w:line="244" w:lineRule="auto"/>
        <w:rPr>
          <w:sz w:val="20"/>
          <w:szCs w:val="20"/>
          <w:color w:val="auto"/>
        </w:rPr>
      </w:pPr>
      <w:r>
        <w:rPr>
          <w:rFonts w:ascii="Times New Roman" w:cs="Times New Roman" w:eastAsia="Times New Roman" w:hAnsi="Times New Roman"/>
          <w:sz w:val="20"/>
          <w:szCs w:val="20"/>
          <w:color w:val="auto"/>
        </w:rPr>
        <w:t>We are subject to extensive environmental, health and safety laws and regulations in a number of jurisdictions, primarily in California and the U.S., governing, among other things: the use, storage, registration, handling, emission and disposal of chemicals, waste materials and sewage; chemicals, air, water and ground contamination; and air emissions and the cleanup of contaminated sites, including any contamination that could result from spills due to our failure to properly dispose of production waste materials. Our operations at our Ventura manufacturing facility produce a small amount of waste materials that are considered minimally hazardous, and we use a third-party waste disposal company to remove any waste generated during operations from the facility. Our activities require permits from various governmental authorities including local municipal authorities. Local and state authorities may conduct periodic inspections in order to review and ensure our compliance with the various regulations. We are not presently aware of any violations or deficiencies. These laws, regulations and permits could potentially require the expenditure by us for compliance or remediation.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34"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The Company files annual, quarterly and current reports, proxy statements and other documents with the Securities and Exchange Commission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under the Exchange Act. The SEC maintains a website that contains reports, proxy and information statements, and other information regarding issuers that file electronically with the SEC. The public can obtain any documents that we file with the SEC at www.sec.gov. In addition, copies of announcements made by the Company to ASX are available on the ASX website (www.asx.com.au) and also, under the heading “Investors: Press Releases” at the following link on our website (https://ir.avitamedical.com/press-releases). We maintain a website at www.avitamedical.com. Since becoming a domestic U.S. issuer on July 1, 2020, our filings with the SEC, including without limitation, our annual reports on Form 10-K, quarterly reports on Form 10-Q, current reports on Form 8-K, and amendments to those reports filed or furnished pursuant to Section 13(a) or 15(d) of the Exchange Act, are available free of charge on our website under the heading “Investors: Financials _SEC Filings” at the following link on our website (https://ir.avitamedical.com/financials/sec-filings), as soon as reasonably practicable after we file or furnish them electronically with the SEC. Information contained on our website is not part of or incorporated into this annual report.</w:t>
      </w:r>
    </w:p>
    <w:p>
      <w:pPr>
        <w:sectPr>
          <w:pgSz w:w="11880" w:h="15480" w:orient="portrait"/>
          <w:cols w:equalWidth="0" w:num="1">
            <w:col w:w="10800"/>
          </w:cols>
          <w:pgMar w:left="540" w:top="88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10800"/>
          </w:cols>
          <w:pgMar w:left="540" w:top="887" w:right="540" w:bottom="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0"/>
          <w:szCs w:val="20"/>
          <w:b w:val="1"/>
          <w:bCs w:val="1"/>
          <w:color w:val="auto"/>
        </w:rPr>
        <w:t>ORGANIZATIONAL STRUCTURE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has a total of six subsidiaries and their corporate details and business activities are listed below:</w:t>
      </w:r>
    </w:p>
    <w:p>
      <w:pPr>
        <w:spacing w:after="0" w:line="230" w:lineRule="exact"/>
        <w:rPr>
          <w:sz w:val="20"/>
          <w:szCs w:val="20"/>
          <w:color w:val="auto"/>
        </w:rPr>
      </w:pPr>
    </w:p>
    <w:tbl>
      <w:tblPr>
        <w:tblLayout w:type="fixed"/>
        <w:tblInd w:w="1080" w:type="dxa"/>
        <w:tblCellMar>
          <w:top w:w="0" w:type="dxa"/>
          <w:left w:w="0" w:type="dxa"/>
          <w:bottom w:w="0" w:type="dxa"/>
          <w:right w:w="0" w:type="dxa"/>
        </w:tblCellMar>
      </w:tblPr>
      <w:tr>
        <w:trPr>
          <w:trHeight w:val="185"/>
        </w:trPr>
        <w:tc>
          <w:tcPr>
            <w:tcW w:w="4000" w:type="dxa"/>
            <w:vAlign w:val="bottom"/>
          </w:tcPr>
          <w:p>
            <w:pPr>
              <w:spacing w:after="0"/>
              <w:rPr>
                <w:sz w:val="16"/>
                <w:szCs w:val="16"/>
                <w:color w:val="auto"/>
              </w:rPr>
            </w:pPr>
          </w:p>
        </w:tc>
        <w:tc>
          <w:tcPr>
            <w:tcW w:w="168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Place of</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80" w:type="dxa"/>
            <w:vAlign w:val="bottom"/>
          </w:tcPr>
          <w:p>
            <w:pPr>
              <w:spacing w:after="0"/>
              <w:rPr>
                <w:sz w:val="16"/>
                <w:szCs w:val="16"/>
                <w:color w:val="auto"/>
              </w:rPr>
            </w:pPr>
          </w:p>
        </w:tc>
      </w:tr>
      <w:tr>
        <w:trPr>
          <w:trHeight w:val="222"/>
        </w:trPr>
        <w:tc>
          <w:tcPr>
            <w:tcW w:w="4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Subsidiary Name</w:t>
            </w:r>
          </w:p>
        </w:tc>
        <w:tc>
          <w:tcPr>
            <w:tcW w:w="168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Incorporation</w:t>
            </w:r>
          </w:p>
        </w:tc>
        <w:tc>
          <w:tcPr>
            <w:tcW w:w="7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Held</w:t>
            </w:r>
          </w:p>
        </w:tc>
        <w:tc>
          <w:tcPr>
            <w:tcW w:w="208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Business Purpose</w:t>
            </w:r>
          </w:p>
        </w:tc>
      </w:tr>
      <w:tr>
        <w:trPr>
          <w:trHeight w:val="329"/>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AVITA Medical Pty Limited...............................</w:t>
            </w:r>
          </w:p>
        </w:tc>
        <w:tc>
          <w:tcPr>
            <w:tcW w:w="16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Australia</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100</w:t>
            </w:r>
          </w:p>
        </w:tc>
        <w:tc>
          <w:tcPr>
            <w:tcW w:w="20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Operating Company</w:t>
            </w: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AVITA Medical Americas, LLC.........................</w:t>
            </w:r>
          </w:p>
        </w:tc>
        <w:tc>
          <w:tcPr>
            <w:tcW w:w="16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Delaware</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100</w:t>
            </w:r>
          </w:p>
        </w:tc>
        <w:tc>
          <w:tcPr>
            <w:tcW w:w="20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U.S. operations</w:t>
            </w: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AVITA Medical Europe Limited ........................</w:t>
            </w:r>
          </w:p>
        </w:tc>
        <w:tc>
          <w:tcPr>
            <w:tcW w:w="16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United Kingdom</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100</w:t>
            </w:r>
          </w:p>
        </w:tc>
        <w:tc>
          <w:tcPr>
            <w:tcW w:w="20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EMEA operations</w:t>
            </w:r>
          </w:p>
        </w:tc>
      </w:tr>
      <w:tr>
        <w:trPr>
          <w:trHeight w:val="230"/>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Visiomed Group Pty Ltd .....................................</w:t>
            </w:r>
          </w:p>
        </w:tc>
        <w:tc>
          <w:tcPr>
            <w:tcW w:w="16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Australia</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100</w:t>
            </w:r>
          </w:p>
        </w:tc>
        <w:tc>
          <w:tcPr>
            <w:tcW w:w="208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8"/>
              </w:rPr>
              <w:t>Asia Pacific Operations</w:t>
            </w:r>
          </w:p>
        </w:tc>
      </w:tr>
      <w:tr>
        <w:trPr>
          <w:trHeight w:val="228"/>
        </w:trPr>
        <w:tc>
          <w:tcPr>
            <w:tcW w:w="400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C3 Operations Pty Ltd .........................................</w:t>
            </w:r>
          </w:p>
        </w:tc>
        <w:tc>
          <w:tcPr>
            <w:tcW w:w="1680" w:type="dxa"/>
            <w:vAlign w:val="bottom"/>
          </w:tcPr>
          <w:p>
            <w:pPr>
              <w:ind w:left="80"/>
              <w:spacing w:after="0" w:line="228" w:lineRule="exact"/>
              <w:rPr>
                <w:sz w:val="20"/>
                <w:szCs w:val="20"/>
                <w:color w:val="auto"/>
              </w:rPr>
            </w:pPr>
            <w:r>
              <w:rPr>
                <w:rFonts w:ascii="Times New Roman" w:cs="Times New Roman" w:eastAsia="Times New Roman" w:hAnsi="Times New Roman"/>
                <w:sz w:val="20"/>
                <w:szCs w:val="20"/>
                <w:color w:val="auto"/>
              </w:rPr>
              <w:t>Australia</w:t>
            </w:r>
          </w:p>
        </w:tc>
        <w:tc>
          <w:tcPr>
            <w:tcW w:w="72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w w:val="99"/>
              </w:rPr>
              <w:t>100</w:t>
            </w:r>
          </w:p>
        </w:tc>
        <w:tc>
          <w:tcPr>
            <w:tcW w:w="2080" w:type="dxa"/>
            <w:vAlign w:val="bottom"/>
          </w:tcPr>
          <w:p>
            <w:pPr>
              <w:ind w:left="180"/>
              <w:spacing w:after="0" w:line="228" w:lineRule="exact"/>
              <w:rPr>
                <w:sz w:val="20"/>
                <w:szCs w:val="20"/>
                <w:color w:val="auto"/>
              </w:rPr>
            </w:pPr>
            <w:r>
              <w:rPr>
                <w:rFonts w:ascii="Times New Roman" w:cs="Times New Roman" w:eastAsia="Times New Roman" w:hAnsi="Times New Roman"/>
                <w:sz w:val="20"/>
                <w:szCs w:val="20"/>
                <w:color w:val="auto"/>
              </w:rPr>
              <w:t>Holding company</w:t>
            </w:r>
          </w:p>
        </w:tc>
      </w:tr>
      <w:tr>
        <w:trPr>
          <w:trHeight w:val="267"/>
        </w:trPr>
        <w:tc>
          <w:tcPr>
            <w:tcW w:w="4000" w:type="dxa"/>
            <w:vAlign w:val="bottom"/>
          </w:tcPr>
          <w:p>
            <w:pPr>
              <w:spacing w:after="0"/>
              <w:rPr>
                <w:sz w:val="20"/>
                <w:szCs w:val="20"/>
                <w:color w:val="auto"/>
              </w:rPr>
            </w:pPr>
            <w:r>
              <w:rPr>
                <w:rFonts w:ascii="Times New Roman" w:cs="Times New Roman" w:eastAsia="Times New Roman" w:hAnsi="Times New Roman"/>
                <w:sz w:val="20"/>
                <w:szCs w:val="20"/>
                <w:color w:val="auto"/>
              </w:rPr>
              <w:t>Infamed Pty Ltd...................................................</w:t>
            </w:r>
          </w:p>
        </w:tc>
        <w:tc>
          <w:tcPr>
            <w:tcW w:w="16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Australia</w:t>
            </w:r>
          </w:p>
        </w:tc>
        <w:tc>
          <w:tcPr>
            <w:tcW w:w="7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100</w:t>
            </w:r>
          </w:p>
        </w:tc>
        <w:tc>
          <w:tcPr>
            <w:tcW w:w="20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Inactive</w:t>
            </w: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27" w:lineRule="exact"/>
        <w:rPr>
          <w:sz w:val="20"/>
          <w:szCs w:val="20"/>
          <w:color w:val="auto"/>
        </w:rPr>
      </w:pPr>
    </w:p>
    <w:p>
      <w:pPr>
        <w:ind w:firstLine="720"/>
        <w:spacing w:after="0" w:line="236" w:lineRule="auto"/>
        <w:rPr>
          <w:sz w:val="20"/>
          <w:szCs w:val="20"/>
          <w:color w:val="auto"/>
        </w:rPr>
      </w:pPr>
      <w:r>
        <w:rPr>
          <w:rFonts w:ascii="Times New Roman" w:cs="Times New Roman" w:eastAsia="Times New Roman" w:hAnsi="Times New Roman"/>
          <w:sz w:val="20"/>
          <w:szCs w:val="20"/>
          <w:color w:val="auto"/>
        </w:rPr>
        <w:t>Our business faces significant risks. You should carefully consider all of the information set forth in this annual report, including the following risk factors. Our business, results of operations, and financial condition could be materially and adversely affected by any of these risks, and in such event, the trading price of our common stock would likely decline, and you might lose all or part of your investment. This Annual Report also contains forward-looking statements that involve risks and uncertainties, and our results could materially differ from those anticipated in these forward-looking statements. See “</w:t>
      </w:r>
      <w:r>
        <w:rPr>
          <w:rFonts w:ascii="Times New Roman" w:cs="Times New Roman" w:eastAsia="Times New Roman" w:hAnsi="Times New Roman"/>
          <w:sz w:val="20"/>
          <w:szCs w:val="20"/>
          <w:i w:val="1"/>
          <w:iCs w:val="1"/>
          <w:color w:val="auto"/>
        </w:rPr>
        <w:t>Forward-Looking Statements</w:t>
      </w:r>
      <w:r>
        <w:rPr>
          <w:rFonts w:ascii="Times New Roman" w:cs="Times New Roman" w:eastAsia="Times New Roman" w:hAnsi="Times New Roman"/>
          <w:sz w:val="20"/>
          <w:szCs w:val="20"/>
          <w:color w:val="auto"/>
        </w:rPr>
        <w:t>” included elsewhere within this Annual Report for a discussion of certain risks, uncertainties and assumptions associated with these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Operations</w:t>
      </w:r>
    </w:p>
    <w:p>
      <w:pPr>
        <w:spacing w:after="0" w:line="216"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20"/>
          <w:szCs w:val="20"/>
          <w:b w:val="1"/>
          <w:bCs w:val="1"/>
          <w:i w:val="1"/>
          <w:iCs w:val="1"/>
          <w:color w:val="auto"/>
        </w:rPr>
        <w:t>We have experienced significant losses, expect losses to continue for the foreseeable future and may never achieve or maintain profitability.</w:t>
      </w:r>
    </w:p>
    <w:p>
      <w:pPr>
        <w:spacing w:after="0" w:line="150" w:lineRule="exact"/>
        <w:rPr>
          <w:sz w:val="20"/>
          <w:szCs w:val="20"/>
          <w:color w:val="auto"/>
        </w:rPr>
      </w:pPr>
    </w:p>
    <w:p>
      <w:pPr>
        <w:ind w:firstLine="720"/>
        <w:spacing w:after="0" w:line="236" w:lineRule="auto"/>
        <w:rPr>
          <w:sz w:val="20"/>
          <w:szCs w:val="20"/>
          <w:color w:val="auto"/>
        </w:rPr>
      </w:pPr>
      <w:r>
        <w:rPr>
          <w:rFonts w:ascii="Times New Roman" w:cs="Times New Roman" w:eastAsia="Times New Roman" w:hAnsi="Times New Roman"/>
          <w:sz w:val="20"/>
          <w:szCs w:val="20"/>
          <w:color w:val="auto"/>
        </w:rPr>
        <w:t>Although we have begun full scale marketing and sales of our RECELL</w:t>
      </w:r>
      <w:r>
        <w:rPr>
          <w:rFonts w:ascii="Times New Roman" w:cs="Times New Roman" w:eastAsia="Times New Roman" w:hAnsi="Times New Roman"/>
          <w:sz w:val="11"/>
          <w:szCs w:val="11"/>
          <w:color w:val="auto"/>
        </w:rPr>
        <w:t>®</w:t>
      </w:r>
      <w:r>
        <w:rPr>
          <w:rFonts w:ascii="Times New Roman" w:cs="Times New Roman" w:eastAsia="Times New Roman" w:hAnsi="Times New Roman"/>
          <w:sz w:val="20"/>
          <w:szCs w:val="20"/>
          <w:color w:val="auto"/>
        </w:rPr>
        <w:t xml:space="preserve"> System in the United States and other jurisdictions, such sales have been limited to date and we have not yet obtained profitability. We had a total net loss of $26.7 million and $25.1 million for the year-ended December 31, 2022 and the year-ended December 31, 2021, respectively. We have incurred a cumulative deficit of $262.6 million through December 31, 2022. We anticipate that we may continue to incur losses at least until U.S. sales of the RECELL System are adequate to fund operating expenses. We may not be able to successfully achieve or sustain profitability. Successful transition to profitable operations is dependent upon achieving a level of revenues adequate to support our cost structure, including in new markets for which we are not presently approved.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Provisions in our U.S. government contracts, including our contracts with BARDA, may affect our intellectual property rights.</w:t>
      </w:r>
    </w:p>
    <w:p>
      <w:pPr>
        <w:spacing w:after="0" w:line="210" w:lineRule="exact"/>
        <w:rPr>
          <w:sz w:val="20"/>
          <w:szCs w:val="20"/>
          <w:color w:val="auto"/>
        </w:rPr>
      </w:pPr>
    </w:p>
    <w:p>
      <w:pPr>
        <w:ind w:firstLine="720"/>
        <w:spacing w:after="0" w:line="235" w:lineRule="auto"/>
        <w:rPr>
          <w:sz w:val="20"/>
          <w:szCs w:val="20"/>
          <w:color w:val="auto"/>
        </w:rPr>
      </w:pPr>
      <w:r>
        <w:rPr>
          <w:rFonts w:ascii="Times New Roman" w:cs="Times New Roman" w:eastAsia="Times New Roman" w:hAnsi="Times New Roman"/>
          <w:sz w:val="20"/>
          <w:szCs w:val="20"/>
          <w:color w:val="auto"/>
        </w:rPr>
        <w:t>Certain of our activities have been funded, and may in the future be funded, by the U.S. government, including through our contracts with BARDA. When new technologies are developed with U.S. government funding, the government obtains certain rights in any resulting patents, including the right to a nonexclusive license authorizing the government to use the invention and rights that may permit the government to disclose our confidential information to third parties and to exercise “march-in” rights. The government can exercise its march-in rights if it determines that action is necessary because we fail to achieve practical application of the U.S. government-funded technology, because action is necessary to alleviate health or safety needs, to meet requirements of federal regulations, or to give preference to U.S. industry. In addition, U.S. government-funded inventions must be reported to the government, U.S. government funding must be disclosed in any resulting patent applications, and our rights in such inventions may be subject to certain requirements to manufacture products in the United States.</w:t>
      </w:r>
    </w:p>
    <w:p>
      <w:pPr>
        <w:spacing w:after="0" w:line="200"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Development and commercialization of our products require successful completion of the regulatory approval process and may suffer delays or fail. We may be unsuccessful in obtaining additional approvals for our RECELL System for soft tissue repair and skin conditions such as vitiligo.</w:t>
      </w:r>
    </w:p>
    <w:p>
      <w:pPr>
        <w:spacing w:after="0" w:line="169" w:lineRule="exact"/>
        <w:rPr>
          <w:sz w:val="20"/>
          <w:szCs w:val="20"/>
          <w:color w:val="auto"/>
        </w:rPr>
      </w:pPr>
    </w:p>
    <w:p>
      <w:pPr>
        <w:ind w:firstLine="721"/>
        <w:spacing w:after="0" w:line="235" w:lineRule="auto"/>
        <w:rPr>
          <w:sz w:val="20"/>
          <w:szCs w:val="20"/>
          <w:color w:val="auto"/>
        </w:rPr>
      </w:pPr>
      <w:r>
        <w:rPr>
          <w:rFonts w:ascii="Times New Roman" w:cs="Times New Roman" w:eastAsia="Times New Roman" w:hAnsi="Times New Roman"/>
          <w:sz w:val="20"/>
          <w:szCs w:val="20"/>
          <w:color w:val="auto"/>
        </w:rPr>
        <w:t>In the United States, as well as other jurisdictions, we have been and will be required to apply for and receive regulatory authorization before we can market our products. Although our RECELL System has been approved for use in the treatment of acute partial-thickness thermal burn wounds in patients 18 years of age and older or application in combination with meshed autografting for acute full-thickness thermal burn wounds in pediatric and adult patients in the United States, we are looking to expand the indications of the product for use in soft tissue repair and vitiligo. In December 2022, the company submitted a PMA supplement to expand the use of RECELL for soft tissue repair and an original PMA application for the use of RECELL for treatment of vitiligo. While clinical trials for such uses are nearing completion, there can be no assurance that we will be successful in those clinical trials or ever receive approval by the FDA for the use of our RECELL System for such additional applications. Such a failure of approval would have a material negative effect on our future prospects.</w:t>
      </w:r>
    </w:p>
    <w:p>
      <w:pPr>
        <w:sectPr>
          <w:pgSz w:w="11880" w:h="15480" w:orient="portrait"/>
          <w:cols w:equalWidth="0" w:num="1">
            <w:col w:w="10780"/>
          </w:cols>
          <w:pgMar w:left="540" w:top="884" w:right="560" w:bottom="0" w:gutter="0" w:footer="0" w:header="0"/>
        </w:sectPr>
      </w:pP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10780"/>
          </w:cols>
          <w:pgMar w:left="540" w:top="884" w:right="560" w:bottom="0" w:gutter="0" w:footer="0" w:header="0"/>
          <w:type w:val="continuous"/>
        </w:sectPr>
      </w:pPr>
    </w:p>
    <w:bookmarkStart w:id="20" w:name="page21"/>
    <w:bookmarkEnd w:id="20"/>
    <w:p>
      <w:pPr>
        <w:ind w:right="60" w:firstLine="720"/>
        <w:spacing w:after="0" w:line="243" w:lineRule="auto"/>
        <w:rPr>
          <w:sz w:val="20"/>
          <w:szCs w:val="20"/>
          <w:color w:val="auto"/>
        </w:rPr>
      </w:pPr>
      <w:r>
        <w:rPr>
          <w:rFonts w:ascii="Times New Roman" w:cs="Times New Roman" w:eastAsia="Times New Roman" w:hAnsi="Times New Roman"/>
          <w:sz w:val="20"/>
          <w:szCs w:val="20"/>
          <w:color w:val="auto"/>
        </w:rPr>
        <w:t>In Australia, the RECELL System is approved to use for the treatment of burns, acute wounds, scars and vitiligo. In the EU the product has been approved for the treatment of burns, chronic wounds, scars and vitiligo. We worked with COSMOTEC to advance our application for approval of the RECELL System in Japan pursuant to Japan’s Pharmaceuticals and Medical Devices Act (“</w:t>
      </w:r>
      <w:r>
        <w:rPr>
          <w:rFonts w:ascii="Times New Roman" w:cs="Times New Roman" w:eastAsia="Times New Roman" w:hAnsi="Times New Roman"/>
          <w:sz w:val="20"/>
          <w:szCs w:val="20"/>
          <w:b w:val="1"/>
          <w:bCs w:val="1"/>
          <w:color w:val="auto"/>
        </w:rPr>
        <w:t>PMDA</w:t>
      </w:r>
      <w:r>
        <w:rPr>
          <w:rFonts w:ascii="Times New Roman" w:cs="Times New Roman" w:eastAsia="Times New Roman" w:hAnsi="Times New Roman"/>
          <w:sz w:val="20"/>
          <w:szCs w:val="20"/>
          <w:color w:val="auto"/>
        </w:rPr>
        <w:t>”). In February 2022, our application for regulatory approval was approved by the PMDA for both adult and pediatric burns. We will require additional clinical data or approvals from regulatory authorities within these countries to market the product for the treatment of other indications, and from any other jurisdictions in which we seek to market the product. This process can be time consuming and complicated and may be unsuccessful or otherwise result in unanticipated delays or fail altogether. To secure marketing authorization, an applicant generally is required to submit an application that includes the data supporting preclinical and clinical safety and effectiveness as well as detailed information on the manufacturing and control of the product, proposed labeling and other additional information. Before marketing authorization is granted, regulatory authorities may require the inspection of the manufacturing facility or facilities and quality systems (including those of third parties) at which the product candidate is manufactured and tested, as well as potential audits of the non-clinical and clinical trial sites that generated the data cited in the marketing authorization application.</w:t>
      </w:r>
    </w:p>
    <w:p>
      <w:pPr>
        <w:spacing w:after="0" w:line="194"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color w:val="auto"/>
        </w:rPr>
        <w:t>We cannot predict whether any additional marketing authorizations will ultimately be granted or how long the applicable regulatory authority or agency will take to do so. Regulatory agencies, including the FDA, have substantial discretion in the approval process. In addition, the approval process and the requirements governing clinical trials vary from country to country. The policies of the FDA or other regulatory authorities may change, and additional government regulations may be enacted that could prevent, limit or delay the necessary approval of any products we may develop and commercialize. We cannot predict the likelihood, nature or extent of government regulation that may arise from future legislation or administrative action, either in the United States or elsewhere. If we are slow or unable to adapt to new or changed requirements, or if we are not able to maintain regulatory compliance, we may lose any marketing approval that we may have obtained, and we may not achieve or sustain profitability.</w:t>
      </w:r>
    </w:p>
    <w:p>
      <w:pPr>
        <w:spacing w:after="0" w:line="191" w:lineRule="exact"/>
        <w:rPr>
          <w:sz w:val="20"/>
          <w:szCs w:val="20"/>
          <w:color w:val="auto"/>
        </w:rPr>
      </w:pPr>
    </w:p>
    <w:p>
      <w:pPr>
        <w:ind w:firstLine="721"/>
        <w:spacing w:after="0" w:line="247" w:lineRule="auto"/>
        <w:rPr>
          <w:sz w:val="20"/>
          <w:szCs w:val="20"/>
          <w:color w:val="auto"/>
        </w:rPr>
      </w:pPr>
      <w:r>
        <w:rPr>
          <w:rFonts w:ascii="Times New Roman" w:cs="Times New Roman" w:eastAsia="Times New Roman" w:hAnsi="Times New Roman"/>
          <w:sz w:val="20"/>
          <w:szCs w:val="20"/>
          <w:color w:val="auto"/>
        </w:rPr>
        <w:t>Additionally, any future regulatory approvals that we receive may also contain requirements for costly post-marketing testing and surveillance to monitor the safety and effectiveness of the product. Once a product is approved, the manufacturing processes, labeling, packaging, distribution, adverse event reporting, storage, advertising, promotion, import, export, and recordkeeping for the product will be subject to extensive and ongoing regulatory requirements. These requirements include submission of safety and other post-marketing reports, registration, and continued compliance with good manufacturing practices for any clinical trials that we conduct post-approval.</w:t>
      </w:r>
    </w:p>
    <w:p>
      <w:pPr>
        <w:spacing w:after="0" w:line="191" w:lineRule="exact"/>
        <w:rPr>
          <w:sz w:val="20"/>
          <w:szCs w:val="20"/>
          <w:color w:val="auto"/>
        </w:rPr>
      </w:pPr>
    </w:p>
    <w:p>
      <w:pPr>
        <w:jc w:val="both"/>
        <w:ind w:right="60" w:firstLine="721"/>
        <w:spacing w:after="0" w:line="258" w:lineRule="auto"/>
        <w:rPr>
          <w:sz w:val="20"/>
          <w:szCs w:val="20"/>
          <w:color w:val="auto"/>
        </w:rPr>
      </w:pPr>
      <w:r>
        <w:rPr>
          <w:rFonts w:ascii="Times New Roman" w:cs="Times New Roman" w:eastAsia="Times New Roman" w:hAnsi="Times New Roman"/>
          <w:sz w:val="20"/>
          <w:szCs w:val="20"/>
          <w:color w:val="auto"/>
        </w:rPr>
        <w:t>Finally, per FDA regulations, changes made to products, specifications, or test data evaluation methodology would generally require communication with the FDA. There are several pathways for communicating with the FDA of such changes. As part of such review, the FDA may request additional information, at which time the product may become temporarily unavailable.</w:t>
      </w:r>
    </w:p>
    <w:p>
      <w:pPr>
        <w:spacing w:after="0" w:line="179" w:lineRule="exact"/>
        <w:rPr>
          <w:sz w:val="20"/>
          <w:szCs w:val="20"/>
          <w:color w:val="auto"/>
        </w:rPr>
      </w:pPr>
    </w:p>
    <w:p>
      <w:pPr>
        <w:ind w:right="8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regulatory approval for a product candidate in one jurisdiction does not mean that we will be successful in obtaining regulatory approval for that product candidate in other jurisdictions.</w:t>
      </w:r>
    </w:p>
    <w:p>
      <w:pPr>
        <w:spacing w:after="0" w:line="159" w:lineRule="exact"/>
        <w:rPr>
          <w:sz w:val="20"/>
          <w:szCs w:val="20"/>
          <w:color w:val="auto"/>
        </w:rPr>
      </w:pPr>
    </w:p>
    <w:p>
      <w:pPr>
        <w:ind w:right="140" w:firstLine="721"/>
        <w:spacing w:after="0" w:line="244" w:lineRule="auto"/>
        <w:rPr>
          <w:sz w:val="20"/>
          <w:szCs w:val="20"/>
          <w:color w:val="auto"/>
        </w:rPr>
      </w:pPr>
      <w:r>
        <w:rPr>
          <w:rFonts w:ascii="Times New Roman" w:cs="Times New Roman" w:eastAsia="Times New Roman" w:hAnsi="Times New Roman"/>
          <w:sz w:val="20"/>
          <w:szCs w:val="20"/>
          <w:color w:val="auto"/>
        </w:rPr>
        <w:t>Obtaining and maintaining regulatory approval for a product in one jurisdiction does not guarantee that we will be able to obtain or maintain similar approval in other jurisdictions, while a failure or delay in obtaining regulatory approval in one jurisdiction may have a negative effect on the regulatory approval process in others. For example, even if the FDA grants marketing approval for use of our RECELL System for the treatment soft tissue repair and/or vitiligo, comparable regulatory authorities in foreign jurisdictions must also approve the manufacturing, marketing and promotion of the product candidate in those countries if not currently approved.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medical device must be approved for reimbursement before it can be approved for sale in that jurisdiction. In some cases, the price that we intend to charge for our products is also subject to approval.</w:t>
      </w:r>
    </w:p>
    <w:p>
      <w:pPr>
        <w:spacing w:after="0" w:line="215"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are highly dependent on our regulatory approval in the United States and failure to maintain that approval would materially impact our business and prospects.</w:t>
      </w:r>
    </w:p>
    <w:p>
      <w:pPr>
        <w:spacing w:after="0" w:line="159" w:lineRule="exact"/>
        <w:rPr>
          <w:sz w:val="20"/>
          <w:szCs w:val="20"/>
          <w:color w:val="auto"/>
        </w:rPr>
      </w:pPr>
    </w:p>
    <w:p>
      <w:pPr>
        <w:ind w:right="20" w:firstLine="721"/>
        <w:spacing w:after="0" w:line="249" w:lineRule="auto"/>
        <w:rPr>
          <w:sz w:val="20"/>
          <w:szCs w:val="20"/>
          <w:color w:val="auto"/>
        </w:rPr>
      </w:pPr>
      <w:r>
        <w:rPr>
          <w:rFonts w:ascii="Times New Roman" w:cs="Times New Roman" w:eastAsia="Times New Roman" w:hAnsi="Times New Roman"/>
          <w:sz w:val="20"/>
          <w:szCs w:val="20"/>
          <w:color w:val="auto"/>
        </w:rPr>
        <w:t>Our business is highly dependent on the PMA we received in September 2018 from the FDA. This PMA allows us to sell our RECELL System in the United States, our current primary market. In addition, maintaining this PMA also increases the probability of approval of secondary indications for the PMA outside of burns. While we intend to take every action and precaution to ensure that our PMA remains effective, it is possible that the FDA could take a position in the future that requires a modification, temporary suspension or revocation of our PMA. Any such action by the FDA would have a material adverse effect on our business.</w:t>
      </w:r>
    </w:p>
    <w:p>
      <w:pPr>
        <w:sectPr>
          <w:pgSz w:w="11880" w:h="15480" w:orient="portrait"/>
          <w:cols w:equalWidth="0" w:num="1">
            <w:col w:w="10760"/>
          </w:cols>
          <w:pgMar w:left="540" w:top="1118"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10760"/>
          </w:cols>
          <w:pgMar w:left="540" w:top="1118" w:right="580" w:bottom="0" w:gutter="0" w:footer="0" w:header="0"/>
          <w:type w:val="continuous"/>
        </w:sectPr>
      </w:pPr>
    </w:p>
    <w:bookmarkStart w:id="21" w:name="page22"/>
    <w:bookmarkEnd w:id="21"/>
    <w:p>
      <w:pPr>
        <w:ind w:right="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encounter substantial delays in any further clinical studies necessary to support any regulatory applications for additional commercial applications of our technology.</w:t>
      </w:r>
    </w:p>
    <w:p>
      <w:pPr>
        <w:spacing w:after="0" w:line="156" w:lineRule="exact"/>
        <w:rPr>
          <w:sz w:val="20"/>
          <w:szCs w:val="20"/>
          <w:color w:val="auto"/>
        </w:rPr>
      </w:pPr>
    </w:p>
    <w:p>
      <w:pPr>
        <w:ind w:right="20" w:firstLine="720"/>
        <w:spacing w:after="0" w:line="259" w:lineRule="auto"/>
        <w:rPr>
          <w:sz w:val="20"/>
          <w:szCs w:val="20"/>
          <w:color w:val="auto"/>
        </w:rPr>
      </w:pPr>
      <w:r>
        <w:rPr>
          <w:rFonts w:ascii="Times New Roman" w:cs="Times New Roman" w:eastAsia="Times New Roman" w:hAnsi="Times New Roman"/>
          <w:sz w:val="20"/>
          <w:szCs w:val="20"/>
          <w:color w:val="auto"/>
        </w:rPr>
        <w:t>We cannot guarantee that any preclinical testing or clinical trials will be conducted as planned or completed on schedule, if at all. As a result, we may not achieve the expected clinical milestones necessary for approval by the FDA, or other regulators, for the use of our RECELL System for additional applications in the United States or other countries.</w:t>
      </w:r>
    </w:p>
    <w:p>
      <w:pPr>
        <w:spacing w:after="0" w:line="177" w:lineRule="exact"/>
        <w:rPr>
          <w:sz w:val="20"/>
          <w:szCs w:val="20"/>
          <w:color w:val="auto"/>
        </w:rPr>
      </w:pPr>
    </w:p>
    <w:p>
      <w:pPr>
        <w:ind w:right="360" w:firstLine="720"/>
        <w:spacing w:after="0" w:line="246" w:lineRule="auto"/>
        <w:rPr>
          <w:sz w:val="20"/>
          <w:szCs w:val="20"/>
          <w:color w:val="auto"/>
        </w:rPr>
      </w:pPr>
      <w:r>
        <w:rPr>
          <w:rFonts w:ascii="Times New Roman" w:cs="Times New Roman" w:eastAsia="Times New Roman" w:hAnsi="Times New Roman"/>
          <w:sz w:val="20"/>
          <w:szCs w:val="20"/>
          <w:color w:val="auto"/>
        </w:rPr>
        <w:t>A failure in a clinical study or regulatory application can occur at any stage. Events that may prevent successful or timely commencement, enrollment or completion of clinical development or a regulatory application include:</w:t>
      </w:r>
    </w:p>
    <w:p>
      <w:pPr>
        <w:spacing w:after="0" w:line="1" w:lineRule="exact"/>
        <w:rPr>
          <w:sz w:val="20"/>
          <w:szCs w:val="20"/>
          <w:color w:val="auto"/>
        </w:rPr>
      </w:pPr>
    </w:p>
    <w:p>
      <w:pPr>
        <w:ind w:left="1080" w:hanging="360"/>
        <w:spacing w:after="0"/>
        <w:tabs>
          <w:tab w:leader="none" w:pos="10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raising, or inability to raise, sufficient capital to fund the planned trials;</w:t>
      </w:r>
    </w:p>
    <w:p>
      <w:pPr>
        <w:spacing w:after="0" w:line="13" w:lineRule="exact"/>
        <w:rPr>
          <w:rFonts w:ascii="Arial" w:cs="Arial" w:eastAsia="Arial" w:hAnsi="Arial"/>
          <w:sz w:val="20"/>
          <w:szCs w:val="20"/>
          <w:color w:val="auto"/>
        </w:rPr>
      </w:pPr>
    </w:p>
    <w:p>
      <w:pPr>
        <w:ind w:left="1080" w:hanging="360"/>
        <w:spacing w:after="0"/>
        <w:tabs>
          <w:tab w:leader="none" w:pos="10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reaching a consensus with regulatory agencies on trial design;</w:t>
      </w:r>
    </w:p>
    <w:p>
      <w:pPr>
        <w:spacing w:after="0" w:line="13" w:lineRule="exact"/>
        <w:rPr>
          <w:rFonts w:ascii="Arial" w:cs="Arial" w:eastAsia="Arial" w:hAnsi="Arial"/>
          <w:sz w:val="20"/>
          <w:szCs w:val="20"/>
          <w:color w:val="auto"/>
        </w:rPr>
      </w:pPr>
    </w:p>
    <w:p>
      <w:pPr>
        <w:ind w:left="1080" w:hanging="360"/>
        <w:spacing w:after="0"/>
        <w:tabs>
          <w:tab w:leader="none" w:pos="10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trial design;</w:t>
      </w:r>
    </w:p>
    <w:p>
      <w:pPr>
        <w:spacing w:after="0" w:line="14" w:lineRule="exact"/>
        <w:rPr>
          <w:rFonts w:ascii="Arial" w:cs="Arial" w:eastAsia="Arial" w:hAnsi="Arial"/>
          <w:sz w:val="20"/>
          <w:szCs w:val="20"/>
          <w:color w:val="auto"/>
        </w:rPr>
      </w:pPr>
    </w:p>
    <w:p>
      <w:pPr>
        <w:ind w:left="1080" w:hanging="360"/>
        <w:spacing w:after="0"/>
        <w:tabs>
          <w:tab w:leader="none" w:pos="10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inability to identify, recruit and train suitable clinical investigators;</w:t>
      </w:r>
    </w:p>
    <w:p>
      <w:pPr>
        <w:spacing w:after="0" w:line="13" w:lineRule="exact"/>
        <w:rPr>
          <w:rFonts w:ascii="Arial" w:cs="Arial" w:eastAsia="Arial" w:hAnsi="Arial"/>
          <w:sz w:val="20"/>
          <w:szCs w:val="20"/>
          <w:color w:val="auto"/>
        </w:rPr>
      </w:pPr>
    </w:p>
    <w:p>
      <w:pPr>
        <w:ind w:left="1080" w:hanging="360"/>
        <w:spacing w:after="0"/>
        <w:tabs>
          <w:tab w:leader="none" w:pos="10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inability to add new clinical trial sites;</w:t>
      </w:r>
    </w:p>
    <w:p>
      <w:pPr>
        <w:spacing w:after="0" w:line="11" w:lineRule="exact"/>
        <w:rPr>
          <w:rFonts w:ascii="Arial" w:cs="Arial" w:eastAsia="Arial" w:hAnsi="Arial"/>
          <w:sz w:val="20"/>
          <w:szCs w:val="20"/>
          <w:color w:val="auto"/>
        </w:rPr>
      </w:pPr>
    </w:p>
    <w:p>
      <w:pPr>
        <w:ind w:left="1080" w:right="400" w:hanging="360"/>
        <w:spacing w:after="0" w:line="247" w:lineRule="auto"/>
        <w:tabs>
          <w:tab w:leader="none" w:pos="10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reaching agreement on acceptable terms for the performance of the trials with prospective clinical research organizations and clinical trial sites;</w:t>
      </w:r>
    </w:p>
    <w:p>
      <w:pPr>
        <w:ind w:left="1080" w:hanging="360"/>
        <w:spacing w:after="0"/>
        <w:tabs>
          <w:tab w:leader="none" w:pos="10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recruiting suitable clinical sites and patients (i.e., subjects) to participate in clinical trials;</w:t>
      </w:r>
    </w:p>
    <w:p>
      <w:pPr>
        <w:spacing w:after="0" w:line="13" w:lineRule="exact"/>
        <w:rPr>
          <w:rFonts w:ascii="Arial" w:cs="Arial" w:eastAsia="Arial" w:hAnsi="Arial"/>
          <w:sz w:val="20"/>
          <w:szCs w:val="20"/>
          <w:color w:val="auto"/>
        </w:rPr>
      </w:pPr>
    </w:p>
    <w:p>
      <w:pPr>
        <w:ind w:left="1080" w:right="60" w:hanging="360"/>
        <w:spacing w:after="0" w:line="246" w:lineRule="auto"/>
        <w:tabs>
          <w:tab w:leader="none" w:pos="10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imposition of a clinical hold by regulatory agencies for any reason, including negative clinical results, safety concerns or as a result of an inspection of manufacturing or clinical operations or trial sites;</w:t>
      </w:r>
    </w:p>
    <w:p>
      <w:pPr>
        <w:ind w:left="1080" w:hanging="360"/>
        <w:spacing w:after="0"/>
        <w:tabs>
          <w:tab w:leader="none" w:pos="10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failure by any relevant parties to adhere to clinical trial requirements;</w:t>
      </w:r>
    </w:p>
    <w:p>
      <w:pPr>
        <w:spacing w:after="0" w:line="13" w:lineRule="exact"/>
        <w:rPr>
          <w:rFonts w:ascii="Arial" w:cs="Arial" w:eastAsia="Arial" w:hAnsi="Arial"/>
          <w:sz w:val="20"/>
          <w:szCs w:val="20"/>
          <w:color w:val="auto"/>
        </w:rPr>
      </w:pPr>
    </w:p>
    <w:p>
      <w:pPr>
        <w:ind w:left="1080" w:hanging="360"/>
        <w:spacing w:after="0" w:line="247" w:lineRule="auto"/>
        <w:tabs>
          <w:tab w:leader="none" w:pos="10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failure to perform in accordance with the FDA’s Good Clinical Practice (“</w:t>
      </w:r>
      <w:r>
        <w:rPr>
          <w:rFonts w:ascii="Times New Roman" w:cs="Times New Roman" w:eastAsia="Times New Roman" w:hAnsi="Times New Roman"/>
          <w:sz w:val="20"/>
          <w:szCs w:val="20"/>
          <w:b w:val="1"/>
          <w:bCs w:val="1"/>
          <w:color w:val="auto"/>
        </w:rPr>
        <w:t>GCPs</w:t>
      </w:r>
      <w:r>
        <w:rPr>
          <w:rFonts w:ascii="Times New Roman" w:cs="Times New Roman" w:eastAsia="Times New Roman" w:hAnsi="Times New Roman"/>
          <w:sz w:val="20"/>
          <w:szCs w:val="20"/>
          <w:color w:val="auto"/>
        </w:rPr>
        <w:t>”), or applicable regulatory guidelines in other countries;</w:t>
      </w:r>
    </w:p>
    <w:p>
      <w:pPr>
        <w:ind w:left="1080" w:hanging="360"/>
        <w:spacing w:after="0"/>
        <w:tabs>
          <w:tab w:leader="none" w:pos="10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the testing, validation, manufacturing and delivery of the product candidates to the clinical sites;</w:t>
      </w:r>
    </w:p>
    <w:p>
      <w:pPr>
        <w:spacing w:after="0" w:line="13" w:lineRule="exact"/>
        <w:rPr>
          <w:rFonts w:ascii="Arial" w:cs="Arial" w:eastAsia="Arial" w:hAnsi="Arial"/>
          <w:sz w:val="20"/>
          <w:szCs w:val="20"/>
          <w:color w:val="auto"/>
        </w:rPr>
      </w:pPr>
    </w:p>
    <w:p>
      <w:pPr>
        <w:ind w:left="1080" w:hanging="360"/>
        <w:spacing w:after="0"/>
        <w:tabs>
          <w:tab w:leader="none" w:pos="10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delays caused by clinical trial sites not completing a trial;</w:t>
      </w:r>
    </w:p>
    <w:p>
      <w:pPr>
        <w:spacing w:after="0" w:line="14" w:lineRule="exact"/>
        <w:rPr>
          <w:rFonts w:ascii="Arial" w:cs="Arial" w:eastAsia="Arial" w:hAnsi="Arial"/>
          <w:sz w:val="20"/>
          <w:szCs w:val="20"/>
          <w:color w:val="auto"/>
        </w:rPr>
      </w:pPr>
    </w:p>
    <w:p>
      <w:pPr>
        <w:ind w:left="1080" w:hanging="360"/>
        <w:spacing w:after="0"/>
        <w:tabs>
          <w:tab w:leader="none" w:pos="10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failure to demonstrate adequate effectiveness;</w:t>
      </w:r>
    </w:p>
    <w:p>
      <w:pPr>
        <w:spacing w:after="0" w:line="11" w:lineRule="exact"/>
        <w:rPr>
          <w:rFonts w:ascii="Arial" w:cs="Arial" w:eastAsia="Arial" w:hAnsi="Arial"/>
          <w:sz w:val="20"/>
          <w:szCs w:val="20"/>
          <w:color w:val="auto"/>
        </w:rPr>
      </w:pPr>
    </w:p>
    <w:p>
      <w:pPr>
        <w:ind w:left="1080" w:right="220" w:hanging="360"/>
        <w:spacing w:after="0" w:line="247" w:lineRule="auto"/>
        <w:tabs>
          <w:tab w:leader="none" w:pos="10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occurrence of serious adverse events in clinical trials that are associated with the product candidates that are viewed to outweigh its potential benefits;</w:t>
      </w:r>
    </w:p>
    <w:p>
      <w:pPr>
        <w:ind w:left="1080" w:hanging="360"/>
        <w:spacing w:after="0"/>
        <w:tabs>
          <w:tab w:leader="none" w:pos="10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regulatory requirements and guidance that require amending or submitting new clinical protocols;</w:t>
      </w:r>
    </w:p>
    <w:p>
      <w:pPr>
        <w:spacing w:after="0" w:line="13" w:lineRule="exact"/>
        <w:rPr>
          <w:rFonts w:ascii="Arial" w:cs="Arial" w:eastAsia="Arial" w:hAnsi="Arial"/>
          <w:sz w:val="20"/>
          <w:szCs w:val="20"/>
          <w:color w:val="auto"/>
        </w:rPr>
      </w:pPr>
    </w:p>
    <w:p>
      <w:pPr>
        <w:ind w:left="1080" w:right="380" w:hanging="360"/>
        <w:spacing w:after="0" w:line="246" w:lineRule="auto"/>
        <w:tabs>
          <w:tab w:leader="none" w:pos="10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adverse events, safety issues, product recalls, manufacturing or supply chain interruptions, or poor clinical outcomes where the RECELL System is being used commercially; and</w:t>
      </w:r>
    </w:p>
    <w:p>
      <w:pPr>
        <w:ind w:left="1080" w:hanging="360"/>
        <w:spacing w:after="0"/>
        <w:tabs>
          <w:tab w:leader="none" w:pos="108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disagreements with regulatory agencies in the interpretation of the data from our clinical trials.</w:t>
      </w:r>
    </w:p>
    <w:p>
      <w:pPr>
        <w:spacing w:after="0" w:line="230" w:lineRule="exact"/>
        <w:rPr>
          <w:sz w:val="20"/>
          <w:szCs w:val="20"/>
          <w:color w:val="auto"/>
        </w:rPr>
      </w:pPr>
    </w:p>
    <w:p>
      <w:pPr>
        <w:ind w:right="200" w:firstLine="720"/>
        <w:spacing w:after="0" w:line="270" w:lineRule="auto"/>
        <w:rPr>
          <w:sz w:val="20"/>
          <w:szCs w:val="20"/>
          <w:color w:val="auto"/>
        </w:rPr>
      </w:pPr>
      <w:r>
        <w:rPr>
          <w:rFonts w:ascii="Times New Roman" w:cs="Times New Roman" w:eastAsia="Times New Roman" w:hAnsi="Times New Roman"/>
          <w:sz w:val="19"/>
          <w:szCs w:val="19"/>
          <w:color w:val="auto"/>
        </w:rPr>
        <w:t>Delays, including delays caused by the above factors, can be costly and could negatively affect our ability to complete clinical trials for our product candidates. If we are not able to successfully complete clinical trials or are not able to do so in a timely and cost-effective manner, we will not be able to obtain regulatory approval for the use of our RECELL System for additional applications, all of which could have a material adverse effect on our business, financial condition and results of operations.</w:t>
      </w:r>
    </w:p>
    <w:p>
      <w:pPr>
        <w:spacing w:after="0" w:line="169" w:lineRule="exact"/>
        <w:rPr>
          <w:sz w:val="20"/>
          <w:szCs w:val="20"/>
          <w:color w:val="auto"/>
        </w:rPr>
      </w:pPr>
    </w:p>
    <w:p>
      <w:pPr>
        <w:ind w:right="9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be unsuccessful in commercializing our RECELL System, or other future products, due to unfavorable pricing regulations or third-party coverage and reimbursement policies.</w:t>
      </w:r>
    </w:p>
    <w:p>
      <w:pPr>
        <w:spacing w:after="0" w:line="159" w:lineRule="exact"/>
        <w:rPr>
          <w:sz w:val="20"/>
          <w:szCs w:val="20"/>
          <w:color w:val="auto"/>
        </w:rPr>
      </w:pPr>
    </w:p>
    <w:p>
      <w:pPr>
        <w:ind w:right="60" w:firstLine="721"/>
        <w:spacing w:after="0" w:line="247" w:lineRule="auto"/>
        <w:rPr>
          <w:sz w:val="20"/>
          <w:szCs w:val="20"/>
          <w:color w:val="auto"/>
        </w:rPr>
      </w:pPr>
      <w:r>
        <w:rPr>
          <w:rFonts w:ascii="Times New Roman" w:cs="Times New Roman" w:eastAsia="Times New Roman" w:hAnsi="Times New Roman"/>
          <w:sz w:val="20"/>
          <w:szCs w:val="20"/>
          <w:color w:val="auto"/>
        </w:rPr>
        <w:t>We cannot guarantee that we will receive favorable pricing and reimbursement for use of our products. The rules and regulations that govern pricing and reimbursement for medical products vary widely from country to country or from indication to indication, and within the United States, can also vary widely from one health system or hospital to the next. In some foreign jurisdictions, including the EU, the government largely controls pricing of medical products. In other countries, coverage negotiations must occur at the regional or hospital level. Pricing negotiations can take considerable time after the receipt of marketing approval for a medical product.</w:t>
      </w:r>
    </w:p>
    <w:p>
      <w:pPr>
        <w:spacing w:after="0" w:line="188" w:lineRule="exact"/>
        <w:rPr>
          <w:sz w:val="20"/>
          <w:szCs w:val="20"/>
          <w:color w:val="auto"/>
        </w:rPr>
      </w:pPr>
    </w:p>
    <w:p>
      <w:pPr>
        <w:ind w:right="440" w:firstLine="721"/>
        <w:spacing w:after="0" w:line="253" w:lineRule="auto"/>
        <w:rPr>
          <w:sz w:val="20"/>
          <w:szCs w:val="20"/>
          <w:color w:val="auto"/>
        </w:rPr>
      </w:pPr>
      <w:r>
        <w:rPr>
          <w:rFonts w:ascii="Times New Roman" w:cs="Times New Roman" w:eastAsia="Times New Roman" w:hAnsi="Times New Roman"/>
          <w:sz w:val="20"/>
          <w:szCs w:val="20"/>
          <w:color w:val="auto"/>
        </w:rPr>
        <w:t>As a result, even after obtaining regulatory approval for a product in a particular country, we may be subject to price regulations or limited reimbursement, which may delay or limit our commercial launch of the product and negatively impact the revenue we are able to generate from the sale of the product in that country. Adverse pricing limitations may hinder our ability to recoup our total investment in our RECELL System or other future products, even after obtaining regulatory approval.</w:t>
      </w:r>
    </w:p>
    <w:p>
      <w:pPr>
        <w:spacing w:after="0" w:line="183" w:lineRule="exact"/>
        <w:rPr>
          <w:sz w:val="20"/>
          <w:szCs w:val="20"/>
          <w:color w:val="auto"/>
        </w:rPr>
      </w:pPr>
    </w:p>
    <w:p>
      <w:pPr>
        <w:ind w:right="160" w:firstLine="721"/>
        <w:spacing w:after="0" w:line="258" w:lineRule="auto"/>
        <w:rPr>
          <w:sz w:val="20"/>
          <w:szCs w:val="20"/>
          <w:color w:val="auto"/>
        </w:rPr>
      </w:pPr>
      <w:r>
        <w:rPr>
          <w:rFonts w:ascii="Times New Roman" w:cs="Times New Roman" w:eastAsia="Times New Roman" w:hAnsi="Times New Roman"/>
          <w:sz w:val="20"/>
          <w:szCs w:val="20"/>
          <w:color w:val="auto"/>
        </w:rPr>
        <w:t>If we are unable to promptly obtain coverage and profitable payment rates from hospital budget, government-funded and private purchasers for the RECELL System or any future products, this could have a material adverse effect on our operating results, our ability to raise capital needed to commercialize products and our overall financial condition.</w:t>
      </w:r>
    </w:p>
    <w:p>
      <w:pPr>
        <w:sectPr>
          <w:pgSz w:w="11880" w:h="15480" w:orient="portrait"/>
          <w:cols w:equalWidth="0" w:num="1">
            <w:col w:w="10780"/>
          </w:cols>
          <w:pgMar w:left="540" w:top="1119"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10780"/>
          </w:cols>
          <w:pgMar w:left="540" w:top="1119" w:right="560"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color w:val="auto"/>
        </w:rPr>
        <w:t>For example, we presently benefit from various reimbursement codes, including the following:</w:t>
      </w:r>
    </w:p>
    <w:p>
      <w:pPr>
        <w:spacing w:after="0" w:line="132" w:lineRule="exact"/>
        <w:rPr>
          <w:sz w:val="20"/>
          <w:szCs w:val="20"/>
          <w:color w:val="auto"/>
        </w:rPr>
      </w:pPr>
    </w:p>
    <w:p>
      <w:pPr>
        <w:ind w:left="1100" w:hanging="365"/>
        <w:spacing w:after="0"/>
        <w:tabs>
          <w:tab w:leader="none" w:pos="11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Reimbursement for hospitals in inpatient services using Medicare Severity Diagnosis-Related Groups (“</w:t>
      </w:r>
      <w:r>
        <w:rPr>
          <w:rFonts w:ascii="Times New Roman" w:cs="Times New Roman" w:eastAsia="Times New Roman" w:hAnsi="Times New Roman"/>
          <w:sz w:val="20"/>
          <w:szCs w:val="20"/>
          <w:b w:val="1"/>
          <w:bCs w:val="1"/>
          <w:color w:val="auto"/>
        </w:rPr>
        <w:t>MS-DRGs</w:t>
      </w:r>
      <w:r>
        <w:rPr>
          <w:rFonts w:ascii="Times New Roman" w:cs="Times New Roman" w:eastAsia="Times New Roman" w:hAnsi="Times New Roman"/>
          <w:sz w:val="20"/>
          <w:szCs w:val="20"/>
          <w:color w:val="auto"/>
        </w:rPr>
        <w:t>”).</w:t>
      </w:r>
    </w:p>
    <w:p>
      <w:pPr>
        <w:spacing w:after="0" w:line="17" w:lineRule="exact"/>
        <w:rPr>
          <w:rFonts w:ascii="Arial" w:cs="Arial" w:eastAsia="Arial" w:hAnsi="Arial"/>
          <w:sz w:val="20"/>
          <w:szCs w:val="20"/>
          <w:color w:val="auto"/>
        </w:rPr>
      </w:pPr>
    </w:p>
    <w:p>
      <w:pPr>
        <w:ind w:left="1100" w:right="200" w:hanging="365"/>
        <w:spacing w:after="0" w:line="246" w:lineRule="auto"/>
        <w:tabs>
          <w:tab w:leader="none" w:pos="11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Specific International Classification of Disease, 10th revision, Procedure Classification System (“</w:t>
      </w:r>
      <w:r>
        <w:rPr>
          <w:rFonts w:ascii="Times New Roman" w:cs="Times New Roman" w:eastAsia="Times New Roman" w:hAnsi="Times New Roman"/>
          <w:sz w:val="20"/>
          <w:szCs w:val="20"/>
          <w:b w:val="1"/>
          <w:bCs w:val="1"/>
          <w:color w:val="auto"/>
        </w:rPr>
        <w:t>ICD-10-PCS</w:t>
      </w:r>
      <w:r>
        <w:rPr>
          <w:rFonts w:ascii="Times New Roman" w:cs="Times New Roman" w:eastAsia="Times New Roman" w:hAnsi="Times New Roman"/>
          <w:sz w:val="20"/>
          <w:szCs w:val="20"/>
          <w:color w:val="auto"/>
        </w:rPr>
        <w:t>”) code series describing our “cell suspension technique” for the use of the RECELL System.</w:t>
      </w:r>
    </w:p>
    <w:p>
      <w:pPr>
        <w:ind w:left="1100" w:right="260" w:hanging="365"/>
        <w:spacing w:after="0" w:line="254" w:lineRule="auto"/>
        <w:tabs>
          <w:tab w:leader="none" w:pos="110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Current Procedural Terminology (“</w:t>
      </w:r>
      <w:r>
        <w:rPr>
          <w:rFonts w:ascii="Times New Roman" w:cs="Times New Roman" w:eastAsia="Times New Roman" w:hAnsi="Times New Roman"/>
          <w:sz w:val="20"/>
          <w:szCs w:val="20"/>
          <w:b w:val="1"/>
          <w:bCs w:val="1"/>
          <w:color w:val="auto"/>
        </w:rPr>
        <w:t>CPT</w:t>
      </w:r>
      <w:r>
        <w:rPr>
          <w:rFonts w:ascii="Times New Roman" w:cs="Times New Roman" w:eastAsia="Times New Roman" w:hAnsi="Times New Roman"/>
          <w:sz w:val="20"/>
          <w:szCs w:val="20"/>
          <w:color w:val="auto"/>
        </w:rPr>
        <w:t>”) codes to support physician reimbursement for professional healthcare services, ambulatory surgical center (“</w:t>
      </w:r>
      <w:r>
        <w:rPr>
          <w:rFonts w:ascii="Times New Roman" w:cs="Times New Roman" w:eastAsia="Times New Roman" w:hAnsi="Times New Roman"/>
          <w:sz w:val="20"/>
          <w:szCs w:val="20"/>
          <w:b w:val="1"/>
          <w:bCs w:val="1"/>
          <w:color w:val="auto"/>
        </w:rPr>
        <w:t>ASCs</w:t>
      </w:r>
      <w:r>
        <w:rPr>
          <w:rFonts w:ascii="Times New Roman" w:cs="Times New Roman" w:eastAsia="Times New Roman" w:hAnsi="Times New Roman"/>
          <w:sz w:val="20"/>
          <w:szCs w:val="20"/>
          <w:color w:val="auto"/>
        </w:rPr>
        <w:t>”) reimbursement for facility services and hospital reimbursement for outpatient department services. Medicare reimburses ASCs for services using CPT codes and reimburses hospitals for outpatient services using Ambulatory Payment Classifications (“</w:t>
      </w:r>
      <w:r>
        <w:rPr>
          <w:rFonts w:ascii="Times New Roman" w:cs="Times New Roman" w:eastAsia="Times New Roman" w:hAnsi="Times New Roman"/>
          <w:sz w:val="20"/>
          <w:szCs w:val="20"/>
          <w:b w:val="1"/>
          <w:bCs w:val="1"/>
          <w:color w:val="auto"/>
        </w:rPr>
        <w:t>APCs</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ind w:right="360"/>
        <w:spacing w:after="0" w:line="254" w:lineRule="auto"/>
        <w:rPr>
          <w:sz w:val="20"/>
          <w:szCs w:val="20"/>
          <w:color w:val="auto"/>
        </w:rPr>
      </w:pPr>
      <w:r>
        <w:rPr>
          <w:rFonts w:ascii="Times New Roman" w:cs="Times New Roman" w:eastAsia="Times New Roman" w:hAnsi="Times New Roman"/>
          <w:sz w:val="20"/>
          <w:szCs w:val="20"/>
          <w:color w:val="auto"/>
        </w:rPr>
        <w:t>In addition, in 2022, we were approved for a Transitional Pass-through Payment (“</w:t>
      </w:r>
      <w:r>
        <w:rPr>
          <w:rFonts w:ascii="Times New Roman" w:cs="Times New Roman" w:eastAsia="Times New Roman" w:hAnsi="Times New Roman"/>
          <w:sz w:val="20"/>
          <w:szCs w:val="20"/>
          <w:b w:val="1"/>
          <w:bCs w:val="1"/>
          <w:color w:val="auto"/>
        </w:rPr>
        <w:t>TPT</w:t>
      </w:r>
      <w:r>
        <w:rPr>
          <w:rFonts w:ascii="Times New Roman" w:cs="Times New Roman" w:eastAsia="Times New Roman" w:hAnsi="Times New Roman"/>
          <w:sz w:val="20"/>
          <w:szCs w:val="20"/>
          <w:color w:val="auto"/>
        </w:rPr>
        <w:t>”) C code to support additional Medicare payment in the outpatient hospital and the ASC setting. There can be no guarantee that the above reimbursement codes will not be withdrawn, reduced, consolidated or otherwise be altered in a manner which is not supportive of ongoing commercial use of the RECELL System.</w:t>
      </w:r>
    </w:p>
    <w:p>
      <w:pPr>
        <w:spacing w:after="0" w:line="181"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9"/>
          <w:szCs w:val="19"/>
          <w:b w:val="1"/>
          <w:bCs w:val="1"/>
          <w:i w:val="1"/>
          <w:iCs w:val="1"/>
          <w:color w:val="auto"/>
        </w:rPr>
        <w:t>We have limited financial resources and will likely require additional financings to continue the development and commercialization of our RECELL System or any future products, which may cause dilution to our existing stockholders or place restrictions on our operations. If additional financing is not available, we may have to postpone, reduce or cease operations.</w:t>
      </w:r>
    </w:p>
    <w:p>
      <w:pPr>
        <w:spacing w:after="0" w:line="161" w:lineRule="exact"/>
        <w:rPr>
          <w:sz w:val="20"/>
          <w:szCs w:val="20"/>
          <w:color w:val="auto"/>
        </w:rPr>
      </w:pPr>
    </w:p>
    <w:p>
      <w:pPr>
        <w:ind w:right="140" w:firstLine="720"/>
        <w:spacing w:after="0" w:line="246" w:lineRule="auto"/>
        <w:rPr>
          <w:sz w:val="20"/>
          <w:szCs w:val="20"/>
          <w:color w:val="auto"/>
        </w:rPr>
      </w:pPr>
      <w:r>
        <w:rPr>
          <w:rFonts w:ascii="Times New Roman" w:cs="Times New Roman" w:eastAsia="Times New Roman" w:hAnsi="Times New Roman"/>
          <w:sz w:val="20"/>
          <w:szCs w:val="20"/>
          <w:color w:val="auto"/>
        </w:rPr>
        <w:t>If we are unable to achieve profitability sufficient to permit us to fund our operations and other planned actions, we may be required to raise additional capital. There can be no assurance that such capital would be available on favorable terms, or at all. If we raise additional capital through the issuance of equity or convertible debt securities, the percentage ownership held by existing stockholders may be reduced, and the market price of our common stock or CDIs could fall due to an increased number of shares or CDIs available for sale in the market. Debt financing, if available, may involve restrictive covenants, which may limit our operating flexibility with respect to certain business matters. If we are unable to secure additional capital as circumstances require, we may not be able to fund our planned activities or continue our operations.</w:t>
      </w:r>
    </w:p>
    <w:p>
      <w:pPr>
        <w:spacing w:after="0" w:line="190"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face manufacturing risks that may adversely affect our ability to manufacture products and could reduce our gross margins and negatively affect our business and operating results.</w:t>
      </w:r>
    </w:p>
    <w:p>
      <w:pPr>
        <w:spacing w:after="0" w:line="128" w:lineRule="exact"/>
        <w:rPr>
          <w:sz w:val="20"/>
          <w:szCs w:val="20"/>
          <w:color w:val="auto"/>
        </w:rPr>
      </w:pPr>
    </w:p>
    <w:p>
      <w:pPr>
        <w:ind w:right="40" w:firstLine="721"/>
        <w:spacing w:after="0" w:line="248" w:lineRule="auto"/>
        <w:rPr>
          <w:sz w:val="20"/>
          <w:szCs w:val="20"/>
          <w:color w:val="auto"/>
        </w:rPr>
      </w:pPr>
      <w:r>
        <w:rPr>
          <w:rFonts w:ascii="Times New Roman" w:cs="Times New Roman" w:eastAsia="Times New Roman" w:hAnsi="Times New Roman"/>
          <w:sz w:val="20"/>
          <w:szCs w:val="20"/>
          <w:color w:val="auto"/>
        </w:rPr>
        <w:t>Our success depends, in part, on our ability to manufacture our current and future products in sufficient quantities and on a timely basis to meet demand, while adhering to product quality standards, complying with regulatory quality system requirements and managing manufacturing costs. We have a manufacturing facility located in Ventura, California where we produce, package and warehouse the RECELL System. We also rely on global third-party manufacturers for production of some of the components used in the RECELL System. If our facility, or the facilities of our third-party contract manufacturers, suffer damage, or a force majeure event, this could materially impact our ability to operate.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are also subject to other risks relating to our manufacturing capabilities, including:</w:t>
      </w:r>
    </w:p>
    <w:p>
      <w:pPr>
        <w:spacing w:after="0" w:line="133" w:lineRule="exact"/>
        <w:rPr>
          <w:sz w:val="20"/>
          <w:szCs w:val="20"/>
          <w:color w:val="auto"/>
        </w:rPr>
      </w:pPr>
    </w:p>
    <w:p>
      <w:pPr>
        <w:ind w:left="1100" w:right="160" w:hanging="379"/>
        <w:spacing w:after="0" w:line="260" w:lineRule="auto"/>
        <w:tabs>
          <w:tab w:leader="none" w:pos="1100" w:val="left"/>
        </w:tabs>
        <w:numPr>
          <w:ilvl w:val="0"/>
          <w:numId w:val="10"/>
        </w:numPr>
        <w:rPr>
          <w:rFonts w:ascii="Arial" w:cs="Arial" w:eastAsia="Arial" w:hAnsi="Arial"/>
          <w:sz w:val="19"/>
          <w:szCs w:val="19"/>
          <w:color w:val="auto"/>
        </w:rPr>
      </w:pPr>
      <w:r>
        <w:rPr>
          <w:rFonts w:ascii="Times New Roman" w:cs="Times New Roman" w:eastAsia="Times New Roman" w:hAnsi="Times New Roman"/>
          <w:sz w:val="19"/>
          <w:szCs w:val="19"/>
          <w:color w:val="auto"/>
        </w:rPr>
        <w:t>quality and reliability of components, sub-assemblies and materials that we source from third-party suppliers, who are required to meet our quality specifications, some of whom are our single-source suppliers for the products they supply;</w:t>
      </w:r>
    </w:p>
    <w:p>
      <w:pPr>
        <w:ind w:left="1100" w:right="40" w:hanging="379"/>
        <w:spacing w:after="0" w:line="247" w:lineRule="auto"/>
        <w:tabs>
          <w:tab w:leader="none" w:pos="11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failure to secure raw materials, components and materials in a timely manner, in sufficient quantities or on commercially reasonable terms;</w:t>
      </w:r>
    </w:p>
    <w:p>
      <w:pPr>
        <w:ind w:left="1100" w:right="240" w:hanging="379"/>
        <w:spacing w:after="0" w:line="246" w:lineRule="auto"/>
        <w:tabs>
          <w:tab w:leader="none" w:pos="11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inability to secure raw materials, components and materials of sufficient quality to meet the exacting needs of medical device manufacturing;</w:t>
      </w:r>
    </w:p>
    <w:p>
      <w:pPr>
        <w:ind w:left="1100" w:hanging="379"/>
        <w:spacing w:after="0"/>
        <w:tabs>
          <w:tab w:leader="none" w:pos="110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inability to increase production capacity or volumes to meet demand; and</w:t>
      </w:r>
    </w:p>
    <w:p>
      <w:pPr>
        <w:spacing w:after="0" w:line="199" w:lineRule="exact"/>
        <w:rPr>
          <w:sz w:val="20"/>
          <w:szCs w:val="20"/>
          <w:color w:val="auto"/>
        </w:rPr>
      </w:pPr>
    </w:p>
    <w:p>
      <w:pPr>
        <w:ind w:firstLine="653"/>
        <w:spacing w:after="0" w:line="245" w:lineRule="auto"/>
        <w:rPr>
          <w:sz w:val="20"/>
          <w:szCs w:val="20"/>
          <w:color w:val="auto"/>
        </w:rPr>
      </w:pPr>
      <w:r>
        <w:rPr>
          <w:rFonts w:ascii="Times New Roman" w:cs="Times New Roman" w:eastAsia="Times New Roman" w:hAnsi="Times New Roman"/>
          <w:sz w:val="20"/>
          <w:szCs w:val="20"/>
          <w:color w:val="auto"/>
        </w:rPr>
        <w:t>As demand for our products increases, we will have to invest additional resources to purchase raw materials and components, sub-assemblies and materials, hire and train employees and enhance our manufacturing processes. If we fail to increase our production capacity efficiently to meet demand for our products, we may not be able to fill customer orders on a timely basis, our sales may not increase in line with our expectations and our operating margins could fluctuate or decline. It may not be possible for us to manufacture our products at a cost or in quantities sufficient to make these products commercially viable or to maintain current operating margins, all of which could have a material adverse effect on our business, financial condition and results of operations. In addition, we are continually identifying additional third-party suppliers who could serve if necessary as replacement manufacturers should the need arise.</w:t>
      </w:r>
    </w:p>
    <w:p>
      <w:pPr>
        <w:sectPr>
          <w:pgSz w:w="11880" w:h="15480" w:orient="portrait"/>
          <w:cols w:equalWidth="0" w:num="1">
            <w:col w:w="10780"/>
          </w:cols>
          <w:pgMar w:left="540" w:top="1118"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10780"/>
          </w:cols>
          <w:pgMar w:left="540" w:top="1118" w:right="560" w:bottom="0" w:gutter="0" w:footer="0" w:header="0"/>
          <w:type w:val="continuous"/>
        </w:sectPr>
      </w:pPr>
    </w:p>
    <w:bookmarkStart w:id="23" w:name="page24"/>
    <w:bookmarkEnd w:id="23"/>
    <w:p>
      <w:pPr>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Certain of our products are dependent on specialized sources of supply potentially subject to disruption which could have a material, adverse impact on our business.</w:t>
      </w:r>
    </w:p>
    <w:p>
      <w:pPr>
        <w:spacing w:after="0" w:line="157"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auto"/>
        </w:rPr>
        <w:t>We expect recent supply chain disruptions as a result of the pandemic combined with raw material shortages, and inflationary pressures, to continue for the foreseeable future. These conditions have strained our suppliers and extended supplier delivery lead times. The Life Sciences industry is experiencing market wide shortages for resin products used in our packaging. As a result of recent inflation, we are seeing increases in the costs of raw materials.</w:t>
      </w:r>
    </w:p>
    <w:p>
      <w:pPr>
        <w:spacing w:after="0" w:line="184" w:lineRule="exact"/>
        <w:rPr>
          <w:sz w:val="20"/>
          <w:szCs w:val="20"/>
          <w:color w:val="auto"/>
        </w:rPr>
      </w:pPr>
    </w:p>
    <w:p>
      <w:pPr>
        <w:ind w:right="40" w:firstLine="720"/>
        <w:spacing w:after="0" w:line="263" w:lineRule="auto"/>
        <w:rPr>
          <w:sz w:val="20"/>
          <w:szCs w:val="20"/>
          <w:color w:val="auto"/>
        </w:rPr>
      </w:pPr>
      <w:r>
        <w:rPr>
          <w:rFonts w:ascii="Times New Roman" w:cs="Times New Roman" w:eastAsia="Times New Roman" w:hAnsi="Times New Roman"/>
          <w:sz w:val="19"/>
          <w:szCs w:val="19"/>
          <w:color w:val="auto"/>
        </w:rPr>
        <w:t>We have single-sourced some of our material components due to the cost and regulatory requirements associated with qualifying multiple suppliers. To the extent any of these single sourced suppliers may have disruptions in deliveries due to production, quality, or other issues, we may also experience related production delays or unfavorable cost increases associated with qualifying alternate suppliers. The impact of delays resulting from disruptions in supply for these items could negatively impact our revenue, our reputation with our customers, and our results of operations. In addition, significant price increases from single-source suppliers could have a negative impact on our profitability to the extent that we are unable to recover these cost increases on our fixed price contracts.</w:t>
      </w:r>
    </w:p>
    <w:p>
      <w:pPr>
        <w:spacing w:after="0" w:line="200" w:lineRule="exact"/>
        <w:rPr>
          <w:sz w:val="20"/>
          <w:szCs w:val="20"/>
          <w:color w:val="auto"/>
        </w:rPr>
      </w:pPr>
    </w:p>
    <w:p>
      <w:pPr>
        <w:spacing w:after="0" w:line="204" w:lineRule="exact"/>
        <w:rPr>
          <w:sz w:val="20"/>
          <w:szCs w:val="20"/>
          <w:color w:val="auto"/>
        </w:rPr>
      </w:pPr>
    </w:p>
    <w:p>
      <w:pPr>
        <w:jc w:val="both"/>
        <w:ind w:right="3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rely on third parties to conduct, supervise and monitor our clinical trials. If these third parties do not successfully carry out their contractual duties or meet expected deadlines, we may not be able to obtain regulatory approval for or commercialize our drug product candidates and our business could be substantially harmed.</w:t>
      </w:r>
    </w:p>
    <w:p>
      <w:pPr>
        <w:spacing w:after="0" w:line="172" w:lineRule="exact"/>
        <w:rPr>
          <w:sz w:val="20"/>
          <w:szCs w:val="20"/>
          <w:color w:val="auto"/>
        </w:rPr>
      </w:pPr>
    </w:p>
    <w:p>
      <w:pPr>
        <w:ind w:right="20" w:firstLine="720"/>
        <w:spacing w:after="0" w:line="250" w:lineRule="auto"/>
        <w:rPr>
          <w:sz w:val="20"/>
          <w:szCs w:val="20"/>
          <w:color w:val="auto"/>
        </w:rPr>
      </w:pPr>
      <w:r>
        <w:rPr>
          <w:rFonts w:ascii="Times New Roman" w:cs="Times New Roman" w:eastAsia="Times New Roman" w:hAnsi="Times New Roman"/>
          <w:sz w:val="20"/>
          <w:szCs w:val="20"/>
          <w:color w:val="auto"/>
        </w:rPr>
        <w:t>We rely on clinical research organizations (“</w:t>
      </w:r>
      <w:r>
        <w:rPr>
          <w:rFonts w:ascii="Times New Roman" w:cs="Times New Roman" w:eastAsia="Times New Roman" w:hAnsi="Times New Roman"/>
          <w:sz w:val="20"/>
          <w:szCs w:val="20"/>
          <w:b w:val="1"/>
          <w:bCs w:val="1"/>
          <w:color w:val="auto"/>
        </w:rPr>
        <w:t>CRO</w:t>
      </w:r>
      <w:r>
        <w:rPr>
          <w:rFonts w:ascii="Times New Roman" w:cs="Times New Roman" w:eastAsia="Times New Roman" w:hAnsi="Times New Roman"/>
          <w:sz w:val="20"/>
          <w:szCs w:val="20"/>
          <w:color w:val="auto"/>
        </w:rPr>
        <w:t>”), and clinical trial sites to ensure our clinical trials are conducted properly and on time. While we will have agreements governing their activities, we will have limited influence over their actual performance. CROs manage and monitor the clinical trials, duties and functions, and we will control only certain aspects of our CROs’ activities. Nevertheless, we will be responsible for ensuring that each of our clinical trials is conducted in accordance with the applicable protocol, legal, regulatory and scientific standards, and our reliance on the CROs does not relieve us of our regulatory responsibilities.</w:t>
      </w:r>
    </w:p>
    <w:p>
      <w:pPr>
        <w:spacing w:after="0" w:line="186"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We and our CROs are required to comply with the FDA’s GCPs for conducting, recording and reporting the results of clinical trials to assure that the data and reported results are credible and accurate and that the rights, integrity and confidentiality of clinical trial participants are protected. The FDA, and comparable foreign regulatory authorities, enforces these GCPs through periodic inspections of trial sponsors, principal investigators and clinical trial sites. If we or our CROs fail to comply with applicable GCPs, the clinical data generated in our future clinical trials may be deemed unreliable and the FDA or other foreign regulatory authorities may require us to perform additional clinical trials before approving any marketing applications.</w:t>
      </w:r>
    </w:p>
    <w:p>
      <w:pPr>
        <w:spacing w:after="0" w:line="212" w:lineRule="exact"/>
        <w:rPr>
          <w:sz w:val="20"/>
          <w:szCs w:val="20"/>
          <w:color w:val="auto"/>
        </w:rPr>
      </w:pPr>
    </w:p>
    <w:p>
      <w:pPr>
        <w:ind w:right="160" w:firstLine="721"/>
        <w:spacing w:after="0" w:line="243" w:lineRule="auto"/>
        <w:rPr>
          <w:sz w:val="20"/>
          <w:szCs w:val="20"/>
          <w:color w:val="auto"/>
        </w:rPr>
      </w:pPr>
      <w:r>
        <w:rPr>
          <w:rFonts w:ascii="Times New Roman" w:cs="Times New Roman" w:eastAsia="Times New Roman" w:hAnsi="Times New Roman"/>
          <w:sz w:val="20"/>
          <w:szCs w:val="20"/>
          <w:color w:val="auto"/>
        </w:rPr>
        <w:t>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 If any such event were to occur, our financial results and the commercial prospects for our product candidates would be harmed, our costs could increase, and our ability to generate revenues could be delayed. If any of our relationships with these third-party CROs terminate, we may not be able to enter into arrangements with alternative CROs or to do so on commercially reasonable terms. Further, switching or adding additional CROs involves additional costs and requires management time and focus. In addition, there is a natural transition period when a new CRO commences work. As a result, delays occur, which could materially impact our ability to meet our desired clinical development timelines. Though we carefully manage our relationships with our CROs, there can be no assurance that we will not encounter challenges or delays in the future or that these delays or challenges will not have a material adverse impact on our business, financial condition and prospects.</w:t>
      </w:r>
    </w:p>
    <w:p>
      <w:pPr>
        <w:spacing w:after="0" w:line="198" w:lineRule="exact"/>
        <w:rPr>
          <w:sz w:val="20"/>
          <w:szCs w:val="20"/>
          <w:color w:val="auto"/>
        </w:rPr>
      </w:pPr>
    </w:p>
    <w:p>
      <w:pPr>
        <w:ind w:right="42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As a result of the ongoing COVID-19 pandemic, other pandemics, inadequate funding or other reasons, the FDA and other government agencies may have resource constraints which could limit their ability to review and approve our applications in a timely manner, thus negatively impacting our business.</w:t>
      </w:r>
    </w:p>
    <w:p>
      <w:pPr>
        <w:spacing w:after="0" w:line="179" w:lineRule="exact"/>
        <w:rPr>
          <w:sz w:val="20"/>
          <w:szCs w:val="20"/>
          <w:color w:val="auto"/>
        </w:rPr>
      </w:pPr>
    </w:p>
    <w:p>
      <w:pPr>
        <w:ind w:right="240" w:firstLine="721"/>
        <w:spacing w:after="0" w:line="252" w:lineRule="auto"/>
        <w:rPr>
          <w:sz w:val="20"/>
          <w:szCs w:val="20"/>
          <w:color w:val="auto"/>
        </w:rPr>
      </w:pPr>
      <w:r>
        <w:rPr>
          <w:rFonts w:ascii="Times New Roman" w:cs="Times New Roman" w:eastAsia="Times New Roman" w:hAnsi="Times New Roman"/>
          <w:sz w:val="20"/>
          <w:szCs w:val="20"/>
          <w:color w:val="auto"/>
        </w:rPr>
        <w:t>The FDA’s ability to review and approve regulatory submissions can be affected by a variety of factors, including government budget and funding levels, statutory, regulatory, and policy changes, the FDA’s ability to hire and retain key personnel and accept the payment of user fees, federal government shutdowns, and other events that may otherwise affect the FDA’s ability to perform routine functions. The time to review submissions can vary from time to time.</w:t>
      </w:r>
    </w:p>
    <w:p>
      <w:pPr>
        <w:spacing w:after="0" w:line="184" w:lineRule="exact"/>
        <w:rPr>
          <w:sz w:val="20"/>
          <w:szCs w:val="20"/>
          <w:color w:val="auto"/>
        </w:rPr>
      </w:pPr>
    </w:p>
    <w:p>
      <w:pPr>
        <w:ind w:right="180" w:firstLine="720"/>
        <w:spacing w:after="0" w:line="253" w:lineRule="auto"/>
        <w:rPr>
          <w:sz w:val="20"/>
          <w:szCs w:val="20"/>
          <w:color w:val="auto"/>
        </w:rPr>
      </w:pPr>
      <w:r>
        <w:rPr>
          <w:rFonts w:ascii="Times New Roman" w:cs="Times New Roman" w:eastAsia="Times New Roman" w:hAnsi="Times New Roman"/>
          <w:sz w:val="20"/>
          <w:szCs w:val="20"/>
          <w:color w:val="auto"/>
        </w:rPr>
        <w:t>If a prolonged government shutdown occurs, or if global health concerns continue to prevent or delay the FDA or other regulatory authorities from conducting, at all or in a timely manner, their regular inspections, reviews, or other regulatory activities (including pre-submission engagements), it could significantly impact the ability of the FDA or other regulatory authorities to timely review and process our regulatory submissions, which could have a material adverse effect on our business.</w:t>
      </w:r>
    </w:p>
    <w:p>
      <w:pPr>
        <w:sectPr>
          <w:pgSz w:w="11880" w:h="15480" w:orient="portrait"/>
          <w:cols w:equalWidth="0" w:num="1">
            <w:col w:w="10800"/>
          </w:cols>
          <w:pgMar w:left="540" w:top="888" w:right="540" w:bottom="0" w:gutter="0" w:footer="0" w:header="0"/>
        </w:sectPr>
      </w:pP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10800"/>
          </w:cols>
          <w:pgMar w:left="540" w:top="888" w:right="540" w:bottom="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recalls or inventory losses caused by unforeseen events may adversely affect our operating results and financial condition.</w:t>
      </w:r>
    </w:p>
    <w:p>
      <w:pPr>
        <w:spacing w:after="0" w:line="227"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Our products are manufactured, stored and distributed using technically complex processes requiring specialized facilities, highly specific raw materials and other production constraints. The complexity of these processes, as well as strict company and government standards for the manufacture, storage and distribution of our product candidates, subjects us to risks. In addition, process deviations or unanticipated effects of approved process changes may result in production runs of our RECELL System not complying with stability requirements or specifications. The occurrence or suspected occurrence of production and distribution difficulties can lead to lost inventories and in some cases product recalls, with consequential reputational damage and the risk of product liability. The investigation and remediation of any identified problems can cause production delays, substantial expense, lost sales and delays of new product launches. In the event our production efforts require a recall or result in an inventory loss, our operating results and financial condition may be adversely affected.</w:t>
      </w:r>
    </w:p>
    <w:p>
      <w:pPr>
        <w:spacing w:after="0" w:line="199"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A cyber security incident could be disruptive to our business, compromise confidential data, cause reputation harm, and subject us to litigation and federal and state governmental inquiries.</w:t>
      </w:r>
    </w:p>
    <w:p>
      <w:pPr>
        <w:spacing w:after="0" w:line="156"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We collect and store sensitive business and other information, including intellectual property and trade secrets, on our networks. Our business operations are dependent upon the secure maintenance of this information. Despite our efforts to secure this information, there can be no assurance that cyberattacks and other threats from malicious persons and groups will not cause harm to or disrupt our business and operations. As a result, cyber security and the continued development and enhancement of our controls, processes and practices designed to protect our information systems from attack, damage or unauthorized access remain a priority for us. We may be required to expend significant additional resources to protect against cyber threats. A cyber-attack may result in a material adverse effect on our financial position and results of operations and harm our business reputation.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rely on information technology systems for critical business functions and the operations of our business.</w:t>
      </w:r>
    </w:p>
    <w:p>
      <w:pPr>
        <w:spacing w:after="0" w:line="227" w:lineRule="exact"/>
        <w:rPr>
          <w:sz w:val="20"/>
          <w:szCs w:val="20"/>
          <w:color w:val="auto"/>
        </w:rPr>
      </w:pPr>
    </w:p>
    <w:p>
      <w:pPr>
        <w:ind w:right="420" w:firstLine="720"/>
        <w:spacing w:after="0" w:line="259" w:lineRule="auto"/>
        <w:rPr>
          <w:sz w:val="20"/>
          <w:szCs w:val="20"/>
          <w:color w:val="auto"/>
        </w:rPr>
      </w:pPr>
      <w:r>
        <w:rPr>
          <w:rFonts w:ascii="Times New Roman" w:cs="Times New Roman" w:eastAsia="Times New Roman" w:hAnsi="Times New Roman"/>
          <w:sz w:val="20"/>
          <w:szCs w:val="20"/>
          <w:color w:val="auto"/>
        </w:rPr>
        <w:t>We rely upon complex, integrated information technology (IT) systems in our business functions including our quality systems to operate our business. If any of our IT systems were to be disrupted or fail, our business could suffer irreparable harm, financial loss, and our operations would be adversely impacted.</w:t>
      </w:r>
    </w:p>
    <w:p>
      <w:pPr>
        <w:spacing w:after="0" w:line="179"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markets in which we operate are highly competitive and innovative. Our competitors may develop products that render our products less attractive or obsolete and our business may deteriorate.</w:t>
      </w:r>
    </w:p>
    <w:p>
      <w:pPr>
        <w:spacing w:after="0" w:line="156"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The markets for our products are highly competitive and our competitors may develop products that may more effectively compete with our products, thus negatively impacting our sales, financial conditions and business prospects. Our competitors may have significantly more financial and other resources to invest in product development. We must continue to develop and market new products, or we risk our products becoming obsolete, in which case, our revenues may decline, and our business prospects may suffer.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development is an expensive, uncertain and lengthy process.</w:t>
      </w:r>
    </w:p>
    <w:p>
      <w:pPr>
        <w:spacing w:after="0" w:line="229" w:lineRule="exact"/>
        <w:rPr>
          <w:sz w:val="20"/>
          <w:szCs w:val="20"/>
          <w:color w:val="auto"/>
        </w:rPr>
      </w:pPr>
    </w:p>
    <w:p>
      <w:pPr>
        <w:ind w:firstLine="721"/>
        <w:spacing w:after="0" w:line="249" w:lineRule="auto"/>
        <w:rPr>
          <w:sz w:val="20"/>
          <w:szCs w:val="20"/>
          <w:color w:val="auto"/>
        </w:rPr>
      </w:pPr>
      <w:r>
        <w:rPr>
          <w:rFonts w:ascii="Times New Roman" w:cs="Times New Roman" w:eastAsia="Times New Roman" w:hAnsi="Times New Roman"/>
          <w:sz w:val="20"/>
          <w:szCs w:val="20"/>
          <w:color w:val="auto"/>
        </w:rPr>
        <w:t>We have significant product development projects ongoing that, if successful, are intended to improve the ease and use of our device in our current burn indication as well as in soft tissue repair, vitiligo and future indications. The costs, timeline and ultimate success of these product development programs are subject to risk and uncertainty. If the Company is not able to develop and obtain regulatory approval for these products in development in a timely fashion and within budget, our business prospects and financial condition may suffer.</w:t>
      </w:r>
    </w:p>
    <w:p>
      <w:pPr>
        <w:spacing w:after="0" w:line="189"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Compliance with environmental, health and safety requirements is costly and, if not achieved, could result in material financial fines and penalties, expensive lawsuits, cessation of business operations, and a material adverse impact on the business.</w:t>
      </w:r>
    </w:p>
    <w:p>
      <w:pPr>
        <w:spacing w:after="0" w:line="156" w:lineRule="exact"/>
        <w:rPr>
          <w:sz w:val="20"/>
          <w:szCs w:val="20"/>
          <w:color w:val="auto"/>
        </w:rPr>
      </w:pPr>
    </w:p>
    <w:p>
      <w:pPr>
        <w:ind w:right="60" w:firstLine="721"/>
        <w:spacing w:after="0" w:line="250" w:lineRule="auto"/>
        <w:rPr>
          <w:sz w:val="20"/>
          <w:szCs w:val="20"/>
          <w:color w:val="auto"/>
        </w:rPr>
      </w:pPr>
      <w:r>
        <w:rPr>
          <w:rFonts w:ascii="Times New Roman" w:cs="Times New Roman" w:eastAsia="Times New Roman" w:hAnsi="Times New Roman"/>
          <w:sz w:val="20"/>
          <w:szCs w:val="20"/>
          <w:color w:val="auto"/>
        </w:rPr>
        <w:t>Our manufacturing and other processes may involve the use of hazardous materials subject to federal, state, and local and foreign environmental requirements. Under some environmental laws and regulations, we could be held responsible for costs at third-party sites that we have used for waste disposal, or for contamination at our past or present facilities. Failure to comply with current environment laws, or future laws, could result in significant fines, penalties and expenses which could have an adverse impact on our financial condition.</w:t>
      </w:r>
    </w:p>
    <w:p>
      <w:pPr>
        <w:sectPr>
          <w:pgSz w:w="11880" w:h="15480" w:orient="portrait"/>
          <w:cols w:equalWidth="0" w:num="1">
            <w:col w:w="10760"/>
          </w:cols>
          <w:pgMar w:left="540" w:top="135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10760"/>
          </w:cols>
          <w:pgMar w:left="540" w:top="1350" w:right="580" w:bottom="0" w:gutter="0" w:footer="0" w:header="0"/>
          <w:type w:val="continuous"/>
        </w:sectPr>
      </w:pPr>
    </w:p>
    <w:bookmarkStart w:id="25" w:name="page26"/>
    <w:bookmarkEnd w:id="25"/>
    <w:p>
      <w:pPr>
        <w:ind w:righ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civil and criminal penalties if the FDA determines that we have marketed or promoted our products for off-label usage.</w:t>
      </w:r>
    </w:p>
    <w:p>
      <w:pPr>
        <w:spacing w:after="0" w:line="157" w:lineRule="exact"/>
        <w:rPr>
          <w:sz w:val="20"/>
          <w:szCs w:val="20"/>
          <w:color w:val="auto"/>
        </w:rPr>
      </w:pPr>
    </w:p>
    <w:p>
      <w:pPr>
        <w:ind w:right="140" w:firstLine="720"/>
        <w:spacing w:after="0" w:line="249" w:lineRule="auto"/>
        <w:rPr>
          <w:sz w:val="20"/>
          <w:szCs w:val="20"/>
          <w:color w:val="auto"/>
        </w:rPr>
      </w:pPr>
      <w:r>
        <w:rPr>
          <w:rFonts w:ascii="Times New Roman" w:cs="Times New Roman" w:eastAsia="Times New Roman" w:hAnsi="Times New Roman"/>
          <w:sz w:val="20"/>
          <w:szCs w:val="20"/>
          <w:color w:val="auto"/>
        </w:rPr>
        <w:t>We are prohibited from promoting our products for uses that are inconsistent with the uses that have been approved by the FDA - also known as “off-label” uses. More specifically, we may not make claims, in our promotion materials, website or otherwise, about the use of any RECELL products which are outside of their approved labeling and indications. If the FDA determines that our marketing activities constitute off-label promotion, the FDA could impose fines and penalties on the Company and our executives, withdraw or recall our approved product from the market, as well as limit our product from off-label usage.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our Industry and Intellectual Property</w:t>
      </w:r>
    </w:p>
    <w:p>
      <w:pPr>
        <w:spacing w:after="0" w:line="23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face competition from the existing standard of care and any future potential changes in medical practice and technology and the possibility that our competitors may develop products, treatments or procedures that are similar, more advanced, safer or more effective than ours.</w:t>
      </w:r>
    </w:p>
    <w:p>
      <w:pPr>
        <w:spacing w:after="0" w:line="177" w:lineRule="exact"/>
        <w:rPr>
          <w:sz w:val="20"/>
          <w:szCs w:val="20"/>
          <w:color w:val="auto"/>
        </w:rPr>
      </w:pPr>
    </w:p>
    <w:p>
      <w:pPr>
        <w:ind w:right="340" w:firstLine="720"/>
        <w:spacing w:after="0" w:line="253" w:lineRule="auto"/>
        <w:rPr>
          <w:sz w:val="20"/>
          <w:szCs w:val="20"/>
          <w:color w:val="auto"/>
        </w:rPr>
      </w:pPr>
      <w:r>
        <w:rPr>
          <w:rFonts w:ascii="Times New Roman" w:cs="Times New Roman" w:eastAsia="Times New Roman" w:hAnsi="Times New Roman"/>
          <w:sz w:val="20"/>
          <w:szCs w:val="20"/>
          <w:color w:val="auto"/>
        </w:rPr>
        <w:t>The medical device, biotechnology and pharmaceutical industries, specifically relating to the areas where we currently or intend to market our RECELL System, are intensely competitive and subject to significant changes due to technology and medical practice standards. We may face competition from any number of different sources with respect to any products we develop and commercialize.</w:t>
      </w:r>
    </w:p>
    <w:p>
      <w:pPr>
        <w:spacing w:after="0" w:line="180"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Our commercial opportunity could be reduced or eliminated if our competitors develop and commercialize products, treatments or procedures that are safer, more effective, have fewer or less severe side effects, are more convenient or are less expensive than our RECELL System or any future products we develop. Many of our current or future competitors may have significantly greater financial resources and experience and expertise in research and development, manufacturing, preclinical testing, conducting clinical trials, obtaining regulatory approvals and marketing approved products than we may have. Mergers and acquisitions in the pharmaceutical, medical device, and biotechnology industries or wound care markets may result in increased concentration of resources among a smaller number of our competitors. Other early-stage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93" w:lineRule="exact"/>
        <w:rPr>
          <w:sz w:val="20"/>
          <w:szCs w:val="20"/>
          <w:color w:val="auto"/>
        </w:rPr>
      </w:pPr>
    </w:p>
    <w:p>
      <w:pPr>
        <w:ind w:right="6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could be subject to product liability lawsuits, which could result in costly and time-consuming litigation and significant liabilities.</w:t>
      </w:r>
    </w:p>
    <w:p>
      <w:pPr>
        <w:spacing w:after="0" w:line="159" w:lineRule="exact"/>
        <w:rPr>
          <w:sz w:val="20"/>
          <w:szCs w:val="20"/>
          <w:color w:val="auto"/>
        </w:rPr>
      </w:pPr>
    </w:p>
    <w:p>
      <w:pPr>
        <w:ind w:right="20" w:firstLine="721"/>
        <w:spacing w:after="0" w:line="244" w:lineRule="auto"/>
        <w:rPr>
          <w:sz w:val="20"/>
          <w:szCs w:val="20"/>
          <w:color w:val="auto"/>
        </w:rPr>
      </w:pPr>
      <w:r>
        <w:rPr>
          <w:rFonts w:ascii="Times New Roman" w:cs="Times New Roman" w:eastAsia="Times New Roman" w:hAnsi="Times New Roman"/>
          <w:sz w:val="20"/>
          <w:szCs w:val="20"/>
          <w:color w:val="auto"/>
        </w:rPr>
        <w:t>The development of medical device products, such as our RECELL System, involves an inherent risk of product liability claims and associated financial liability and adverse publicity. Any products we may develop could be found to be harmful or to contain harmful substances and expose us to substantial liability and risk of litigation or may force us to discontinue production. We may be unable to obtain or maintain insurance on reasonable terms or otherwise protect ourselves against potential product liability claims that could impede or prevent further business development of any products we may create and commercialize. Furthermore, a product liability claim could damage our reputation, whether or not such claims are covered by insurance or have merit. A product liability claim against us or the withdrawal of a product from the market could have a material adverse effect on our business or financial condition. Furthermore, product liability lawsuits, regardless of their success, would likely be time consuming and expensive to resolve and would divert management’s time and attention, which could seriously harm our business.</w:t>
      </w:r>
    </w:p>
    <w:p>
      <w:pPr>
        <w:spacing w:after="0" w:line="19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effectively protect our intellectual property, we may not be able to operate our business and third parties may be able to use and profit from our technology, both of which would impair our ability to be competitive.</w:t>
      </w:r>
    </w:p>
    <w:p>
      <w:pPr>
        <w:spacing w:after="0" w:line="190" w:lineRule="exact"/>
        <w:rPr>
          <w:sz w:val="20"/>
          <w:szCs w:val="20"/>
          <w:color w:val="auto"/>
        </w:rPr>
      </w:pPr>
    </w:p>
    <w:p>
      <w:pPr>
        <w:ind w:firstLine="721"/>
        <w:spacing w:after="0" w:line="232" w:lineRule="auto"/>
        <w:rPr>
          <w:sz w:val="20"/>
          <w:szCs w:val="20"/>
          <w:color w:val="auto"/>
        </w:rPr>
      </w:pPr>
      <w:r>
        <w:rPr>
          <w:rFonts w:ascii="Times New Roman" w:cs="Times New Roman" w:eastAsia="Times New Roman" w:hAnsi="Times New Roman"/>
          <w:sz w:val="20"/>
          <w:szCs w:val="20"/>
          <w:color w:val="auto"/>
        </w:rPr>
        <w:t>Our success will be heavily dependent on our ability to obtain and maintain meaningful patent protection for our technologies and products throughout the world. Patent law relating to the technology fields in which we will operate is still evolving. The amount of ongoing protection for our proprietary rights therefore is uncertain. We will rely on patents to protect a significant part of our intellectual property and to enhance our competitive position. However, our presently pending or future patent applications may be denied, and any patent previously issued to us or our subsidiaries may be challenged, invalidated, held unenforceable or circumvented. In particular, we filed a patent Term Extension application with the U.S. Patent and Trademark Office requesting an extension of our commercial patent that covers the RECELL System, U.S. Patent No. 9,029,140. If the term extension is approved, the patent term will be extended to April 9, 2024. Without such approval, our RECELL System patent will expire in February 2024, which could prevent us from defending our patent in the event a competitor infringes on our RECELL System by producing the same type of product. Furthermore, the patent protections we have been granted may not be broad enough to prevent competitors from producing products similar to ours.</w:t>
      </w:r>
    </w:p>
    <w:p>
      <w:pPr>
        <w:sectPr>
          <w:pgSz w:w="11880" w:h="15480" w:orient="portrait"/>
          <w:cols w:equalWidth="0" w:num="1">
            <w:col w:w="10780"/>
          </w:cols>
          <w:pgMar w:left="540" w:top="888" w:right="560" w:bottom="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10780"/>
          </w:cols>
          <w:pgMar w:left="540" w:top="888" w:right="560" w:bottom="0" w:gutter="0" w:footer="0" w:header="0"/>
          <w:type w:val="continuous"/>
        </w:sectPr>
      </w:pPr>
    </w:p>
    <w:bookmarkStart w:id="26" w:name="page27"/>
    <w:bookmarkEnd w:id="26"/>
    <w:p>
      <w:pPr>
        <w:ind w:right="20" w:firstLine="720"/>
        <w:spacing w:after="0"/>
        <w:rPr>
          <w:sz w:val="20"/>
          <w:szCs w:val="20"/>
          <w:color w:val="auto"/>
        </w:rPr>
      </w:pPr>
      <w:r>
        <w:rPr>
          <w:rFonts w:ascii="Times New Roman" w:cs="Times New Roman" w:eastAsia="Times New Roman" w:hAnsi="Times New Roman"/>
          <w:sz w:val="20"/>
          <w:szCs w:val="20"/>
          <w:color w:val="auto"/>
        </w:rPr>
        <w:t>In markets other than the USA, where we continue to have patent protection on the RECELL System, the expiration of these patents means the Company may not be able to deter a competitor from introducing a product similar to the RECELL System in those jurisdictions. If this were to occur, our ability to successfully market and sell our products in such markets could be materially impaired.</w:t>
      </w:r>
    </w:p>
    <w:p>
      <w:pPr>
        <w:spacing w:after="0" w:line="194" w:lineRule="exact"/>
        <w:rPr>
          <w:sz w:val="20"/>
          <w:szCs w:val="20"/>
          <w:color w:val="auto"/>
        </w:rPr>
      </w:pPr>
    </w:p>
    <w:p>
      <w:pPr>
        <w:ind w:right="200" w:firstLine="720"/>
        <w:spacing w:after="0" w:line="259" w:lineRule="auto"/>
        <w:rPr>
          <w:sz w:val="20"/>
          <w:szCs w:val="20"/>
          <w:color w:val="auto"/>
        </w:rPr>
      </w:pPr>
      <w:r>
        <w:rPr>
          <w:rFonts w:ascii="Times New Roman" w:cs="Times New Roman" w:eastAsia="Times New Roman" w:hAnsi="Times New Roman"/>
          <w:sz w:val="20"/>
          <w:szCs w:val="20"/>
          <w:color w:val="auto"/>
        </w:rPr>
        <w:t>In addition, the laws of various foreign countries in which we may compete may not protect our intellectual property to the same extent as do the laws of the United States. If we fail to obtain adequate patent protection for our proprietary technology, our ability to be commercially competitive will be materially impaired.</w:t>
      </w:r>
    </w:p>
    <w:p>
      <w:pPr>
        <w:spacing w:after="0" w:line="175" w:lineRule="exact"/>
        <w:rPr>
          <w:sz w:val="20"/>
          <w:szCs w:val="20"/>
          <w:color w:val="auto"/>
        </w:rPr>
      </w:pPr>
    </w:p>
    <w:p>
      <w:pPr>
        <w:ind w:right="260" w:firstLine="720"/>
        <w:spacing w:after="0" w:line="250" w:lineRule="auto"/>
        <w:rPr>
          <w:sz w:val="20"/>
          <w:szCs w:val="20"/>
          <w:color w:val="auto"/>
        </w:rPr>
      </w:pPr>
      <w:r>
        <w:rPr>
          <w:rFonts w:ascii="Times New Roman" w:cs="Times New Roman" w:eastAsia="Times New Roman" w:hAnsi="Times New Roman"/>
          <w:sz w:val="20"/>
          <w:szCs w:val="20"/>
          <w:color w:val="auto"/>
        </w:rPr>
        <w:t>In the ordinary course of business and as appropriate, we intend to apply for additional patents covering both our technologies and products, as we deem appropriate. Our existing patents and any future patents we obtain may not be sufficiently broad to prevent others from practicing our technologies or developing competing products and technologies. In addition, because patent law is evolving in the life science industry, the patent positions of companies like ours are uncertain. As a result, the validity and enforceability of our patents cannot be predicted with certainty.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find it difficult to protect our intellectual property rights throughout the world.</w:t>
      </w:r>
    </w:p>
    <w:p>
      <w:pPr>
        <w:spacing w:after="0" w:line="227" w:lineRule="exact"/>
        <w:rPr>
          <w:sz w:val="20"/>
          <w:szCs w:val="20"/>
          <w:color w:val="auto"/>
        </w:rPr>
      </w:pPr>
    </w:p>
    <w:p>
      <w:pPr>
        <w:ind w:right="260" w:firstLine="720"/>
        <w:spacing w:after="0" w:line="253" w:lineRule="auto"/>
        <w:rPr>
          <w:sz w:val="20"/>
          <w:szCs w:val="20"/>
          <w:color w:val="auto"/>
        </w:rPr>
      </w:pPr>
      <w:r>
        <w:rPr>
          <w:rFonts w:ascii="Times New Roman" w:cs="Times New Roman" w:eastAsia="Times New Roman" w:hAnsi="Times New Roman"/>
          <w:sz w:val="20"/>
          <w:szCs w:val="20"/>
          <w:color w:val="auto"/>
        </w:rPr>
        <w:t>Filing, prosecuting and defending patents on all of our technologies and products in every jurisdiction is expensive. Competitors could reverse engineer our technologies in jurisdictions where we have not obtained patent protection to develop their own products. These products may compete with our products and may not be covered by any patent claims or other intellectual property rights.</w:t>
      </w:r>
    </w:p>
    <w:p>
      <w:pPr>
        <w:spacing w:after="0" w:line="180" w:lineRule="exact"/>
        <w:rPr>
          <w:sz w:val="20"/>
          <w:szCs w:val="20"/>
          <w:color w:val="auto"/>
        </w:rPr>
      </w:pPr>
    </w:p>
    <w:p>
      <w:pPr>
        <w:jc w:val="both"/>
        <w:ind w:right="40" w:firstLine="720"/>
        <w:spacing w:after="0" w:line="250" w:lineRule="auto"/>
        <w:rPr>
          <w:sz w:val="20"/>
          <w:szCs w:val="20"/>
          <w:color w:val="auto"/>
        </w:rPr>
      </w:pPr>
      <w:r>
        <w:rPr>
          <w:rFonts w:ascii="Times New Roman" w:cs="Times New Roman" w:eastAsia="Times New Roman" w:hAnsi="Times New Roman"/>
          <w:sz w:val="20"/>
          <w:szCs w:val="20"/>
          <w:color w:val="auto"/>
        </w:rPr>
        <w:t>The laws of some countries do not protect intellectual property rights to the same extent as the laws of the United States and many companies have encountered significant problems in protecting and defending such rights in foreign jurisdictions. This lack of protection, particularly in relation to biotechnology, could make it difficult for us to stop the infringement of our patents. Proceedings to enforce our patent rights in foreign jurisdictions could result in substantial cost and divert the efforts and attention of key personnel from other aspects of our business.</w:t>
      </w:r>
    </w:p>
    <w:p>
      <w:pPr>
        <w:spacing w:after="0" w:line="18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incur substantial costs as a result of litigation or other proceedings relating to patent and other intellectual property rights and we may be unable to protect our rights to, or use of, our technology.</w:t>
      </w:r>
    </w:p>
    <w:p>
      <w:pPr>
        <w:spacing w:after="0" w:line="159" w:lineRule="exact"/>
        <w:rPr>
          <w:sz w:val="20"/>
          <w:szCs w:val="20"/>
          <w:color w:val="auto"/>
        </w:rPr>
      </w:pPr>
    </w:p>
    <w:p>
      <w:pPr>
        <w:ind w:right="80" w:firstLine="720"/>
        <w:spacing w:after="0" w:line="246" w:lineRule="auto"/>
        <w:rPr>
          <w:sz w:val="20"/>
          <w:szCs w:val="20"/>
          <w:color w:val="auto"/>
        </w:rPr>
      </w:pPr>
      <w:r>
        <w:rPr>
          <w:rFonts w:ascii="Times New Roman" w:cs="Times New Roman" w:eastAsia="Times New Roman" w:hAnsi="Times New Roman"/>
          <w:sz w:val="20"/>
          <w:szCs w:val="20"/>
          <w:color w:val="auto"/>
        </w:rPr>
        <w:t>If we choose to go to court to stop someone else from using the intellectual property claimed in our patents or our licensed patents, that individual or company has the right to ask the court to rule that these patents are invalid and/or should not be enforced against that third party. These lawsuits are expensive and would distract our key personnel and consume time and other resources, even if we were successful in stopping the infringement of these patents. In addition, there is a risk that a court will decide that these patents are invalid or unenforceable and that we do not have the right to stop the other party from using the inventions or, even if the validity or enforceability of these patents is upheld, the court may refuse to stop the other party because the competitors’ activities do not infringe our rights.</w:t>
      </w:r>
    </w:p>
    <w:p>
      <w:pPr>
        <w:spacing w:after="0" w:line="19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third parties make claims of intellectual property infringement against us, or otherwise seek to establish their intellectual property rights equal or superior to ours, we may have to spend time and money in response and potentially discontinue certain of our operations.</w:t>
      </w:r>
    </w:p>
    <w:p>
      <w:pPr>
        <w:spacing w:after="0" w:line="175" w:lineRule="exact"/>
        <w:rPr>
          <w:sz w:val="20"/>
          <w:szCs w:val="20"/>
          <w:color w:val="auto"/>
        </w:rPr>
      </w:pPr>
    </w:p>
    <w:p>
      <w:pPr>
        <w:ind w:right="20" w:firstLine="721"/>
        <w:spacing w:after="0" w:line="245" w:lineRule="auto"/>
        <w:rPr>
          <w:sz w:val="20"/>
          <w:szCs w:val="20"/>
          <w:color w:val="auto"/>
        </w:rPr>
      </w:pPr>
      <w:r>
        <w:rPr>
          <w:rFonts w:ascii="Times New Roman" w:cs="Times New Roman" w:eastAsia="Times New Roman" w:hAnsi="Times New Roman"/>
          <w:sz w:val="20"/>
          <w:szCs w:val="20"/>
          <w:color w:val="auto"/>
        </w:rPr>
        <w:t>While we currently do not believe it to be the case, third parties may claim that we are employing their proprietary technology without authorization or that we are infringing on their patents. If such claims were made, we could incur substantial costs coupled with diversion of our management and key technical personnel in defending against these claims. Furthermore, parties making claims against us may be able to obtain injunctive or other equitable relief which could effectively halt our ability to further develop, commercialize and sell products. In the event of a successful claim of infringement, courts may order us to pay damages and obtain one or more licenses from third parties. We may not be able to obtain these licenses at a reasonable cost, if at all. Defense of any lawsuit or failure to obtain any of these licenses could prevent us from commercializing available products and have a material negative effect on our business.</w:t>
      </w:r>
    </w:p>
    <w:p>
      <w:pPr>
        <w:spacing w:after="0" w:line="193"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current and future relationships with investigators, health care professionals, consultants, third-party payors, and customers will be subject to applicable healthcare regulatory laws, which could expose us to penalties.</w:t>
      </w:r>
    </w:p>
    <w:p>
      <w:pPr>
        <w:spacing w:after="0" w:line="159" w:lineRule="exact"/>
        <w:rPr>
          <w:sz w:val="20"/>
          <w:szCs w:val="20"/>
          <w:color w:val="auto"/>
        </w:rPr>
      </w:pPr>
    </w:p>
    <w:p>
      <w:pPr>
        <w:ind w:right="140" w:firstLine="721"/>
        <w:spacing w:after="0" w:line="276" w:lineRule="auto"/>
        <w:rPr>
          <w:sz w:val="20"/>
          <w:szCs w:val="20"/>
          <w:color w:val="auto"/>
        </w:rPr>
      </w:pPr>
      <w:r>
        <w:rPr>
          <w:rFonts w:ascii="Times New Roman" w:cs="Times New Roman" w:eastAsia="Times New Roman" w:hAnsi="Times New Roman"/>
          <w:sz w:val="20"/>
          <w:szCs w:val="20"/>
          <w:color w:val="auto"/>
        </w:rPr>
        <w:t>Our business operations and current and future relationships with investigators, healthcare professionals, consultants, third-party payors and customers may expose us to broadly applicable fraud and abuse and other healthcare laws and regulations. These</w:t>
      </w:r>
    </w:p>
    <w:p>
      <w:pPr>
        <w:sectPr>
          <w:pgSz w:w="11880" w:h="15480" w:orient="portrait"/>
          <w:cols w:equalWidth="0" w:num="1">
            <w:col w:w="10740"/>
          </w:cols>
          <w:pgMar w:left="540" w:top="877"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10740"/>
          </w:cols>
          <w:pgMar w:left="540" w:top="877" w:right="600" w:bottom="0" w:gutter="0" w:footer="0" w:header="0"/>
          <w:type w:val="continuous"/>
        </w:sectPr>
      </w:pPr>
    </w:p>
    <w:bookmarkStart w:id="27" w:name="page28"/>
    <w:bookmarkEnd w:id="27"/>
    <w:p>
      <w:pPr>
        <w:ind w:right="280"/>
        <w:spacing w:after="0" w:line="279" w:lineRule="auto"/>
        <w:rPr>
          <w:sz w:val="20"/>
          <w:szCs w:val="20"/>
          <w:color w:val="auto"/>
        </w:rPr>
      </w:pPr>
      <w:r>
        <w:rPr>
          <w:rFonts w:ascii="Times New Roman" w:cs="Times New Roman" w:eastAsia="Times New Roman" w:hAnsi="Times New Roman"/>
          <w:sz w:val="20"/>
          <w:szCs w:val="20"/>
          <w:color w:val="auto"/>
        </w:rPr>
        <w:t>laws regulate the business or financial arrangements and relationships through which we conduct our operations, including how we research, market, sell and distribute our products for which we obtain marketing approval. Such laws include:</w:t>
      </w:r>
    </w:p>
    <w:p>
      <w:pPr>
        <w:spacing w:after="0" w:line="171" w:lineRule="exact"/>
        <w:rPr>
          <w:sz w:val="20"/>
          <w:szCs w:val="20"/>
          <w:color w:val="auto"/>
        </w:rPr>
      </w:pPr>
    </w:p>
    <w:p>
      <w:pPr>
        <w:ind w:left="1080" w:right="20" w:hanging="360"/>
        <w:spacing w:after="0" w:line="241" w:lineRule="auto"/>
        <w:tabs>
          <w:tab w:leader="none" w:pos="10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lease, order or recommendation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civil False Claims Act;</w:t>
      </w:r>
    </w:p>
    <w:p>
      <w:pPr>
        <w:spacing w:after="0" w:line="4" w:lineRule="exact"/>
        <w:rPr>
          <w:rFonts w:ascii="Arial" w:cs="Arial" w:eastAsia="Arial" w:hAnsi="Arial"/>
          <w:sz w:val="20"/>
          <w:szCs w:val="20"/>
          <w:color w:val="auto"/>
        </w:rPr>
      </w:pPr>
    </w:p>
    <w:p>
      <w:pPr>
        <w:ind w:left="1080" w:right="40" w:hanging="360"/>
        <w:spacing w:after="0" w:line="241" w:lineRule="auto"/>
        <w:tabs>
          <w:tab w:leader="none" w:pos="10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false claims laws including the civil False Claims Act, which can be enforced through civil whistleblower or qui tam actions, and civil monetary penalties laws, which impose criminal and civil penalties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knowingly making, or causing to be made,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civil False Claims Act;</w:t>
      </w:r>
    </w:p>
    <w:p>
      <w:pPr>
        <w:spacing w:after="0" w:line="7" w:lineRule="exact"/>
        <w:rPr>
          <w:rFonts w:ascii="Arial" w:cs="Arial" w:eastAsia="Arial" w:hAnsi="Arial"/>
          <w:sz w:val="20"/>
          <w:szCs w:val="20"/>
          <w:color w:val="auto"/>
        </w:rPr>
      </w:pPr>
    </w:p>
    <w:p>
      <w:pPr>
        <w:ind w:left="1080" w:right="100" w:hanging="360"/>
        <w:spacing w:after="0" w:line="243" w:lineRule="auto"/>
        <w:tabs>
          <w:tab w:leader="none" w:pos="10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HIPAA imposes criminal and civil liability for, among other things, knowingly and willfully executing, or attempting to execute, a scheme to defraud any healthcare benefit program or making false or fraudulent statements relating to healthcare matters. Similar to the federal Anti-Kickback Statute, a person or entity does not need to have actual knowledge of the statute or specific intent to violate it to have committed a violation;</w:t>
      </w:r>
    </w:p>
    <w:p>
      <w:pPr>
        <w:spacing w:after="0" w:line="1" w:lineRule="exact"/>
        <w:rPr>
          <w:rFonts w:ascii="Arial" w:cs="Arial" w:eastAsia="Arial" w:hAnsi="Arial"/>
          <w:sz w:val="20"/>
          <w:szCs w:val="20"/>
          <w:color w:val="auto"/>
        </w:rPr>
      </w:pPr>
    </w:p>
    <w:p>
      <w:pPr>
        <w:ind w:left="1080" w:hanging="360"/>
        <w:spacing w:after="0" w:line="242" w:lineRule="auto"/>
        <w:tabs>
          <w:tab w:leader="none" w:pos="10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 on health plans, health care clearing houses, and certain health care providers, known as covered entities, and their business associates, defined as independent contractors or agents of covered entities that create, receive or obtain protected health information in connection with providing a service for or on behalf of a covered entity as well as their covered subcontractors;</w:t>
      </w:r>
    </w:p>
    <w:p>
      <w:pPr>
        <w:spacing w:after="0" w:line="2" w:lineRule="exact"/>
        <w:rPr>
          <w:rFonts w:ascii="Arial" w:cs="Arial" w:eastAsia="Arial" w:hAnsi="Arial"/>
          <w:sz w:val="20"/>
          <w:szCs w:val="20"/>
          <w:color w:val="auto"/>
        </w:rPr>
      </w:pPr>
    </w:p>
    <w:p>
      <w:pPr>
        <w:ind w:left="1080" w:right="160" w:hanging="359"/>
        <w:spacing w:after="0" w:line="247" w:lineRule="auto"/>
        <w:tabs>
          <w:tab w:leader="none" w:pos="10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a number of federal, state and foreign laws, regulations, guidance and standards that impose requirements regarding the protection of health data that are applicable to or affect our operations;</w:t>
      </w:r>
    </w:p>
    <w:p>
      <w:pPr>
        <w:ind w:left="1080" w:right="100" w:hanging="359"/>
        <w:spacing w:after="0" w:line="241" w:lineRule="auto"/>
        <w:tabs>
          <w:tab w:leader="none" w:pos="10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transparency requirements, sometimes referred to as the “Sunshine Act,” under the Patient Protection and Affordable Care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and teaching hospitals, and requires applicable manufacturers and group purchasing organizations to report annually to the government ownership and investment interests held by the physicians described above and their immediate family members. Beginning in 2022, applicable manufacturers are also required to report such information regarding their relationships with physician assistants, nurse practitioners, clinical nurse specialists, certified registered nurse anesthetists and certified nurse midwives during the previous year; and</w:t>
      </w:r>
    </w:p>
    <w:p>
      <w:pPr>
        <w:spacing w:after="0" w:line="3" w:lineRule="exact"/>
        <w:rPr>
          <w:rFonts w:ascii="Arial" w:cs="Arial" w:eastAsia="Arial" w:hAnsi="Arial"/>
          <w:sz w:val="20"/>
          <w:szCs w:val="20"/>
          <w:color w:val="auto"/>
        </w:rPr>
      </w:pPr>
    </w:p>
    <w:p>
      <w:pPr>
        <w:ind w:left="1080" w:right="60" w:hanging="359"/>
        <w:spacing w:after="0" w:line="243" w:lineRule="auto"/>
        <w:tabs>
          <w:tab w:leader="none" w:pos="108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analogous state and foreign laws and regulations, such as state anti-kickback and false claims laws, may apply to our business practices, including but not limited to, research, distribution, sales, and marketing arrangements and claims involving healthcare items or services reimbursed by non-governmental third-party payors, including private insurers, or otherwise restrict payments that may be made to healthcare providers and other potential referral sources; and state laws that require medical device companies to comply with the industry’s voluntary compliance guidelines and the relevant compliance guidance promulgated by the federal government; state laws that require medical device manufacturers to report information related to payments and other transfers of value to physicians and other healthcare providers, marketing expenditures or drug pricing, as well as state and local laws that require the registration of sales representatives; and state and foreign laws governing the privacy and security of health information in some circumstances, many of which differ from each other in significant ways and often are not preempted by HIPAA, thus complicating compliance efforts.</w:t>
      </w:r>
    </w:p>
    <w:p>
      <w:pPr>
        <w:spacing w:after="0" w:line="198" w:lineRule="exact"/>
        <w:rPr>
          <w:sz w:val="20"/>
          <w:szCs w:val="20"/>
          <w:color w:val="auto"/>
        </w:rPr>
      </w:pPr>
    </w:p>
    <w:p>
      <w:pPr>
        <w:ind w:firstLine="721"/>
        <w:spacing w:after="0" w:line="258" w:lineRule="auto"/>
        <w:rPr>
          <w:sz w:val="20"/>
          <w:szCs w:val="20"/>
          <w:color w:val="auto"/>
        </w:rPr>
      </w:pPr>
      <w:r>
        <w:rPr>
          <w:rFonts w:ascii="Times New Roman" w:cs="Times New Roman" w:eastAsia="Times New Roman" w:hAnsi="Times New Roman"/>
          <w:sz w:val="20"/>
          <w:szCs w:val="20"/>
          <w:color w:val="auto"/>
        </w:rPr>
        <w:t>Defending against any such actions can be costly, time-consuming and may require significant financial and personnel resources. Therefore, even if we are successful in defending against any such actions that may be brought against us, our business may be impaired.</w:t>
      </w:r>
    </w:p>
    <w:p>
      <w:pPr>
        <w:sectPr>
          <w:pgSz w:w="11880" w:h="15480" w:orient="portrait"/>
          <w:cols w:equalWidth="0" w:num="1">
            <w:col w:w="10780"/>
          </w:cols>
          <w:pgMar w:left="540" w:top="887"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10780"/>
          </w:cols>
          <w:pgMar w:left="540" w:top="887" w:right="560" w:bottom="0" w:gutter="0" w:footer="0" w:header="0"/>
          <w:type w:val="continuous"/>
        </w:sectPr>
      </w:pPr>
    </w:p>
    <w:bookmarkStart w:id="28" w:name="page29"/>
    <w:bookmarkEnd w:id="28"/>
    <w:p>
      <w:pPr>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The continued successful commercialization of the RECELL system for FDA approved and pending indications, will depend in part on the extent to which government authorities and health insurers establish adequate reimbursement levels and pricing policies.</w:t>
      </w:r>
    </w:p>
    <w:p>
      <w:pPr>
        <w:spacing w:after="0" w:line="135"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auto"/>
        </w:rPr>
        <w:t>Continued sales of the RECELL System depend in part on the availability of coverage and reimbursement from third-party payers such as government insurance programs, including Medicare and Medicaid, private health insurers, health maintenance organizations and other health care related organizations, who are increasingly challenging the price of medical products and services.</w:t>
      </w:r>
    </w:p>
    <w:p>
      <w:pPr>
        <w:spacing w:after="0" w:line="223" w:lineRule="exact"/>
        <w:rPr>
          <w:sz w:val="20"/>
          <w:szCs w:val="20"/>
          <w:color w:val="auto"/>
        </w:rPr>
      </w:pPr>
    </w:p>
    <w:p>
      <w:pPr>
        <w:ind w:right="80" w:firstLine="720"/>
        <w:spacing w:after="0" w:line="245" w:lineRule="auto"/>
        <w:rPr>
          <w:sz w:val="20"/>
          <w:szCs w:val="20"/>
          <w:color w:val="auto"/>
        </w:rPr>
      </w:pPr>
      <w:r>
        <w:rPr>
          <w:rFonts w:ascii="Times New Roman" w:cs="Times New Roman" w:eastAsia="Times New Roman" w:hAnsi="Times New Roman"/>
          <w:sz w:val="20"/>
          <w:szCs w:val="20"/>
          <w:color w:val="auto"/>
        </w:rPr>
        <w:t>Both the federal and state governments in the United States continue to propose and pass new legislation, regulations, and policies affecting coverage and reimbursement rates, which are designed to contain or reduce the cost of health care. Further federal and state proposals and healthcare reforms are likely, which could limit the prices that can be charged for the RECELL System and may further limit our commercial opportunity. For example, on August 16, 2022, President Biden signed the Inflation Reduction Act of 2022, or the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through a newly established manufacturer discount program. It is possible that the Affordable Care Act will be subject to judicial or Congressional challenges in the future. Accordingly, we continue to evaluate the effect that the Affordable Care Act has on our business.</w:t>
      </w:r>
    </w:p>
    <w:p>
      <w:pPr>
        <w:spacing w:after="0" w:line="187" w:lineRule="exact"/>
        <w:rPr>
          <w:sz w:val="20"/>
          <w:szCs w:val="20"/>
          <w:color w:val="auto"/>
        </w:rPr>
      </w:pPr>
    </w:p>
    <w:p>
      <w:pPr>
        <w:ind w:right="180" w:firstLine="720"/>
        <w:spacing w:after="0" w:line="245" w:lineRule="auto"/>
        <w:rPr>
          <w:sz w:val="20"/>
          <w:szCs w:val="20"/>
          <w:color w:val="auto"/>
        </w:rPr>
      </w:pPr>
      <w:r>
        <w:rPr>
          <w:rFonts w:ascii="Times New Roman" w:cs="Times New Roman" w:eastAsia="Times New Roman" w:hAnsi="Times New Roman"/>
          <w:sz w:val="20"/>
          <w:szCs w:val="20"/>
          <w:color w:val="auto"/>
        </w:rPr>
        <w:t>There also may be future changes unrelated to the IRA that result in reductions in potential coverage and reimbursement levels for our product and we cannot predict the scope of any future changes or the impact that those changes would have on our operations. Cost control initiatives may decrease coverage and payment levels and, in turn, the price that we will be able to charge and/or the volume of our sales. We are unable to predict all changes to the coverage or reimbursement methodologies that will be applied by private or government payers. Any denial of private or government payer coverage, such as the Affordable Care Act, the IRA, as well as other federal, state, and foreign healthcare reform measures that have been and may be adopted in the future, or inadequate reimbursement could harm our business and reduce our revenue. Additionally, if rebate obligations associated with them are substantially greater than we expect, our future net revenue and profitability could be materially diminished.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Macroeconomic and Social Risks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 results of operations and financial condition may be adversely impacted by the COVID-19 pandemic.</w:t>
      </w:r>
    </w:p>
    <w:p>
      <w:pPr>
        <w:spacing w:after="0" w:line="229" w:lineRule="exact"/>
        <w:rPr>
          <w:sz w:val="20"/>
          <w:szCs w:val="20"/>
          <w:color w:val="auto"/>
        </w:rPr>
      </w:pPr>
    </w:p>
    <w:p>
      <w:pPr>
        <w:ind w:right="140" w:firstLine="720"/>
        <w:spacing w:after="0" w:line="246" w:lineRule="auto"/>
        <w:rPr>
          <w:sz w:val="20"/>
          <w:szCs w:val="20"/>
          <w:color w:val="auto"/>
        </w:rPr>
      </w:pPr>
      <w:r>
        <w:rPr>
          <w:rFonts w:ascii="Times New Roman" w:cs="Times New Roman" w:eastAsia="Times New Roman" w:hAnsi="Times New Roman"/>
          <w:sz w:val="20"/>
          <w:szCs w:val="20"/>
          <w:color w:val="auto"/>
        </w:rPr>
        <w:t>The ongoing COVID-19 pandemic has negatively affected the U.S. and global economies, disrupted global supply chains, resulted in significant travel and transport restrictions, and created significant disruption of the financial markets. We continue to closely monitor the impact of the COVID-19 pandemic on all aspects of our business, including how it is impacting our employees, product development, customers and supply chain. We continue to be unable to predict the ultimate impact that the COVID-19 pandemic may have on our business, future results of operations, financial position or cash flows. The extent to which our operations may be impacted by the COVID-19 pandemic and recovery will depend largely on future developments, which are highly uncertain and cannot be accurately predicted.</w:t>
      </w:r>
    </w:p>
    <w:p>
      <w:pPr>
        <w:spacing w:after="0" w:line="191"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We may experience additional operating costs due to increased challenges with our workforce (including as a result of illness, absenteeism or government orders), access to supplies, capital, and fundamental support services (such as shipping and transportation). Even after the COVID-19 pandemic has subsided, we may experience materially adverse impacts to our business due to any resulting supply chain disruptions, economic recession or depression. Furthermore, the impacts of potential worsening of global economic conditions, inflation resulting from government interventions and stimulus, and continued disruptions to and volatility in the financial markets remain unknown.</w:t>
      </w:r>
    </w:p>
    <w:p>
      <w:pPr>
        <w:spacing w:after="0" w:line="188" w:lineRule="exact"/>
        <w:rPr>
          <w:sz w:val="20"/>
          <w:szCs w:val="20"/>
          <w:color w:val="auto"/>
        </w:rPr>
      </w:pPr>
    </w:p>
    <w:p>
      <w:pPr>
        <w:ind w:right="140" w:firstLine="720"/>
        <w:spacing w:after="0" w:line="253" w:lineRule="auto"/>
        <w:rPr>
          <w:sz w:val="20"/>
          <w:szCs w:val="20"/>
          <w:color w:val="auto"/>
        </w:rPr>
      </w:pPr>
      <w:r>
        <w:rPr>
          <w:rFonts w:ascii="Times New Roman" w:cs="Times New Roman" w:eastAsia="Times New Roman" w:hAnsi="Times New Roman"/>
          <w:sz w:val="20"/>
          <w:szCs w:val="20"/>
          <w:color w:val="auto"/>
        </w:rPr>
        <w:t>The impact of the COVID-19 pandemic may also exacerbate other risks discussed in this section, any of which could have a material adverse effect on us. This situation continues to change rapidly, and additional impacts may arise that we are not aware of currently, including the emergence of additional variants which may or may not be resistant to currently available vaccines and therapeutic treatments.</w:t>
      </w:r>
    </w:p>
    <w:p>
      <w:pPr>
        <w:spacing w:after="0" w:line="18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20"/>
          <w:szCs w:val="20"/>
          <w:b w:val="1"/>
          <w:bCs w:val="1"/>
          <w:i w:val="1"/>
          <w:iCs w:val="1"/>
          <w:color w:val="auto"/>
        </w:rPr>
        <w:t>Adverse changes in general economic conditions or uncertainty about future economic conditions, including economic uncertainty from the departures of critical personnel from the industry, could adversely affect us.</w:t>
      </w:r>
    </w:p>
    <w:p>
      <w:pPr>
        <w:spacing w:after="0" w:line="161" w:lineRule="exact"/>
        <w:rPr>
          <w:sz w:val="20"/>
          <w:szCs w:val="20"/>
          <w:color w:val="auto"/>
        </w:rPr>
      </w:pPr>
    </w:p>
    <w:p>
      <w:pPr>
        <w:ind w:right="20" w:firstLine="720"/>
        <w:spacing w:after="0" w:line="263" w:lineRule="auto"/>
        <w:rPr>
          <w:sz w:val="20"/>
          <w:szCs w:val="20"/>
          <w:color w:val="auto"/>
        </w:rPr>
      </w:pPr>
      <w:r>
        <w:rPr>
          <w:rFonts w:ascii="Times New Roman" w:cs="Times New Roman" w:eastAsia="Times New Roman" w:hAnsi="Times New Roman"/>
          <w:sz w:val="19"/>
          <w:szCs w:val="19"/>
          <w:color w:val="auto"/>
        </w:rPr>
        <w:t>We are subject to the risks arising from adverse changes in general economic market conditions, including the negative impact to the U.S. and global economy from the COVID-19 pandemic. Uncertainty about future economic conditions could negatively affect our current and prospective customers causing them to delay the purchase of our products. Poor economic conditions could harm our business, financial condition, operating results and cash flows. In addition, a number of nurses and other critical personnel in burn centers who are trained and well versed in the use of the RECELL system have determined to change occupations, possibly as a result of the ongoing pandemic. Nationally, this has been termed the “great resignation”. The fact that many burn center employees</w:t>
      </w:r>
    </w:p>
    <w:p>
      <w:pPr>
        <w:sectPr>
          <w:pgSz w:w="11880" w:h="15480" w:orient="portrait"/>
          <w:cols w:equalWidth="0" w:num="1">
            <w:col w:w="10800"/>
          </w:cols>
          <w:pgMar w:left="540" w:top="888" w:right="540" w:bottom="0" w:gutter="0" w:footer="0" w:header="0"/>
        </w:sectPr>
      </w:pP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10800"/>
          </w:cols>
          <w:pgMar w:left="540" w:top="888" w:right="540" w:bottom="0" w:gutter="0" w:footer="0" w:header="0"/>
          <w:type w:val="continuous"/>
        </w:sectPr>
      </w:pPr>
    </w:p>
    <w:bookmarkStart w:id="29" w:name="page30"/>
    <w:bookmarkEnd w:id="29"/>
    <w:p>
      <w:pPr>
        <w:ind w:right="700"/>
        <w:spacing w:after="0" w:line="279" w:lineRule="auto"/>
        <w:rPr>
          <w:sz w:val="20"/>
          <w:szCs w:val="20"/>
          <w:color w:val="auto"/>
        </w:rPr>
      </w:pPr>
      <w:r>
        <w:rPr>
          <w:rFonts w:ascii="Times New Roman" w:cs="Times New Roman" w:eastAsia="Times New Roman" w:hAnsi="Times New Roman"/>
          <w:sz w:val="20"/>
          <w:szCs w:val="20"/>
          <w:color w:val="auto"/>
        </w:rPr>
        <w:t>have moved on to other positions or industries may limit our ability to increase adoption of our RECELL system as we will be required to train a new group of nurses and other personnel critical to the implementation of the RECELL system.</w:t>
      </w:r>
    </w:p>
    <w:p>
      <w:pPr>
        <w:spacing w:after="0" w:line="157" w:lineRule="exact"/>
        <w:rPr>
          <w:sz w:val="20"/>
          <w:szCs w:val="20"/>
          <w:color w:val="auto"/>
        </w:rPr>
      </w:pPr>
    </w:p>
    <w:p>
      <w:pPr>
        <w:ind w:right="40" w:firstLine="720"/>
        <w:spacing w:after="0" w:line="252" w:lineRule="auto"/>
        <w:rPr>
          <w:sz w:val="20"/>
          <w:szCs w:val="20"/>
          <w:color w:val="auto"/>
        </w:rPr>
      </w:pPr>
      <w:r>
        <w:rPr>
          <w:rFonts w:ascii="Times New Roman" w:cs="Times New Roman" w:eastAsia="Times New Roman" w:hAnsi="Times New Roman"/>
          <w:sz w:val="20"/>
          <w:szCs w:val="20"/>
          <w:color w:val="auto"/>
        </w:rPr>
        <w:t>Customer and consumer demand for our products may be impacted by weak economic conditions, recession, equity market volatility or other negative economic factors in the U.S. or other nations. The severity and length of time that a downturn in economic and financial market conditions may persist, as well as the timing, strength and sustainability of any recovery from such downturn, are unknown and are beyond our control. Many predict that the U.S. economy will enter a recession in fiscal year 2023.</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continue to take precautions due to the COVID-19 pandemic that could negatively impact our business.</w:t>
      </w:r>
    </w:p>
    <w:p>
      <w:pPr>
        <w:spacing w:after="0" w:line="227" w:lineRule="exact"/>
        <w:rPr>
          <w:sz w:val="20"/>
          <w:szCs w:val="20"/>
          <w:color w:val="auto"/>
        </w:rPr>
      </w:pPr>
    </w:p>
    <w:p>
      <w:pPr>
        <w:ind w:right="100" w:firstLine="720"/>
        <w:spacing w:after="0" w:line="245" w:lineRule="auto"/>
        <w:rPr>
          <w:sz w:val="20"/>
          <w:szCs w:val="20"/>
          <w:color w:val="auto"/>
        </w:rPr>
      </w:pPr>
      <w:r>
        <w:rPr>
          <w:rFonts w:ascii="Times New Roman" w:cs="Times New Roman" w:eastAsia="Times New Roman" w:hAnsi="Times New Roman"/>
          <w:sz w:val="20"/>
          <w:szCs w:val="20"/>
          <w:color w:val="auto"/>
        </w:rPr>
        <w:t>In response to the COVID-19 pandemic, we have taken measures intended to protect the health and well-being of our employees, customers, and communities, which could negatively impact our business. While the COVID-19 pandemic has not materially adversely affected our financial results and business operations through the fiscal year-ended December 31, 2022, we are unable to predict the impact that COVID-19 will have on our business, operations, and financial results and condition because of the numerous uncertainties created by the unprecedented nature of the pandemic. We are closely monitoring the evolving impact of the pandemic on all aspects of our business. We have implemented a number of measures designed to protect the health and safety of our employees, support our customers and promote business continuity. We continue to evaluate the Company’s liquidity and operational performance, communicate with and monitor the actions of our customers, third-party manufacturers and suppliers, and review our near-term financial performance as we manage the Company through this period of uncertainty.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Our Common Stock and CDIs</w:t>
      </w:r>
    </w:p>
    <w:p>
      <w:pPr>
        <w:spacing w:after="0" w:line="23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We have never paid a dividend on our common stock and CDIs and do not intend to do so in the foreseeable future, and consequently, investors’ only opportunity to realize a return on their investment in the Company is through the appreciation in the price of our common stock and CDIs.</w:t>
      </w:r>
    </w:p>
    <w:p>
      <w:pPr>
        <w:spacing w:after="0" w:line="179"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We do not anticipate paying cash dividends on our common stock and CDIs in the foreseeable future and intend to retain all earnings, if any, for our operations. If we decided to pay dividends at some future time, we may not have sufficient funds legally available to do so. Even if funds are legally available for distribution, we may be unable to pay any dividends to our stockholders because of limitations imposed by a lack of liquidity. Accordingly, our stockholders may have to sell some or all of their common stock or CDIs (as applicable) in order to generate cash flow from their investment. Our stockholders may not receive a gain on their investment when they sell their common stock or CDIs and may lose some or all of their investment. Any determination to pay dividends in the future on our common stock and CDIs will be made at the discretion of our Board of Directors and will depend on our results of operations, financial conditions, contractual restrictions, restrictions imposed by applicable law, capital requirements, and other factors that our Board of Directors deems relevant.</w:t>
      </w:r>
    </w:p>
    <w:p>
      <w:pPr>
        <w:spacing w:after="0" w:line="196"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9"/>
          <w:szCs w:val="19"/>
          <w:b w:val="1"/>
          <w:bCs w:val="1"/>
          <w:i w:val="1"/>
          <w:iCs w:val="1"/>
          <w:color w:val="auto"/>
        </w:rPr>
        <w:t>As long as we remain subject to the rules of the ASX and of Nasdaq, we will be unable to access equity capital without stockholder approval if such equity capital sales would result in an equity issuance above regulatory thresholds and consequently, we may be unable to obtain financing sufficient to sustain our business if we are unsuccessful in soliciting requisite stockholder approvals.</w:t>
      </w:r>
    </w:p>
    <w:p>
      <w:pPr>
        <w:spacing w:after="0" w:line="159" w:lineRule="exact"/>
        <w:rPr>
          <w:sz w:val="20"/>
          <w:szCs w:val="20"/>
          <w:color w:val="auto"/>
        </w:rPr>
      </w:pPr>
    </w:p>
    <w:p>
      <w:pPr>
        <w:ind w:right="300" w:firstLine="721"/>
        <w:spacing w:after="0" w:line="252" w:lineRule="auto"/>
        <w:rPr>
          <w:sz w:val="20"/>
          <w:szCs w:val="20"/>
          <w:color w:val="auto"/>
        </w:rPr>
      </w:pPr>
      <w:r>
        <w:rPr>
          <w:rFonts w:ascii="Times New Roman" w:cs="Times New Roman" w:eastAsia="Times New Roman" w:hAnsi="Times New Roman"/>
          <w:sz w:val="20"/>
          <w:szCs w:val="20"/>
          <w:color w:val="auto"/>
        </w:rPr>
        <w:t>Our ability to access equity capital is currently limited by ASX Listing Rule 7.1, which provides that a company must not, subject to specified exceptions, issue or agree to issue during any consecutive 12-month period any equity securities, or other securities with rights to conversion to equity, if the number of those securities in aggregate would exceed 15% of the number of outstanding common shares at the commencement of that 12-month period unless stockholder approval is obtained.</w:t>
      </w:r>
    </w:p>
    <w:p>
      <w:pPr>
        <w:spacing w:after="0" w:line="152" w:lineRule="exact"/>
        <w:rPr>
          <w:sz w:val="20"/>
          <w:szCs w:val="20"/>
          <w:color w:val="auto"/>
        </w:rPr>
      </w:pPr>
    </w:p>
    <w:p>
      <w:pPr>
        <w:ind w:right="420" w:firstLine="721"/>
        <w:spacing w:after="0" w:line="306" w:lineRule="auto"/>
        <w:rPr>
          <w:sz w:val="20"/>
          <w:szCs w:val="20"/>
          <w:color w:val="auto"/>
        </w:rPr>
      </w:pPr>
      <w:r>
        <w:rPr>
          <w:rFonts w:ascii="Times New Roman" w:cs="Times New Roman" w:eastAsia="Times New Roman" w:hAnsi="Times New Roman"/>
          <w:sz w:val="19"/>
          <w:szCs w:val="19"/>
          <w:color w:val="auto"/>
        </w:rPr>
        <w:t>Our equity issuances will be limited by ASX Listing Rule 7.1 so long as we continue to be listed on the ASX and this constraint may prevent us from raising the full amount of equity capital needed for operations without prior stockholder approval.</w:t>
      </w:r>
    </w:p>
    <w:p>
      <w:pPr>
        <w:spacing w:after="0" w:line="134" w:lineRule="exact"/>
        <w:rPr>
          <w:sz w:val="20"/>
          <w:szCs w:val="20"/>
          <w:color w:val="auto"/>
        </w:rPr>
      </w:pPr>
    </w:p>
    <w:p>
      <w:pPr>
        <w:ind w:firstLine="721"/>
        <w:spacing w:after="0" w:line="246" w:lineRule="auto"/>
        <w:rPr>
          <w:sz w:val="20"/>
          <w:szCs w:val="20"/>
          <w:color w:val="auto"/>
        </w:rPr>
      </w:pPr>
      <w:r>
        <w:rPr>
          <w:rFonts w:ascii="Times New Roman" w:cs="Times New Roman" w:eastAsia="Times New Roman" w:hAnsi="Times New Roman"/>
          <w:sz w:val="20"/>
          <w:szCs w:val="20"/>
          <w:color w:val="auto"/>
        </w:rPr>
        <w:t>In addition to ASX Listing Rule 7.1, we are also subject to Nasdaq Listing Rule 5635(d), commonly referred to as the Nasdaq 20% Rule, which requires stockholder approval of a transaction other than a public offering involving the sale, issuance, or potential issuance by a company of common stock (or securities convertible into or exercisable for common stock) equal to 20% or more of the common stock, or 20% or more of the voting power outstanding before the issuance for less than the greater of book or market value of the shares. While less restrictive than ASX Listing Rule 7.1, the operation of the Nasdaq 20% rule could limit our ability to raise capital through issuance of common stock or convertible securities without jeopardizing our listing status. If we were to violate the Nasdaq 20% rule, the Company would be subject to delisting from Nasdaq and share prices and trading volumes would likely suffer.</w:t>
      </w:r>
    </w:p>
    <w:p>
      <w:pPr>
        <w:sectPr>
          <w:pgSz w:w="11880" w:h="15480" w:orient="portrait"/>
          <w:cols w:equalWidth="0" w:num="1">
            <w:col w:w="10800"/>
          </w:cols>
          <w:pgMar w:left="540" w:top="88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10800"/>
          </w:cols>
          <w:pgMar w:left="540" w:top="887" w:right="540" w:bottom="0" w:gutter="0" w:footer="0" w:header="0"/>
          <w:type w:val="continuous"/>
        </w:sectPr>
      </w:pPr>
    </w:p>
    <w:bookmarkStart w:id="30" w:name="page31"/>
    <w:bookmarkEnd w:id="30"/>
    <w:p>
      <w:pPr>
        <w:ind w:right="2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There has been relatively limited trading volume in the markets for our common stock and CDIs, and more active, liquid trading markets for such securities may never develop.</w:t>
      </w:r>
    </w:p>
    <w:p>
      <w:pPr>
        <w:spacing w:after="0" w:line="156" w:lineRule="exact"/>
        <w:rPr>
          <w:sz w:val="20"/>
          <w:szCs w:val="20"/>
          <w:color w:val="auto"/>
        </w:rPr>
      </w:pPr>
    </w:p>
    <w:p>
      <w:pPr>
        <w:ind w:right="60" w:firstLine="720"/>
        <w:spacing w:after="0" w:line="246" w:lineRule="auto"/>
        <w:rPr>
          <w:sz w:val="20"/>
          <w:szCs w:val="20"/>
          <w:color w:val="auto"/>
        </w:rPr>
      </w:pPr>
      <w:r>
        <w:rPr>
          <w:rFonts w:ascii="Times New Roman" w:cs="Times New Roman" w:eastAsia="Times New Roman" w:hAnsi="Times New Roman"/>
          <w:sz w:val="20"/>
          <w:szCs w:val="20"/>
          <w:color w:val="auto"/>
        </w:rPr>
        <w:t>Trading in our common stock on Nasdaq and our CDIs on the ASX is often thin and susceptible to wide fluctuations in trading prices due to such limited trading volume and other factors, some of which may have little to do with our operations or business prospects. Limited liquidity in the trading markets for our common stock and CDIs may adversely affect a stockholder’s ability to sell its shares of our common stock or our CDIs at the time it wishes to sell them or at a price that it considers acceptable. In addition, if a more active, liquid public trading market does not develop we may be limited in our ability to raise capital by selling shares of common stock or CDIs. We cannot assure you that more active, liquid public trading markets for our common stock and CDIs will develop or, if developed, will be sustained.</w:t>
      </w:r>
    </w:p>
    <w:p>
      <w:pPr>
        <w:spacing w:after="0" w:line="192"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market price and trading volume of our common stock and CDIs may be volatile and may be affected by variability in our performance from period to period and economic conditions beyond management’s control.</w:t>
      </w:r>
    </w:p>
    <w:p>
      <w:pPr>
        <w:spacing w:after="0" w:line="157"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The market price of our common stock (including common stock represented by CDIs) may be highly volatile and could be subject to wide fluctuations. This means that our stockholders could experience a decrease in the value of their common stock or CDIs regardless of our operating performance or prospects. The market prices of securities of companies operating in the medical device and biotech sectors have often experienced fluctuations that have been unrelated or disproportionate to the operating results of these companies. In addition, the trading volume of our common stock and CDIs may fluctuate and cause significant price variations to occur. If the market price of our common stock or CDIs declines significantly, our stockholders may be unable to resell our common stock or CDIs at or above their purchase price, if at all. There can be no assurance that the market price of our common stock and CDIs will not fluctuate or significantly decline in the future.</w:t>
      </w:r>
    </w:p>
    <w:p>
      <w:pPr>
        <w:spacing w:after="0" w:line="191" w:lineRule="exact"/>
        <w:rPr>
          <w:sz w:val="20"/>
          <w:szCs w:val="20"/>
          <w:color w:val="auto"/>
        </w:rPr>
      </w:pPr>
    </w:p>
    <w:p>
      <w:pPr>
        <w:ind w:right="260" w:firstLine="721"/>
        <w:spacing w:after="0" w:line="248" w:lineRule="auto"/>
        <w:rPr>
          <w:sz w:val="20"/>
          <w:szCs w:val="20"/>
          <w:color w:val="auto"/>
        </w:rPr>
      </w:pPr>
      <w:r>
        <w:rPr>
          <w:rFonts w:ascii="Times New Roman" w:cs="Times New Roman" w:eastAsia="Times New Roman" w:hAnsi="Times New Roman"/>
          <w:sz w:val="20"/>
          <w:szCs w:val="20"/>
          <w:color w:val="auto"/>
        </w:rPr>
        <w:t>Some specific factors that could negatively affect the price of our common stock and CDIs or result in fluctuations in their price and trading volume include:</w:t>
      </w:r>
    </w:p>
    <w:p>
      <w:pPr>
        <w:ind w:left="1100" w:hanging="365"/>
        <w:spacing w:after="0"/>
        <w:tabs>
          <w:tab w:leader="none" w:pos="11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actual or expected fluctuations in our operating results;</w:t>
      </w:r>
    </w:p>
    <w:p>
      <w:pPr>
        <w:spacing w:after="0" w:line="11" w:lineRule="exact"/>
        <w:rPr>
          <w:rFonts w:ascii="Arial" w:cs="Arial" w:eastAsia="Arial" w:hAnsi="Arial"/>
          <w:sz w:val="20"/>
          <w:szCs w:val="20"/>
          <w:color w:val="auto"/>
        </w:rPr>
      </w:pPr>
    </w:p>
    <w:p>
      <w:pPr>
        <w:ind w:left="1100" w:hanging="365"/>
        <w:spacing w:after="0"/>
        <w:tabs>
          <w:tab w:leader="none" w:pos="11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actual or expected changes in our growth rates or our competitors’ growth rates;</w:t>
      </w:r>
    </w:p>
    <w:p>
      <w:pPr>
        <w:spacing w:after="0" w:line="13" w:lineRule="exact"/>
        <w:rPr>
          <w:rFonts w:ascii="Arial" w:cs="Arial" w:eastAsia="Arial" w:hAnsi="Arial"/>
          <w:sz w:val="20"/>
          <w:szCs w:val="20"/>
          <w:color w:val="auto"/>
        </w:rPr>
      </w:pPr>
    </w:p>
    <w:p>
      <w:pPr>
        <w:ind w:left="1100" w:hanging="365"/>
        <w:spacing w:after="0"/>
        <w:tabs>
          <w:tab w:leader="none" w:pos="11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results of clinical trials of our product candidates;</w:t>
      </w:r>
    </w:p>
    <w:p>
      <w:pPr>
        <w:spacing w:after="0" w:line="13" w:lineRule="exact"/>
        <w:rPr>
          <w:rFonts w:ascii="Arial" w:cs="Arial" w:eastAsia="Arial" w:hAnsi="Arial"/>
          <w:sz w:val="20"/>
          <w:szCs w:val="20"/>
          <w:color w:val="auto"/>
        </w:rPr>
      </w:pPr>
    </w:p>
    <w:p>
      <w:pPr>
        <w:ind w:left="1100" w:hanging="365"/>
        <w:spacing w:after="0"/>
        <w:tabs>
          <w:tab w:leader="none" w:pos="11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results of clinical trials of our competitors’ products;</w:t>
      </w:r>
    </w:p>
    <w:p>
      <w:pPr>
        <w:spacing w:after="0" w:line="13" w:lineRule="exact"/>
        <w:rPr>
          <w:rFonts w:ascii="Arial" w:cs="Arial" w:eastAsia="Arial" w:hAnsi="Arial"/>
          <w:sz w:val="20"/>
          <w:szCs w:val="20"/>
          <w:color w:val="auto"/>
        </w:rPr>
      </w:pPr>
    </w:p>
    <w:p>
      <w:pPr>
        <w:ind w:left="1100" w:hanging="365"/>
        <w:spacing w:after="0"/>
        <w:tabs>
          <w:tab w:leader="none" w:pos="11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actions with respect to our products or our competitors’ products;</w:t>
      </w:r>
    </w:p>
    <w:p>
      <w:pPr>
        <w:spacing w:after="0" w:line="13" w:lineRule="exact"/>
        <w:rPr>
          <w:rFonts w:ascii="Arial" w:cs="Arial" w:eastAsia="Arial" w:hAnsi="Arial"/>
          <w:sz w:val="20"/>
          <w:szCs w:val="20"/>
          <w:color w:val="auto"/>
        </w:rPr>
      </w:pPr>
    </w:p>
    <w:p>
      <w:pPr>
        <w:ind w:left="1100" w:hanging="365"/>
        <w:spacing w:after="0"/>
        <w:tabs>
          <w:tab w:leader="none" w:pos="11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reports of one or more patient serious adverse events;</w:t>
      </w:r>
    </w:p>
    <w:p>
      <w:pPr>
        <w:spacing w:after="0" w:line="11" w:lineRule="exact"/>
        <w:rPr>
          <w:rFonts w:ascii="Arial" w:cs="Arial" w:eastAsia="Arial" w:hAnsi="Arial"/>
          <w:sz w:val="20"/>
          <w:szCs w:val="20"/>
          <w:color w:val="auto"/>
        </w:rPr>
      </w:pPr>
    </w:p>
    <w:p>
      <w:pPr>
        <w:ind w:left="1100" w:hanging="365"/>
        <w:spacing w:after="0"/>
        <w:tabs>
          <w:tab w:leader="none" w:pos="11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publication of research reports by securities analysts about us or our competitors in the industry;</w:t>
      </w:r>
    </w:p>
    <w:p>
      <w:pPr>
        <w:spacing w:after="0" w:line="13" w:lineRule="exact"/>
        <w:rPr>
          <w:rFonts w:ascii="Arial" w:cs="Arial" w:eastAsia="Arial" w:hAnsi="Arial"/>
          <w:sz w:val="20"/>
          <w:szCs w:val="20"/>
          <w:color w:val="auto"/>
        </w:rPr>
      </w:pPr>
    </w:p>
    <w:p>
      <w:pPr>
        <w:ind w:left="1100" w:right="320" w:hanging="365"/>
        <w:spacing w:after="0" w:line="247" w:lineRule="auto"/>
        <w:tabs>
          <w:tab w:leader="none" w:pos="11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our failure or the failure of our competitors to meet analysts’ projections or guidance that we or our competitors may give to the market;</w:t>
      </w:r>
    </w:p>
    <w:p>
      <w:pPr>
        <w:ind w:left="1100" w:hanging="365"/>
        <w:spacing w:after="0"/>
        <w:tabs>
          <w:tab w:leader="none" w:pos="11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fluctuations of exchange rates between the U.S. dollar and the Australian dollar;</w:t>
      </w:r>
    </w:p>
    <w:p>
      <w:pPr>
        <w:spacing w:after="0" w:line="13" w:lineRule="exact"/>
        <w:rPr>
          <w:rFonts w:ascii="Arial" w:cs="Arial" w:eastAsia="Arial" w:hAnsi="Arial"/>
          <w:sz w:val="20"/>
          <w:szCs w:val="20"/>
          <w:color w:val="auto"/>
        </w:rPr>
      </w:pPr>
    </w:p>
    <w:p>
      <w:pPr>
        <w:ind w:left="1100" w:hanging="365"/>
        <w:spacing w:after="0"/>
        <w:tabs>
          <w:tab w:leader="none" w:pos="11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issuances by us of debt or equity securities;</w:t>
      </w:r>
    </w:p>
    <w:p>
      <w:pPr>
        <w:spacing w:after="0" w:line="11" w:lineRule="exact"/>
        <w:rPr>
          <w:rFonts w:ascii="Arial" w:cs="Arial" w:eastAsia="Arial" w:hAnsi="Arial"/>
          <w:sz w:val="20"/>
          <w:szCs w:val="20"/>
          <w:color w:val="auto"/>
        </w:rPr>
      </w:pPr>
    </w:p>
    <w:p>
      <w:pPr>
        <w:ind w:left="1100" w:hanging="365"/>
        <w:spacing w:after="0"/>
        <w:tabs>
          <w:tab w:leader="none" w:pos="11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litigation involving our company, including stockholder litigation;</w:t>
      </w:r>
    </w:p>
    <w:p>
      <w:pPr>
        <w:spacing w:after="0" w:line="14" w:lineRule="exact"/>
        <w:rPr>
          <w:rFonts w:ascii="Arial" w:cs="Arial" w:eastAsia="Arial" w:hAnsi="Arial"/>
          <w:sz w:val="20"/>
          <w:szCs w:val="20"/>
          <w:color w:val="auto"/>
        </w:rPr>
      </w:pPr>
    </w:p>
    <w:p>
      <w:pPr>
        <w:ind w:left="1100" w:hanging="365"/>
        <w:spacing w:after="0"/>
        <w:tabs>
          <w:tab w:leader="none" w:pos="11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investigations or audits by regulators into the operations of our company;</w:t>
      </w:r>
    </w:p>
    <w:p>
      <w:pPr>
        <w:spacing w:after="0" w:line="13" w:lineRule="exact"/>
        <w:rPr>
          <w:rFonts w:ascii="Arial" w:cs="Arial" w:eastAsia="Arial" w:hAnsi="Arial"/>
          <w:sz w:val="20"/>
          <w:szCs w:val="20"/>
          <w:color w:val="auto"/>
        </w:rPr>
      </w:pPr>
    </w:p>
    <w:p>
      <w:pPr>
        <w:ind w:left="1100" w:hanging="365"/>
        <w:spacing w:after="0"/>
        <w:tabs>
          <w:tab w:leader="none" w:pos="11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proceedings initiated by our competitors or clients;</w:t>
      </w:r>
    </w:p>
    <w:p>
      <w:pPr>
        <w:spacing w:after="0" w:line="13" w:lineRule="exact"/>
        <w:rPr>
          <w:rFonts w:ascii="Arial" w:cs="Arial" w:eastAsia="Arial" w:hAnsi="Arial"/>
          <w:sz w:val="20"/>
          <w:szCs w:val="20"/>
          <w:color w:val="auto"/>
        </w:rPr>
      </w:pPr>
    </w:p>
    <w:p>
      <w:pPr>
        <w:ind w:left="1100" w:right="680" w:hanging="365"/>
        <w:spacing w:after="0" w:line="247" w:lineRule="auto"/>
        <w:tabs>
          <w:tab w:leader="none" w:pos="11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strategic decisions by us or our competitors, such as acquisitions, divestitures, spin-offs, joint ventures, strategic investments or changes in business strategy;</w:t>
      </w:r>
    </w:p>
    <w:p>
      <w:pPr>
        <w:ind w:left="1100" w:right="100" w:hanging="365"/>
        <w:spacing w:after="0" w:line="246" w:lineRule="auto"/>
        <w:tabs>
          <w:tab w:leader="none" w:pos="11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sales or perceived potential sales of the common stock or CDIs by us, our directors, executive management team or our stockholders in the future;</w:t>
      </w:r>
    </w:p>
    <w:p>
      <w:pPr>
        <w:ind w:left="1100" w:hanging="365"/>
        <w:spacing w:after="0"/>
        <w:tabs>
          <w:tab w:leader="none" w:pos="11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short selling or other market manipulation activities;</w:t>
      </w:r>
    </w:p>
    <w:p>
      <w:pPr>
        <w:spacing w:after="0" w:line="13" w:lineRule="exact"/>
        <w:rPr>
          <w:rFonts w:ascii="Arial" w:cs="Arial" w:eastAsia="Arial" w:hAnsi="Arial"/>
          <w:sz w:val="20"/>
          <w:szCs w:val="20"/>
          <w:color w:val="auto"/>
        </w:rPr>
      </w:pPr>
    </w:p>
    <w:p>
      <w:pPr>
        <w:ind w:left="1100" w:hanging="365"/>
        <w:spacing w:after="0"/>
        <w:tabs>
          <w:tab w:leader="none" w:pos="11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announcement or expectation of additional financing efforts;</w:t>
      </w:r>
    </w:p>
    <w:p>
      <w:pPr>
        <w:spacing w:after="0" w:line="13" w:lineRule="exact"/>
        <w:rPr>
          <w:rFonts w:ascii="Arial" w:cs="Arial" w:eastAsia="Arial" w:hAnsi="Arial"/>
          <w:sz w:val="20"/>
          <w:szCs w:val="20"/>
          <w:color w:val="auto"/>
        </w:rPr>
      </w:pPr>
    </w:p>
    <w:p>
      <w:pPr>
        <w:ind w:left="1100" w:hanging="365"/>
        <w:spacing w:after="0"/>
        <w:tabs>
          <w:tab w:leader="none" w:pos="11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terrorist acts, acts of war or periods of widespread civil unrest;</w:t>
      </w:r>
    </w:p>
    <w:p>
      <w:pPr>
        <w:spacing w:after="0" w:line="13" w:lineRule="exact"/>
        <w:rPr>
          <w:rFonts w:ascii="Arial" w:cs="Arial" w:eastAsia="Arial" w:hAnsi="Arial"/>
          <w:sz w:val="20"/>
          <w:szCs w:val="20"/>
          <w:color w:val="auto"/>
        </w:rPr>
      </w:pPr>
    </w:p>
    <w:p>
      <w:pPr>
        <w:ind w:left="1100" w:hanging="365"/>
        <w:spacing w:after="0"/>
        <w:tabs>
          <w:tab w:leader="none" w:pos="11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economic and social effects of the COVID-19 virus, including any emerging variants or other pandemics;</w:t>
      </w:r>
    </w:p>
    <w:p>
      <w:pPr>
        <w:spacing w:after="0" w:line="11" w:lineRule="exact"/>
        <w:rPr>
          <w:rFonts w:ascii="Arial" w:cs="Arial" w:eastAsia="Arial" w:hAnsi="Arial"/>
          <w:sz w:val="20"/>
          <w:szCs w:val="20"/>
          <w:color w:val="auto"/>
        </w:rPr>
      </w:pPr>
    </w:p>
    <w:p>
      <w:pPr>
        <w:ind w:left="1100" w:hanging="365"/>
        <w:spacing w:after="0"/>
        <w:tabs>
          <w:tab w:leader="none" w:pos="11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natural disasters and other calamities;</w:t>
      </w:r>
    </w:p>
    <w:p>
      <w:pPr>
        <w:spacing w:after="0" w:line="13" w:lineRule="exact"/>
        <w:rPr>
          <w:rFonts w:ascii="Arial" w:cs="Arial" w:eastAsia="Arial" w:hAnsi="Arial"/>
          <w:sz w:val="20"/>
          <w:szCs w:val="20"/>
          <w:color w:val="auto"/>
        </w:rPr>
      </w:pPr>
    </w:p>
    <w:p>
      <w:pPr>
        <w:ind w:left="1100" w:hanging="365"/>
        <w:spacing w:after="0"/>
        <w:tabs>
          <w:tab w:leader="none" w:pos="11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market conditions for biopharmaceutical stocks;</w:t>
      </w:r>
    </w:p>
    <w:p>
      <w:pPr>
        <w:spacing w:after="0" w:line="14" w:lineRule="exact"/>
        <w:rPr>
          <w:rFonts w:ascii="Arial" w:cs="Arial" w:eastAsia="Arial" w:hAnsi="Arial"/>
          <w:sz w:val="20"/>
          <w:szCs w:val="20"/>
          <w:color w:val="auto"/>
        </w:rPr>
      </w:pPr>
    </w:p>
    <w:p>
      <w:pPr>
        <w:ind w:left="1100" w:hanging="365"/>
        <w:spacing w:after="0"/>
        <w:tabs>
          <w:tab w:leader="none" w:pos="11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our inability to raise additional capital, limiting our ability to continue as a going concern;</w:t>
      </w:r>
    </w:p>
    <w:p>
      <w:pPr>
        <w:spacing w:after="0" w:line="13" w:lineRule="exact"/>
        <w:rPr>
          <w:rFonts w:ascii="Arial" w:cs="Arial" w:eastAsia="Arial" w:hAnsi="Arial"/>
          <w:sz w:val="20"/>
          <w:szCs w:val="20"/>
          <w:color w:val="auto"/>
        </w:rPr>
      </w:pPr>
    </w:p>
    <w:p>
      <w:pPr>
        <w:ind w:left="1100" w:hanging="365"/>
        <w:spacing w:after="0"/>
        <w:tabs>
          <w:tab w:leader="none" w:pos="11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market prices for our product or for our raw materials;</w:t>
      </w:r>
    </w:p>
    <w:p>
      <w:pPr>
        <w:spacing w:after="0" w:line="35" w:lineRule="exact"/>
        <w:rPr>
          <w:rFonts w:ascii="Arial" w:cs="Arial" w:eastAsia="Arial" w:hAnsi="Arial"/>
          <w:sz w:val="20"/>
          <w:szCs w:val="20"/>
          <w:color w:val="auto"/>
        </w:rPr>
      </w:pPr>
    </w:p>
    <w:p>
      <w:pPr>
        <w:ind w:left="1100" w:hanging="365"/>
        <w:spacing w:after="0"/>
        <w:tabs>
          <w:tab w:leader="none" w:pos="11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market valuations of similar companies;</w:t>
      </w:r>
    </w:p>
    <w:p>
      <w:pPr>
        <w:spacing w:after="0" w:line="13" w:lineRule="exact"/>
        <w:rPr>
          <w:rFonts w:ascii="Arial" w:cs="Arial" w:eastAsia="Arial" w:hAnsi="Arial"/>
          <w:sz w:val="20"/>
          <w:szCs w:val="20"/>
          <w:color w:val="auto"/>
        </w:rPr>
      </w:pPr>
    </w:p>
    <w:p>
      <w:pPr>
        <w:ind w:left="1100" w:hanging="365"/>
        <w:spacing w:after="0"/>
        <w:tabs>
          <w:tab w:leader="none" w:pos="11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key personnel for us or our competitors;</w:t>
      </w:r>
    </w:p>
    <w:p>
      <w:pPr>
        <w:spacing w:after="0" w:line="13" w:lineRule="exact"/>
        <w:rPr>
          <w:rFonts w:ascii="Arial" w:cs="Arial" w:eastAsia="Arial" w:hAnsi="Arial"/>
          <w:sz w:val="20"/>
          <w:szCs w:val="20"/>
          <w:color w:val="auto"/>
        </w:rPr>
      </w:pPr>
    </w:p>
    <w:p>
      <w:pPr>
        <w:ind w:left="1100" w:hanging="365"/>
        <w:spacing w:after="0"/>
        <w:tabs>
          <w:tab w:leader="none" w:pos="11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speculation in the press or investment community;</w:t>
      </w:r>
    </w:p>
    <w:p>
      <w:pPr>
        <w:spacing w:after="0" w:line="13" w:lineRule="exact"/>
        <w:rPr>
          <w:rFonts w:ascii="Arial" w:cs="Arial" w:eastAsia="Arial" w:hAnsi="Arial"/>
          <w:sz w:val="20"/>
          <w:szCs w:val="20"/>
          <w:color w:val="auto"/>
        </w:rPr>
      </w:pPr>
    </w:p>
    <w:p>
      <w:pPr>
        <w:ind w:left="1100" w:hanging="365"/>
        <w:spacing w:after="0"/>
        <w:tabs>
          <w:tab w:leader="none" w:pos="11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changes or proposed changes in laws and regulations affecting our industry; and</w:t>
      </w:r>
    </w:p>
    <w:p>
      <w:pPr>
        <w:spacing w:after="0" w:line="11" w:lineRule="exact"/>
        <w:rPr>
          <w:rFonts w:ascii="Arial" w:cs="Arial" w:eastAsia="Arial" w:hAnsi="Arial"/>
          <w:sz w:val="20"/>
          <w:szCs w:val="20"/>
          <w:color w:val="auto"/>
        </w:rPr>
      </w:pPr>
    </w:p>
    <w:p>
      <w:pPr>
        <w:ind w:left="1100" w:hanging="365"/>
        <w:spacing w:after="0"/>
        <w:tabs>
          <w:tab w:leader="none" w:pos="110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conditions in the financial markets in general or changes in general economic conditions.</w:t>
      </w:r>
    </w:p>
    <w:p>
      <w:pPr>
        <w:sectPr>
          <w:pgSz w:w="11880" w:h="15480" w:orient="portrait"/>
          <w:cols w:equalWidth="0" w:num="1">
            <w:col w:w="10760"/>
          </w:cols>
          <w:pgMar w:left="540" w:top="1119" w:right="580" w:bottom="0" w:gutter="0" w:footer="0" w:header="0"/>
        </w:sect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10760"/>
          </w:cols>
          <w:pgMar w:left="540" w:top="1119" w:right="580" w:bottom="0" w:gutter="0" w:footer="0" w:header="0"/>
          <w:type w:val="continuous"/>
        </w:sectPr>
      </w:pPr>
    </w:p>
    <w:bookmarkStart w:id="31" w:name="page32"/>
    <w:bookmarkEnd w:id="31"/>
    <w:p>
      <w:pPr>
        <w:ind w:right="6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requirements of being a public company in the United States and listed on the ASX may strain our resources and divert management’s attention.</w:t>
      </w:r>
    </w:p>
    <w:p>
      <w:pPr>
        <w:spacing w:after="0" w:line="156" w:lineRule="exact"/>
        <w:rPr>
          <w:sz w:val="20"/>
          <w:szCs w:val="20"/>
          <w:color w:val="auto"/>
        </w:rPr>
      </w:pPr>
    </w:p>
    <w:p>
      <w:pPr>
        <w:ind w:right="80" w:firstLine="720"/>
        <w:spacing w:after="0" w:line="244" w:lineRule="auto"/>
        <w:rPr>
          <w:sz w:val="20"/>
          <w:szCs w:val="20"/>
          <w:color w:val="auto"/>
        </w:rPr>
      </w:pPr>
      <w:r>
        <w:rPr>
          <w:rFonts w:ascii="Times New Roman" w:cs="Times New Roman" w:eastAsia="Times New Roman" w:hAnsi="Times New Roman"/>
          <w:sz w:val="20"/>
          <w:szCs w:val="20"/>
          <w:color w:val="auto"/>
        </w:rPr>
        <w:t>As a public company, we are subject to the reporting requirements of the Exchange Act, the U.S. Sarbanes-Oxley Act of 2002 (the “</w:t>
      </w:r>
      <w:r>
        <w:rPr>
          <w:rFonts w:ascii="Times New Roman" w:cs="Times New Roman" w:eastAsia="Times New Roman" w:hAnsi="Times New Roman"/>
          <w:sz w:val="20"/>
          <w:szCs w:val="20"/>
          <w:b w:val="1"/>
          <w:bCs w:val="1"/>
          <w:color w:val="auto"/>
        </w:rPr>
        <w:t>Sarbanes-Oxley Act</w:t>
      </w:r>
      <w:r>
        <w:rPr>
          <w:rFonts w:ascii="Times New Roman" w:cs="Times New Roman" w:eastAsia="Times New Roman" w:hAnsi="Times New Roman"/>
          <w:sz w:val="20"/>
          <w:szCs w:val="20"/>
          <w:color w:val="auto"/>
        </w:rPr>
        <w:t>”), the Dodd-Frank Act and the listing standards and the rules and regulations of Nasdaq. We are also subject to the reporting requirements under the ASX Listing Rules due to the listing of our CDIs on ASX. We expect that the requirements of these rules and regulations will increase our legal, accounting and financial compliance costs, make some activities more difficult, time consuming and costly, and place significant strain on our personnel, systems and resources. As a result of our disclosure of information in filings required of a public company, our business and financial condition is more visible, which may result in threatened or actual litigation, including by competitors, stockholders or third parties. If such claims are successful, our business and operating results could be harmed, and even if the claims do not result in litigation or are resolved in our favor, these claims, and the time and resources necessary to resolve them, could divert the resources of our management and harm our business and operating results.</w:t>
      </w:r>
    </w:p>
    <w:p>
      <w:pPr>
        <w:spacing w:after="0" w:line="196"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20"/>
          <w:szCs w:val="20"/>
          <w:b w:val="1"/>
          <w:bCs w:val="1"/>
          <w:i w:val="1"/>
          <w:iCs w:val="1"/>
          <w:color w:val="auto"/>
        </w:rPr>
        <w:t>We are an emerging growth company, and the reduced disclosure requirements applicable to emerging growth companies may make our common stock less attractive to investors.</w:t>
      </w:r>
    </w:p>
    <w:p>
      <w:pPr>
        <w:spacing w:after="0" w:line="157"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We are an “emerging growth company,” as defined in the Jumpstart Our Business Startups Act of 2012 (“</w:t>
      </w:r>
      <w:r>
        <w:rPr>
          <w:rFonts w:ascii="Times New Roman" w:cs="Times New Roman" w:eastAsia="Times New Roman" w:hAnsi="Times New Roman"/>
          <w:sz w:val="20"/>
          <w:szCs w:val="20"/>
          <w:b w:val="1"/>
          <w:bCs w:val="1"/>
          <w:color w:val="auto"/>
        </w:rPr>
        <w:t>JOBS Act</w:t>
      </w:r>
      <w:r>
        <w:rPr>
          <w:rFonts w:ascii="Times New Roman" w:cs="Times New Roman" w:eastAsia="Times New Roman" w:hAnsi="Times New Roman"/>
          <w:sz w:val="20"/>
          <w:szCs w:val="20"/>
          <w:color w:val="auto"/>
        </w:rPr>
        <w:t>”). For as long as we continue to be an emerging growth company, we may take advantage of certain exemptions and relief from various U.S. reporting requirements that are applicable to other public companies that are not emerging growth companies, including (i) not being required to comply with the auditor attestation requirements of Section 404 of the Sarbanes-Oxley Act, (ii) having the option of delaying the adoption of certain new or revised financial accounting standards, (iii) reduced disclosure obligations regarding executive compensation in our periodic reports and proxy statements and (iv) exemptions from the requirements of holding a nonbinding advisory vote on executive compensation and stockholder approval of any golden parachute payments not previously approved. We have taken, and in the future may take, advantage of these exemptions until such time that we are no longer an emerging growth company. Accordingly, the information contained herein and in other reports we file with the SEC may be different than the information our investors receive from other public companies in which they hold stock. Further, we have elected to take advantage of the extended transition period for complying with new or revised accounting standards until those standards would otherwise apply to private companies. As a result, our operating results and financial statements may not be comparable to the operating results and financial statements of other companies who have adopted the new or revised accounting standards. It is possible that some investors will find our common stock and CDIs less attractive as a result, which may result in a less active trading market for our common stock and CDIs and higher volatility in our stock and CDI price.</w:t>
      </w:r>
    </w:p>
    <w:p>
      <w:pPr>
        <w:spacing w:after="0" w:line="190" w:lineRule="exact"/>
        <w:rPr>
          <w:sz w:val="20"/>
          <w:szCs w:val="20"/>
          <w:color w:val="auto"/>
        </w:rPr>
      </w:pPr>
    </w:p>
    <w:p>
      <w:pPr>
        <w:ind w:right="20" w:firstLine="721"/>
        <w:spacing w:after="0" w:line="247" w:lineRule="auto"/>
        <w:rPr>
          <w:sz w:val="20"/>
          <w:szCs w:val="20"/>
          <w:color w:val="auto"/>
        </w:rPr>
      </w:pPr>
      <w:r>
        <w:rPr>
          <w:rFonts w:ascii="Times New Roman" w:cs="Times New Roman" w:eastAsia="Times New Roman" w:hAnsi="Times New Roman"/>
          <w:sz w:val="20"/>
          <w:szCs w:val="20"/>
          <w:color w:val="auto"/>
        </w:rPr>
        <w:t>We will remain an emerging growth company until the earliest of (i) the last day of the fiscal year following the fifth anniversary of the date of the first sale of our common stock pursuant to an effective registration statement under the Securities Act which, given the filing of the S-8 Registration Statement on August 27, 2020, will be December 31, 2025, (ii) the last day of the fiscal year in which we have total annual gross revenue of at least $1.07 billion, (iii) the last day of the fiscal year in which we are deemed to be a “large accelerated filer” as defined in Rule 12b-2 under the Exchange Act, or (iv) the date on which we have issued more than $1.0 billion in non-convertible debt securities during the prior three-year period.</w:t>
      </w:r>
    </w:p>
    <w:p>
      <w:pPr>
        <w:spacing w:after="0" w:line="216"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20"/>
          <w:szCs w:val="20"/>
          <w:b w:val="1"/>
          <w:bCs w:val="1"/>
          <w:i w:val="1"/>
          <w:iCs w:val="1"/>
          <w:color w:val="auto"/>
        </w:rPr>
        <w:t>If research analysts publish unfavorable commentary or downgrade our common stock or CDIs it could adversely affect our share price and trading volume.</w:t>
      </w:r>
    </w:p>
    <w:p>
      <w:pPr>
        <w:spacing w:after="0" w:line="160" w:lineRule="exact"/>
        <w:rPr>
          <w:sz w:val="20"/>
          <w:szCs w:val="20"/>
          <w:color w:val="auto"/>
        </w:rPr>
      </w:pPr>
    </w:p>
    <w:p>
      <w:pPr>
        <w:ind w:right="80" w:firstLine="721"/>
        <w:spacing w:after="0" w:line="249" w:lineRule="auto"/>
        <w:rPr>
          <w:sz w:val="20"/>
          <w:szCs w:val="20"/>
          <w:color w:val="auto"/>
        </w:rPr>
      </w:pPr>
      <w:r>
        <w:rPr>
          <w:rFonts w:ascii="Times New Roman" w:cs="Times New Roman" w:eastAsia="Times New Roman" w:hAnsi="Times New Roman"/>
          <w:sz w:val="20"/>
          <w:szCs w:val="20"/>
          <w:color w:val="auto"/>
        </w:rPr>
        <w:t>The trading market for our common stock and CDIs depends, in part, on the research and reports that research analysts publish about us and our business and industry. If one or more research analysts downgrade our shares or CDIs, publish unfavorable commentary about the Company or cease publishing reports about us or our business, the price of our common stock and CDIs could decline. If one or more of the research analysts ceases coverage of our company or fails to publish reports on us regularly, demand for our common stock and CDIs could decrease, which could cause our share price or trading volume to decline.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fail to manage our growth effectively, our business could be disrupted.</w:t>
      </w:r>
    </w:p>
    <w:p>
      <w:pPr>
        <w:spacing w:after="0" w:line="227" w:lineRule="exact"/>
        <w:rPr>
          <w:sz w:val="20"/>
          <w:szCs w:val="20"/>
          <w:color w:val="auto"/>
        </w:rPr>
      </w:pPr>
    </w:p>
    <w:p>
      <w:pPr>
        <w:jc w:val="both"/>
        <w:ind w:right="420" w:firstLine="721"/>
        <w:spacing w:after="0" w:line="245" w:lineRule="auto"/>
        <w:rPr>
          <w:sz w:val="20"/>
          <w:szCs w:val="20"/>
          <w:color w:val="auto"/>
        </w:rPr>
      </w:pPr>
      <w:r>
        <w:rPr>
          <w:rFonts w:ascii="Times New Roman" w:cs="Times New Roman" w:eastAsia="Times New Roman" w:hAnsi="Times New Roman"/>
          <w:sz w:val="20"/>
          <w:szCs w:val="20"/>
          <w:color w:val="auto"/>
        </w:rPr>
        <w:t>Our future financial performance and ability to successfully commercialize our products, which is not guaranteed, and to compete in the market will depend, in part, on our ability to manage any future growth effectively. We expect to make significant investments to facilitate our future growth through, among other things:</w:t>
      </w:r>
    </w:p>
    <w:p>
      <w:pPr>
        <w:spacing w:after="0" w:line="1" w:lineRule="exact"/>
        <w:rPr>
          <w:sz w:val="20"/>
          <w:szCs w:val="20"/>
          <w:color w:val="auto"/>
        </w:rPr>
      </w:pPr>
    </w:p>
    <w:p>
      <w:pPr>
        <w:ind w:left="1100" w:hanging="379"/>
        <w:spacing w:after="0"/>
        <w:tabs>
          <w:tab w:leader="none" w:pos="110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new product development;</w:t>
      </w:r>
    </w:p>
    <w:p>
      <w:pPr>
        <w:spacing w:after="0" w:line="13" w:lineRule="exact"/>
        <w:rPr>
          <w:rFonts w:ascii="Arial" w:cs="Arial" w:eastAsia="Arial" w:hAnsi="Arial"/>
          <w:sz w:val="20"/>
          <w:szCs w:val="20"/>
          <w:color w:val="auto"/>
        </w:rPr>
      </w:pPr>
    </w:p>
    <w:p>
      <w:pPr>
        <w:ind w:left="1100" w:hanging="379"/>
        <w:spacing w:after="0"/>
        <w:tabs>
          <w:tab w:leader="none" w:pos="110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commercial development of our RECELL System to such areas soft tissue repair and vitiligo;</w:t>
      </w:r>
    </w:p>
    <w:p>
      <w:pPr>
        <w:sectPr>
          <w:pgSz w:w="11880" w:h="15480" w:orient="portrait"/>
          <w:cols w:equalWidth="0" w:num="1">
            <w:col w:w="10800"/>
          </w:cols>
          <w:pgMar w:left="540" w:top="1119" w:right="540" w:bottom="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10800"/>
          </w:cols>
          <w:pgMar w:left="540" w:top="1119" w:right="540" w:bottom="0" w:gutter="0" w:footer="0" w:header="0"/>
          <w:type w:val="continuous"/>
        </w:sectPr>
      </w:pPr>
    </w:p>
    <w:bookmarkStart w:id="32" w:name="page33"/>
    <w:bookmarkEnd w:id="32"/>
    <w:p>
      <w:pPr>
        <w:ind w:left="1100" w:hanging="380"/>
        <w:spacing w:after="0"/>
        <w:tabs>
          <w:tab w:leader="none" w:pos="110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clinical trials for additional indications; and</w:t>
      </w:r>
    </w:p>
    <w:p>
      <w:pPr>
        <w:spacing w:after="0" w:line="14" w:lineRule="exact"/>
        <w:rPr>
          <w:rFonts w:ascii="Arial" w:cs="Arial" w:eastAsia="Arial" w:hAnsi="Arial"/>
          <w:sz w:val="20"/>
          <w:szCs w:val="20"/>
          <w:color w:val="auto"/>
        </w:rPr>
      </w:pPr>
    </w:p>
    <w:p>
      <w:pPr>
        <w:ind w:left="1100" w:hanging="380"/>
        <w:spacing w:after="0"/>
        <w:tabs>
          <w:tab w:leader="none" w:pos="110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funding of our marketing and sales infrastructure.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failure to manage future growth effectively could have a material adverse effect on our business and results of operations.</w:t>
      </w:r>
    </w:p>
    <w:p>
      <w:pPr>
        <w:spacing w:after="0" w:line="230"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growth and success depend on our ability to attract and retain additional highly qualified and skilled sales and marketing, research and development, operational, managerial and finance personnel.</w:t>
      </w:r>
    </w:p>
    <w:p>
      <w:pPr>
        <w:spacing w:after="0" w:line="159"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Competition for skilled personnel is intense and the unexpected loss of an employee with a particular skill could have a material adverse effect on our operations until a replacement can be found and trained. If we cannot attract and retain skilled scientific and operational personnel for our research and development and manufacturing operations on acceptable terms, we may not be able to develop and commercialize our products. Further, any failure to effectively integrate new personnel could prevent us from successfully growing our company.</w:t>
      </w:r>
    </w:p>
    <w:p>
      <w:pPr>
        <w:spacing w:after="0" w:line="189"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20"/>
          <w:szCs w:val="20"/>
          <w:b w:val="1"/>
          <w:bCs w:val="1"/>
          <w:i w:val="1"/>
          <w:iCs w:val="1"/>
          <w:color w:val="auto"/>
        </w:rPr>
        <w:t>Our operations are subject to anti-corruption laws, including Australian bribery laws, and the FCPA and other anti-corruption laws that apply in countries where we do business.</w:t>
      </w:r>
    </w:p>
    <w:p>
      <w:pPr>
        <w:spacing w:after="0" w:line="160"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Anti-corruption laws generally prohibit us and our employees and intermediaries from bribing, being bribed or making other prohibited payments to government officials or other persons to obtain or retain business or gain some other business advantage. We participate in collaborations and relationships with third parties whose actions could potentially subject us to liability under these anti-corruption laws. In addition, we cannot predict the nature, scope, or effect of future regulatory requirements to which our international operations might be subject or the manner in which existing laws might be administered or interpreted.</w:t>
      </w:r>
    </w:p>
    <w:p>
      <w:pPr>
        <w:spacing w:after="0" w:line="187"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There is no assurance that we will be completely effective in ensuring our compliance with all applicable anti-corruption laws or other laws including trade related laws. If we are not in compliance with these laws, we may be subject to criminal and civil penalties, disgorgement and other sanctions and remedial measures, and legal expenses, which could have an adverse impact on our business, financial condition, results of operations and liquidity.</w:t>
      </w:r>
    </w:p>
    <w:p>
      <w:pPr>
        <w:spacing w:after="0" w:line="180" w:lineRule="exact"/>
        <w:rPr>
          <w:sz w:val="20"/>
          <w:szCs w:val="20"/>
          <w:color w:val="auto"/>
        </w:rPr>
      </w:pPr>
    </w:p>
    <w:p>
      <w:pPr>
        <w:ind w:right="420" w:firstLine="720"/>
        <w:spacing w:after="0" w:line="279" w:lineRule="auto"/>
        <w:rPr>
          <w:sz w:val="20"/>
          <w:szCs w:val="20"/>
          <w:color w:val="auto"/>
        </w:rPr>
      </w:pPr>
      <w:r>
        <w:rPr>
          <w:rFonts w:ascii="Times New Roman" w:cs="Times New Roman" w:eastAsia="Times New Roman" w:hAnsi="Times New Roman"/>
          <w:sz w:val="20"/>
          <w:szCs w:val="20"/>
          <w:color w:val="auto"/>
        </w:rPr>
        <w:t>Likewise, any investigation of any potential violations of these laws by respective government bodies could also have an adverse impact on our reputation, our business, results of operations and financial condition.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34"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Our principal corporate office is located at 28159 Avenue Stanford, Suite 220, Valencia, California 91355. We lease the 17,500 square foot facility under a lease agreement that, as amended, expires on October 31, 2026. Our production plant in Ventura, California is a 27,480 square foot facility that we lease through September 30, 2024 with the right to extend the lease, at our sole option, as a result of two, three-year, options that allow us to extend the lease up to an additional six years in total. We do not own any real property. We believe that leased facilities are adequate to meet current needs and that additional facilities will, if required, be available for lease to meet future needs.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34" w:lineRule="exact"/>
        <w:rPr>
          <w:sz w:val="20"/>
          <w:szCs w:val="20"/>
          <w:color w:val="auto"/>
        </w:rPr>
      </w:pPr>
    </w:p>
    <w:p>
      <w:pPr>
        <w:ind w:right="20" w:firstLine="721"/>
        <w:spacing w:after="0" w:line="253" w:lineRule="auto"/>
        <w:rPr>
          <w:sz w:val="20"/>
          <w:szCs w:val="20"/>
          <w:color w:val="auto"/>
        </w:rPr>
      </w:pPr>
      <w:r>
        <w:rPr>
          <w:rFonts w:ascii="Times New Roman" w:cs="Times New Roman" w:eastAsia="Times New Roman" w:hAnsi="Times New Roman"/>
          <w:sz w:val="20"/>
          <w:szCs w:val="20"/>
          <w:color w:val="auto"/>
        </w:rPr>
        <w:t>We are currently not aware of any material pending legal proceedings to which we are a party or of which any of our property is the subject, nor are we aware of any such proceedings that are contemplated by any governmental authority. From time to time, as an operating business, we are involved in routine disputes (both formal and informal) with customers, manufacturing partners and employees.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10800"/>
          </w:cols>
          <w:pgMar w:left="540" w:top="901"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10800"/>
          </w:cols>
          <w:pgMar w:left="540" w:top="901" w:right="540" w:bottom="0" w:gutter="0" w:footer="0" w:header="0"/>
          <w:type w:val="continuous"/>
        </w:sectPr>
      </w:pPr>
    </w:p>
    <w:bookmarkStart w:id="33" w:name="page34"/>
    <w:bookmarkEnd w:id="33"/>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4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234" w:lineRule="exact"/>
        <w:rPr>
          <w:sz w:val="20"/>
          <w:szCs w:val="20"/>
          <w:color w:val="auto"/>
        </w:rPr>
      </w:pPr>
    </w:p>
    <w:p>
      <w:pPr>
        <w:ind w:firstLine="720"/>
        <w:spacing w:after="0" w:line="259" w:lineRule="auto"/>
        <w:rPr>
          <w:sz w:val="20"/>
          <w:szCs w:val="20"/>
          <w:color w:val="auto"/>
        </w:rPr>
      </w:pPr>
      <w:r>
        <w:rPr>
          <w:rFonts w:ascii="Times New Roman" w:cs="Times New Roman" w:eastAsia="Times New Roman" w:hAnsi="Times New Roman"/>
          <w:sz w:val="20"/>
          <w:szCs w:val="20"/>
          <w:color w:val="auto"/>
        </w:rPr>
        <w:t>The Company’s common stock is quoted on the Nasdaq Capital Market under the ticker symbol “RCEL” and the Company’s CDIs are quoted on the ASX under the ticker code “AVH”. One share of common stock on Nasdaq is equivalent to five CDIs on the ASX.</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w:t>
      </w:r>
    </w:p>
    <w:p>
      <w:pPr>
        <w:spacing w:after="0" w:line="235" w:lineRule="exact"/>
        <w:rPr>
          <w:sz w:val="20"/>
          <w:szCs w:val="20"/>
          <w:color w:val="auto"/>
        </w:rPr>
      </w:pPr>
    </w:p>
    <w:p>
      <w:pPr>
        <w:ind w:right="60" w:firstLine="720"/>
        <w:spacing w:after="0" w:line="259" w:lineRule="auto"/>
        <w:rPr>
          <w:sz w:val="20"/>
          <w:szCs w:val="20"/>
          <w:color w:val="auto"/>
        </w:rPr>
      </w:pPr>
      <w:r>
        <w:rPr>
          <w:rFonts w:ascii="Times New Roman" w:cs="Times New Roman" w:eastAsia="Times New Roman" w:hAnsi="Times New Roman"/>
          <w:sz w:val="20"/>
          <w:szCs w:val="20"/>
          <w:color w:val="auto"/>
        </w:rPr>
        <w:t>As of January 31, 2023, the Company had approximately 23,190 unique stockholders of record of our common stock (which includes 23,120 holders of the Company’s CDIs, with each representing 1/5 of a share of common stock, and CHESS Depositary Nominees Pty Ltd, holds the legal title to all of the outstanding common stock underlying the CDIs of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234"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We have never paid cash dividends to our stockholders or, prior to the Redomiciliation, to the holders of ordinary shares in the former parent company, AVITA Australia (being AVITA Medical Pty Limited). We intend to retain future earnings for use in our business and do not anticipate paying cash dividends on our common stock and CDIs in the foreseeable future. Any future dividend policy will be determined by our board of directors and will be based upon various factors, including our results of operations, financial condition, current and anticipated cash needs, future prospects, contractual restrictions and other factors as our board of directors may deem relevant.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1880" w:h="15480" w:orient="portrait"/>
          <w:cols w:equalWidth="0" w:num="1">
            <w:col w:w="10740"/>
          </w:cols>
          <w:pgMar w:left="540" w:top="884" w:right="6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10740"/>
          </w:cols>
          <w:pgMar w:left="540" w:top="884" w:right="600" w:bottom="0" w:gutter="0" w:footer="0" w:header="0"/>
          <w:type w:val="continuous"/>
        </w:sectPr>
      </w:pPr>
    </w:p>
    <w:bookmarkStart w:id="34" w:name="page35"/>
    <w:bookmarkEnd w:id="34"/>
    <w:p>
      <w:pPr>
        <w:ind w:right="1020"/>
        <w:spacing w:after="0" w:line="287"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CONDITIONS AND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Objective</w:t>
      </w:r>
    </w:p>
    <w:p>
      <w:pPr>
        <w:spacing w:after="0" w:line="124"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The purpose of this Management's Discussion and Analysis is to better allow our investors to understand and view our company from management's perspective. We are providing an overview of our business and strategy including a discussion of our financial condition and results of operations. The following discussion and analysis of our financial condition and results of operations for the year-ended December 31, 2022 and 2021, should be read in conjunction with our consolidated financial statements and related notes included in this Annual Report.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32" w:lineRule="exact"/>
        <w:rPr>
          <w:sz w:val="20"/>
          <w:szCs w:val="20"/>
          <w:color w:val="auto"/>
        </w:rPr>
      </w:pPr>
    </w:p>
    <w:p>
      <w:pPr>
        <w:ind w:right="60" w:firstLine="720"/>
        <w:spacing w:after="0" w:line="253" w:lineRule="auto"/>
        <w:rPr>
          <w:sz w:val="20"/>
          <w:szCs w:val="20"/>
          <w:color w:val="auto"/>
        </w:rPr>
      </w:pPr>
      <w:r>
        <w:rPr>
          <w:rFonts w:ascii="Times New Roman" w:cs="Times New Roman" w:eastAsia="Times New Roman" w:hAnsi="Times New Roman"/>
          <w:sz w:val="20"/>
          <w:szCs w:val="20"/>
          <w:color w:val="auto"/>
        </w:rPr>
        <w:t>AVITA Medical, Inc. is a regenerative medicine company leading the development and commercialization of devices and autologous cellular therapies for skin restoration. Our patented and proprietary RECELL® System technology platform harnesses the regenerative properties of a patient’s own skin to create Spray-On Skin</w:t>
      </w:r>
      <w:r>
        <w:rPr>
          <w:rFonts w:ascii="Times New Roman" w:cs="Times New Roman" w:eastAsia="Times New Roman" w:hAnsi="Times New Roman"/>
          <w:sz w:val="11"/>
          <w:szCs w:val="11"/>
          <w:color w:val="auto"/>
        </w:rPr>
        <w:t>™</w:t>
      </w:r>
      <w:r>
        <w:rPr>
          <w:rFonts w:ascii="Times New Roman" w:cs="Times New Roman" w:eastAsia="Times New Roman" w:hAnsi="Times New Roman"/>
          <w:sz w:val="20"/>
          <w:szCs w:val="20"/>
          <w:color w:val="auto"/>
        </w:rPr>
        <w:t xml:space="preserve"> Cells, an autologous skin cell suspension that is sprayed onto the patient to regenerate natural healthy skin.</w:t>
      </w:r>
    </w:p>
    <w:p>
      <w:pPr>
        <w:spacing w:after="0" w:line="183" w:lineRule="exact"/>
        <w:rPr>
          <w:sz w:val="20"/>
          <w:szCs w:val="20"/>
          <w:color w:val="auto"/>
        </w:rPr>
      </w:pPr>
    </w:p>
    <w:p>
      <w:pPr>
        <w:ind w:right="260" w:firstLine="720"/>
        <w:spacing w:after="0" w:line="276" w:lineRule="auto"/>
        <w:rPr>
          <w:sz w:val="20"/>
          <w:szCs w:val="20"/>
          <w:color w:val="auto"/>
        </w:rPr>
      </w:pPr>
      <w:r>
        <w:rPr>
          <w:rFonts w:ascii="Times New Roman" w:cs="Times New Roman" w:eastAsia="Times New Roman" w:hAnsi="Times New Roman"/>
          <w:sz w:val="20"/>
          <w:szCs w:val="20"/>
          <w:color w:val="auto"/>
        </w:rPr>
        <w:t>Our objective is to become the leading provider of regenerative medicine addressing unmet medical needs in burn injuries, trauma injuries, and in dermatological and aesthetics indications, such as vitiligo. To achieve this objective, we intend to:</w:t>
      </w:r>
    </w:p>
    <w:p>
      <w:pPr>
        <w:spacing w:after="0" w:line="220" w:lineRule="exact"/>
        <w:rPr>
          <w:sz w:val="20"/>
          <w:szCs w:val="20"/>
          <w:color w:val="auto"/>
        </w:rPr>
      </w:pPr>
    </w:p>
    <w:p>
      <w:pPr>
        <w:ind w:left="1080" w:right="240" w:hanging="360"/>
        <w:spacing w:after="0" w:line="247" w:lineRule="auto"/>
        <w:tabs>
          <w:tab w:leader="none" w:pos="10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Become the standard of care in the U.S. burns industry by increasing RECELL System penetration in burn centers and with burn physicians</w:t>
      </w:r>
    </w:p>
    <w:p>
      <w:pPr>
        <w:ind w:left="1080" w:right="120" w:hanging="360"/>
        <w:spacing w:after="0" w:line="243" w:lineRule="auto"/>
        <w:tabs>
          <w:tab w:leader="none" w:pos="10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Commercialize the RECELL System in the U.S. for use in soft tissue repair following approval of our pending PMA supplement, which was submitted to the FDA in December 2022. Following anticipated FDA approval for soft tissue repair, we plan to commence a full commercial launch in July 2023 with both inpatient and outpatient reimbursement in place</w:t>
      </w:r>
    </w:p>
    <w:p>
      <w:pPr>
        <w:spacing w:after="0" w:line="1" w:lineRule="exact"/>
        <w:rPr>
          <w:rFonts w:ascii="Arial" w:cs="Arial" w:eastAsia="Arial" w:hAnsi="Arial"/>
          <w:sz w:val="20"/>
          <w:szCs w:val="20"/>
          <w:color w:val="auto"/>
        </w:rPr>
      </w:pPr>
    </w:p>
    <w:p>
      <w:pPr>
        <w:ind w:left="1080" w:right="120" w:hanging="360"/>
        <w:spacing w:after="0" w:line="243" w:lineRule="auto"/>
        <w:tabs>
          <w:tab w:leader="none" w:pos="10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Commercialize the RECELL System in the U.S. for use in treatment of vitiligo following approval of our pending PMA application, which was submitted to the FDA in December 2022. Subsequent to FDA approval for vitiligo, we will commence a full commercial launch following receipt of in-office reimbursement, which we anticipate will occur by January 2025</w:t>
      </w:r>
    </w:p>
    <w:p>
      <w:pPr>
        <w:spacing w:after="0" w:line="1" w:lineRule="exact"/>
        <w:rPr>
          <w:rFonts w:ascii="Arial" w:cs="Arial" w:eastAsia="Arial" w:hAnsi="Arial"/>
          <w:sz w:val="20"/>
          <w:szCs w:val="20"/>
          <w:color w:val="auto"/>
        </w:rPr>
      </w:pPr>
    </w:p>
    <w:p>
      <w:pPr>
        <w:ind w:left="1080" w:right="1140" w:hanging="360"/>
        <w:spacing w:after="0" w:line="247" w:lineRule="auto"/>
        <w:tabs>
          <w:tab w:leader="none" w:pos="10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Evaluate potential commercialization applications for the RECELL System related to skin rejuvenation and Epidermolysis Bullosa indications</w:t>
      </w:r>
    </w:p>
    <w:p>
      <w:pPr>
        <w:ind w:left="1080" w:hanging="360"/>
        <w:spacing w:after="0" w:line="247" w:lineRule="auto"/>
        <w:tabs>
          <w:tab w:leader="none" w:pos="10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Further invest in our RECELL System platform to automate and improve workflow, speed, and ease of use as it relates to specific indications, as well as to build upon our intellectual property estate</w:t>
      </w:r>
    </w:p>
    <w:p>
      <w:pPr>
        <w:ind w:left="1080" w:right="300" w:hanging="360"/>
        <w:spacing w:after="0" w:line="246" w:lineRule="auto"/>
        <w:tabs>
          <w:tab w:leader="none" w:pos="10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Continue to build upon commercial activities in Japan through our partnership with COSMOTEC Company, Ltd with our current PMDA approval for RECELL with an indication in burns</w:t>
      </w:r>
    </w:p>
    <w:p>
      <w:pPr>
        <w:ind w:left="1080" w:right="360" w:hanging="360"/>
        <w:spacing w:after="0" w:line="247" w:lineRule="auto"/>
        <w:tabs>
          <w:tab w:leader="none" w:pos="10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Develop and pursue viable commercial activities outside of the U.S. and Japan once we have received FDA approval with RECELL System indications in soft tissue and vitiligo</w:t>
      </w:r>
    </w:p>
    <w:p>
      <w:pPr>
        <w:spacing w:after="0" w:line="1" w:lineRule="exact"/>
        <w:rPr>
          <w:rFonts w:ascii="Arial" w:cs="Arial" w:eastAsia="Arial" w:hAnsi="Arial"/>
          <w:sz w:val="20"/>
          <w:szCs w:val="20"/>
          <w:color w:val="auto"/>
        </w:rPr>
      </w:pPr>
    </w:p>
    <w:p>
      <w:pPr>
        <w:ind w:left="1080" w:right="160" w:hanging="360"/>
        <w:spacing w:after="0" w:line="247" w:lineRule="auto"/>
        <w:tabs>
          <w:tab w:leader="none" w:pos="10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Pursue business development opportunities that are complementary to our core RECELL System indications and/or our targeted markets</w:t>
      </w:r>
    </w:p>
    <w:p>
      <w:pPr>
        <w:ind w:left="1080" w:right="420" w:hanging="360"/>
        <w:spacing w:after="0" w:line="275" w:lineRule="auto"/>
        <w:tabs>
          <w:tab w:leader="none" w:pos="108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Improve our margins and profitability by leveraging our current team and infrastructure across an expanding base of business in burns and in future indications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Environment and Current Trends</w:t>
      </w:r>
    </w:p>
    <w:p>
      <w:pPr>
        <w:spacing w:after="0" w:line="234" w:lineRule="exact"/>
        <w:rPr>
          <w:sz w:val="20"/>
          <w:szCs w:val="20"/>
          <w:color w:val="auto"/>
        </w:rPr>
      </w:pPr>
    </w:p>
    <w:p>
      <w:pPr>
        <w:ind w:right="60" w:firstLine="720"/>
        <w:spacing w:after="0" w:line="247" w:lineRule="auto"/>
        <w:rPr>
          <w:sz w:val="20"/>
          <w:szCs w:val="20"/>
          <w:color w:val="auto"/>
        </w:rPr>
      </w:pPr>
      <w:r>
        <w:rPr>
          <w:rFonts w:ascii="Times New Roman" w:cs="Times New Roman" w:eastAsia="Times New Roman" w:hAnsi="Times New Roman"/>
          <w:sz w:val="20"/>
          <w:szCs w:val="20"/>
          <w:color w:val="auto"/>
        </w:rPr>
        <w:t>The outbreak of the global pandemic and the associated response measures implemented by governments and businesses around the world, as well as subsequent accelerated and robust recovery in global business activity, have increased uncertainty in the business environment. These macroeconomic environment implications, including supply chain shortages, increased cost of healthcare, increased inflation rates, competitive and tight labor market, and other related global economic conditions and geopolitical conditions, remain unknown. Additionally, there have been various economic indicators that the United States economy may be entering a recession in upcoming quarters.</w:t>
      </w:r>
    </w:p>
    <w:p>
      <w:pPr>
        <w:spacing w:after="0" w:line="205" w:lineRule="exact"/>
        <w:rPr>
          <w:sz w:val="20"/>
          <w:szCs w:val="20"/>
          <w:color w:val="auto"/>
        </w:rPr>
      </w:pPr>
    </w:p>
    <w:p>
      <w:pPr>
        <w:ind w:firstLine="720"/>
        <w:spacing w:after="0" w:line="263" w:lineRule="auto"/>
        <w:rPr>
          <w:sz w:val="20"/>
          <w:szCs w:val="20"/>
          <w:color w:val="auto"/>
        </w:rPr>
      </w:pPr>
      <w:r>
        <w:rPr>
          <w:rFonts w:ascii="Times New Roman" w:cs="Times New Roman" w:eastAsia="Times New Roman" w:hAnsi="Times New Roman"/>
          <w:sz w:val="20"/>
          <w:szCs w:val="20"/>
          <w:color w:val="auto"/>
        </w:rPr>
        <w:t>Changes in reimbursement rates by third party payors, may place additional financial pressure on hospitals and the broader healthcare system. Healthcare institutions may take actions to mitigate any persistent pressures on their budgets and such actions could impact the future demand for our products. Geopolitical conditions may also impact our operations. Although we do not have operations in Russia or Ukraine, the continuation of the Russia-Ukraine military conflict and/or an escalation of the conflict beyond its current scope may further weaken the global economy and could result in additional inflationary pressures and supply chain constraints.</w:t>
      </w:r>
    </w:p>
    <w:p>
      <w:pPr>
        <w:sectPr>
          <w:pgSz w:w="11880" w:h="15480" w:orient="portrait"/>
          <w:cols w:equalWidth="0" w:num="1">
            <w:col w:w="10800"/>
          </w:cols>
          <w:pgMar w:left="540" w:top="884" w:right="540" w:bottom="0" w:gutter="0" w:footer="0" w:header="0"/>
        </w:sect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10800"/>
          </w:cols>
          <w:pgMar w:left="540" w:top="884" w:right="540" w:bottom="0" w:gutter="0" w:footer="0" w:header="0"/>
          <w:type w:val="continuous"/>
        </w:sectPr>
      </w:pPr>
    </w:p>
    <w:bookmarkStart w:id="35" w:name="page36"/>
    <w:bookmarkEnd w:id="35"/>
    <w:p>
      <w:pPr>
        <w:ind w:right="240" w:firstLine="720"/>
        <w:spacing w:after="0" w:line="253" w:lineRule="auto"/>
        <w:rPr>
          <w:sz w:val="20"/>
          <w:szCs w:val="20"/>
          <w:color w:val="auto"/>
        </w:rPr>
      </w:pPr>
      <w:r>
        <w:rPr>
          <w:rFonts w:ascii="Times New Roman" w:cs="Times New Roman" w:eastAsia="Times New Roman" w:hAnsi="Times New Roman"/>
          <w:sz w:val="20"/>
          <w:szCs w:val="20"/>
          <w:color w:val="auto"/>
        </w:rPr>
        <w:t>Although we do not believe that these trends have had a material effect on our business, financial condition or results of operations, it may in the future. If these conditions continue or worsen, they could adversely impact our future operating results. An economic recession could potentially impact the general business environment and the capital markets, which may have a material negative impact on our financial results.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Year-Ended December 31, 2022, compared to the Year-Ended December 31, 2021</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table below summarizes the results of our continuing operations for each of the periods presented (in thousands).</w:t>
      </w:r>
    </w:p>
    <w:p>
      <w:pPr>
        <w:spacing w:after="0" w:line="294" w:lineRule="exact"/>
        <w:rPr>
          <w:sz w:val="20"/>
          <w:szCs w:val="20"/>
          <w:color w:val="auto"/>
        </w:rPr>
      </w:pPr>
    </w:p>
    <w:tbl>
      <w:tblPr>
        <w:tblLayout w:type="fixed"/>
        <w:tblInd w:w="540" w:type="dxa"/>
        <w:tblCellMar>
          <w:top w:w="0" w:type="dxa"/>
          <w:left w:w="0" w:type="dxa"/>
          <w:bottom w:w="0" w:type="dxa"/>
          <w:right w:w="0" w:type="dxa"/>
        </w:tblCellMar>
      </w:tblPr>
      <w:tr>
        <w:trPr>
          <w:trHeight w:val="228"/>
        </w:trPr>
        <w:tc>
          <w:tcPr>
            <w:tcW w:w="3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Year-Ended</w:t>
            </w:r>
          </w:p>
        </w:tc>
        <w:tc>
          <w:tcPr>
            <w:tcW w:w="100" w:type="dxa"/>
            <w:vAlign w:val="bottom"/>
          </w:tcPr>
          <w:p>
            <w:pPr>
              <w:spacing w:after="0"/>
              <w:rPr>
                <w:sz w:val="19"/>
                <w:szCs w:val="19"/>
                <w:color w:val="auto"/>
              </w:rPr>
            </w:pPr>
          </w:p>
        </w:tc>
        <w:tc>
          <w:tcPr>
            <w:tcW w:w="16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Year-Ended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gridSpan w:val="2"/>
          </w:tcPr>
          <w:p>
            <w:pPr>
              <w:jc w:val="center"/>
              <w:ind w:right="120"/>
              <w:spacing w:after="0" w:line="206" w:lineRule="exact"/>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jc w:val="center"/>
              <w:ind w:right="120"/>
              <w:spacing w:after="0" w:line="206" w:lineRule="exact"/>
              <w:rPr>
                <w:sz w:val="20"/>
                <w:szCs w:val="20"/>
                <w:color w:val="auto"/>
              </w:rPr>
            </w:pPr>
            <w:r>
              <w:rPr>
                <w:rFonts w:ascii="Times New Roman" w:cs="Times New Roman" w:eastAsia="Times New Roman" w:hAnsi="Times New Roman"/>
                <w:sz w:val="18"/>
                <w:szCs w:val="18"/>
                <w:b w:val="1"/>
                <w:bCs w:val="1"/>
                <w:color w:val="auto"/>
              </w:rPr>
              <w:t>December 31, 2021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4"/>
          </w:tcPr>
          <w:p>
            <w:pPr>
              <w:jc w:val="right"/>
              <w:ind w:right="120"/>
              <w:spacing w:after="0" w:line="206" w:lineRule="exact"/>
              <w:rPr>
                <w:sz w:val="20"/>
                <w:szCs w:val="20"/>
                <w:color w:val="auto"/>
              </w:rPr>
            </w:pPr>
            <w:r>
              <w:rPr>
                <w:rFonts w:ascii="Times New Roman" w:cs="Times New Roman" w:eastAsia="Times New Roman" w:hAnsi="Times New Roman"/>
                <w:sz w:val="18"/>
                <w:szCs w:val="18"/>
                <w:b w:val="1"/>
                <w:bCs w:val="1"/>
                <w:color w:val="auto"/>
                <w:w w:val="98"/>
              </w:rPr>
              <w:t>Change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3"/>
          </w:tcPr>
          <w:p>
            <w:pPr>
              <w:jc w:val="right"/>
              <w:ind w:right="230"/>
              <w:spacing w:after="0" w:line="206" w:lineRule="exact"/>
              <w:rPr>
                <w:sz w:val="20"/>
                <w:szCs w:val="20"/>
                <w:color w:val="auto"/>
              </w:rPr>
            </w:pPr>
            <w:r>
              <w:rPr>
                <w:rFonts w:ascii="Times New Roman" w:cs="Times New Roman" w:eastAsia="Times New Roman" w:hAnsi="Times New Roman"/>
                <w:sz w:val="18"/>
                <w:szCs w:val="18"/>
                <w:b w:val="1"/>
                <w:bCs w:val="1"/>
                <w:color w:val="auto"/>
                <w:w w:val="98"/>
              </w:rPr>
              <w:t>Change</w:t>
            </w:r>
          </w:p>
        </w:tc>
        <w:tc>
          <w:tcPr>
            <w:tcW w:w="0" w:type="dxa"/>
            <w:vAlign w:val="bottom"/>
          </w:tcPr>
          <w:p>
            <w:pPr>
              <w:spacing w:after="0"/>
              <w:rPr>
                <w:sz w:val="1"/>
                <w:szCs w:val="1"/>
                <w:color w:val="auto"/>
              </w:rPr>
            </w:pPr>
          </w:p>
        </w:tc>
      </w:tr>
      <w:tr>
        <w:trPr>
          <w:trHeight w:val="189"/>
        </w:trPr>
        <w:tc>
          <w:tcPr>
            <w:tcW w:w="3420" w:type="dxa"/>
            <w:vAlign w:val="bottom"/>
            <w:tcBorders>
              <w:top w:val="single" w:sz="8" w:color="D5EEEE"/>
            </w:tcBorders>
            <w:shd w:val="clear" w:color="auto" w:fill="D5EEEE"/>
          </w:tcPr>
          <w:p>
            <w:pPr>
              <w:spacing w:after="0" w:line="189" w:lineRule="exact"/>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Borders>
              <w:top w:val="single" w:sz="8" w:color="D5EEEE"/>
            </w:tcBorders>
            <w:shd w:val="clear" w:color="auto" w:fill="D5EEEE"/>
          </w:tcPr>
          <w:p>
            <w:pPr>
              <w:spacing w:after="0"/>
              <w:rPr>
                <w:sz w:val="16"/>
                <w:szCs w:val="16"/>
                <w:color w:val="auto"/>
              </w:rPr>
            </w:pPr>
          </w:p>
        </w:tc>
        <w:tc>
          <w:tcPr>
            <w:tcW w:w="80" w:type="dxa"/>
            <w:vAlign w:val="bottom"/>
            <w:tcBorders>
              <w:top w:val="single" w:sz="8" w:color="auto"/>
            </w:tcBorders>
            <w:shd w:val="clear" w:color="auto" w:fill="D5EEEE"/>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shd w:val="clear" w:color="auto" w:fill="D5EEEE"/>
          </w:tcPr>
          <w:p>
            <w:pPr>
              <w:jc w:val="right"/>
              <w:spacing w:after="0" w:line="189" w:lineRule="exact"/>
              <w:rPr>
                <w:sz w:val="20"/>
                <w:szCs w:val="20"/>
                <w:color w:val="auto"/>
              </w:rPr>
            </w:pPr>
            <w:r>
              <w:rPr>
                <w:rFonts w:ascii="Times New Roman" w:cs="Times New Roman" w:eastAsia="Times New Roman" w:hAnsi="Times New Roman"/>
                <w:sz w:val="18"/>
                <w:szCs w:val="18"/>
                <w:color w:val="auto"/>
              </w:rPr>
              <w:t>34,421</w:t>
            </w:r>
          </w:p>
        </w:tc>
        <w:tc>
          <w:tcPr>
            <w:tcW w:w="20" w:type="dxa"/>
            <w:vAlign w:val="bottom"/>
            <w:tcBorders>
              <w:top w:val="single" w:sz="8" w:color="auto"/>
            </w:tcBorders>
            <w:shd w:val="clear" w:color="auto" w:fill="D5EEEE"/>
          </w:tcPr>
          <w:p>
            <w:pPr>
              <w:spacing w:after="0"/>
              <w:rPr>
                <w:sz w:val="16"/>
                <w:szCs w:val="16"/>
                <w:color w:val="auto"/>
              </w:rPr>
            </w:pPr>
          </w:p>
        </w:tc>
        <w:tc>
          <w:tcPr>
            <w:tcW w:w="80" w:type="dxa"/>
            <w:vAlign w:val="bottom"/>
            <w:tcBorders>
              <w:top w:val="single" w:sz="8" w:color="D5EEEE"/>
              <w:left w:val="single" w:sz="8" w:color="D5EEEE"/>
            </w:tcBorders>
            <w:shd w:val="clear" w:color="auto" w:fill="D5EEEE"/>
          </w:tcPr>
          <w:p>
            <w:pPr>
              <w:spacing w:after="0"/>
              <w:rPr>
                <w:sz w:val="16"/>
                <w:szCs w:val="16"/>
                <w:color w:val="auto"/>
              </w:rPr>
            </w:pPr>
          </w:p>
        </w:tc>
        <w:tc>
          <w:tcPr>
            <w:tcW w:w="140" w:type="dxa"/>
            <w:vAlign w:val="bottom"/>
            <w:tcBorders>
              <w:top w:val="single" w:sz="8" w:color="D5EEEE"/>
            </w:tcBorders>
          </w:tcPr>
          <w:p>
            <w:pPr>
              <w:spacing w:after="0"/>
              <w:rPr>
                <w:sz w:val="16"/>
                <w:szCs w:val="16"/>
                <w:color w:val="auto"/>
              </w:rPr>
            </w:pPr>
          </w:p>
        </w:tc>
        <w:tc>
          <w:tcPr>
            <w:tcW w:w="100" w:type="dxa"/>
            <w:vAlign w:val="bottom"/>
            <w:tcBorders>
              <w:top w:val="single" w:sz="8" w:color="auto"/>
            </w:tcBorders>
            <w:shd w:val="clear" w:color="auto" w:fill="D5EEEE"/>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1560" w:type="dxa"/>
            <w:vAlign w:val="bottom"/>
            <w:tcBorders>
              <w:top w:val="single" w:sz="8" w:color="auto"/>
            </w:tcBorders>
            <w:shd w:val="clear" w:color="auto" w:fill="D5EEEE"/>
          </w:tcPr>
          <w:p>
            <w:pPr>
              <w:jc w:val="right"/>
              <w:spacing w:after="0" w:line="189" w:lineRule="exact"/>
              <w:rPr>
                <w:sz w:val="20"/>
                <w:szCs w:val="20"/>
                <w:color w:val="auto"/>
              </w:rPr>
            </w:pPr>
            <w:r>
              <w:rPr>
                <w:rFonts w:ascii="Times New Roman" w:cs="Times New Roman" w:eastAsia="Times New Roman" w:hAnsi="Times New Roman"/>
                <w:sz w:val="18"/>
                <w:szCs w:val="18"/>
                <w:color w:val="auto"/>
              </w:rPr>
              <w:t>33,025</w:t>
            </w:r>
          </w:p>
        </w:tc>
        <w:tc>
          <w:tcPr>
            <w:tcW w:w="20" w:type="dxa"/>
            <w:vAlign w:val="bottom"/>
            <w:tcBorders>
              <w:top w:val="single" w:sz="8" w:color="auto"/>
            </w:tcBorders>
            <w:shd w:val="clear" w:color="auto" w:fill="D5EEEE"/>
          </w:tcPr>
          <w:p>
            <w:pPr>
              <w:spacing w:after="0"/>
              <w:rPr>
                <w:sz w:val="16"/>
                <w:szCs w:val="16"/>
                <w:color w:val="auto"/>
              </w:rPr>
            </w:pPr>
          </w:p>
        </w:tc>
        <w:tc>
          <w:tcPr>
            <w:tcW w:w="80" w:type="dxa"/>
            <w:vAlign w:val="bottom"/>
            <w:tcBorders>
              <w:top w:val="single" w:sz="8" w:color="D5EEEE"/>
            </w:tcBorders>
            <w:shd w:val="clear" w:color="auto" w:fill="D5EEEE"/>
          </w:tcPr>
          <w:p>
            <w:pPr>
              <w:spacing w:after="0"/>
              <w:rPr>
                <w:sz w:val="16"/>
                <w:szCs w:val="16"/>
                <w:color w:val="auto"/>
              </w:rPr>
            </w:pPr>
          </w:p>
        </w:tc>
        <w:tc>
          <w:tcPr>
            <w:tcW w:w="140" w:type="dxa"/>
            <w:vAlign w:val="bottom"/>
            <w:tcBorders>
              <w:top w:val="single" w:sz="8" w:color="D5EEEE"/>
            </w:tcBorders>
          </w:tcPr>
          <w:p>
            <w:pPr>
              <w:spacing w:after="0"/>
              <w:rPr>
                <w:sz w:val="16"/>
                <w:szCs w:val="16"/>
                <w:color w:val="auto"/>
              </w:rPr>
            </w:pPr>
          </w:p>
        </w:tc>
        <w:tc>
          <w:tcPr>
            <w:tcW w:w="80" w:type="dxa"/>
            <w:vAlign w:val="bottom"/>
            <w:tcBorders>
              <w:top w:val="single" w:sz="8" w:color="auto"/>
            </w:tcBorders>
            <w:shd w:val="clear" w:color="auto" w:fill="D5EEEE"/>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shd w:val="clear" w:color="auto" w:fill="D5EEEE"/>
          </w:tcPr>
          <w:p>
            <w:pPr>
              <w:jc w:val="right"/>
              <w:spacing w:after="0" w:line="189" w:lineRule="exact"/>
              <w:rPr>
                <w:sz w:val="20"/>
                <w:szCs w:val="20"/>
                <w:color w:val="auto"/>
              </w:rPr>
            </w:pPr>
            <w:r>
              <w:rPr>
                <w:rFonts w:ascii="Times New Roman" w:cs="Times New Roman" w:eastAsia="Times New Roman" w:hAnsi="Times New Roman"/>
                <w:sz w:val="18"/>
                <w:szCs w:val="18"/>
                <w:color w:val="auto"/>
              </w:rPr>
              <w:t>1,396</w:t>
            </w:r>
          </w:p>
        </w:tc>
        <w:tc>
          <w:tcPr>
            <w:tcW w:w="20" w:type="dxa"/>
            <w:vAlign w:val="bottom"/>
            <w:tcBorders>
              <w:top w:val="single" w:sz="8" w:color="auto"/>
            </w:tcBorders>
            <w:shd w:val="clear" w:color="auto" w:fill="D5EEEE"/>
          </w:tcPr>
          <w:p>
            <w:pPr>
              <w:spacing w:after="0"/>
              <w:rPr>
                <w:sz w:val="16"/>
                <w:szCs w:val="16"/>
                <w:color w:val="auto"/>
              </w:rPr>
            </w:pPr>
          </w:p>
        </w:tc>
        <w:tc>
          <w:tcPr>
            <w:tcW w:w="80" w:type="dxa"/>
            <w:vAlign w:val="bottom"/>
            <w:tcBorders>
              <w:top w:val="single" w:sz="8" w:color="D5EEEE"/>
            </w:tcBorders>
            <w:shd w:val="clear" w:color="auto" w:fill="D5EEEE"/>
          </w:tcPr>
          <w:p>
            <w:pPr>
              <w:spacing w:after="0"/>
              <w:rPr>
                <w:sz w:val="16"/>
                <w:szCs w:val="16"/>
                <w:color w:val="auto"/>
              </w:rPr>
            </w:pPr>
          </w:p>
        </w:tc>
        <w:tc>
          <w:tcPr>
            <w:tcW w:w="140" w:type="dxa"/>
            <w:vAlign w:val="bottom"/>
            <w:tcBorders>
              <w:top w:val="single" w:sz="8" w:color="D5EEEE"/>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shd w:val="clear" w:color="auto" w:fill="D5EEEE"/>
          </w:tcPr>
          <w:p>
            <w:pPr>
              <w:jc w:val="right"/>
              <w:spacing w:after="0" w:line="189"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D5EEEE"/>
            </w:tcBorders>
            <w:shd w:val="clear" w:color="auto" w:fill="D5EEEE"/>
          </w:tcPr>
          <w:p>
            <w:pPr>
              <w:jc w:val="right"/>
              <w:spacing w:after="0" w:line="189" w:lineRule="exact"/>
              <w:rPr>
                <w:sz w:val="20"/>
                <w:szCs w:val="20"/>
                <w:color w:val="auto"/>
              </w:rPr>
            </w:pPr>
            <w:r>
              <w:rPr>
                <w:rFonts w:ascii="Times New Roman" w:cs="Times New Roman" w:eastAsia="Times New Roman" w:hAnsi="Times New Roman"/>
                <w:sz w:val="18"/>
                <w:szCs w:val="18"/>
                <w:color w:val="auto"/>
                <w:w w:val="79"/>
                <w:shd w:val="clear" w:color="auto" w:fill="D5EEEE"/>
              </w:rPr>
              <w:t>%</w:t>
            </w:r>
          </w:p>
        </w:tc>
        <w:tc>
          <w:tcPr>
            <w:tcW w:w="0" w:type="dxa"/>
            <w:vAlign w:val="bottom"/>
          </w:tcPr>
          <w:p>
            <w:pPr>
              <w:spacing w:after="0"/>
              <w:rPr>
                <w:sz w:val="1"/>
                <w:szCs w:val="1"/>
                <w:color w:val="auto"/>
              </w:rPr>
            </w:pPr>
          </w:p>
        </w:tc>
      </w:tr>
      <w:tr>
        <w:trPr>
          <w:trHeight w:val="248"/>
        </w:trPr>
        <w:tc>
          <w:tcPr>
            <w:tcW w:w="342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Borders>
              <w:bottom w:val="single" w:sz="8" w:color="D5EEEE"/>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(6,041)</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140" w:type="dxa"/>
            <w:vAlign w:val="bottom"/>
            <w:tcBorders>
              <w:bottom w:val="single" w:sz="8" w:color="D5EEEE"/>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(6,104)</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14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14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68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D5EEEE"/>
            </w:tcBorders>
          </w:tcPr>
          <w:p>
            <w:pPr>
              <w:spacing w:after="0"/>
              <w:rPr>
                <w:sz w:val="21"/>
                <w:szCs w:val="21"/>
                <w:color w:val="auto"/>
              </w:rPr>
            </w:pPr>
          </w:p>
        </w:tc>
        <w:tc>
          <w:tcPr>
            <w:tcW w:w="22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highlight w:val="white"/>
                <w:w w:val="79"/>
              </w:rPr>
              <w:t>%</w:t>
            </w:r>
          </w:p>
        </w:tc>
        <w:tc>
          <w:tcPr>
            <w:tcW w:w="0" w:type="dxa"/>
            <w:vAlign w:val="bottom"/>
          </w:tcPr>
          <w:p>
            <w:pPr>
              <w:spacing w:after="0"/>
              <w:rPr>
                <w:sz w:val="1"/>
                <w:szCs w:val="1"/>
                <w:color w:val="auto"/>
              </w:rPr>
            </w:pPr>
          </w:p>
        </w:tc>
      </w:tr>
      <w:tr>
        <w:trPr>
          <w:trHeight w:val="186"/>
        </w:trPr>
        <w:tc>
          <w:tcPr>
            <w:tcW w:w="3420" w:type="dxa"/>
            <w:vAlign w:val="bottom"/>
            <w:tcBorders>
              <w:top w:val="single" w:sz="8" w:color="D5EEEE"/>
            </w:tcBorders>
            <w:shd w:val="clear" w:color="auto" w:fill="D5EEEE"/>
          </w:tcPr>
          <w:p>
            <w:pPr>
              <w:ind w:left="280"/>
              <w:spacing w:after="0" w:line="186" w:lineRule="exact"/>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D5EEEE"/>
            </w:tcBorders>
            <w:shd w:val="clear" w:color="auto" w:fill="D5EEEE"/>
          </w:tcPr>
          <w:p>
            <w:pPr>
              <w:spacing w:after="0"/>
              <w:rPr>
                <w:sz w:val="16"/>
                <w:szCs w:val="16"/>
                <w:color w:val="auto"/>
              </w:rPr>
            </w:pPr>
          </w:p>
        </w:tc>
        <w:tc>
          <w:tcPr>
            <w:tcW w:w="80" w:type="dxa"/>
            <w:vAlign w:val="bottom"/>
            <w:tcBorders>
              <w:top w:val="single" w:sz="8" w:color="D5EEEE"/>
              <w:bottom w:val="single" w:sz="8" w:color="auto"/>
            </w:tcBorders>
          </w:tcPr>
          <w:p>
            <w:pPr>
              <w:spacing w:after="0"/>
              <w:rPr>
                <w:sz w:val="16"/>
                <w:szCs w:val="16"/>
                <w:color w:val="auto"/>
              </w:rPr>
            </w:pPr>
          </w:p>
        </w:tc>
        <w:tc>
          <w:tcPr>
            <w:tcW w:w="20" w:type="dxa"/>
            <w:vAlign w:val="bottom"/>
            <w:tcBorders>
              <w:top w:val="single" w:sz="8" w:color="D5EEEE"/>
              <w:bottom w:val="single" w:sz="8" w:color="auto"/>
            </w:tcBorders>
          </w:tcPr>
          <w:p>
            <w:pPr>
              <w:spacing w:after="0"/>
              <w:rPr>
                <w:sz w:val="16"/>
                <w:szCs w:val="16"/>
                <w:color w:val="auto"/>
              </w:rPr>
            </w:pPr>
          </w:p>
        </w:tc>
        <w:tc>
          <w:tcPr>
            <w:tcW w:w="1900" w:type="dxa"/>
            <w:vAlign w:val="bottom"/>
            <w:tcBorders>
              <w:top w:val="single" w:sz="8" w:color="D5EEEE"/>
              <w:bottom w:val="single" w:sz="8" w:color="auto"/>
            </w:tcBorders>
            <w:shd w:val="clear" w:color="auto" w:fill="D5EEEE"/>
          </w:tcPr>
          <w:p>
            <w:pPr>
              <w:jc w:val="right"/>
              <w:spacing w:after="0" w:line="186" w:lineRule="exact"/>
              <w:rPr>
                <w:sz w:val="20"/>
                <w:szCs w:val="20"/>
                <w:color w:val="auto"/>
              </w:rPr>
            </w:pPr>
            <w:r>
              <w:rPr>
                <w:rFonts w:ascii="Times New Roman" w:cs="Times New Roman" w:eastAsia="Times New Roman" w:hAnsi="Times New Roman"/>
                <w:sz w:val="18"/>
                <w:szCs w:val="18"/>
                <w:color w:val="auto"/>
              </w:rPr>
              <w:t>28,380</w:t>
            </w:r>
          </w:p>
        </w:tc>
        <w:tc>
          <w:tcPr>
            <w:tcW w:w="20" w:type="dxa"/>
            <w:vAlign w:val="bottom"/>
            <w:tcBorders>
              <w:top w:val="single" w:sz="8" w:color="D5EEEE"/>
              <w:bottom w:val="single" w:sz="8" w:color="auto"/>
            </w:tcBorders>
          </w:tcPr>
          <w:p>
            <w:pPr>
              <w:spacing w:after="0"/>
              <w:rPr>
                <w:sz w:val="16"/>
                <w:szCs w:val="16"/>
                <w:color w:val="auto"/>
              </w:rPr>
            </w:pPr>
          </w:p>
        </w:tc>
        <w:tc>
          <w:tcPr>
            <w:tcW w:w="80" w:type="dxa"/>
            <w:vAlign w:val="bottom"/>
            <w:tcBorders>
              <w:top w:val="single" w:sz="8" w:color="D5EEEE"/>
              <w:left w:val="single" w:sz="8" w:color="D5EEEE"/>
            </w:tcBorders>
            <w:shd w:val="clear" w:color="auto" w:fill="D5EEEE"/>
          </w:tcPr>
          <w:p>
            <w:pPr>
              <w:spacing w:after="0"/>
              <w:rPr>
                <w:sz w:val="16"/>
                <w:szCs w:val="16"/>
                <w:color w:val="auto"/>
              </w:rPr>
            </w:pPr>
          </w:p>
        </w:tc>
        <w:tc>
          <w:tcPr>
            <w:tcW w:w="140" w:type="dxa"/>
            <w:vAlign w:val="bottom"/>
            <w:tcBorders>
              <w:top w:val="single" w:sz="8" w:color="D5EEEE"/>
            </w:tcBorders>
          </w:tcPr>
          <w:p>
            <w:pPr>
              <w:spacing w:after="0"/>
              <w:rPr>
                <w:sz w:val="16"/>
                <w:szCs w:val="16"/>
                <w:color w:val="auto"/>
              </w:rPr>
            </w:pPr>
          </w:p>
        </w:tc>
        <w:tc>
          <w:tcPr>
            <w:tcW w:w="100" w:type="dxa"/>
            <w:vAlign w:val="bottom"/>
            <w:tcBorders>
              <w:top w:val="single" w:sz="8" w:color="D5EEEE"/>
              <w:bottom w:val="single" w:sz="8" w:color="auto"/>
            </w:tcBorders>
          </w:tcPr>
          <w:p>
            <w:pPr>
              <w:spacing w:after="0"/>
              <w:rPr>
                <w:sz w:val="16"/>
                <w:szCs w:val="16"/>
                <w:color w:val="auto"/>
              </w:rPr>
            </w:pPr>
          </w:p>
        </w:tc>
        <w:tc>
          <w:tcPr>
            <w:tcW w:w="1560" w:type="dxa"/>
            <w:vAlign w:val="bottom"/>
            <w:tcBorders>
              <w:top w:val="single" w:sz="8" w:color="D5EEEE"/>
              <w:bottom w:val="single" w:sz="8" w:color="auto"/>
            </w:tcBorders>
            <w:shd w:val="clear" w:color="auto" w:fill="D5EEEE"/>
          </w:tcPr>
          <w:p>
            <w:pPr>
              <w:jc w:val="right"/>
              <w:spacing w:after="0" w:line="186" w:lineRule="exact"/>
              <w:rPr>
                <w:sz w:val="20"/>
                <w:szCs w:val="20"/>
                <w:color w:val="auto"/>
              </w:rPr>
            </w:pPr>
            <w:r>
              <w:rPr>
                <w:rFonts w:ascii="Times New Roman" w:cs="Times New Roman" w:eastAsia="Times New Roman" w:hAnsi="Times New Roman"/>
                <w:sz w:val="18"/>
                <w:szCs w:val="18"/>
                <w:color w:val="auto"/>
              </w:rPr>
              <w:t>26,921</w:t>
            </w:r>
          </w:p>
        </w:tc>
        <w:tc>
          <w:tcPr>
            <w:tcW w:w="20" w:type="dxa"/>
            <w:vAlign w:val="bottom"/>
            <w:tcBorders>
              <w:top w:val="single" w:sz="8" w:color="D5EEEE"/>
              <w:bottom w:val="single" w:sz="8" w:color="auto"/>
            </w:tcBorders>
          </w:tcPr>
          <w:p>
            <w:pPr>
              <w:spacing w:after="0"/>
              <w:rPr>
                <w:sz w:val="16"/>
                <w:szCs w:val="16"/>
                <w:color w:val="auto"/>
              </w:rPr>
            </w:pPr>
          </w:p>
        </w:tc>
        <w:tc>
          <w:tcPr>
            <w:tcW w:w="80" w:type="dxa"/>
            <w:vAlign w:val="bottom"/>
            <w:tcBorders>
              <w:top w:val="single" w:sz="8" w:color="D5EEEE"/>
            </w:tcBorders>
            <w:shd w:val="clear" w:color="auto" w:fill="D5EEEE"/>
          </w:tcPr>
          <w:p>
            <w:pPr>
              <w:spacing w:after="0"/>
              <w:rPr>
                <w:sz w:val="16"/>
                <w:szCs w:val="16"/>
                <w:color w:val="auto"/>
              </w:rPr>
            </w:pPr>
          </w:p>
        </w:tc>
        <w:tc>
          <w:tcPr>
            <w:tcW w:w="140" w:type="dxa"/>
            <w:vAlign w:val="bottom"/>
            <w:tcBorders>
              <w:top w:val="single" w:sz="8" w:color="D5EEEE"/>
            </w:tcBorders>
          </w:tcPr>
          <w:p>
            <w:pPr>
              <w:spacing w:after="0"/>
              <w:rPr>
                <w:sz w:val="16"/>
                <w:szCs w:val="16"/>
                <w:color w:val="auto"/>
              </w:rPr>
            </w:pPr>
          </w:p>
        </w:tc>
        <w:tc>
          <w:tcPr>
            <w:tcW w:w="80" w:type="dxa"/>
            <w:vAlign w:val="bottom"/>
            <w:tcBorders>
              <w:top w:val="single" w:sz="8" w:color="D5EEEE"/>
            </w:tcBorders>
          </w:tcPr>
          <w:p>
            <w:pPr>
              <w:spacing w:after="0"/>
              <w:rPr>
                <w:sz w:val="16"/>
                <w:szCs w:val="16"/>
                <w:color w:val="auto"/>
              </w:rPr>
            </w:pPr>
          </w:p>
        </w:tc>
        <w:tc>
          <w:tcPr>
            <w:tcW w:w="20" w:type="dxa"/>
            <w:vAlign w:val="bottom"/>
            <w:tcBorders>
              <w:top w:val="single" w:sz="8" w:color="D5EEEE"/>
            </w:tcBorders>
          </w:tcPr>
          <w:p>
            <w:pPr>
              <w:spacing w:after="0"/>
              <w:rPr>
                <w:sz w:val="16"/>
                <w:szCs w:val="16"/>
                <w:color w:val="auto"/>
              </w:rPr>
            </w:pPr>
          </w:p>
        </w:tc>
        <w:tc>
          <w:tcPr>
            <w:tcW w:w="680" w:type="dxa"/>
            <w:vAlign w:val="bottom"/>
            <w:shd w:val="clear" w:color="auto" w:fill="D5EEEE"/>
          </w:tcPr>
          <w:p>
            <w:pPr>
              <w:jc w:val="right"/>
              <w:spacing w:after="0" w:line="186" w:lineRule="exact"/>
              <w:rPr>
                <w:sz w:val="20"/>
                <w:szCs w:val="20"/>
                <w:color w:val="auto"/>
              </w:rPr>
            </w:pPr>
            <w:r>
              <w:rPr>
                <w:rFonts w:ascii="Times New Roman" w:cs="Times New Roman" w:eastAsia="Times New Roman" w:hAnsi="Times New Roman"/>
                <w:sz w:val="18"/>
                <w:szCs w:val="18"/>
                <w:color w:val="auto"/>
              </w:rPr>
              <w:t>1,459</w:t>
            </w:r>
          </w:p>
        </w:tc>
        <w:tc>
          <w:tcPr>
            <w:tcW w:w="20" w:type="dxa"/>
            <w:vAlign w:val="bottom"/>
          </w:tcPr>
          <w:p>
            <w:pPr>
              <w:spacing w:after="0"/>
              <w:rPr>
                <w:sz w:val="16"/>
                <w:szCs w:val="16"/>
                <w:color w:val="auto"/>
              </w:rPr>
            </w:pPr>
          </w:p>
        </w:tc>
        <w:tc>
          <w:tcPr>
            <w:tcW w:w="80" w:type="dxa"/>
            <w:vAlign w:val="bottom"/>
            <w:tcBorders>
              <w:top w:val="single" w:sz="8" w:color="D5EEEE"/>
            </w:tcBorders>
            <w:shd w:val="clear" w:color="auto" w:fill="D5EEEE"/>
          </w:tcPr>
          <w:p>
            <w:pPr>
              <w:spacing w:after="0"/>
              <w:rPr>
                <w:sz w:val="16"/>
                <w:szCs w:val="16"/>
                <w:color w:val="auto"/>
              </w:rPr>
            </w:pPr>
          </w:p>
        </w:tc>
        <w:tc>
          <w:tcPr>
            <w:tcW w:w="220" w:type="dxa"/>
            <w:vAlign w:val="bottom"/>
            <w:tcBorders>
              <w:top w:val="single" w:sz="8" w:color="D5EEEE"/>
            </w:tcBorders>
            <w:gridSpan w:val="2"/>
          </w:tcPr>
          <w:p>
            <w:pPr>
              <w:spacing w:after="0"/>
              <w:rPr>
                <w:sz w:val="16"/>
                <w:szCs w:val="16"/>
                <w:color w:val="auto"/>
              </w:rPr>
            </w:pPr>
          </w:p>
        </w:tc>
        <w:tc>
          <w:tcPr>
            <w:tcW w:w="680" w:type="dxa"/>
            <w:vAlign w:val="bottom"/>
            <w:tcBorders>
              <w:top w:val="single" w:sz="8" w:color="D5EEEE"/>
            </w:tcBorders>
            <w:shd w:val="clear" w:color="auto" w:fill="D5EEEE"/>
          </w:tcPr>
          <w:p>
            <w:pPr>
              <w:jc w:val="right"/>
              <w:spacing w:after="0" w:line="18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top w:val="single" w:sz="8" w:color="D5EEEE"/>
            </w:tcBorders>
          </w:tcPr>
          <w:p>
            <w:pPr>
              <w:spacing w:after="0"/>
              <w:rPr>
                <w:sz w:val="16"/>
                <w:szCs w:val="16"/>
                <w:color w:val="auto"/>
              </w:rPr>
            </w:pPr>
          </w:p>
        </w:tc>
        <w:tc>
          <w:tcPr>
            <w:tcW w:w="220" w:type="dxa"/>
            <w:vAlign w:val="bottom"/>
            <w:tcBorders>
              <w:top w:val="single" w:sz="8" w:color="D5EEEE"/>
            </w:tcBorders>
            <w:shd w:val="clear" w:color="auto" w:fill="D5EEEE"/>
          </w:tcPr>
          <w:p>
            <w:pPr>
              <w:jc w:val="right"/>
              <w:spacing w:after="0" w:line="186" w:lineRule="exact"/>
              <w:rPr>
                <w:sz w:val="20"/>
                <w:szCs w:val="20"/>
                <w:color w:val="auto"/>
              </w:rPr>
            </w:pPr>
            <w:r>
              <w:rPr>
                <w:rFonts w:ascii="Times New Roman" w:cs="Times New Roman" w:eastAsia="Times New Roman" w:hAnsi="Times New Roman"/>
                <w:sz w:val="18"/>
                <w:szCs w:val="18"/>
                <w:color w:val="auto"/>
                <w:w w:val="79"/>
                <w:shd w:val="clear" w:color="auto" w:fill="D5EEEE"/>
              </w:rPr>
              <w:t>%</w:t>
            </w:r>
          </w:p>
        </w:tc>
        <w:tc>
          <w:tcPr>
            <w:tcW w:w="0" w:type="dxa"/>
            <w:vAlign w:val="bottom"/>
          </w:tcPr>
          <w:p>
            <w:pPr>
              <w:spacing w:after="0"/>
              <w:rPr>
                <w:sz w:val="1"/>
                <w:szCs w:val="1"/>
                <w:color w:val="auto"/>
              </w:rPr>
            </w:pPr>
          </w:p>
        </w:tc>
      </w:tr>
      <w:tr>
        <w:trPr>
          <w:trHeight w:val="208"/>
        </w:trPr>
        <w:tc>
          <w:tcPr>
            <w:tcW w:w="342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8"/>
                <w:szCs w:val="18"/>
                <w:color w:val="auto"/>
              </w:rPr>
              <w:t>BARDA income</w:t>
            </w:r>
          </w:p>
        </w:tc>
        <w:tc>
          <w:tcPr>
            <w:tcW w:w="140" w:type="dxa"/>
            <w:vAlign w:val="bottom"/>
            <w:tcBorders>
              <w:bottom w:val="single" w:sz="8" w:color="D5EEEE"/>
            </w:tcBorders>
          </w:tcPr>
          <w:p>
            <w:pPr>
              <w:spacing w:after="0"/>
              <w:rPr>
                <w:sz w:val="18"/>
                <w:szCs w:val="18"/>
                <w:color w:val="auto"/>
              </w:rPr>
            </w:pPr>
          </w:p>
        </w:tc>
        <w:tc>
          <w:tcPr>
            <w:tcW w:w="80" w:type="dxa"/>
            <w:vAlign w:val="bottom"/>
            <w:tcBorders>
              <w:bottom w:val="single" w:sz="8" w:color="D5EEEE"/>
            </w:tcBorders>
          </w:tcPr>
          <w:p>
            <w:pPr>
              <w:spacing w:after="0"/>
              <w:rPr>
                <w:sz w:val="18"/>
                <w:szCs w:val="18"/>
                <w:color w:val="auto"/>
              </w:rPr>
            </w:pPr>
          </w:p>
        </w:tc>
        <w:tc>
          <w:tcPr>
            <w:tcW w:w="20" w:type="dxa"/>
            <w:vAlign w:val="bottom"/>
            <w:tcBorders>
              <w:bottom w:val="single" w:sz="8" w:color="D5EEEE"/>
            </w:tcBorders>
          </w:tcPr>
          <w:p>
            <w:pPr>
              <w:spacing w:after="0"/>
              <w:rPr>
                <w:sz w:val="18"/>
                <w:szCs w:val="18"/>
                <w:color w:val="auto"/>
              </w:rPr>
            </w:pPr>
          </w:p>
        </w:tc>
        <w:tc>
          <w:tcPr>
            <w:tcW w:w="190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20" w:type="dxa"/>
            <w:vAlign w:val="bottom"/>
            <w:tcBorders>
              <w:bottom w:val="single" w:sz="8" w:color="D5EEEE"/>
            </w:tcBorders>
          </w:tcPr>
          <w:p>
            <w:pPr>
              <w:spacing w:after="0"/>
              <w:rPr>
                <w:sz w:val="18"/>
                <w:szCs w:val="18"/>
                <w:color w:val="auto"/>
              </w:rPr>
            </w:pPr>
          </w:p>
        </w:tc>
        <w:tc>
          <w:tcPr>
            <w:tcW w:w="80" w:type="dxa"/>
            <w:vAlign w:val="bottom"/>
            <w:tcBorders>
              <w:bottom w:val="single" w:sz="8" w:color="D5EEEE"/>
            </w:tcBorders>
          </w:tcPr>
          <w:p>
            <w:pPr>
              <w:spacing w:after="0"/>
              <w:rPr>
                <w:sz w:val="18"/>
                <w:szCs w:val="18"/>
                <w:color w:val="auto"/>
              </w:rPr>
            </w:pPr>
          </w:p>
        </w:tc>
        <w:tc>
          <w:tcPr>
            <w:tcW w:w="140" w:type="dxa"/>
            <w:vAlign w:val="bottom"/>
            <w:tcBorders>
              <w:bottom w:val="single" w:sz="8" w:color="D5EEEE"/>
            </w:tcBorders>
          </w:tcPr>
          <w:p>
            <w:pPr>
              <w:spacing w:after="0"/>
              <w:rPr>
                <w:sz w:val="18"/>
                <w:szCs w:val="18"/>
                <w:color w:val="auto"/>
              </w:rPr>
            </w:pPr>
          </w:p>
        </w:tc>
        <w:tc>
          <w:tcPr>
            <w:tcW w:w="100" w:type="dxa"/>
            <w:vAlign w:val="bottom"/>
            <w:tcBorders>
              <w:bottom w:val="single" w:sz="8" w:color="D5EEEE"/>
            </w:tcBorders>
          </w:tcPr>
          <w:p>
            <w:pPr>
              <w:spacing w:after="0"/>
              <w:rPr>
                <w:sz w:val="18"/>
                <w:szCs w:val="18"/>
                <w:color w:val="auto"/>
              </w:rPr>
            </w:pPr>
          </w:p>
        </w:tc>
        <w:tc>
          <w:tcPr>
            <w:tcW w:w="156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20" w:type="dxa"/>
            <w:vAlign w:val="bottom"/>
            <w:tcBorders>
              <w:bottom w:val="single" w:sz="8" w:color="D5EEEE"/>
            </w:tcBorders>
          </w:tcPr>
          <w:p>
            <w:pPr>
              <w:spacing w:after="0"/>
              <w:rPr>
                <w:sz w:val="18"/>
                <w:szCs w:val="18"/>
                <w:color w:val="auto"/>
              </w:rPr>
            </w:pPr>
          </w:p>
        </w:tc>
        <w:tc>
          <w:tcPr>
            <w:tcW w:w="80" w:type="dxa"/>
            <w:vAlign w:val="bottom"/>
            <w:tcBorders>
              <w:bottom w:val="single" w:sz="8" w:color="D5EEEE"/>
            </w:tcBorders>
          </w:tcPr>
          <w:p>
            <w:pPr>
              <w:spacing w:after="0"/>
              <w:rPr>
                <w:sz w:val="18"/>
                <w:szCs w:val="18"/>
                <w:color w:val="auto"/>
              </w:rPr>
            </w:pPr>
          </w:p>
        </w:tc>
        <w:tc>
          <w:tcPr>
            <w:tcW w:w="140" w:type="dxa"/>
            <w:vAlign w:val="bottom"/>
            <w:tcBorders>
              <w:bottom w:val="single" w:sz="8" w:color="D5EEEE"/>
            </w:tcBorders>
          </w:tcPr>
          <w:p>
            <w:pPr>
              <w:spacing w:after="0"/>
              <w:rPr>
                <w:sz w:val="18"/>
                <w:szCs w:val="18"/>
                <w:color w:val="auto"/>
              </w:rPr>
            </w:pPr>
          </w:p>
        </w:tc>
        <w:tc>
          <w:tcPr>
            <w:tcW w:w="80" w:type="dxa"/>
            <w:vAlign w:val="bottom"/>
            <w:tcBorders>
              <w:bottom w:val="single" w:sz="8" w:color="D5EEEE"/>
            </w:tcBorders>
          </w:tcPr>
          <w:p>
            <w:pPr>
              <w:spacing w:after="0"/>
              <w:rPr>
                <w:sz w:val="18"/>
                <w:szCs w:val="18"/>
                <w:color w:val="auto"/>
              </w:rPr>
            </w:pPr>
          </w:p>
        </w:tc>
        <w:tc>
          <w:tcPr>
            <w:tcW w:w="20" w:type="dxa"/>
            <w:vAlign w:val="bottom"/>
            <w:tcBorders>
              <w:bottom w:val="single" w:sz="8" w:color="D5EEEE"/>
            </w:tcBorders>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D5EEEE"/>
            </w:tcBorders>
            <w:gridSpan w:val="2"/>
          </w:tcPr>
          <w:p>
            <w:pPr>
              <w:spacing w:after="0"/>
              <w:rPr>
                <w:sz w:val="18"/>
                <w:szCs w:val="18"/>
                <w:color w:val="auto"/>
              </w:rPr>
            </w:pPr>
          </w:p>
        </w:tc>
        <w:tc>
          <w:tcPr>
            <w:tcW w:w="920" w:type="dxa"/>
            <w:vAlign w:val="bottom"/>
            <w:tcBorders>
              <w:bottom w:val="single" w:sz="8" w:color="D5EEEE"/>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1"/>
        </w:trPr>
        <w:tc>
          <w:tcPr>
            <w:tcW w:w="3420" w:type="dxa"/>
            <w:vAlign w:val="bottom"/>
            <w:shd w:val="clear" w:color="auto" w:fill="D5EEEE"/>
          </w:tcPr>
          <w:p>
            <w:pPr>
              <w:spacing w:after="0"/>
              <w:rPr>
                <w:sz w:val="17"/>
                <w:szCs w:val="17"/>
                <w:color w:val="auto"/>
              </w:rPr>
            </w:pPr>
          </w:p>
        </w:tc>
        <w:tc>
          <w:tcPr>
            <w:tcW w:w="140" w:type="dxa"/>
            <w:vAlign w:val="bottom"/>
            <w:shd w:val="clear" w:color="auto" w:fill="D5EEE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190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68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vMerge w:val="restart"/>
          </w:tcPr>
          <w:p>
            <w:pPr>
              <w:spacing w:after="0"/>
              <w:rPr>
                <w:sz w:val="17"/>
                <w:szCs w:val="17"/>
                <w:color w:val="auto"/>
              </w:rPr>
            </w:pPr>
          </w:p>
        </w:tc>
        <w:tc>
          <w:tcPr>
            <w:tcW w:w="68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9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140" w:type="dxa"/>
            <w:vAlign w:val="bottom"/>
            <w:vMerge w:val="restart"/>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03"/>
        </w:trPr>
        <w:tc>
          <w:tcPr>
            <w:tcW w:w="3420" w:type="dxa"/>
            <w:vAlign w:val="bottom"/>
            <w:tcBorders>
              <w:bottom w:val="single" w:sz="8" w:color="D5EEEE"/>
            </w:tcBorders>
            <w:vMerge w:val="continue"/>
          </w:tcPr>
          <w:p>
            <w:pPr>
              <w:spacing w:after="0"/>
              <w:rPr>
                <w:sz w:val="17"/>
                <w:szCs w:val="17"/>
                <w:color w:val="auto"/>
              </w:rPr>
            </w:pPr>
          </w:p>
        </w:tc>
        <w:tc>
          <w:tcPr>
            <w:tcW w:w="140" w:type="dxa"/>
            <w:vAlign w:val="bottom"/>
            <w:tcBorders>
              <w:bottom w:val="single" w:sz="8" w:color="D5EEEE"/>
            </w:tcBorders>
            <w:vMerge w:val="continue"/>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vMerge w:val="continue"/>
          </w:tcPr>
          <w:p>
            <w:pPr>
              <w:spacing w:after="0"/>
              <w:rPr>
                <w:sz w:val="17"/>
                <w:szCs w:val="17"/>
                <w:color w:val="auto"/>
              </w:rPr>
            </w:pPr>
          </w:p>
        </w:tc>
        <w:tc>
          <w:tcPr>
            <w:tcW w:w="1900" w:type="dxa"/>
            <w:vAlign w:val="bottom"/>
            <w:tcBorders>
              <w:bottom w:val="single" w:sz="8" w:color="D5EEEE"/>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(21,913)</w:t>
            </w:r>
          </w:p>
        </w:tc>
        <w:tc>
          <w:tcPr>
            <w:tcW w:w="20" w:type="dxa"/>
            <w:vAlign w:val="bottom"/>
            <w:tcBorders>
              <w:bottom w:val="single" w:sz="8" w:color="D5EEEE"/>
            </w:tcBorders>
            <w:vMerge w:val="continue"/>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14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1560" w:type="dxa"/>
            <w:vAlign w:val="bottom"/>
            <w:tcBorders>
              <w:bottom w:val="single" w:sz="8" w:color="D5EEEE"/>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(16,267)</w:t>
            </w:r>
          </w:p>
        </w:tc>
        <w:tc>
          <w:tcPr>
            <w:tcW w:w="20" w:type="dxa"/>
            <w:vAlign w:val="bottom"/>
            <w:tcBorders>
              <w:bottom w:val="single" w:sz="8" w:color="D5EEEE"/>
            </w:tcBorders>
            <w:vMerge w:val="continue"/>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14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vMerge w:val="continue"/>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(5,646</w:t>
            </w:r>
          </w:p>
        </w:tc>
        <w:tc>
          <w:tcPr>
            <w:tcW w:w="20" w:type="dxa"/>
            <w:vAlign w:val="bottom"/>
            <w:vMerge w:val="continue"/>
          </w:tcPr>
          <w:p>
            <w:pPr>
              <w:spacing w:after="0"/>
              <w:rPr>
                <w:sz w:val="17"/>
                <w:szCs w:val="17"/>
                <w:color w:val="auto"/>
              </w:rPr>
            </w:pPr>
          </w:p>
        </w:tc>
        <w:tc>
          <w:tcPr>
            <w:tcW w:w="80" w:type="dxa"/>
            <w:vAlign w:val="bottom"/>
            <w:tcBorders>
              <w:bottom w:val="single" w:sz="8" w:color="D5EEEE"/>
            </w:tcBorders>
            <w:vMerge w:val="continue"/>
          </w:tcPr>
          <w:p>
            <w:pPr>
              <w:spacing w:after="0"/>
              <w:rPr>
                <w:sz w:val="17"/>
                <w:szCs w:val="17"/>
                <w:color w:val="auto"/>
              </w:rPr>
            </w:pPr>
          </w:p>
        </w:tc>
        <w:tc>
          <w:tcPr>
            <w:tcW w:w="140" w:type="dxa"/>
            <w:vAlign w:val="bottom"/>
            <w:tcBorders>
              <w:bottom w:val="single" w:sz="8" w:color="D5EEEE"/>
            </w:tcBorders>
            <w:vMerge w:val="continue"/>
          </w:tcPr>
          <w:p>
            <w:pPr>
              <w:spacing w:after="0"/>
              <w:rPr>
                <w:sz w:val="17"/>
                <w:szCs w:val="17"/>
                <w:color w:val="auto"/>
              </w:rPr>
            </w:pPr>
          </w:p>
        </w:tc>
        <w:tc>
          <w:tcPr>
            <w:tcW w:w="80" w:type="dxa"/>
            <w:vAlign w:val="bottom"/>
            <w:tcBorders>
              <w:bottom w:val="single" w:sz="8" w:color="D5EEEE"/>
            </w:tcBorders>
            <w:vMerge w:val="continue"/>
          </w:tcPr>
          <w:p>
            <w:pPr>
              <w:spacing w:after="0"/>
              <w:rPr>
                <w:sz w:val="17"/>
                <w:szCs w:val="17"/>
                <w:color w:val="auto"/>
              </w:rPr>
            </w:pPr>
          </w:p>
        </w:tc>
        <w:tc>
          <w:tcPr>
            <w:tcW w:w="680" w:type="dxa"/>
            <w:vAlign w:val="bottom"/>
            <w:tcBorders>
              <w:bottom w:val="single" w:sz="8" w:color="D5EEEE"/>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tcBorders>
              <w:bottom w:val="single" w:sz="8" w:color="D5EEEE"/>
            </w:tcBorders>
            <w:vMerge w:val="continue"/>
          </w:tcPr>
          <w:p>
            <w:pPr>
              <w:spacing w:after="0"/>
              <w:rPr>
                <w:sz w:val="17"/>
                <w:szCs w:val="17"/>
                <w:color w:val="auto"/>
              </w:rPr>
            </w:pPr>
          </w:p>
        </w:tc>
        <w:tc>
          <w:tcPr>
            <w:tcW w:w="220" w:type="dxa"/>
            <w:vAlign w:val="bottom"/>
            <w:tcBorders>
              <w:bottom w:val="single" w:sz="8" w:color="D5EEEE"/>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420" w:type="dxa"/>
            <w:vAlign w:val="bottom"/>
            <w:shd w:val="clear" w:color="auto" w:fill="D5EEEE"/>
          </w:tcPr>
          <w:p>
            <w:pPr>
              <w:ind w:left="280"/>
              <w:spacing w:after="0" w:line="201" w:lineRule="exact"/>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shd w:val="clear" w:color="auto" w:fill="D5EEE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shd w:val="clear" w:color="auto" w:fill="D5EEEE"/>
          </w:tcPr>
          <w:p>
            <w:pPr>
              <w:jc w:val="right"/>
              <w:spacing w:after="0" w:line="201" w:lineRule="exact"/>
              <w:rPr>
                <w:sz w:val="20"/>
                <w:szCs w:val="20"/>
                <w:color w:val="auto"/>
              </w:rPr>
            </w:pPr>
            <w:r>
              <w:rPr>
                <w:rFonts w:ascii="Times New Roman" w:cs="Times New Roman" w:eastAsia="Times New Roman" w:hAnsi="Times New Roman"/>
                <w:sz w:val="18"/>
                <w:szCs w:val="18"/>
                <w:color w:val="auto"/>
              </w:rPr>
              <w:t>(23,330)</w:t>
            </w:r>
          </w:p>
        </w:tc>
        <w:tc>
          <w:tcPr>
            <w:tcW w:w="20" w:type="dxa"/>
            <w:vAlign w:val="bottom"/>
          </w:tcPr>
          <w:p>
            <w:pPr>
              <w:spacing w:after="0"/>
              <w:rPr>
                <w:sz w:val="17"/>
                <w:szCs w:val="17"/>
                <w:color w:val="auto"/>
              </w:rPr>
            </w:pPr>
          </w:p>
        </w:tc>
        <w:tc>
          <w:tcPr>
            <w:tcW w:w="80" w:type="dxa"/>
            <w:vAlign w:val="bottom"/>
            <w:tcBorders>
              <w:left w:val="single" w:sz="8" w:color="D5EEEE"/>
            </w:tcBorders>
            <w:shd w:val="clear" w:color="auto" w:fill="D5EEEE"/>
          </w:tcPr>
          <w:p>
            <w:pPr>
              <w:spacing w:after="0"/>
              <w:rPr>
                <w:sz w:val="17"/>
                <w:szCs w:val="17"/>
                <w:color w:val="auto"/>
              </w:rPr>
            </w:pPr>
          </w:p>
        </w:tc>
        <w:tc>
          <w:tcPr>
            <w:tcW w:w="140" w:type="dxa"/>
            <w:vAlign w:val="bottom"/>
            <w:shd w:val="clear" w:color="auto" w:fill="D5EEEE"/>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shd w:val="clear" w:color="auto" w:fill="D5EEEE"/>
          </w:tcPr>
          <w:p>
            <w:pPr>
              <w:jc w:val="right"/>
              <w:spacing w:after="0" w:line="201" w:lineRule="exact"/>
              <w:rPr>
                <w:sz w:val="20"/>
                <w:szCs w:val="20"/>
                <w:color w:val="auto"/>
              </w:rPr>
            </w:pPr>
            <w:r>
              <w:rPr>
                <w:rFonts w:ascii="Times New Roman" w:cs="Times New Roman" w:eastAsia="Times New Roman" w:hAnsi="Times New Roman"/>
                <w:sz w:val="18"/>
                <w:szCs w:val="18"/>
                <w:color w:val="auto"/>
              </w:rPr>
              <w:t>(21,693)</w:t>
            </w:r>
          </w:p>
        </w:tc>
        <w:tc>
          <w:tcPr>
            <w:tcW w:w="20" w:type="dxa"/>
            <w:vAlign w:val="bottom"/>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140" w:type="dxa"/>
            <w:vAlign w:val="bottom"/>
            <w:shd w:val="clear" w:color="auto" w:fill="D5EEE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D5EEEE"/>
          </w:tcPr>
          <w:p>
            <w:pPr>
              <w:jc w:val="right"/>
              <w:spacing w:after="0" w:line="201" w:lineRule="exact"/>
              <w:rPr>
                <w:sz w:val="20"/>
                <w:szCs w:val="20"/>
                <w:color w:val="auto"/>
              </w:rPr>
            </w:pPr>
            <w:r>
              <w:rPr>
                <w:rFonts w:ascii="Times New Roman" w:cs="Times New Roman" w:eastAsia="Times New Roman" w:hAnsi="Times New Roman"/>
                <w:sz w:val="18"/>
                <w:szCs w:val="18"/>
                <w:color w:val="auto"/>
              </w:rPr>
              <w:t>(1,637</w:t>
            </w:r>
          </w:p>
        </w:tc>
        <w:tc>
          <w:tcPr>
            <w:tcW w:w="20" w:type="dxa"/>
            <w:vAlign w:val="bottom"/>
          </w:tcPr>
          <w:p>
            <w:pPr>
              <w:spacing w:after="0"/>
              <w:rPr>
                <w:sz w:val="17"/>
                <w:szCs w:val="17"/>
                <w:color w:val="auto"/>
              </w:rPr>
            </w:pPr>
          </w:p>
        </w:tc>
        <w:tc>
          <w:tcPr>
            <w:tcW w:w="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5EEEE"/>
              </w:rPr>
              <w:t>)</w:t>
            </w:r>
          </w:p>
        </w:tc>
        <w:tc>
          <w:tcPr>
            <w:tcW w:w="140" w:type="dxa"/>
            <w:vAlign w:val="bottom"/>
            <w:shd w:val="clear" w:color="auto" w:fill="D5EEE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63"/>
        </w:trPr>
        <w:tc>
          <w:tcPr>
            <w:tcW w:w="3420" w:type="dxa"/>
            <w:vAlign w:val="bottom"/>
            <w:tcBorders>
              <w:bottom w:val="single" w:sz="8" w:color="D5EEEE"/>
            </w:tcBorders>
          </w:tcPr>
          <w:p>
            <w:pPr>
              <w:ind w:left="2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tcBorders>
              <w:bottom w:val="single" w:sz="8" w:color="D5EEEE"/>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(13,857)</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D5EEEE"/>
            </w:tcBorders>
          </w:tcPr>
          <w:p>
            <w:pPr>
              <w:spacing w:after="0"/>
              <w:rPr>
                <w:sz w:val="22"/>
                <w:szCs w:val="22"/>
                <w:color w:val="auto"/>
              </w:rPr>
            </w:pPr>
          </w:p>
        </w:tc>
        <w:tc>
          <w:tcPr>
            <w:tcW w:w="140" w:type="dxa"/>
            <w:vAlign w:val="bottom"/>
            <w:tcBorders>
              <w:bottom w:val="single" w:sz="8" w:color="D5EEEE"/>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(15,669)</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D5EEEE"/>
            </w:tcBorders>
          </w:tcPr>
          <w:p>
            <w:pPr>
              <w:spacing w:after="0"/>
              <w:rPr>
                <w:sz w:val="22"/>
                <w:szCs w:val="22"/>
                <w:color w:val="auto"/>
              </w:rPr>
            </w:pPr>
          </w:p>
        </w:tc>
        <w:tc>
          <w:tcPr>
            <w:tcW w:w="140" w:type="dxa"/>
            <w:vAlign w:val="bottom"/>
            <w:tcBorders>
              <w:bottom w:val="single" w:sz="8" w:color="D5EEEE"/>
            </w:tcBorders>
          </w:tcPr>
          <w:p>
            <w:pPr>
              <w:spacing w:after="0"/>
              <w:rPr>
                <w:sz w:val="22"/>
                <w:szCs w:val="22"/>
                <w:color w:val="auto"/>
              </w:rPr>
            </w:pPr>
          </w:p>
        </w:tc>
        <w:tc>
          <w:tcPr>
            <w:tcW w:w="80" w:type="dxa"/>
            <w:vAlign w:val="bottom"/>
            <w:tcBorders>
              <w:bottom w:val="single" w:sz="8" w:color="D5EEEE"/>
            </w:tcBorders>
          </w:tcPr>
          <w:p>
            <w:pPr>
              <w:spacing w:after="0"/>
              <w:rPr>
                <w:sz w:val="22"/>
                <w:szCs w:val="22"/>
                <w:color w:val="auto"/>
              </w:rPr>
            </w:pPr>
          </w:p>
        </w:tc>
        <w:tc>
          <w:tcPr>
            <w:tcW w:w="20" w:type="dxa"/>
            <w:vAlign w:val="bottom"/>
            <w:tcBorders>
              <w:bottom w:val="single" w:sz="8" w:color="D5EEEE"/>
            </w:tcBorders>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D5EEEE"/>
            </w:tcBorders>
          </w:tcPr>
          <w:p>
            <w:pPr>
              <w:spacing w:after="0"/>
              <w:rPr>
                <w:sz w:val="22"/>
                <w:szCs w:val="22"/>
                <w:color w:val="auto"/>
              </w:rPr>
            </w:pPr>
          </w:p>
        </w:tc>
        <w:tc>
          <w:tcPr>
            <w:tcW w:w="80" w:type="dxa"/>
            <w:vAlign w:val="bottom"/>
            <w:tcBorders>
              <w:bottom w:val="single" w:sz="8" w:color="D5EEEE"/>
            </w:tcBorders>
          </w:tcPr>
          <w:p>
            <w:pPr>
              <w:spacing w:after="0"/>
              <w:rPr>
                <w:sz w:val="22"/>
                <w:szCs w:val="22"/>
                <w:color w:val="auto"/>
              </w:rPr>
            </w:pPr>
          </w:p>
        </w:tc>
        <w:tc>
          <w:tcPr>
            <w:tcW w:w="920" w:type="dxa"/>
            <w:vAlign w:val="bottom"/>
            <w:tcBorders>
              <w:bottom w:val="single" w:sz="8" w:color="D5EEEE"/>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66"/>
        </w:trPr>
        <w:tc>
          <w:tcPr>
            <w:tcW w:w="3420" w:type="dxa"/>
            <w:vAlign w:val="bottom"/>
            <w:tcBorders>
              <w:top w:val="single" w:sz="8" w:color="D5EEEE"/>
            </w:tcBorders>
            <w:shd w:val="clear" w:color="auto" w:fill="D5EEEE"/>
          </w:tcPr>
          <w:p>
            <w:pPr>
              <w:spacing w:after="0" w:line="166" w:lineRule="exact"/>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D5EEEE"/>
            </w:tcBorders>
            <w:shd w:val="clear" w:color="auto" w:fill="D5EEEE"/>
          </w:tcPr>
          <w:p>
            <w:pPr>
              <w:spacing w:after="0"/>
              <w:rPr>
                <w:sz w:val="14"/>
                <w:szCs w:val="14"/>
                <w:color w:val="auto"/>
              </w:rPr>
            </w:pPr>
          </w:p>
        </w:tc>
        <w:tc>
          <w:tcPr>
            <w:tcW w:w="80" w:type="dxa"/>
            <w:vAlign w:val="bottom"/>
            <w:tcBorders>
              <w:top w:val="single" w:sz="8" w:color="D5EEEE"/>
              <w:bottom w:val="single" w:sz="8" w:color="auto"/>
            </w:tcBorders>
          </w:tcPr>
          <w:p>
            <w:pPr>
              <w:spacing w:after="0"/>
              <w:rPr>
                <w:sz w:val="14"/>
                <w:szCs w:val="14"/>
                <w:color w:val="auto"/>
              </w:rPr>
            </w:pPr>
          </w:p>
        </w:tc>
        <w:tc>
          <w:tcPr>
            <w:tcW w:w="20" w:type="dxa"/>
            <w:vAlign w:val="bottom"/>
            <w:tcBorders>
              <w:top w:val="single" w:sz="8" w:color="D5EEEE"/>
              <w:bottom w:val="single" w:sz="8" w:color="auto"/>
            </w:tcBorders>
          </w:tcPr>
          <w:p>
            <w:pPr>
              <w:spacing w:after="0"/>
              <w:rPr>
                <w:sz w:val="14"/>
                <w:szCs w:val="14"/>
                <w:color w:val="auto"/>
              </w:rPr>
            </w:pPr>
          </w:p>
        </w:tc>
        <w:tc>
          <w:tcPr>
            <w:tcW w:w="1900" w:type="dxa"/>
            <w:vAlign w:val="bottom"/>
            <w:tcBorders>
              <w:top w:val="single" w:sz="8" w:color="D5EEEE"/>
              <w:bottom w:val="single" w:sz="8" w:color="auto"/>
            </w:tcBorders>
            <w:shd w:val="clear" w:color="auto" w:fill="D5EEEE"/>
          </w:tcPr>
          <w:p>
            <w:pPr>
              <w:jc w:val="right"/>
              <w:spacing w:after="0" w:line="166" w:lineRule="exact"/>
              <w:rPr>
                <w:sz w:val="20"/>
                <w:szCs w:val="20"/>
                <w:color w:val="auto"/>
              </w:rPr>
            </w:pPr>
            <w:r>
              <w:rPr>
                <w:rFonts w:ascii="Times New Roman" w:cs="Times New Roman" w:eastAsia="Times New Roman" w:hAnsi="Times New Roman"/>
                <w:sz w:val="18"/>
                <w:szCs w:val="18"/>
                <w:color w:val="auto"/>
              </w:rPr>
              <w:t>(59,100)</w:t>
            </w:r>
          </w:p>
        </w:tc>
        <w:tc>
          <w:tcPr>
            <w:tcW w:w="20" w:type="dxa"/>
            <w:vAlign w:val="bottom"/>
            <w:tcBorders>
              <w:top w:val="single" w:sz="8" w:color="D5EEEE"/>
              <w:bottom w:val="single" w:sz="8" w:color="auto"/>
            </w:tcBorders>
          </w:tcPr>
          <w:p>
            <w:pPr>
              <w:spacing w:after="0"/>
              <w:rPr>
                <w:sz w:val="14"/>
                <w:szCs w:val="14"/>
                <w:color w:val="auto"/>
              </w:rPr>
            </w:pPr>
          </w:p>
        </w:tc>
        <w:tc>
          <w:tcPr>
            <w:tcW w:w="80" w:type="dxa"/>
            <w:vAlign w:val="bottom"/>
            <w:tcBorders>
              <w:top w:val="single" w:sz="8" w:color="D5EEEE"/>
              <w:left w:val="single" w:sz="8" w:color="D5EEEE"/>
            </w:tcBorders>
            <w:shd w:val="clear" w:color="auto" w:fill="D5EEEE"/>
          </w:tcPr>
          <w:p>
            <w:pPr>
              <w:spacing w:after="0"/>
              <w:rPr>
                <w:sz w:val="14"/>
                <w:szCs w:val="14"/>
                <w:color w:val="auto"/>
              </w:rPr>
            </w:pPr>
          </w:p>
        </w:tc>
        <w:tc>
          <w:tcPr>
            <w:tcW w:w="140" w:type="dxa"/>
            <w:vAlign w:val="bottom"/>
            <w:tcBorders>
              <w:top w:val="single" w:sz="8" w:color="D5EEEE"/>
            </w:tcBorders>
            <w:shd w:val="clear" w:color="auto" w:fill="D5EEEE"/>
          </w:tcPr>
          <w:p>
            <w:pPr>
              <w:spacing w:after="0"/>
              <w:rPr>
                <w:sz w:val="14"/>
                <w:szCs w:val="14"/>
                <w:color w:val="auto"/>
              </w:rPr>
            </w:pPr>
          </w:p>
        </w:tc>
        <w:tc>
          <w:tcPr>
            <w:tcW w:w="100" w:type="dxa"/>
            <w:vAlign w:val="bottom"/>
            <w:tcBorders>
              <w:top w:val="single" w:sz="8" w:color="D5EEEE"/>
              <w:bottom w:val="single" w:sz="8" w:color="auto"/>
            </w:tcBorders>
          </w:tcPr>
          <w:p>
            <w:pPr>
              <w:spacing w:after="0"/>
              <w:rPr>
                <w:sz w:val="14"/>
                <w:szCs w:val="14"/>
                <w:color w:val="auto"/>
              </w:rPr>
            </w:pPr>
          </w:p>
        </w:tc>
        <w:tc>
          <w:tcPr>
            <w:tcW w:w="1560" w:type="dxa"/>
            <w:vAlign w:val="bottom"/>
            <w:tcBorders>
              <w:top w:val="single" w:sz="8" w:color="D5EEEE"/>
              <w:bottom w:val="single" w:sz="8" w:color="auto"/>
            </w:tcBorders>
            <w:shd w:val="clear" w:color="auto" w:fill="D5EEEE"/>
          </w:tcPr>
          <w:p>
            <w:pPr>
              <w:jc w:val="right"/>
              <w:spacing w:after="0" w:line="166" w:lineRule="exact"/>
              <w:rPr>
                <w:sz w:val="20"/>
                <w:szCs w:val="20"/>
                <w:color w:val="auto"/>
              </w:rPr>
            </w:pPr>
            <w:r>
              <w:rPr>
                <w:rFonts w:ascii="Times New Roman" w:cs="Times New Roman" w:eastAsia="Times New Roman" w:hAnsi="Times New Roman"/>
                <w:sz w:val="18"/>
                <w:szCs w:val="18"/>
                <w:color w:val="auto"/>
              </w:rPr>
              <w:t>(53,629)</w:t>
            </w:r>
          </w:p>
        </w:tc>
        <w:tc>
          <w:tcPr>
            <w:tcW w:w="20" w:type="dxa"/>
            <w:vAlign w:val="bottom"/>
            <w:tcBorders>
              <w:top w:val="single" w:sz="8" w:color="D5EEEE"/>
              <w:bottom w:val="single" w:sz="8" w:color="auto"/>
            </w:tcBorders>
          </w:tcPr>
          <w:p>
            <w:pPr>
              <w:spacing w:after="0"/>
              <w:rPr>
                <w:sz w:val="14"/>
                <w:szCs w:val="14"/>
                <w:color w:val="auto"/>
              </w:rPr>
            </w:pPr>
          </w:p>
        </w:tc>
        <w:tc>
          <w:tcPr>
            <w:tcW w:w="80" w:type="dxa"/>
            <w:vAlign w:val="bottom"/>
            <w:tcBorders>
              <w:top w:val="single" w:sz="8" w:color="D5EEEE"/>
            </w:tcBorders>
            <w:shd w:val="clear" w:color="auto" w:fill="D5EEEE"/>
          </w:tcPr>
          <w:p>
            <w:pPr>
              <w:spacing w:after="0"/>
              <w:rPr>
                <w:sz w:val="14"/>
                <w:szCs w:val="14"/>
                <w:color w:val="auto"/>
              </w:rPr>
            </w:pPr>
          </w:p>
        </w:tc>
        <w:tc>
          <w:tcPr>
            <w:tcW w:w="140" w:type="dxa"/>
            <w:vAlign w:val="bottom"/>
            <w:tcBorders>
              <w:top w:val="single" w:sz="8" w:color="D5EEEE"/>
            </w:tcBorders>
            <w:shd w:val="clear" w:color="auto" w:fill="D5EEEE"/>
          </w:tcPr>
          <w:p>
            <w:pPr>
              <w:spacing w:after="0"/>
              <w:rPr>
                <w:sz w:val="14"/>
                <w:szCs w:val="14"/>
                <w:color w:val="auto"/>
              </w:rPr>
            </w:pPr>
          </w:p>
        </w:tc>
        <w:tc>
          <w:tcPr>
            <w:tcW w:w="80" w:type="dxa"/>
            <w:vAlign w:val="bottom"/>
            <w:tcBorders>
              <w:top w:val="single" w:sz="8" w:color="D5EEEE"/>
            </w:tcBorders>
          </w:tcPr>
          <w:p>
            <w:pPr>
              <w:spacing w:after="0"/>
              <w:rPr>
                <w:sz w:val="14"/>
                <w:szCs w:val="14"/>
                <w:color w:val="auto"/>
              </w:rPr>
            </w:pPr>
          </w:p>
        </w:tc>
        <w:tc>
          <w:tcPr>
            <w:tcW w:w="20" w:type="dxa"/>
            <w:vAlign w:val="bottom"/>
            <w:tcBorders>
              <w:top w:val="single" w:sz="8" w:color="D5EEEE"/>
            </w:tcBorders>
          </w:tcPr>
          <w:p>
            <w:pPr>
              <w:spacing w:after="0"/>
              <w:rPr>
                <w:sz w:val="14"/>
                <w:szCs w:val="14"/>
                <w:color w:val="auto"/>
              </w:rPr>
            </w:pPr>
          </w:p>
        </w:tc>
        <w:tc>
          <w:tcPr>
            <w:tcW w:w="680" w:type="dxa"/>
            <w:vAlign w:val="bottom"/>
            <w:shd w:val="clear" w:color="auto" w:fill="D5EEEE"/>
          </w:tcPr>
          <w:p>
            <w:pPr>
              <w:jc w:val="right"/>
              <w:spacing w:after="0" w:line="166" w:lineRule="exact"/>
              <w:rPr>
                <w:sz w:val="20"/>
                <w:szCs w:val="20"/>
                <w:color w:val="auto"/>
              </w:rPr>
            </w:pPr>
            <w:r>
              <w:rPr>
                <w:rFonts w:ascii="Times New Roman" w:cs="Times New Roman" w:eastAsia="Times New Roman" w:hAnsi="Times New Roman"/>
                <w:sz w:val="18"/>
                <w:szCs w:val="18"/>
                <w:color w:val="auto"/>
              </w:rPr>
              <w:t>(5,471</w:t>
            </w:r>
          </w:p>
        </w:tc>
        <w:tc>
          <w:tcPr>
            <w:tcW w:w="20" w:type="dxa"/>
            <w:vAlign w:val="bottom"/>
          </w:tcPr>
          <w:p>
            <w:pPr>
              <w:spacing w:after="0"/>
              <w:rPr>
                <w:sz w:val="14"/>
                <w:szCs w:val="14"/>
                <w:color w:val="auto"/>
              </w:rPr>
            </w:pPr>
          </w:p>
        </w:tc>
        <w:tc>
          <w:tcPr>
            <w:tcW w:w="80" w:type="dxa"/>
            <w:vAlign w:val="bottom"/>
            <w:tcBorders>
              <w:top w:val="single" w:sz="8" w:color="D5EEEE"/>
            </w:tcBorders>
            <w:shd w:val="clear" w:color="auto" w:fill="D5EEEE"/>
          </w:tcPr>
          <w:p>
            <w:pPr>
              <w:jc w:val="right"/>
              <w:spacing w:after="0" w:line="166" w:lineRule="exact"/>
              <w:rPr>
                <w:sz w:val="20"/>
                <w:szCs w:val="20"/>
                <w:color w:val="auto"/>
              </w:rPr>
            </w:pPr>
            <w:r>
              <w:rPr>
                <w:rFonts w:ascii="Times New Roman" w:cs="Times New Roman" w:eastAsia="Times New Roman" w:hAnsi="Times New Roman"/>
                <w:sz w:val="16"/>
                <w:szCs w:val="16"/>
                <w:color w:val="auto"/>
                <w:w w:val="74"/>
                <w:shd w:val="clear" w:color="auto" w:fill="D5EEEE"/>
              </w:rPr>
              <w:t>)</w:t>
            </w:r>
          </w:p>
        </w:tc>
        <w:tc>
          <w:tcPr>
            <w:tcW w:w="140" w:type="dxa"/>
            <w:vAlign w:val="bottom"/>
            <w:tcBorders>
              <w:top w:val="single" w:sz="8" w:color="D5EEEE"/>
            </w:tcBorders>
            <w:shd w:val="clear" w:color="auto" w:fill="D5EEEE"/>
          </w:tcPr>
          <w:p>
            <w:pPr>
              <w:spacing w:after="0"/>
              <w:rPr>
                <w:sz w:val="14"/>
                <w:szCs w:val="14"/>
                <w:color w:val="auto"/>
              </w:rPr>
            </w:pPr>
          </w:p>
        </w:tc>
        <w:tc>
          <w:tcPr>
            <w:tcW w:w="80" w:type="dxa"/>
            <w:vAlign w:val="bottom"/>
            <w:tcBorders>
              <w:top w:val="single" w:sz="8" w:color="D5EEEE"/>
            </w:tcBorders>
          </w:tcPr>
          <w:p>
            <w:pPr>
              <w:spacing w:after="0"/>
              <w:rPr>
                <w:sz w:val="14"/>
                <w:szCs w:val="14"/>
                <w:color w:val="auto"/>
              </w:rPr>
            </w:pPr>
          </w:p>
        </w:tc>
        <w:tc>
          <w:tcPr>
            <w:tcW w:w="680" w:type="dxa"/>
            <w:vAlign w:val="bottom"/>
            <w:tcBorders>
              <w:top w:val="single" w:sz="8" w:color="D5EEEE"/>
            </w:tcBorders>
            <w:shd w:val="clear" w:color="auto" w:fill="D5EEEE"/>
          </w:tcPr>
          <w:p>
            <w:pPr>
              <w:jc w:val="right"/>
              <w:spacing w:after="0" w:line="16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top w:val="single" w:sz="8" w:color="D5EEEE"/>
            </w:tcBorders>
          </w:tcPr>
          <w:p>
            <w:pPr>
              <w:spacing w:after="0"/>
              <w:rPr>
                <w:sz w:val="14"/>
                <w:szCs w:val="14"/>
                <w:color w:val="auto"/>
              </w:rPr>
            </w:pPr>
          </w:p>
        </w:tc>
        <w:tc>
          <w:tcPr>
            <w:tcW w:w="220" w:type="dxa"/>
            <w:vAlign w:val="bottom"/>
            <w:tcBorders>
              <w:top w:val="single" w:sz="8" w:color="D5EEEE"/>
            </w:tcBorders>
            <w:shd w:val="clear" w:color="auto" w:fill="D5EEEE"/>
          </w:tcPr>
          <w:p>
            <w:pPr>
              <w:jc w:val="right"/>
              <w:spacing w:after="0" w:line="16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342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40" w:type="dxa"/>
            <w:vAlign w:val="bottom"/>
            <w:tcBorders>
              <w:bottom w:val="single" w:sz="8" w:color="D5EEEE"/>
            </w:tcBorders>
          </w:tcPr>
          <w:p>
            <w:pPr>
              <w:spacing w:after="0"/>
              <w:rPr>
                <w:sz w:val="18"/>
                <w:szCs w:val="18"/>
                <w:color w:val="auto"/>
              </w:rPr>
            </w:pPr>
          </w:p>
        </w:tc>
        <w:tc>
          <w:tcPr>
            <w:tcW w:w="80" w:type="dxa"/>
            <w:vAlign w:val="bottom"/>
            <w:tcBorders>
              <w:bottom w:val="single" w:sz="8" w:color="D5EEEE"/>
            </w:tcBorders>
          </w:tcPr>
          <w:p>
            <w:pPr>
              <w:spacing w:after="0"/>
              <w:rPr>
                <w:sz w:val="18"/>
                <w:szCs w:val="18"/>
                <w:color w:val="auto"/>
              </w:rPr>
            </w:pPr>
          </w:p>
        </w:tc>
        <w:tc>
          <w:tcPr>
            <w:tcW w:w="20" w:type="dxa"/>
            <w:vAlign w:val="bottom"/>
            <w:tcBorders>
              <w:bottom w:val="single" w:sz="8" w:color="D5EEEE"/>
            </w:tcBorders>
          </w:tcPr>
          <w:p>
            <w:pPr>
              <w:spacing w:after="0"/>
              <w:rPr>
                <w:sz w:val="18"/>
                <w:szCs w:val="18"/>
                <w:color w:val="auto"/>
              </w:rPr>
            </w:pPr>
          </w:p>
        </w:tc>
        <w:tc>
          <w:tcPr>
            <w:tcW w:w="190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(27,505)</w:t>
            </w:r>
          </w:p>
        </w:tc>
        <w:tc>
          <w:tcPr>
            <w:tcW w:w="20" w:type="dxa"/>
            <w:vAlign w:val="bottom"/>
            <w:tcBorders>
              <w:bottom w:val="single" w:sz="8" w:color="D5EEEE"/>
            </w:tcBorders>
          </w:tcPr>
          <w:p>
            <w:pPr>
              <w:spacing w:after="0"/>
              <w:rPr>
                <w:sz w:val="18"/>
                <w:szCs w:val="18"/>
                <w:color w:val="auto"/>
              </w:rPr>
            </w:pPr>
          </w:p>
        </w:tc>
        <w:tc>
          <w:tcPr>
            <w:tcW w:w="80" w:type="dxa"/>
            <w:vAlign w:val="bottom"/>
            <w:tcBorders>
              <w:bottom w:val="single" w:sz="8" w:color="D5EEEE"/>
            </w:tcBorders>
          </w:tcPr>
          <w:p>
            <w:pPr>
              <w:spacing w:after="0"/>
              <w:rPr>
                <w:sz w:val="18"/>
                <w:szCs w:val="18"/>
                <w:color w:val="auto"/>
              </w:rPr>
            </w:pPr>
          </w:p>
        </w:tc>
        <w:tc>
          <w:tcPr>
            <w:tcW w:w="140" w:type="dxa"/>
            <w:vAlign w:val="bottom"/>
            <w:tcBorders>
              <w:bottom w:val="single" w:sz="8" w:color="D5EEEE"/>
            </w:tcBorders>
          </w:tcPr>
          <w:p>
            <w:pPr>
              <w:spacing w:after="0"/>
              <w:rPr>
                <w:sz w:val="18"/>
                <w:szCs w:val="18"/>
                <w:color w:val="auto"/>
              </w:rPr>
            </w:pPr>
          </w:p>
        </w:tc>
        <w:tc>
          <w:tcPr>
            <w:tcW w:w="100" w:type="dxa"/>
            <w:vAlign w:val="bottom"/>
            <w:tcBorders>
              <w:bottom w:val="single" w:sz="8" w:color="D5EEEE"/>
            </w:tcBorders>
          </w:tcPr>
          <w:p>
            <w:pPr>
              <w:spacing w:after="0"/>
              <w:rPr>
                <w:sz w:val="18"/>
                <w:szCs w:val="18"/>
                <w:color w:val="auto"/>
              </w:rPr>
            </w:pPr>
          </w:p>
        </w:tc>
        <w:tc>
          <w:tcPr>
            <w:tcW w:w="156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(25,118)</w:t>
            </w:r>
          </w:p>
        </w:tc>
        <w:tc>
          <w:tcPr>
            <w:tcW w:w="20" w:type="dxa"/>
            <w:vAlign w:val="bottom"/>
            <w:tcBorders>
              <w:bottom w:val="single" w:sz="8" w:color="D5EEEE"/>
            </w:tcBorders>
          </w:tcPr>
          <w:p>
            <w:pPr>
              <w:spacing w:after="0"/>
              <w:rPr>
                <w:sz w:val="18"/>
                <w:szCs w:val="18"/>
                <w:color w:val="auto"/>
              </w:rPr>
            </w:pPr>
          </w:p>
        </w:tc>
        <w:tc>
          <w:tcPr>
            <w:tcW w:w="80" w:type="dxa"/>
            <w:vAlign w:val="bottom"/>
            <w:tcBorders>
              <w:bottom w:val="single" w:sz="8" w:color="D5EEEE"/>
            </w:tcBorders>
          </w:tcPr>
          <w:p>
            <w:pPr>
              <w:spacing w:after="0"/>
              <w:rPr>
                <w:sz w:val="18"/>
                <w:szCs w:val="18"/>
                <w:color w:val="auto"/>
              </w:rPr>
            </w:pPr>
          </w:p>
        </w:tc>
        <w:tc>
          <w:tcPr>
            <w:tcW w:w="140" w:type="dxa"/>
            <w:vAlign w:val="bottom"/>
            <w:tcBorders>
              <w:bottom w:val="single" w:sz="8" w:color="D5EEEE"/>
            </w:tcBorders>
          </w:tcPr>
          <w:p>
            <w:pPr>
              <w:spacing w:after="0"/>
              <w:rPr>
                <w:sz w:val="18"/>
                <w:szCs w:val="18"/>
                <w:color w:val="auto"/>
              </w:rPr>
            </w:pPr>
          </w:p>
        </w:tc>
        <w:tc>
          <w:tcPr>
            <w:tcW w:w="80" w:type="dxa"/>
            <w:vAlign w:val="bottom"/>
            <w:tcBorders>
              <w:bottom w:val="single" w:sz="8" w:color="D5EEEE"/>
            </w:tcBorders>
          </w:tcPr>
          <w:p>
            <w:pPr>
              <w:spacing w:after="0"/>
              <w:rPr>
                <w:sz w:val="18"/>
                <w:szCs w:val="18"/>
                <w:color w:val="auto"/>
              </w:rPr>
            </w:pPr>
          </w:p>
        </w:tc>
        <w:tc>
          <w:tcPr>
            <w:tcW w:w="20" w:type="dxa"/>
            <w:vAlign w:val="bottom"/>
            <w:tcBorders>
              <w:bottom w:val="single" w:sz="8" w:color="D5EEEE"/>
            </w:tcBorders>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20" w:type="dxa"/>
            <w:vAlign w:val="bottom"/>
          </w:tcPr>
          <w:p>
            <w:pPr>
              <w:spacing w:after="0"/>
              <w:rPr>
                <w:sz w:val="18"/>
                <w:szCs w:val="18"/>
                <w:color w:val="auto"/>
              </w:rPr>
            </w:pPr>
          </w:p>
        </w:tc>
        <w:tc>
          <w:tcPr>
            <w:tcW w:w="8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140" w:type="dxa"/>
            <w:vAlign w:val="bottom"/>
            <w:tcBorders>
              <w:bottom w:val="single" w:sz="8" w:color="D5EEEE"/>
            </w:tcBorders>
          </w:tcPr>
          <w:p>
            <w:pPr>
              <w:spacing w:after="0"/>
              <w:rPr>
                <w:sz w:val="18"/>
                <w:szCs w:val="18"/>
                <w:color w:val="auto"/>
              </w:rPr>
            </w:pPr>
          </w:p>
        </w:tc>
        <w:tc>
          <w:tcPr>
            <w:tcW w:w="80" w:type="dxa"/>
            <w:vAlign w:val="bottom"/>
            <w:tcBorders>
              <w:bottom w:val="single" w:sz="8" w:color="D5EEEE"/>
            </w:tcBorders>
          </w:tcPr>
          <w:p>
            <w:pPr>
              <w:spacing w:after="0"/>
              <w:rPr>
                <w:sz w:val="18"/>
                <w:szCs w:val="18"/>
                <w:color w:val="auto"/>
              </w:rPr>
            </w:pPr>
          </w:p>
        </w:tc>
        <w:tc>
          <w:tcPr>
            <w:tcW w:w="68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D5EEEE"/>
            </w:tcBorders>
          </w:tcPr>
          <w:p>
            <w:pPr>
              <w:spacing w:after="0"/>
              <w:rPr>
                <w:sz w:val="18"/>
                <w:szCs w:val="18"/>
                <w:color w:val="auto"/>
              </w:rPr>
            </w:pPr>
          </w:p>
        </w:tc>
        <w:tc>
          <w:tcPr>
            <w:tcW w:w="22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3420" w:type="dxa"/>
            <w:vAlign w:val="bottom"/>
            <w:shd w:val="clear" w:color="auto" w:fill="D5EEEE"/>
          </w:tcPr>
          <w:p>
            <w:pPr>
              <w:spacing w:after="0" w:line="201" w:lineRule="exact"/>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D5EEE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shd w:val="clear" w:color="auto" w:fill="D5EEEE"/>
          </w:tcPr>
          <w:p>
            <w:pPr>
              <w:jc w:val="right"/>
              <w:spacing w:after="0" w:line="201"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7"/>
                <w:szCs w:val="17"/>
                <w:color w:val="auto"/>
              </w:rPr>
            </w:pPr>
          </w:p>
        </w:tc>
        <w:tc>
          <w:tcPr>
            <w:tcW w:w="80" w:type="dxa"/>
            <w:vAlign w:val="bottom"/>
            <w:tcBorders>
              <w:left w:val="single" w:sz="8" w:color="D5EEEE"/>
            </w:tcBorders>
            <w:shd w:val="clear" w:color="auto" w:fill="D5EEEE"/>
          </w:tcPr>
          <w:p>
            <w:pPr>
              <w:spacing w:after="0"/>
              <w:rPr>
                <w:sz w:val="17"/>
                <w:szCs w:val="17"/>
                <w:color w:val="auto"/>
              </w:rPr>
            </w:pPr>
          </w:p>
        </w:tc>
        <w:tc>
          <w:tcPr>
            <w:tcW w:w="140" w:type="dxa"/>
            <w:vAlign w:val="bottom"/>
            <w:shd w:val="clear" w:color="auto" w:fill="D5EEEE"/>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shd w:val="clear" w:color="auto" w:fill="D5EEEE"/>
          </w:tcPr>
          <w:p>
            <w:pPr>
              <w:jc w:val="right"/>
              <w:spacing w:after="0" w:line="201"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140" w:type="dxa"/>
            <w:vAlign w:val="bottom"/>
            <w:shd w:val="clear" w:color="auto" w:fill="D5EEE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D5EEEE"/>
          </w:tcPr>
          <w:p>
            <w:pPr>
              <w:jc w:val="right"/>
              <w:spacing w:after="0" w:line="201" w:lineRule="exact"/>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3420" w:type="dxa"/>
            <w:vAlign w:val="bottom"/>
            <w:tcBorders>
              <w:top w:val="single" w:sz="8" w:color="D5EEEE"/>
              <w:bottom w:val="single" w:sz="8" w:color="D5EEEE"/>
            </w:tcBorders>
          </w:tcPr>
          <w:p>
            <w:pPr>
              <w:spacing w:after="0"/>
              <w:rPr>
                <w:sz w:val="19"/>
                <w:szCs w:val="19"/>
                <w:color w:val="auto"/>
              </w:rPr>
            </w:pPr>
          </w:p>
        </w:tc>
        <w:tc>
          <w:tcPr>
            <w:tcW w:w="140" w:type="dxa"/>
            <w:vAlign w:val="bottom"/>
            <w:tcBorders>
              <w:top w:val="single" w:sz="8" w:color="D5EEEE"/>
              <w:bottom w:val="single" w:sz="8" w:color="D5EEEE"/>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900" w:type="dxa"/>
            <w:vAlign w:val="bottom"/>
            <w:tcBorders>
              <w:top w:val="single" w:sz="8" w:color="D5EEEE"/>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892</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D5EEEE"/>
              <w:bottom w:val="single" w:sz="8" w:color="D5EEEE"/>
            </w:tcBorders>
          </w:tcPr>
          <w:p>
            <w:pPr>
              <w:spacing w:after="0"/>
              <w:rPr>
                <w:sz w:val="19"/>
                <w:szCs w:val="19"/>
                <w:color w:val="auto"/>
              </w:rPr>
            </w:pPr>
          </w:p>
        </w:tc>
        <w:tc>
          <w:tcPr>
            <w:tcW w:w="140" w:type="dxa"/>
            <w:vAlign w:val="bottom"/>
            <w:tcBorders>
              <w:top w:val="single" w:sz="8" w:color="D5EEEE"/>
              <w:bottom w:val="single" w:sz="8" w:color="D5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top w:val="single" w:sz="8" w:color="D5EEEE"/>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D5EEEE"/>
              <w:bottom w:val="single" w:sz="8" w:color="D5EEEE"/>
            </w:tcBorders>
          </w:tcPr>
          <w:p>
            <w:pPr>
              <w:spacing w:after="0"/>
              <w:rPr>
                <w:sz w:val="19"/>
                <w:szCs w:val="19"/>
                <w:color w:val="auto"/>
              </w:rPr>
            </w:pPr>
          </w:p>
        </w:tc>
        <w:tc>
          <w:tcPr>
            <w:tcW w:w="140" w:type="dxa"/>
            <w:vAlign w:val="bottom"/>
            <w:tcBorders>
              <w:top w:val="single" w:sz="8" w:color="D5EEEE"/>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680" w:type="dxa"/>
            <w:vAlign w:val="bottom"/>
            <w:tcBorders>
              <w:top w:val="single" w:sz="8" w:color="D5EEEE"/>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845</w:t>
            </w:r>
          </w:p>
        </w:tc>
        <w:tc>
          <w:tcPr>
            <w:tcW w:w="20" w:type="dxa"/>
            <w:vAlign w:val="bottom"/>
          </w:tcPr>
          <w:p>
            <w:pPr>
              <w:spacing w:after="0"/>
              <w:rPr>
                <w:sz w:val="19"/>
                <w:szCs w:val="19"/>
                <w:color w:val="auto"/>
              </w:rPr>
            </w:pPr>
          </w:p>
        </w:tc>
        <w:tc>
          <w:tcPr>
            <w:tcW w:w="80" w:type="dxa"/>
            <w:vAlign w:val="bottom"/>
            <w:tcBorders>
              <w:top w:val="single" w:sz="8" w:color="D5EEEE"/>
            </w:tcBorders>
          </w:tcPr>
          <w:p>
            <w:pPr>
              <w:spacing w:after="0"/>
              <w:rPr>
                <w:sz w:val="19"/>
                <w:szCs w:val="19"/>
                <w:color w:val="auto"/>
              </w:rPr>
            </w:pPr>
          </w:p>
        </w:tc>
        <w:tc>
          <w:tcPr>
            <w:tcW w:w="14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680" w:type="dxa"/>
            <w:vAlign w:val="bottom"/>
            <w:tcBorders>
              <w:bottom w:val="single" w:sz="8" w:color="D5EEEE"/>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nm</w:t>
            </w:r>
          </w:p>
        </w:tc>
        <w:tc>
          <w:tcPr>
            <w:tcW w:w="20" w:type="dxa"/>
            <w:vAlign w:val="bottom"/>
            <w:tcBorders>
              <w:bottom w:val="single" w:sz="8" w:color="D5EEEE"/>
            </w:tcBorders>
          </w:tcPr>
          <w:p>
            <w:pPr>
              <w:spacing w:after="0"/>
              <w:rPr>
                <w:sz w:val="19"/>
                <w:szCs w:val="19"/>
                <w:color w:val="auto"/>
              </w:rPr>
            </w:pPr>
          </w:p>
        </w:tc>
        <w:tc>
          <w:tcPr>
            <w:tcW w:w="22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420" w:type="dxa"/>
            <w:vAlign w:val="bottom"/>
            <w:tcBorders>
              <w:top w:val="single" w:sz="8" w:color="D5EEEE"/>
            </w:tcBorders>
            <w:shd w:val="clear" w:color="auto" w:fill="D5EEEE"/>
          </w:tcPr>
          <w:p>
            <w:pPr>
              <w:spacing w:after="0" w:line="188" w:lineRule="exact"/>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tcBorders>
              <w:top w:val="single" w:sz="8" w:color="D5EEEE"/>
            </w:tcBorders>
            <w:shd w:val="clear" w:color="auto" w:fill="D5EEEE"/>
          </w:tcPr>
          <w:p>
            <w:pPr>
              <w:spacing w:after="0"/>
              <w:rPr>
                <w:sz w:val="16"/>
                <w:szCs w:val="16"/>
                <w:color w:val="auto"/>
              </w:rPr>
            </w:pPr>
          </w:p>
        </w:tc>
        <w:tc>
          <w:tcPr>
            <w:tcW w:w="80" w:type="dxa"/>
            <w:vAlign w:val="bottom"/>
            <w:tcBorders>
              <w:top w:val="single" w:sz="8" w:color="D5EEEE"/>
            </w:tcBorders>
          </w:tcPr>
          <w:p>
            <w:pPr>
              <w:spacing w:after="0"/>
              <w:rPr>
                <w:sz w:val="16"/>
                <w:szCs w:val="16"/>
                <w:color w:val="auto"/>
              </w:rPr>
            </w:pPr>
          </w:p>
        </w:tc>
        <w:tc>
          <w:tcPr>
            <w:tcW w:w="20" w:type="dxa"/>
            <w:vAlign w:val="bottom"/>
            <w:tcBorders>
              <w:top w:val="single" w:sz="8" w:color="D5EEEE"/>
            </w:tcBorders>
          </w:tcPr>
          <w:p>
            <w:pPr>
              <w:spacing w:after="0"/>
              <w:rPr>
                <w:sz w:val="16"/>
                <w:szCs w:val="16"/>
                <w:color w:val="auto"/>
              </w:rPr>
            </w:pPr>
          </w:p>
        </w:tc>
        <w:tc>
          <w:tcPr>
            <w:tcW w:w="1900" w:type="dxa"/>
            <w:vAlign w:val="bottom"/>
            <w:tcBorders>
              <w:top w:val="single" w:sz="8" w:color="D5EEEE"/>
            </w:tcBorders>
            <w:shd w:val="clear" w:color="auto" w:fill="D5EEEE"/>
          </w:tcPr>
          <w:p>
            <w:pPr>
              <w:jc w:val="right"/>
              <w:spacing w:after="0" w:line="188" w:lineRule="exact"/>
              <w:rPr>
                <w:sz w:val="20"/>
                <w:szCs w:val="20"/>
                <w:color w:val="auto"/>
              </w:rPr>
            </w:pPr>
            <w:r>
              <w:rPr>
                <w:rFonts w:ascii="Times New Roman" w:cs="Times New Roman" w:eastAsia="Times New Roman" w:hAnsi="Times New Roman"/>
                <w:sz w:val="18"/>
                <w:szCs w:val="18"/>
                <w:color w:val="auto"/>
              </w:rPr>
              <w:t>(26,629)</w:t>
            </w:r>
          </w:p>
        </w:tc>
        <w:tc>
          <w:tcPr>
            <w:tcW w:w="20" w:type="dxa"/>
            <w:vAlign w:val="bottom"/>
            <w:tcBorders>
              <w:top w:val="single" w:sz="8" w:color="D5EEEE"/>
            </w:tcBorders>
          </w:tcPr>
          <w:p>
            <w:pPr>
              <w:spacing w:after="0"/>
              <w:rPr>
                <w:sz w:val="16"/>
                <w:szCs w:val="16"/>
                <w:color w:val="auto"/>
              </w:rPr>
            </w:pPr>
          </w:p>
        </w:tc>
        <w:tc>
          <w:tcPr>
            <w:tcW w:w="80" w:type="dxa"/>
            <w:vAlign w:val="bottom"/>
            <w:tcBorders>
              <w:top w:val="single" w:sz="8" w:color="D5EEEE"/>
              <w:left w:val="single" w:sz="8" w:color="D5EEEE"/>
            </w:tcBorders>
            <w:shd w:val="clear" w:color="auto" w:fill="D5EEEE"/>
          </w:tcPr>
          <w:p>
            <w:pPr>
              <w:spacing w:after="0"/>
              <w:rPr>
                <w:sz w:val="16"/>
                <w:szCs w:val="16"/>
                <w:color w:val="auto"/>
              </w:rPr>
            </w:pPr>
          </w:p>
        </w:tc>
        <w:tc>
          <w:tcPr>
            <w:tcW w:w="140" w:type="dxa"/>
            <w:vAlign w:val="bottom"/>
            <w:tcBorders>
              <w:top w:val="single" w:sz="8" w:color="D5EEEE"/>
            </w:tcBorders>
            <w:shd w:val="clear" w:color="auto" w:fill="D5EEEE"/>
          </w:tcPr>
          <w:p>
            <w:pPr>
              <w:spacing w:after="0"/>
              <w:rPr>
                <w:sz w:val="16"/>
                <w:szCs w:val="16"/>
                <w:color w:val="auto"/>
              </w:rPr>
            </w:pPr>
          </w:p>
        </w:tc>
        <w:tc>
          <w:tcPr>
            <w:tcW w:w="100" w:type="dxa"/>
            <w:vAlign w:val="bottom"/>
            <w:tcBorders>
              <w:top w:val="single" w:sz="8" w:color="D5EEEE"/>
            </w:tcBorders>
          </w:tcPr>
          <w:p>
            <w:pPr>
              <w:spacing w:after="0"/>
              <w:rPr>
                <w:sz w:val="16"/>
                <w:szCs w:val="16"/>
                <w:color w:val="auto"/>
              </w:rPr>
            </w:pPr>
          </w:p>
        </w:tc>
        <w:tc>
          <w:tcPr>
            <w:tcW w:w="1560" w:type="dxa"/>
            <w:vAlign w:val="bottom"/>
            <w:tcBorders>
              <w:top w:val="single" w:sz="8" w:color="D5EEEE"/>
            </w:tcBorders>
            <w:shd w:val="clear" w:color="auto" w:fill="D5EEEE"/>
          </w:tcPr>
          <w:p>
            <w:pPr>
              <w:jc w:val="right"/>
              <w:spacing w:after="0" w:line="188" w:lineRule="exact"/>
              <w:rPr>
                <w:sz w:val="20"/>
                <w:szCs w:val="20"/>
                <w:color w:val="auto"/>
              </w:rPr>
            </w:pPr>
            <w:r>
              <w:rPr>
                <w:rFonts w:ascii="Times New Roman" w:cs="Times New Roman" w:eastAsia="Times New Roman" w:hAnsi="Times New Roman"/>
                <w:sz w:val="18"/>
                <w:szCs w:val="18"/>
                <w:color w:val="auto"/>
              </w:rPr>
              <w:t>(25,100)</w:t>
            </w:r>
          </w:p>
        </w:tc>
        <w:tc>
          <w:tcPr>
            <w:tcW w:w="20" w:type="dxa"/>
            <w:vAlign w:val="bottom"/>
            <w:tcBorders>
              <w:top w:val="single" w:sz="8" w:color="D5EEEE"/>
            </w:tcBorders>
          </w:tcPr>
          <w:p>
            <w:pPr>
              <w:spacing w:after="0"/>
              <w:rPr>
                <w:sz w:val="16"/>
                <w:szCs w:val="16"/>
                <w:color w:val="auto"/>
              </w:rPr>
            </w:pPr>
          </w:p>
        </w:tc>
        <w:tc>
          <w:tcPr>
            <w:tcW w:w="80" w:type="dxa"/>
            <w:vAlign w:val="bottom"/>
            <w:tcBorders>
              <w:top w:val="single" w:sz="8" w:color="D5EEEE"/>
            </w:tcBorders>
            <w:shd w:val="clear" w:color="auto" w:fill="D5EEEE"/>
          </w:tcPr>
          <w:p>
            <w:pPr>
              <w:spacing w:after="0"/>
              <w:rPr>
                <w:sz w:val="16"/>
                <w:szCs w:val="16"/>
                <w:color w:val="auto"/>
              </w:rPr>
            </w:pPr>
          </w:p>
        </w:tc>
        <w:tc>
          <w:tcPr>
            <w:tcW w:w="140" w:type="dxa"/>
            <w:vAlign w:val="bottom"/>
            <w:tcBorders>
              <w:top w:val="single" w:sz="8" w:color="D5EEEE"/>
            </w:tcBorders>
            <w:shd w:val="clear" w:color="auto" w:fill="D5EEEE"/>
          </w:tcPr>
          <w:p>
            <w:pPr>
              <w:spacing w:after="0"/>
              <w:rPr>
                <w:sz w:val="16"/>
                <w:szCs w:val="16"/>
                <w:color w:val="auto"/>
              </w:rPr>
            </w:pPr>
          </w:p>
        </w:tc>
        <w:tc>
          <w:tcPr>
            <w:tcW w:w="80" w:type="dxa"/>
            <w:vAlign w:val="bottom"/>
            <w:tcBorders>
              <w:top w:val="single" w:sz="8" w:color="D5EEEE"/>
            </w:tcBorders>
          </w:tcPr>
          <w:p>
            <w:pPr>
              <w:spacing w:after="0"/>
              <w:rPr>
                <w:sz w:val="16"/>
                <w:szCs w:val="16"/>
                <w:color w:val="auto"/>
              </w:rPr>
            </w:pPr>
          </w:p>
        </w:tc>
        <w:tc>
          <w:tcPr>
            <w:tcW w:w="20" w:type="dxa"/>
            <w:vAlign w:val="bottom"/>
            <w:tcBorders>
              <w:top w:val="single" w:sz="8" w:color="D5EEEE"/>
            </w:tcBorders>
          </w:tcPr>
          <w:p>
            <w:pPr>
              <w:spacing w:after="0"/>
              <w:rPr>
                <w:sz w:val="16"/>
                <w:szCs w:val="16"/>
                <w:color w:val="auto"/>
              </w:rPr>
            </w:pPr>
          </w:p>
        </w:tc>
        <w:tc>
          <w:tcPr>
            <w:tcW w:w="680" w:type="dxa"/>
            <w:vAlign w:val="bottom"/>
            <w:shd w:val="clear" w:color="auto" w:fill="D5EEEE"/>
          </w:tcPr>
          <w:p>
            <w:pPr>
              <w:jc w:val="right"/>
              <w:spacing w:after="0" w:line="188" w:lineRule="exact"/>
              <w:rPr>
                <w:sz w:val="20"/>
                <w:szCs w:val="20"/>
                <w:color w:val="auto"/>
              </w:rPr>
            </w:pPr>
            <w:r>
              <w:rPr>
                <w:rFonts w:ascii="Times New Roman" w:cs="Times New Roman" w:eastAsia="Times New Roman" w:hAnsi="Times New Roman"/>
                <w:sz w:val="18"/>
                <w:szCs w:val="18"/>
                <w:color w:val="auto"/>
              </w:rPr>
              <w:t>(1,529</w:t>
            </w:r>
          </w:p>
        </w:tc>
        <w:tc>
          <w:tcPr>
            <w:tcW w:w="20" w:type="dxa"/>
            <w:vAlign w:val="bottom"/>
          </w:tcPr>
          <w:p>
            <w:pPr>
              <w:spacing w:after="0"/>
              <w:rPr>
                <w:sz w:val="16"/>
                <w:szCs w:val="16"/>
                <w:color w:val="auto"/>
              </w:rPr>
            </w:pPr>
          </w:p>
        </w:tc>
        <w:tc>
          <w:tcPr>
            <w:tcW w:w="80" w:type="dxa"/>
            <w:vAlign w:val="bottom"/>
            <w:tcBorders>
              <w:top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5EEEE"/>
              </w:rPr>
              <w:t>)</w:t>
            </w:r>
          </w:p>
        </w:tc>
        <w:tc>
          <w:tcPr>
            <w:tcW w:w="140" w:type="dxa"/>
            <w:vAlign w:val="bottom"/>
            <w:tcBorders>
              <w:top w:val="single" w:sz="8" w:color="D5EEEE"/>
            </w:tcBorders>
            <w:shd w:val="clear" w:color="auto" w:fill="D5EEEE"/>
          </w:tcPr>
          <w:p>
            <w:pPr>
              <w:spacing w:after="0"/>
              <w:rPr>
                <w:sz w:val="16"/>
                <w:szCs w:val="16"/>
                <w:color w:val="auto"/>
              </w:rPr>
            </w:pPr>
          </w:p>
        </w:tc>
        <w:tc>
          <w:tcPr>
            <w:tcW w:w="80" w:type="dxa"/>
            <w:vAlign w:val="bottom"/>
            <w:tcBorders>
              <w:top w:val="single" w:sz="8" w:color="D5EEEE"/>
            </w:tcBorders>
          </w:tcPr>
          <w:p>
            <w:pPr>
              <w:spacing w:after="0"/>
              <w:rPr>
                <w:sz w:val="16"/>
                <w:szCs w:val="16"/>
                <w:color w:val="auto"/>
              </w:rPr>
            </w:pPr>
          </w:p>
        </w:tc>
        <w:tc>
          <w:tcPr>
            <w:tcW w:w="920" w:type="dxa"/>
            <w:vAlign w:val="bottom"/>
            <w:tcBorders>
              <w:top w:val="single" w:sz="8" w:color="D5EEEE"/>
            </w:tcBorders>
            <w:gridSpan w:val="3"/>
          </w:tcPr>
          <w:p>
            <w:pPr>
              <w:jc w:val="right"/>
              <w:spacing w:after="0" w:line="188"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6"/>
        </w:trPr>
        <w:tc>
          <w:tcPr>
            <w:tcW w:w="342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8"/>
                <w:szCs w:val="18"/>
                <w:color w:val="auto"/>
              </w:rPr>
              <w:t>Provision for income tax</w:t>
            </w:r>
          </w:p>
        </w:tc>
        <w:tc>
          <w:tcPr>
            <w:tcW w:w="140" w:type="dxa"/>
            <w:vAlign w:val="bottom"/>
            <w:tcBorders>
              <w:bottom w:val="single" w:sz="8" w:color="D5EEEE"/>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140" w:type="dxa"/>
            <w:vAlign w:val="bottom"/>
            <w:tcBorders>
              <w:bottom w:val="single" w:sz="8" w:color="D5EEEE"/>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140" w:type="dxa"/>
            <w:vAlign w:val="bottom"/>
            <w:tcBorders>
              <w:bottom w:val="single" w:sz="8" w:color="D5EEEE"/>
            </w:tcBorders>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140" w:type="dxa"/>
            <w:vAlign w:val="bottom"/>
            <w:tcBorders>
              <w:bottom w:val="single" w:sz="8" w:color="D5EEEE"/>
            </w:tcBorders>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920" w:type="dxa"/>
            <w:vAlign w:val="bottom"/>
            <w:tcBorders>
              <w:bottom w:val="single" w:sz="8" w:color="D5EEEE"/>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86"/>
        </w:trPr>
        <w:tc>
          <w:tcPr>
            <w:tcW w:w="3420" w:type="dxa"/>
            <w:vAlign w:val="bottom"/>
            <w:tcBorders>
              <w:top w:val="single" w:sz="8" w:color="D5EEEE"/>
            </w:tcBorders>
            <w:shd w:val="clear" w:color="auto" w:fill="D5EEEE"/>
          </w:tcPr>
          <w:p>
            <w:pPr>
              <w:spacing w:after="0" w:line="186" w:lineRule="exact"/>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D5EEEE"/>
            </w:tcBorders>
            <w:shd w:val="clear" w:color="auto" w:fill="D5EEEE"/>
          </w:tcPr>
          <w:p>
            <w:pPr>
              <w:spacing w:after="0"/>
              <w:rPr>
                <w:sz w:val="16"/>
                <w:szCs w:val="16"/>
                <w:color w:val="auto"/>
              </w:rPr>
            </w:pPr>
          </w:p>
        </w:tc>
        <w:tc>
          <w:tcPr>
            <w:tcW w:w="80" w:type="dxa"/>
            <w:vAlign w:val="bottom"/>
            <w:tcBorders>
              <w:top w:val="single" w:sz="8" w:color="D5EEEE"/>
            </w:tcBorders>
            <w:shd w:val="clear" w:color="auto" w:fill="D5EEEE"/>
          </w:tcPr>
          <w:p>
            <w:pPr>
              <w:jc w:val="right"/>
              <w:spacing w:after="0" w:line="185" w:lineRule="exact"/>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0" w:type="dxa"/>
            <w:vAlign w:val="bottom"/>
            <w:tcBorders>
              <w:top w:val="single" w:sz="8" w:color="D5EEEE"/>
            </w:tcBorders>
          </w:tcPr>
          <w:p>
            <w:pPr>
              <w:spacing w:after="0"/>
              <w:rPr>
                <w:sz w:val="16"/>
                <w:szCs w:val="16"/>
                <w:color w:val="auto"/>
              </w:rPr>
            </w:pPr>
          </w:p>
        </w:tc>
        <w:tc>
          <w:tcPr>
            <w:tcW w:w="1900" w:type="dxa"/>
            <w:vAlign w:val="bottom"/>
            <w:tcBorders>
              <w:top w:val="single" w:sz="8" w:color="D5EEEE"/>
            </w:tcBorders>
            <w:shd w:val="clear" w:color="auto" w:fill="D5EEEE"/>
          </w:tcPr>
          <w:p>
            <w:pPr>
              <w:jc w:val="right"/>
              <w:spacing w:after="0" w:line="186" w:lineRule="exact"/>
              <w:rPr>
                <w:sz w:val="20"/>
                <w:szCs w:val="20"/>
                <w:color w:val="auto"/>
              </w:rPr>
            </w:pPr>
            <w:r>
              <w:rPr>
                <w:rFonts w:ascii="Times New Roman" w:cs="Times New Roman" w:eastAsia="Times New Roman" w:hAnsi="Times New Roman"/>
                <w:sz w:val="18"/>
                <w:szCs w:val="18"/>
                <w:color w:val="auto"/>
              </w:rPr>
              <w:t>(26,665)</w:t>
            </w:r>
          </w:p>
        </w:tc>
        <w:tc>
          <w:tcPr>
            <w:tcW w:w="20" w:type="dxa"/>
            <w:vAlign w:val="bottom"/>
            <w:tcBorders>
              <w:top w:val="single" w:sz="8" w:color="D5EEEE"/>
            </w:tcBorders>
            <w:shd w:val="clear" w:color="auto" w:fill="D5EEEE"/>
          </w:tcPr>
          <w:p>
            <w:pPr>
              <w:spacing w:after="0"/>
              <w:rPr>
                <w:sz w:val="16"/>
                <w:szCs w:val="16"/>
                <w:color w:val="auto"/>
              </w:rPr>
            </w:pPr>
          </w:p>
        </w:tc>
        <w:tc>
          <w:tcPr>
            <w:tcW w:w="80" w:type="dxa"/>
            <w:vAlign w:val="bottom"/>
            <w:tcBorders>
              <w:top w:val="single" w:sz="8" w:color="D5EEEE"/>
              <w:left w:val="single" w:sz="8" w:color="D5EEEE"/>
            </w:tcBorders>
            <w:shd w:val="clear" w:color="auto" w:fill="D5EEEE"/>
          </w:tcPr>
          <w:p>
            <w:pPr>
              <w:spacing w:after="0"/>
              <w:rPr>
                <w:sz w:val="16"/>
                <w:szCs w:val="16"/>
                <w:color w:val="auto"/>
              </w:rPr>
            </w:pPr>
          </w:p>
        </w:tc>
        <w:tc>
          <w:tcPr>
            <w:tcW w:w="140" w:type="dxa"/>
            <w:vAlign w:val="bottom"/>
            <w:tcBorders>
              <w:top w:val="single" w:sz="8" w:color="D5EEEE"/>
            </w:tcBorders>
            <w:shd w:val="clear" w:color="auto" w:fill="D5EEEE"/>
          </w:tcPr>
          <w:p>
            <w:pPr>
              <w:spacing w:after="0"/>
              <w:rPr>
                <w:sz w:val="16"/>
                <w:szCs w:val="16"/>
                <w:color w:val="auto"/>
              </w:rPr>
            </w:pPr>
          </w:p>
        </w:tc>
        <w:tc>
          <w:tcPr>
            <w:tcW w:w="100" w:type="dxa"/>
            <w:vAlign w:val="bottom"/>
            <w:tcBorders>
              <w:top w:val="single" w:sz="8" w:color="D5EEEE"/>
            </w:tcBorders>
            <w:shd w:val="clear" w:color="auto" w:fill="D5EEEE"/>
          </w:tcPr>
          <w:p>
            <w:pPr>
              <w:jc w:val="right"/>
              <w:spacing w:after="0" w:line="185" w:lineRule="exact"/>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1560" w:type="dxa"/>
            <w:vAlign w:val="bottom"/>
            <w:tcBorders>
              <w:top w:val="single" w:sz="8" w:color="D5EEEE"/>
            </w:tcBorders>
            <w:shd w:val="clear" w:color="auto" w:fill="D5EEEE"/>
          </w:tcPr>
          <w:p>
            <w:pPr>
              <w:jc w:val="right"/>
              <w:spacing w:after="0" w:line="186" w:lineRule="exact"/>
              <w:rPr>
                <w:sz w:val="20"/>
                <w:szCs w:val="20"/>
                <w:color w:val="auto"/>
              </w:rPr>
            </w:pPr>
            <w:r>
              <w:rPr>
                <w:rFonts w:ascii="Times New Roman" w:cs="Times New Roman" w:eastAsia="Times New Roman" w:hAnsi="Times New Roman"/>
                <w:sz w:val="18"/>
                <w:szCs w:val="18"/>
                <w:color w:val="auto"/>
              </w:rPr>
              <w:t>(25,142)</w:t>
            </w:r>
          </w:p>
        </w:tc>
        <w:tc>
          <w:tcPr>
            <w:tcW w:w="20" w:type="dxa"/>
            <w:vAlign w:val="bottom"/>
            <w:tcBorders>
              <w:top w:val="single" w:sz="8" w:color="D5EEEE"/>
            </w:tcBorders>
            <w:shd w:val="clear" w:color="auto" w:fill="D5EEEE"/>
          </w:tcPr>
          <w:p>
            <w:pPr>
              <w:spacing w:after="0"/>
              <w:rPr>
                <w:sz w:val="16"/>
                <w:szCs w:val="16"/>
                <w:color w:val="auto"/>
              </w:rPr>
            </w:pPr>
          </w:p>
        </w:tc>
        <w:tc>
          <w:tcPr>
            <w:tcW w:w="80" w:type="dxa"/>
            <w:vAlign w:val="bottom"/>
            <w:tcBorders>
              <w:top w:val="single" w:sz="8" w:color="D5EEEE"/>
            </w:tcBorders>
            <w:shd w:val="clear" w:color="auto" w:fill="D5EEEE"/>
          </w:tcPr>
          <w:p>
            <w:pPr>
              <w:spacing w:after="0"/>
              <w:rPr>
                <w:sz w:val="16"/>
                <w:szCs w:val="16"/>
                <w:color w:val="auto"/>
              </w:rPr>
            </w:pPr>
          </w:p>
        </w:tc>
        <w:tc>
          <w:tcPr>
            <w:tcW w:w="140" w:type="dxa"/>
            <w:vAlign w:val="bottom"/>
            <w:tcBorders>
              <w:top w:val="single" w:sz="8" w:color="D5EEEE"/>
            </w:tcBorders>
            <w:shd w:val="clear" w:color="auto" w:fill="D5EEEE"/>
          </w:tcPr>
          <w:p>
            <w:pPr>
              <w:spacing w:after="0"/>
              <w:rPr>
                <w:sz w:val="16"/>
                <w:szCs w:val="16"/>
                <w:color w:val="auto"/>
              </w:rPr>
            </w:pPr>
          </w:p>
        </w:tc>
        <w:tc>
          <w:tcPr>
            <w:tcW w:w="80" w:type="dxa"/>
            <w:vAlign w:val="bottom"/>
            <w:tcBorders>
              <w:top w:val="single" w:sz="8" w:color="D5EEEE"/>
            </w:tcBorders>
          </w:tcPr>
          <w:p>
            <w:pPr>
              <w:spacing w:after="0"/>
              <w:rPr>
                <w:sz w:val="16"/>
                <w:szCs w:val="16"/>
                <w:color w:val="auto"/>
              </w:rPr>
            </w:pPr>
          </w:p>
        </w:tc>
        <w:tc>
          <w:tcPr>
            <w:tcW w:w="20" w:type="dxa"/>
            <w:vAlign w:val="bottom"/>
            <w:tcBorders>
              <w:top w:val="single" w:sz="8" w:color="D5EEEE"/>
            </w:tcBorders>
          </w:tcPr>
          <w:p>
            <w:pPr>
              <w:spacing w:after="0"/>
              <w:rPr>
                <w:sz w:val="16"/>
                <w:szCs w:val="16"/>
                <w:color w:val="auto"/>
              </w:rPr>
            </w:pPr>
          </w:p>
        </w:tc>
        <w:tc>
          <w:tcPr>
            <w:tcW w:w="680" w:type="dxa"/>
            <w:vAlign w:val="bottom"/>
            <w:shd w:val="clear" w:color="auto" w:fill="D5EEEE"/>
          </w:tcPr>
          <w:p>
            <w:pPr>
              <w:jc w:val="right"/>
              <w:spacing w:after="0" w:line="186" w:lineRule="exact"/>
              <w:rPr>
                <w:sz w:val="20"/>
                <w:szCs w:val="20"/>
                <w:color w:val="auto"/>
              </w:rPr>
            </w:pPr>
            <w:r>
              <w:rPr>
                <w:rFonts w:ascii="Times New Roman" w:cs="Times New Roman" w:eastAsia="Times New Roman" w:hAnsi="Times New Roman"/>
                <w:sz w:val="18"/>
                <w:szCs w:val="18"/>
                <w:color w:val="auto"/>
              </w:rPr>
              <w:t>(1,523</w:t>
            </w:r>
          </w:p>
        </w:tc>
        <w:tc>
          <w:tcPr>
            <w:tcW w:w="20" w:type="dxa"/>
            <w:vAlign w:val="bottom"/>
          </w:tcPr>
          <w:p>
            <w:pPr>
              <w:spacing w:after="0"/>
              <w:rPr>
                <w:sz w:val="16"/>
                <w:szCs w:val="16"/>
                <w:color w:val="auto"/>
              </w:rPr>
            </w:pPr>
          </w:p>
        </w:tc>
        <w:tc>
          <w:tcPr>
            <w:tcW w:w="80" w:type="dxa"/>
            <w:vAlign w:val="bottom"/>
            <w:tcBorders>
              <w:top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5EEEE"/>
              </w:rPr>
              <w:t>)</w:t>
            </w:r>
          </w:p>
        </w:tc>
        <w:tc>
          <w:tcPr>
            <w:tcW w:w="140" w:type="dxa"/>
            <w:vAlign w:val="bottom"/>
            <w:tcBorders>
              <w:top w:val="single" w:sz="8" w:color="D5EEEE"/>
            </w:tcBorders>
            <w:shd w:val="clear" w:color="auto" w:fill="D5EEEE"/>
          </w:tcPr>
          <w:p>
            <w:pPr>
              <w:spacing w:after="0"/>
              <w:rPr>
                <w:sz w:val="16"/>
                <w:szCs w:val="16"/>
                <w:color w:val="auto"/>
              </w:rPr>
            </w:pPr>
          </w:p>
        </w:tc>
        <w:tc>
          <w:tcPr>
            <w:tcW w:w="80" w:type="dxa"/>
            <w:vAlign w:val="bottom"/>
            <w:tcBorders>
              <w:top w:val="single" w:sz="8" w:color="D5EEEE"/>
            </w:tcBorders>
          </w:tcPr>
          <w:p>
            <w:pPr>
              <w:spacing w:after="0"/>
              <w:rPr>
                <w:sz w:val="16"/>
                <w:szCs w:val="16"/>
                <w:color w:val="auto"/>
              </w:rPr>
            </w:pPr>
          </w:p>
        </w:tc>
        <w:tc>
          <w:tcPr>
            <w:tcW w:w="920" w:type="dxa"/>
            <w:vAlign w:val="bottom"/>
            <w:tcBorders>
              <w:top w:val="single" w:sz="8" w:color="D5EEEE"/>
            </w:tcBorders>
            <w:gridSpan w:val="3"/>
          </w:tcPr>
          <w:p>
            <w:pPr>
              <w:jc w:val="right"/>
              <w:spacing w:after="0" w:line="18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60"/>
        </w:trPr>
        <w:tc>
          <w:tcPr>
            <w:tcW w:w="3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-2187575</wp:posOffset>
            </wp:positionV>
            <wp:extent cx="6198870" cy="2333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98870" cy="2333625"/>
                    </a:xfrm>
                    <a:prstGeom prst="rect">
                      <a:avLst/>
                    </a:prstGeom>
                    <a:noFill/>
                  </pic:spPr>
                </pic:pic>
              </a:graphicData>
            </a:graphic>
          </wp:anchor>
        </w:drawing>
      </w:r>
    </w:p>
    <w:p>
      <w:pPr>
        <w:spacing w:after="0" w:line="16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meaningful</w:t>
      </w:r>
    </w:p>
    <w:p>
      <w:pPr>
        <w:spacing w:after="0" w:line="228"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Total net revenue increased 4% or $1.4 million to $34.4 million, compared to $33.0 million in the corresponding period in the prior year which included $7.9 million from our delivery of units to managed inventory for the Biomedical Advanced Research and Development Authority (“</w:t>
      </w:r>
      <w:r>
        <w:rPr>
          <w:rFonts w:ascii="Times New Roman" w:cs="Times New Roman" w:eastAsia="Times New Roman" w:hAnsi="Times New Roman"/>
          <w:sz w:val="20"/>
          <w:szCs w:val="20"/>
          <w:b w:val="1"/>
          <w:bCs w:val="1"/>
          <w:color w:val="auto"/>
        </w:rPr>
        <w:t>BARDA</w:t>
      </w:r>
      <w:r>
        <w:rPr>
          <w:rFonts w:ascii="Times New Roman" w:cs="Times New Roman" w:eastAsia="Times New Roman" w:hAnsi="Times New Roman"/>
          <w:sz w:val="20"/>
          <w:szCs w:val="20"/>
          <w:color w:val="auto"/>
        </w:rPr>
        <w:t>”) (of the Office for the Assistant Secretary for Preparedness and Response) for emergency response preparedness. Total commercial revenue, which excludes BARDA revenue, increased by 36% or $9.0 million to $34.0 million in the full year-ended December 31, 2022, compared to $25.1 million in the corresponding period in the prior year. The growth in commercial revenues was largely driven by deeper penetration within individual customer accounts along with the commencement of commercial sales with our partner COSMOTEC in Japan.</w:t>
      </w:r>
    </w:p>
    <w:p>
      <w:pPr>
        <w:spacing w:after="0" w:line="1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Gross profit margin was 82% and relatively flat compared to the corresponding period in the prior year.</w:t>
      </w:r>
    </w:p>
    <w:p>
      <w:pPr>
        <w:spacing w:after="0" w:line="228" w:lineRule="exact"/>
        <w:rPr>
          <w:sz w:val="20"/>
          <w:szCs w:val="20"/>
          <w:color w:val="auto"/>
        </w:rPr>
      </w:pPr>
    </w:p>
    <w:p>
      <w:pPr>
        <w:ind w:right="220" w:firstLine="720"/>
        <w:spacing w:after="0" w:line="250" w:lineRule="auto"/>
        <w:rPr>
          <w:sz w:val="20"/>
          <w:szCs w:val="20"/>
          <w:color w:val="auto"/>
        </w:rPr>
      </w:pPr>
      <w:r>
        <w:rPr>
          <w:rFonts w:ascii="Times New Roman" w:cs="Times New Roman" w:eastAsia="Times New Roman" w:hAnsi="Times New Roman"/>
          <w:sz w:val="20"/>
          <w:szCs w:val="20"/>
          <w:color w:val="auto"/>
        </w:rPr>
        <w:t>BARDA income consisted of funding from BARDA, under the Assistant Secretary for Preparedness and Response, within the U.S. Department of Health and Human Services, under ongoing USG Contract No. HHSO100201500028C. Under the BARDA contract, income of $3.2 million was recognized during the year-ended December 31, 2022, compared to income of $1.6 million for the same period in the prior year. BARDA income increased as a result of funding by BARDA for the pivotal trial for use of the RECELL System for soft tissue repair.</w:t>
      </w:r>
    </w:p>
    <w:p>
      <w:pPr>
        <w:spacing w:after="0" w:line="182" w:lineRule="exact"/>
        <w:rPr>
          <w:sz w:val="20"/>
          <w:szCs w:val="20"/>
          <w:color w:val="auto"/>
        </w:rPr>
      </w:pPr>
    </w:p>
    <w:p>
      <w:pPr>
        <w:ind w:right="360" w:firstLine="720"/>
        <w:spacing w:after="0" w:line="279" w:lineRule="auto"/>
        <w:rPr>
          <w:sz w:val="20"/>
          <w:szCs w:val="20"/>
          <w:color w:val="auto"/>
        </w:rPr>
      </w:pPr>
      <w:r>
        <w:rPr>
          <w:rFonts w:ascii="Times New Roman" w:cs="Times New Roman" w:eastAsia="Times New Roman" w:hAnsi="Times New Roman"/>
          <w:sz w:val="20"/>
          <w:szCs w:val="20"/>
          <w:color w:val="auto"/>
        </w:rPr>
        <w:t>Total operating expenses increased 10% or $5.5 million to $59.1 million, compared to $53.6 million in the corresponding period in the prior year.</w:t>
      </w:r>
    </w:p>
    <w:p>
      <w:pPr>
        <w:spacing w:after="0" w:line="157" w:lineRule="exact"/>
        <w:rPr>
          <w:sz w:val="20"/>
          <w:szCs w:val="20"/>
          <w:color w:val="auto"/>
        </w:rPr>
      </w:pPr>
    </w:p>
    <w:p>
      <w:pPr>
        <w:ind w:right="120" w:firstLine="720"/>
        <w:spacing w:after="0" w:line="247" w:lineRule="auto"/>
        <w:rPr>
          <w:sz w:val="20"/>
          <w:szCs w:val="20"/>
          <w:color w:val="auto"/>
        </w:rPr>
      </w:pPr>
      <w:r>
        <w:rPr>
          <w:rFonts w:ascii="Times New Roman" w:cs="Times New Roman" w:eastAsia="Times New Roman" w:hAnsi="Times New Roman"/>
          <w:sz w:val="20"/>
          <w:szCs w:val="20"/>
          <w:color w:val="auto"/>
        </w:rPr>
        <w:t>Sales and marketing expenses increased 35%, or $5.6 million, to $21.9 million, compared to $16.3 million recognized in the corresponding period in the prior year. Increased costs in the current year were primarily driven by higher selling costs, pre-commercialization costs and higher salaries and benefits. Higher selling costs are attributable to increased commissions due to increased revenue and higher costs for travel, hands-on professional education, and training. Increased pre-commercialization costs are driven by activities related to future RECELL launches in soft tissue repair and vitiligo. Higher salaries and benefits were primarily due to additional field personnel added to deepen penetration within individual customer accounts.</w:t>
      </w:r>
    </w:p>
    <w:p>
      <w:pPr>
        <w:spacing w:after="0" w:line="200" w:lineRule="exact"/>
        <w:rPr>
          <w:sz w:val="20"/>
          <w:szCs w:val="20"/>
          <w:color w:val="auto"/>
        </w:rPr>
      </w:pPr>
    </w:p>
    <w:p>
      <w:pPr>
        <w:ind w:right="180" w:firstLine="720"/>
        <w:spacing w:after="0" w:line="306" w:lineRule="auto"/>
        <w:rPr>
          <w:sz w:val="20"/>
          <w:szCs w:val="20"/>
          <w:color w:val="auto"/>
        </w:rPr>
      </w:pPr>
      <w:r>
        <w:rPr>
          <w:rFonts w:ascii="Times New Roman" w:cs="Times New Roman" w:eastAsia="Times New Roman" w:hAnsi="Times New Roman"/>
          <w:sz w:val="19"/>
          <w:szCs w:val="19"/>
          <w:color w:val="auto"/>
        </w:rPr>
        <w:t>General and administrative expenses increased 8%, or $1.6 million, to $23.3 million, compared to $21.7 million recognized in the corresponding period in the prior year. The increase was primarily driven by higher salaries and benefits and share-based</w:t>
      </w:r>
    </w:p>
    <w:p>
      <w:pPr>
        <w:sectPr>
          <w:pgSz w:w="11880" w:h="15480" w:orient="portrait"/>
          <w:cols w:equalWidth="0" w:num="1">
            <w:col w:w="10780"/>
          </w:cols>
          <w:pgMar w:left="540" w:top="887" w:right="560" w:bottom="0" w:gutter="0" w:footer="0" w:header="0"/>
        </w:sectPr>
      </w:pP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10780"/>
          </w:cols>
          <w:pgMar w:left="540" w:top="887" w:right="560" w:bottom="0" w:gutter="0" w:footer="0" w:header="0"/>
          <w:type w:val="continuous"/>
        </w:sectPr>
      </w:pPr>
    </w:p>
    <w:bookmarkStart w:id="36" w:name="page37"/>
    <w:bookmarkEnd w:id="36"/>
    <w:p>
      <w:pPr>
        <w:ind w:right="120"/>
        <w:spacing w:after="0" w:line="253" w:lineRule="auto"/>
        <w:rPr>
          <w:sz w:val="20"/>
          <w:szCs w:val="20"/>
          <w:color w:val="auto"/>
        </w:rPr>
      </w:pPr>
      <w:r>
        <w:rPr>
          <w:rFonts w:ascii="Times New Roman" w:cs="Times New Roman" w:eastAsia="Times New Roman" w:hAnsi="Times New Roman"/>
          <w:sz w:val="20"/>
          <w:szCs w:val="20"/>
          <w:color w:val="auto"/>
        </w:rPr>
        <w:t>compensation expenses. Higher salaries and benefits costs were due to the expansion of our workforce to support overall operations along with severance costs associated with the termination of a former executive officer. Higher share-based compensation expense was due to the new equity grants in the current period, partially offset by the reversal of expense for unvested awards related to the termination of a former executive officer in the current year.</w:t>
      </w:r>
    </w:p>
    <w:p>
      <w:pPr>
        <w:spacing w:after="0" w:line="190"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Research and development expenses decreased 12%, or $1.8 million, to $13.9 million, compared to $15.7 million recognized in the corresponding period in the prior year. Research and development costs were lower due to the following: pediatric burn study was closed for enrollment, soft tissue repair and vitiligo trial participants were in less costly follow-up phases this period compared to more costly recruitment and treatment phases in the prior period, and lower expense for sponsored research toward pipeline development in the current period. This is partially offset by higher development expenses in the current year from ongoing development of next generation devices for an automated preparation of Spray-On Skin™ Cells as compared to the prior year due to early prototype development and testing.</w:t>
      </w:r>
    </w:p>
    <w:p>
      <w:pPr>
        <w:spacing w:after="0" w:line="201" w:lineRule="exact"/>
        <w:rPr>
          <w:sz w:val="20"/>
          <w:szCs w:val="20"/>
          <w:color w:val="auto"/>
        </w:rPr>
      </w:pPr>
    </w:p>
    <w:p>
      <w:pPr>
        <w:ind w:firstLine="720"/>
        <w:spacing w:after="0" w:line="306" w:lineRule="auto"/>
        <w:rPr>
          <w:sz w:val="20"/>
          <w:szCs w:val="20"/>
          <w:color w:val="auto"/>
        </w:rPr>
      </w:pPr>
      <w:r>
        <w:rPr>
          <w:rFonts w:ascii="Times New Roman" w:cs="Times New Roman" w:eastAsia="Times New Roman" w:hAnsi="Times New Roman"/>
          <w:sz w:val="19"/>
          <w:szCs w:val="19"/>
          <w:color w:val="auto"/>
        </w:rPr>
        <w:t>Net loss increased 6%, or $1.5 million, to $26.7 million, over the $25.1 million recognized in the corresponding period in the prior year. The increase in net loss was driven by higher operating expenses as described above, partially offset by higher revenue.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Transition Period Ended December 31, 2021, compared to the Six Months Ended December 31, 2020</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table below summarizes the results of our continuing operations for each of the periods presented (in thousands).</w:t>
      </w:r>
    </w:p>
    <w:p>
      <w:pPr>
        <w:spacing w:after="0" w:line="292" w:lineRule="exact"/>
        <w:rPr>
          <w:sz w:val="20"/>
          <w:szCs w:val="20"/>
          <w:color w:val="auto"/>
        </w:rPr>
      </w:pPr>
    </w:p>
    <w:tbl>
      <w:tblPr>
        <w:tblLayout w:type="fixed"/>
        <w:tblInd w:w="540" w:type="dxa"/>
        <w:tblCellMar>
          <w:top w:w="0" w:type="dxa"/>
          <w:left w:w="0" w:type="dxa"/>
          <w:bottom w:w="0" w:type="dxa"/>
          <w:right w:w="0" w:type="dxa"/>
        </w:tblCellMar>
      </w:tblPr>
      <w:tr>
        <w:trPr>
          <w:trHeight w:val="228"/>
        </w:trPr>
        <w:tc>
          <w:tcPr>
            <w:tcW w:w="3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Transition Period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92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gridSpan w:val="2"/>
          </w:tcPr>
          <w:p>
            <w:pPr>
              <w:jc w:val="center"/>
              <w:ind w:right="120"/>
              <w:spacing w:after="0" w:line="186" w:lineRule="exact"/>
              <w:rPr>
                <w:sz w:val="20"/>
                <w:szCs w:val="20"/>
                <w:color w:val="auto"/>
              </w:rPr>
            </w:pPr>
            <w:r>
              <w:rPr>
                <w:rFonts w:ascii="Times New Roman" w:cs="Times New Roman" w:eastAsia="Times New Roman" w:hAnsi="Times New Roman"/>
                <w:sz w:val="18"/>
                <w:szCs w:val="18"/>
                <w:b w:val="1"/>
                <w:bCs w:val="1"/>
                <w:color w:val="auto"/>
              </w:rPr>
              <w:t>July 1 - December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5"/>
            <w:vMerge w:val="restart"/>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0" w:type="dxa"/>
            <w:vAlign w:val="bottom"/>
          </w:tcPr>
          <w:p>
            <w:pPr>
              <w:spacing w:after="0"/>
              <w:rPr>
                <w:sz w:val="1"/>
                <w:szCs w:val="1"/>
                <w:color w:val="auto"/>
              </w:rPr>
            </w:pPr>
          </w:p>
        </w:tc>
      </w:tr>
      <w:tr>
        <w:trPr>
          <w:trHeight w:val="145"/>
        </w:trPr>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80" w:type="dxa"/>
            <w:vAlign w:val="bottom"/>
          </w:tcPr>
          <w:p>
            <w:pPr>
              <w:spacing w:after="0"/>
              <w:rPr>
                <w:sz w:val="12"/>
                <w:szCs w:val="12"/>
                <w:color w:val="auto"/>
              </w:rPr>
            </w:pPr>
          </w:p>
        </w:tc>
        <w:tc>
          <w:tcPr>
            <w:tcW w:w="1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3560" w:type="dxa"/>
            <w:vAlign w:val="bottom"/>
            <w:tcBorders>
              <w:bottom w:val="single" w:sz="8" w:color="D5EEEE"/>
            </w:tcBorders>
            <w:gridSpan w:val="2"/>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gridSpan w:val="2"/>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D5EEEE"/>
            </w:tcBorders>
          </w:tcPr>
          <w:p>
            <w:pPr>
              <w:spacing w:after="0"/>
              <w:rPr>
                <w:sz w:val="9"/>
                <w:szCs w:val="9"/>
                <w:color w:val="auto"/>
              </w:rPr>
            </w:pPr>
          </w:p>
        </w:tc>
        <w:tc>
          <w:tcPr>
            <w:tcW w:w="120" w:type="dxa"/>
            <w:vAlign w:val="bottom"/>
            <w:tcBorders>
              <w:bottom w:val="single" w:sz="8" w:color="D5EEEE"/>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gridSpan w:val="3"/>
            <w:vMerge w:val="continue"/>
          </w:tcPr>
          <w:p>
            <w:pPr>
              <w:spacing w:after="0"/>
              <w:rPr>
                <w:sz w:val="9"/>
                <w:szCs w:val="9"/>
                <w:color w:val="auto"/>
              </w:rPr>
            </w:pPr>
          </w:p>
        </w:tc>
        <w:tc>
          <w:tcPr>
            <w:tcW w:w="80" w:type="dxa"/>
            <w:vAlign w:val="bottom"/>
            <w:tcBorders>
              <w:bottom w:val="single" w:sz="8" w:color="D5EEEE"/>
            </w:tcBorders>
            <w:vMerge w:val="continue"/>
          </w:tcPr>
          <w:p>
            <w:pPr>
              <w:spacing w:after="0"/>
              <w:rPr>
                <w:sz w:val="9"/>
                <w:szCs w:val="9"/>
                <w:color w:val="auto"/>
              </w:rPr>
            </w:pPr>
          </w:p>
        </w:tc>
        <w:tc>
          <w:tcPr>
            <w:tcW w:w="140" w:type="dxa"/>
            <w:vAlign w:val="bottom"/>
            <w:tcBorders>
              <w:bottom w:val="single" w:sz="8" w:color="D5EEEE"/>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D5EEEE"/>
            </w:tcBorders>
          </w:tcPr>
          <w:p>
            <w:pPr>
              <w:spacing w:after="0"/>
              <w:rPr>
                <w:sz w:val="9"/>
                <w:szCs w:val="9"/>
                <w:color w:val="auto"/>
              </w:rPr>
            </w:pPr>
          </w:p>
        </w:tc>
        <w:tc>
          <w:tcPr>
            <w:tcW w:w="140" w:type="dxa"/>
            <w:vAlign w:val="bottom"/>
            <w:tcBorders>
              <w:bottom w:val="single" w:sz="8" w:color="D5EEEE"/>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3420" w:type="dxa"/>
            <w:vAlign w:val="bottom"/>
            <w:shd w:val="clear" w:color="auto" w:fill="D5EEEE"/>
          </w:tcPr>
          <w:p>
            <w:pPr>
              <w:ind w:left="280"/>
              <w:spacing w:after="0" w:line="188" w:lineRule="exact"/>
              <w:rPr>
                <w:sz w:val="20"/>
                <w:szCs w:val="20"/>
                <w:color w:val="auto"/>
              </w:rPr>
            </w:pPr>
            <w:r>
              <w:rPr>
                <w:rFonts w:ascii="Times New Roman" w:cs="Times New Roman" w:eastAsia="Times New Roman" w:hAnsi="Times New Roman"/>
                <w:sz w:val="18"/>
                <w:szCs w:val="18"/>
                <w:color w:val="auto"/>
              </w:rPr>
              <w:t>Revenues</w:t>
            </w:r>
          </w:p>
        </w:tc>
        <w:tc>
          <w:tcPr>
            <w:tcW w:w="140" w:type="dxa"/>
            <w:vAlign w:val="bottom"/>
            <w:shd w:val="clear" w:color="auto" w:fill="D5EEEE"/>
          </w:tcPr>
          <w:p>
            <w:pPr>
              <w:spacing w:after="0"/>
              <w:rPr>
                <w:sz w:val="16"/>
                <w:szCs w:val="16"/>
                <w:color w:val="auto"/>
              </w:rPr>
            </w:pPr>
          </w:p>
        </w:tc>
        <w:tc>
          <w:tcPr>
            <w:tcW w:w="80" w:type="dxa"/>
            <w:vAlign w:val="bottom"/>
            <w:shd w:val="clear" w:color="auto" w:fill="D5EEEE"/>
          </w:tcPr>
          <w:p>
            <w:pPr>
              <w:jc w:val="right"/>
              <w:spacing w:after="0" w:line="188" w:lineRule="exact"/>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0" w:type="dxa"/>
            <w:vAlign w:val="bottom"/>
          </w:tcPr>
          <w:p>
            <w:pPr>
              <w:spacing w:after="0"/>
              <w:rPr>
                <w:sz w:val="16"/>
                <w:szCs w:val="16"/>
                <w:color w:val="auto"/>
              </w:rPr>
            </w:pPr>
          </w:p>
        </w:tc>
        <w:tc>
          <w:tcPr>
            <w:tcW w:w="1900" w:type="dxa"/>
            <w:vAlign w:val="bottom"/>
            <w:shd w:val="clear" w:color="auto" w:fill="D5EEEE"/>
          </w:tcPr>
          <w:p>
            <w:pPr>
              <w:jc w:val="right"/>
              <w:spacing w:after="0" w:line="188" w:lineRule="exact"/>
              <w:rPr>
                <w:sz w:val="20"/>
                <w:szCs w:val="20"/>
                <w:color w:val="auto"/>
              </w:rPr>
            </w:pPr>
            <w:r>
              <w:rPr>
                <w:rFonts w:ascii="Times New Roman" w:cs="Times New Roman" w:eastAsia="Times New Roman" w:hAnsi="Times New Roman"/>
                <w:sz w:val="18"/>
                <w:szCs w:val="18"/>
                <w:color w:val="auto"/>
              </w:rPr>
              <w:t>13,956</w:t>
            </w:r>
          </w:p>
        </w:tc>
        <w:tc>
          <w:tcPr>
            <w:tcW w:w="20" w:type="dxa"/>
            <w:vAlign w:val="bottom"/>
            <w:shd w:val="clear" w:color="auto" w:fill="D5EEEE"/>
          </w:tcPr>
          <w:p>
            <w:pPr>
              <w:spacing w:after="0"/>
              <w:rPr>
                <w:sz w:val="16"/>
                <w:szCs w:val="16"/>
                <w:color w:val="auto"/>
              </w:rPr>
            </w:pPr>
          </w:p>
        </w:tc>
        <w:tc>
          <w:tcPr>
            <w:tcW w:w="100" w:type="dxa"/>
            <w:vAlign w:val="bottom"/>
            <w:tcBorders>
              <w:left w:val="single" w:sz="8" w:color="D5EEEE"/>
            </w:tcBorders>
            <w:shd w:val="clear" w:color="auto" w:fill="D5EEE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shd w:val="clear" w:color="auto" w:fill="D5EEEE"/>
          </w:tcPr>
          <w:p>
            <w:pPr>
              <w:jc w:val="right"/>
              <w:spacing w:after="0" w:line="188" w:lineRule="exact"/>
              <w:rPr>
                <w:sz w:val="20"/>
                <w:szCs w:val="20"/>
                <w:color w:val="auto"/>
              </w:rPr>
            </w:pPr>
            <w:r>
              <w:rPr>
                <w:rFonts w:ascii="Times New Roman" w:cs="Times New Roman" w:eastAsia="Times New Roman" w:hAnsi="Times New Roman"/>
                <w:sz w:val="18"/>
                <w:szCs w:val="18"/>
                <w:color w:val="auto"/>
                <w:w w:val="88"/>
                <w:shd w:val="clear" w:color="auto" w:fill="D5EEEE"/>
              </w:rPr>
              <w:t>$</w:t>
            </w:r>
          </w:p>
        </w:tc>
        <w:tc>
          <w:tcPr>
            <w:tcW w:w="20" w:type="dxa"/>
            <w:vAlign w:val="bottom"/>
          </w:tcPr>
          <w:p>
            <w:pPr>
              <w:spacing w:after="0"/>
              <w:rPr>
                <w:sz w:val="16"/>
                <w:szCs w:val="16"/>
                <w:color w:val="auto"/>
              </w:rPr>
            </w:pPr>
          </w:p>
        </w:tc>
        <w:tc>
          <w:tcPr>
            <w:tcW w:w="1540" w:type="dxa"/>
            <w:vAlign w:val="bottom"/>
            <w:shd w:val="clear" w:color="auto" w:fill="D5EEEE"/>
          </w:tcPr>
          <w:p>
            <w:pPr>
              <w:jc w:val="right"/>
              <w:spacing w:after="0" w:line="188" w:lineRule="exact"/>
              <w:rPr>
                <w:sz w:val="20"/>
                <w:szCs w:val="20"/>
                <w:color w:val="auto"/>
              </w:rPr>
            </w:pPr>
            <w:r>
              <w:rPr>
                <w:rFonts w:ascii="Times New Roman" w:cs="Times New Roman" w:eastAsia="Times New Roman" w:hAnsi="Times New Roman"/>
                <w:sz w:val="18"/>
                <w:szCs w:val="18"/>
                <w:color w:val="auto"/>
              </w:rPr>
              <w:t>10,163</w:t>
            </w:r>
          </w:p>
        </w:tc>
        <w:tc>
          <w:tcPr>
            <w:tcW w:w="20" w:type="dxa"/>
            <w:vAlign w:val="bottom"/>
            <w:shd w:val="clear" w:color="auto" w:fill="D5EEEE"/>
          </w:tcPr>
          <w:p>
            <w:pPr>
              <w:spacing w:after="0"/>
              <w:rPr>
                <w:sz w:val="16"/>
                <w:szCs w:val="16"/>
                <w:color w:val="auto"/>
              </w:rPr>
            </w:pPr>
          </w:p>
        </w:tc>
        <w:tc>
          <w:tcPr>
            <w:tcW w:w="80" w:type="dxa"/>
            <w:vAlign w:val="bottom"/>
            <w:shd w:val="clear" w:color="auto" w:fill="D5EEE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shd w:val="clear" w:color="auto" w:fill="D5EEEE"/>
          </w:tcPr>
          <w:p>
            <w:pPr>
              <w:jc w:val="right"/>
              <w:spacing w:after="0" w:line="188" w:lineRule="exact"/>
              <w:rPr>
                <w:sz w:val="20"/>
                <w:szCs w:val="20"/>
                <w:color w:val="auto"/>
              </w:rPr>
            </w:pPr>
            <w:r>
              <w:rPr>
                <w:rFonts w:ascii="Times New Roman" w:cs="Times New Roman" w:eastAsia="Times New Roman" w:hAnsi="Times New Roman"/>
                <w:sz w:val="18"/>
                <w:szCs w:val="18"/>
                <w:color w:val="auto"/>
              </w:rPr>
              <w:t>3,793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shd w:val="clear" w:color="auto" w:fill="D5EEE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tcPr>
          <w:p>
            <w:pPr>
              <w:jc w:val="right"/>
              <w:spacing w:after="0" w:line="188"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1"/>
        </w:trPr>
        <w:tc>
          <w:tcPr>
            <w:tcW w:w="3420" w:type="dxa"/>
            <w:vAlign w:val="bottom"/>
            <w:tcBorders>
              <w:bottom w:val="single" w:sz="8" w:color="D5EEEE"/>
            </w:tcBorders>
          </w:tcPr>
          <w:p>
            <w:pPr>
              <w:ind w:left="28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Borders>
              <w:bottom w:val="single" w:sz="8" w:color="D5EEEE"/>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120" w:type="dxa"/>
            <w:vAlign w:val="bottom"/>
            <w:tcBorders>
              <w:bottom w:val="single" w:sz="8" w:color="D5EEEE"/>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140" w:type="dxa"/>
            <w:vAlign w:val="bottom"/>
            <w:tcBorders>
              <w:bottom w:val="single" w:sz="8" w:color="D5EEEE"/>
            </w:tcBorders>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D5EEEE"/>
            </w:tcBorders>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68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bottom w:val="single" w:sz="8" w:color="D5EEEE"/>
            </w:tcBorders>
          </w:tcPr>
          <w:p>
            <w:pPr>
              <w:spacing w:after="0"/>
              <w:rPr>
                <w:sz w:val="20"/>
                <w:szCs w:val="20"/>
                <w:color w:val="auto"/>
              </w:rPr>
            </w:pPr>
          </w:p>
        </w:tc>
        <w:tc>
          <w:tcPr>
            <w:tcW w:w="22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highlight w:val="white"/>
                <w:w w:val="79"/>
              </w:rPr>
              <w:t>%</w:t>
            </w:r>
          </w:p>
        </w:tc>
        <w:tc>
          <w:tcPr>
            <w:tcW w:w="0" w:type="dxa"/>
            <w:vAlign w:val="bottom"/>
          </w:tcPr>
          <w:p>
            <w:pPr>
              <w:spacing w:after="0"/>
              <w:rPr>
                <w:sz w:val="1"/>
                <w:szCs w:val="1"/>
                <w:color w:val="auto"/>
              </w:rPr>
            </w:pPr>
          </w:p>
        </w:tc>
      </w:tr>
      <w:tr>
        <w:trPr>
          <w:trHeight w:val="188"/>
        </w:trPr>
        <w:tc>
          <w:tcPr>
            <w:tcW w:w="3420" w:type="dxa"/>
            <w:vAlign w:val="bottom"/>
            <w:tcBorders>
              <w:top w:val="single" w:sz="8" w:color="D5EEEE"/>
            </w:tcBorders>
            <w:shd w:val="clear" w:color="auto" w:fill="D5EEEE"/>
          </w:tcPr>
          <w:p>
            <w:pPr>
              <w:ind w:left="280"/>
              <w:spacing w:after="0" w:line="188" w:lineRule="exact"/>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D5EEEE"/>
            </w:tcBorders>
            <w:shd w:val="clear" w:color="auto" w:fill="D5EEE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00" w:type="dxa"/>
            <w:vAlign w:val="bottom"/>
            <w:tcBorders>
              <w:top w:val="single" w:sz="8" w:color="D5EEEE"/>
            </w:tcBorders>
            <w:shd w:val="clear" w:color="auto" w:fill="D5EEEE"/>
          </w:tcPr>
          <w:p>
            <w:pPr>
              <w:jc w:val="right"/>
              <w:spacing w:after="0" w:line="188" w:lineRule="exact"/>
              <w:rPr>
                <w:sz w:val="20"/>
                <w:szCs w:val="20"/>
                <w:color w:val="auto"/>
              </w:rPr>
            </w:pPr>
            <w:r>
              <w:rPr>
                <w:rFonts w:ascii="Times New Roman" w:cs="Times New Roman" w:eastAsia="Times New Roman" w:hAnsi="Times New Roman"/>
                <w:sz w:val="18"/>
                <w:szCs w:val="18"/>
                <w:color w:val="auto"/>
              </w:rPr>
              <w:t>12,051</w:t>
            </w:r>
          </w:p>
        </w:tc>
        <w:tc>
          <w:tcPr>
            <w:tcW w:w="20" w:type="dxa"/>
            <w:vAlign w:val="bottom"/>
            <w:tcBorders>
              <w:top w:val="single" w:sz="8" w:color="D5EEEE"/>
            </w:tcBorders>
          </w:tcPr>
          <w:p>
            <w:pPr>
              <w:spacing w:after="0"/>
              <w:rPr>
                <w:sz w:val="16"/>
                <w:szCs w:val="16"/>
                <w:color w:val="auto"/>
              </w:rPr>
            </w:pPr>
          </w:p>
        </w:tc>
        <w:tc>
          <w:tcPr>
            <w:tcW w:w="100" w:type="dxa"/>
            <w:vAlign w:val="bottom"/>
            <w:tcBorders>
              <w:top w:val="single" w:sz="8" w:color="D5EEEE"/>
              <w:left w:val="single" w:sz="8" w:color="D5EEEE"/>
            </w:tcBorders>
            <w:shd w:val="clear" w:color="auto" w:fill="D5EEEE"/>
          </w:tcPr>
          <w:p>
            <w:pPr>
              <w:spacing w:after="0"/>
              <w:rPr>
                <w:sz w:val="16"/>
                <w:szCs w:val="16"/>
                <w:color w:val="auto"/>
              </w:rPr>
            </w:pPr>
          </w:p>
        </w:tc>
        <w:tc>
          <w:tcPr>
            <w:tcW w:w="120" w:type="dxa"/>
            <w:vAlign w:val="bottom"/>
            <w:tcBorders>
              <w:top w:val="single" w:sz="8" w:color="D5EEEE"/>
            </w:tcBorders>
          </w:tcPr>
          <w:p>
            <w:pPr>
              <w:spacing w:after="0"/>
              <w:rPr>
                <w:sz w:val="16"/>
                <w:szCs w:val="16"/>
                <w:color w:val="auto"/>
              </w:rPr>
            </w:pPr>
          </w:p>
        </w:tc>
        <w:tc>
          <w:tcPr>
            <w:tcW w:w="100" w:type="dxa"/>
            <w:vAlign w:val="bottom"/>
            <w:tcBorders>
              <w:top w:val="single" w:sz="8" w:color="D5EEEE"/>
            </w:tcBorders>
          </w:tcPr>
          <w:p>
            <w:pPr>
              <w:spacing w:after="0"/>
              <w:rPr>
                <w:sz w:val="16"/>
                <w:szCs w:val="16"/>
                <w:color w:val="auto"/>
              </w:rPr>
            </w:pPr>
          </w:p>
        </w:tc>
        <w:tc>
          <w:tcPr>
            <w:tcW w:w="20" w:type="dxa"/>
            <w:vAlign w:val="bottom"/>
            <w:tcBorders>
              <w:top w:val="single" w:sz="8" w:color="D5EEEE"/>
            </w:tcBorders>
          </w:tcPr>
          <w:p>
            <w:pPr>
              <w:spacing w:after="0"/>
              <w:rPr>
                <w:sz w:val="16"/>
                <w:szCs w:val="16"/>
                <w:color w:val="auto"/>
              </w:rPr>
            </w:pPr>
          </w:p>
        </w:tc>
        <w:tc>
          <w:tcPr>
            <w:tcW w:w="1540" w:type="dxa"/>
            <w:vAlign w:val="bottom"/>
            <w:tcBorders>
              <w:top w:val="single" w:sz="8" w:color="D5EEEE"/>
            </w:tcBorders>
            <w:shd w:val="clear" w:color="auto" w:fill="D5EEEE"/>
          </w:tcPr>
          <w:p>
            <w:pPr>
              <w:jc w:val="right"/>
              <w:spacing w:after="0" w:line="188" w:lineRule="exact"/>
              <w:rPr>
                <w:sz w:val="20"/>
                <w:szCs w:val="20"/>
                <w:color w:val="auto"/>
              </w:rPr>
            </w:pPr>
            <w:r>
              <w:rPr>
                <w:rFonts w:ascii="Times New Roman" w:cs="Times New Roman" w:eastAsia="Times New Roman" w:hAnsi="Times New Roman"/>
                <w:sz w:val="18"/>
                <w:szCs w:val="18"/>
                <w:color w:val="auto"/>
              </w:rPr>
              <w:t>8,413</w:t>
            </w:r>
          </w:p>
        </w:tc>
        <w:tc>
          <w:tcPr>
            <w:tcW w:w="20" w:type="dxa"/>
            <w:vAlign w:val="bottom"/>
            <w:tcBorders>
              <w:top w:val="single" w:sz="8" w:color="D5EEEE"/>
            </w:tcBorders>
          </w:tcPr>
          <w:p>
            <w:pPr>
              <w:spacing w:after="0"/>
              <w:rPr>
                <w:sz w:val="16"/>
                <w:szCs w:val="16"/>
                <w:color w:val="auto"/>
              </w:rPr>
            </w:pPr>
          </w:p>
        </w:tc>
        <w:tc>
          <w:tcPr>
            <w:tcW w:w="80" w:type="dxa"/>
            <w:vAlign w:val="bottom"/>
            <w:tcBorders>
              <w:top w:val="single" w:sz="8" w:color="D5EEEE"/>
            </w:tcBorders>
            <w:shd w:val="clear" w:color="auto" w:fill="D5EEEE"/>
          </w:tcPr>
          <w:p>
            <w:pPr>
              <w:spacing w:after="0"/>
              <w:rPr>
                <w:sz w:val="16"/>
                <w:szCs w:val="16"/>
                <w:color w:val="auto"/>
              </w:rPr>
            </w:pPr>
          </w:p>
        </w:tc>
        <w:tc>
          <w:tcPr>
            <w:tcW w:w="220" w:type="dxa"/>
            <w:vAlign w:val="bottom"/>
            <w:tcBorders>
              <w:top w:val="single" w:sz="8" w:color="D5EEEE"/>
            </w:tcBorders>
            <w:gridSpan w:val="2"/>
          </w:tcPr>
          <w:p>
            <w:pPr>
              <w:spacing w:after="0"/>
              <w:rPr>
                <w:sz w:val="16"/>
                <w:szCs w:val="16"/>
                <w:color w:val="auto"/>
              </w:rPr>
            </w:pPr>
          </w:p>
        </w:tc>
        <w:tc>
          <w:tcPr>
            <w:tcW w:w="700" w:type="dxa"/>
            <w:vAlign w:val="bottom"/>
            <w:gridSpan w:val="2"/>
            <w:shd w:val="clear" w:color="auto" w:fill="D5EEEE"/>
          </w:tcPr>
          <w:p>
            <w:pPr>
              <w:jc w:val="right"/>
              <w:spacing w:after="0" w:line="188" w:lineRule="exact"/>
              <w:rPr>
                <w:sz w:val="20"/>
                <w:szCs w:val="20"/>
                <w:color w:val="auto"/>
              </w:rPr>
            </w:pPr>
            <w:r>
              <w:rPr>
                <w:rFonts w:ascii="Times New Roman" w:cs="Times New Roman" w:eastAsia="Times New Roman" w:hAnsi="Times New Roman"/>
                <w:sz w:val="18"/>
                <w:szCs w:val="18"/>
                <w:color w:val="auto"/>
              </w:rPr>
              <w:t>3,638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top w:val="single" w:sz="8" w:color="D5EEEE"/>
            </w:tcBorders>
            <w:shd w:val="clear" w:color="auto" w:fill="D5EEEE"/>
          </w:tcPr>
          <w:p>
            <w:pPr>
              <w:spacing w:after="0"/>
              <w:rPr>
                <w:sz w:val="16"/>
                <w:szCs w:val="16"/>
                <w:color w:val="auto"/>
              </w:rPr>
            </w:pPr>
          </w:p>
        </w:tc>
        <w:tc>
          <w:tcPr>
            <w:tcW w:w="220" w:type="dxa"/>
            <w:vAlign w:val="bottom"/>
            <w:tcBorders>
              <w:top w:val="single" w:sz="8" w:color="D5EEEE"/>
            </w:tcBorders>
            <w:gridSpan w:val="2"/>
          </w:tcPr>
          <w:p>
            <w:pPr>
              <w:spacing w:after="0"/>
              <w:rPr>
                <w:sz w:val="16"/>
                <w:szCs w:val="16"/>
                <w:color w:val="auto"/>
              </w:rPr>
            </w:pPr>
          </w:p>
        </w:tc>
        <w:tc>
          <w:tcPr>
            <w:tcW w:w="920" w:type="dxa"/>
            <w:vAlign w:val="bottom"/>
            <w:tcBorders>
              <w:top w:val="single" w:sz="8" w:color="D5EEEE"/>
            </w:tcBorders>
            <w:gridSpan w:val="3"/>
          </w:tcPr>
          <w:p>
            <w:pPr>
              <w:jc w:val="right"/>
              <w:spacing w:after="0" w:line="188"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6"/>
        </w:trPr>
        <w:tc>
          <w:tcPr>
            <w:tcW w:w="342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8"/>
                <w:szCs w:val="18"/>
                <w:color w:val="auto"/>
              </w:rPr>
              <w:t>BARDA income</w:t>
            </w:r>
          </w:p>
        </w:tc>
        <w:tc>
          <w:tcPr>
            <w:tcW w:w="140" w:type="dxa"/>
            <w:vAlign w:val="bottom"/>
            <w:tcBorders>
              <w:bottom w:val="single" w:sz="8" w:color="D5EEEE"/>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0" w:type="dxa"/>
            <w:vAlign w:val="bottom"/>
            <w:tcBorders>
              <w:top w:val="single" w:sz="8" w:color="auto"/>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120" w:type="dxa"/>
            <w:vAlign w:val="bottom"/>
            <w:tcBorders>
              <w:bottom w:val="single" w:sz="8" w:color="D5EEEE"/>
            </w:tcBorders>
          </w:tcPr>
          <w:p>
            <w:pPr>
              <w:spacing w:after="0"/>
              <w:rPr>
                <w:sz w:val="17"/>
                <w:szCs w:val="17"/>
                <w:color w:val="auto"/>
              </w:rPr>
            </w:pPr>
          </w:p>
        </w:tc>
        <w:tc>
          <w:tcPr>
            <w:tcW w:w="100" w:type="dxa"/>
            <w:vAlign w:val="bottom"/>
            <w:tcBorders>
              <w:top w:val="single" w:sz="8" w:color="auto"/>
              <w:bottom w:val="single" w:sz="8" w:color="D5EEEE"/>
            </w:tcBorders>
          </w:tcPr>
          <w:p>
            <w:pPr>
              <w:spacing w:after="0"/>
              <w:rPr>
                <w:sz w:val="17"/>
                <w:szCs w:val="17"/>
                <w:color w:val="auto"/>
              </w:rPr>
            </w:pPr>
          </w:p>
        </w:tc>
        <w:tc>
          <w:tcPr>
            <w:tcW w:w="20" w:type="dxa"/>
            <w:vAlign w:val="bottom"/>
            <w:tcBorders>
              <w:top w:val="single" w:sz="8" w:color="auto"/>
              <w:bottom w:val="single" w:sz="8" w:color="D5EEEE"/>
            </w:tcBorders>
          </w:tcPr>
          <w:p>
            <w:pPr>
              <w:spacing w:after="0"/>
              <w:rPr>
                <w:sz w:val="17"/>
                <w:szCs w:val="17"/>
                <w:color w:val="auto"/>
              </w:rPr>
            </w:pPr>
          </w:p>
        </w:tc>
        <w:tc>
          <w:tcPr>
            <w:tcW w:w="1540" w:type="dxa"/>
            <w:vAlign w:val="bottom"/>
            <w:tcBorders>
              <w:top w:val="single" w:sz="8" w:color="auto"/>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0" w:type="dxa"/>
            <w:vAlign w:val="bottom"/>
            <w:tcBorders>
              <w:top w:val="single" w:sz="8" w:color="auto"/>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20" w:type="dxa"/>
            <w:vAlign w:val="bottom"/>
            <w:tcBorders>
              <w:bottom w:val="single" w:sz="8" w:color="D5EEEE"/>
            </w:tcBorders>
            <w:gridSpan w:val="2"/>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4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68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Borders>
              <w:bottom w:val="single" w:sz="8" w:color="D5EEEE"/>
            </w:tcBorders>
          </w:tcPr>
          <w:p>
            <w:pPr>
              <w:spacing w:after="0"/>
              <w:rPr>
                <w:sz w:val="17"/>
                <w:szCs w:val="17"/>
                <w:color w:val="auto"/>
              </w:rPr>
            </w:pPr>
          </w:p>
        </w:tc>
        <w:tc>
          <w:tcPr>
            <w:tcW w:w="22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420" w:type="dxa"/>
            <w:vAlign w:val="bottom"/>
            <w:shd w:val="clear" w:color="auto" w:fill="D5EEEE"/>
          </w:tcPr>
          <w:p>
            <w:pPr>
              <w:spacing w:after="0"/>
              <w:rPr>
                <w:sz w:val="17"/>
                <w:szCs w:val="17"/>
                <w:color w:val="auto"/>
              </w:rPr>
            </w:pPr>
          </w:p>
        </w:tc>
        <w:tc>
          <w:tcPr>
            <w:tcW w:w="140" w:type="dxa"/>
            <w:vAlign w:val="bottom"/>
            <w:shd w:val="clear" w:color="auto" w:fill="D5EEE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190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15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vMerge w:val="restart"/>
          </w:tcPr>
          <w:p>
            <w:pPr>
              <w:spacing w:after="0"/>
              <w:rPr>
                <w:sz w:val="17"/>
                <w:szCs w:val="17"/>
                <w:color w:val="auto"/>
              </w:rPr>
            </w:pPr>
          </w:p>
        </w:tc>
        <w:tc>
          <w:tcPr>
            <w:tcW w:w="700" w:type="dxa"/>
            <w:vAlign w:val="bottom"/>
            <w:gridSpan w:val="2"/>
            <w:vMerge w:val="restart"/>
          </w:tcPr>
          <w:p>
            <w:pPr>
              <w:spacing w:after="0"/>
              <w:rPr>
                <w:sz w:val="17"/>
                <w:szCs w:val="17"/>
                <w:color w:val="auto"/>
              </w:rPr>
            </w:pPr>
          </w:p>
        </w:tc>
        <w:tc>
          <w:tcPr>
            <w:tcW w:w="40" w:type="dxa"/>
            <w:vAlign w:val="bottom"/>
            <w:gridSpan w:val="2"/>
            <w:vMerge w:val="restart"/>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vMerge w:val="restart"/>
          </w:tcPr>
          <w:p>
            <w:pPr>
              <w:spacing w:after="0"/>
              <w:rPr>
                <w:sz w:val="17"/>
                <w:szCs w:val="17"/>
                <w:color w:val="auto"/>
              </w:rPr>
            </w:pPr>
          </w:p>
        </w:tc>
        <w:tc>
          <w:tcPr>
            <w:tcW w:w="70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9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60" w:type="dxa"/>
            <w:vAlign w:val="bottom"/>
            <w:vMerge w:val="restart"/>
          </w:tcPr>
          <w:p>
            <w:pPr>
              <w:jc w:val="right"/>
              <w:ind w:right="35"/>
              <w:spacing w:after="0"/>
              <w:rPr>
                <w:sz w:val="20"/>
                <w:szCs w:val="20"/>
                <w:color w:val="auto"/>
              </w:rPr>
            </w:pPr>
            <w:r>
              <w:rPr>
                <w:rFonts w:ascii="Times New Roman" w:cs="Times New Roman" w:eastAsia="Times New Roman" w:hAnsi="Times New Roman"/>
                <w:sz w:val="1"/>
                <w:szCs w:val="1"/>
                <w:color w:val="auto"/>
                <w:highlight w:val="white"/>
                <w:w w:val="4294967281"/>
              </w:rPr>
              <w:t>)</w:t>
            </w:r>
          </w:p>
        </w:tc>
        <w:tc>
          <w:tcPr>
            <w:tcW w:w="140" w:type="dxa"/>
            <w:vAlign w:val="bottom"/>
            <w:vMerge w:val="restart"/>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line="20" w:lineRule="exact"/>
              <w:rPr>
                <w:sz w:val="1"/>
                <w:szCs w:val="1"/>
                <w:color w:val="auto"/>
              </w:rPr>
            </w:pPr>
          </w:p>
        </w:tc>
      </w:tr>
      <w:tr>
        <w:trPr>
          <w:trHeight w:val="201"/>
        </w:trPr>
        <w:tc>
          <w:tcPr>
            <w:tcW w:w="3420" w:type="dxa"/>
            <w:vAlign w:val="bottom"/>
            <w:tcBorders>
              <w:bottom w:val="single" w:sz="8" w:color="D5EEEE"/>
            </w:tcBorders>
            <w:vMerge w:val="continue"/>
          </w:tcPr>
          <w:p>
            <w:pPr>
              <w:spacing w:after="0"/>
              <w:rPr>
                <w:sz w:val="17"/>
                <w:szCs w:val="17"/>
                <w:color w:val="auto"/>
              </w:rPr>
            </w:pPr>
          </w:p>
        </w:tc>
        <w:tc>
          <w:tcPr>
            <w:tcW w:w="140" w:type="dxa"/>
            <w:vAlign w:val="bottom"/>
            <w:tcBorders>
              <w:bottom w:val="single" w:sz="8" w:color="D5EEEE"/>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19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(8,472)</w:t>
            </w:r>
          </w:p>
        </w:tc>
        <w:tc>
          <w:tcPr>
            <w:tcW w:w="20" w:type="dxa"/>
            <w:vAlign w:val="bottom"/>
            <w:vMerge w:val="continue"/>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12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vMerge w:val="continue"/>
          </w:tcPr>
          <w:p>
            <w:pPr>
              <w:spacing w:after="0"/>
              <w:rPr>
                <w:sz w:val="17"/>
                <w:szCs w:val="17"/>
                <w:color w:val="auto"/>
              </w:rPr>
            </w:pPr>
          </w:p>
        </w:tc>
        <w:tc>
          <w:tcPr>
            <w:tcW w:w="1540" w:type="dxa"/>
            <w:vAlign w:val="bottom"/>
            <w:tcBorders>
              <w:bottom w:val="single" w:sz="8" w:color="D5EEEE"/>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(6,865)</w:t>
            </w:r>
          </w:p>
        </w:tc>
        <w:tc>
          <w:tcPr>
            <w:tcW w:w="20" w:type="dxa"/>
            <w:vAlign w:val="bottom"/>
            <w:tcBorders>
              <w:bottom w:val="single" w:sz="8" w:color="D5EEEE"/>
            </w:tcBorders>
            <w:vMerge w:val="continue"/>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140" w:type="dxa"/>
            <w:vAlign w:val="bottom"/>
            <w:tcBorders>
              <w:bottom w:val="single" w:sz="8" w:color="D5EEEE"/>
            </w:tcBorders>
            <w:vMerge w:val="continue"/>
          </w:tcPr>
          <w:p>
            <w:pPr>
              <w:spacing w:after="0"/>
              <w:rPr>
                <w:sz w:val="17"/>
                <w:szCs w:val="17"/>
                <w:color w:val="auto"/>
              </w:rPr>
            </w:pPr>
          </w:p>
        </w:tc>
        <w:tc>
          <w:tcPr>
            <w:tcW w:w="80" w:type="dxa"/>
            <w:vAlign w:val="bottom"/>
            <w:tcBorders>
              <w:bottom w:val="single" w:sz="8" w:color="D5EEEE"/>
            </w:tcBorders>
            <w:vMerge w:val="continue"/>
          </w:tcPr>
          <w:p>
            <w:pPr>
              <w:spacing w:after="0"/>
              <w:rPr>
                <w:sz w:val="17"/>
                <w:szCs w:val="17"/>
                <w:color w:val="auto"/>
              </w:rPr>
            </w:pPr>
          </w:p>
        </w:tc>
        <w:tc>
          <w:tcPr>
            <w:tcW w:w="70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(1,607</w:t>
            </w:r>
          </w:p>
        </w:tc>
        <w:tc>
          <w:tcPr>
            <w:tcW w:w="40" w:type="dxa"/>
            <w:vAlign w:val="bottom"/>
            <w:gridSpan w:val="2"/>
            <w:vMerge w:val="continue"/>
          </w:tcPr>
          <w:p>
            <w:pPr>
              <w:spacing w:after="0"/>
              <w:rPr>
                <w:sz w:val="17"/>
                <w:szCs w:val="17"/>
                <w:color w:val="auto"/>
              </w:rPr>
            </w:pPr>
          </w:p>
        </w:tc>
        <w:tc>
          <w:tcPr>
            <w:tcW w:w="60" w:type="dxa"/>
            <w:vAlign w:val="bottom"/>
            <w:tcBorders>
              <w:bottom w:val="single" w:sz="8" w:color="D5EEEE"/>
            </w:tcBorders>
            <w:vMerge w:val="continue"/>
          </w:tcPr>
          <w:p>
            <w:pPr>
              <w:spacing w:after="0"/>
              <w:rPr>
                <w:sz w:val="17"/>
                <w:szCs w:val="17"/>
                <w:color w:val="auto"/>
              </w:rPr>
            </w:pPr>
          </w:p>
        </w:tc>
        <w:tc>
          <w:tcPr>
            <w:tcW w:w="140" w:type="dxa"/>
            <w:vAlign w:val="bottom"/>
            <w:tcBorders>
              <w:bottom w:val="single" w:sz="8" w:color="D5EEEE"/>
            </w:tcBorders>
            <w:vMerge w:val="continue"/>
          </w:tcPr>
          <w:p>
            <w:pPr>
              <w:spacing w:after="0"/>
              <w:rPr>
                <w:sz w:val="17"/>
                <w:szCs w:val="17"/>
                <w:color w:val="auto"/>
              </w:rPr>
            </w:pPr>
          </w:p>
        </w:tc>
        <w:tc>
          <w:tcPr>
            <w:tcW w:w="80" w:type="dxa"/>
            <w:vAlign w:val="bottom"/>
            <w:tcBorders>
              <w:bottom w:val="single" w:sz="8" w:color="D5EEEE"/>
            </w:tcBorders>
            <w:vMerge w:val="continue"/>
          </w:tcPr>
          <w:p>
            <w:pPr>
              <w:spacing w:after="0"/>
              <w:rPr>
                <w:sz w:val="17"/>
                <w:szCs w:val="17"/>
                <w:color w:val="auto"/>
              </w:rPr>
            </w:pPr>
          </w:p>
        </w:tc>
        <w:tc>
          <w:tcPr>
            <w:tcW w:w="920" w:type="dxa"/>
            <w:vAlign w:val="bottom"/>
            <w:tcBorders>
              <w:bottom w:val="single" w:sz="8" w:color="D5EEEE"/>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D5EEEE"/>
          </w:tcPr>
          <w:p>
            <w:pPr>
              <w:ind w:left="540"/>
              <w:spacing w:after="0" w:line="203" w:lineRule="exact"/>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shd w:val="clear" w:color="auto" w:fill="D5EEE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(10,996)</w:t>
            </w:r>
          </w:p>
        </w:tc>
        <w:tc>
          <w:tcPr>
            <w:tcW w:w="20" w:type="dxa"/>
            <w:vAlign w:val="bottom"/>
          </w:tcPr>
          <w:p>
            <w:pPr>
              <w:spacing w:after="0"/>
              <w:rPr>
                <w:sz w:val="17"/>
                <w:szCs w:val="17"/>
                <w:color w:val="auto"/>
              </w:rPr>
            </w:pPr>
          </w:p>
        </w:tc>
        <w:tc>
          <w:tcPr>
            <w:tcW w:w="100" w:type="dxa"/>
            <w:vAlign w:val="bottom"/>
            <w:tcBorders>
              <w:left w:val="single" w:sz="8" w:color="D5EEEE"/>
            </w:tcBorders>
            <w:shd w:val="clear" w:color="auto" w:fill="D5EEEE"/>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(11,703)</w:t>
            </w:r>
          </w:p>
        </w:tc>
        <w:tc>
          <w:tcPr>
            <w:tcW w:w="20" w:type="dxa"/>
            <w:vAlign w:val="bottom"/>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140" w:type="dxa"/>
            <w:vAlign w:val="bottom"/>
            <w:shd w:val="clear" w:color="auto" w:fill="D5EEEE"/>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707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shd w:val="clear" w:color="auto" w:fill="D5EEE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1"/>
        </w:trPr>
        <w:tc>
          <w:tcPr>
            <w:tcW w:w="3420" w:type="dxa"/>
            <w:vAlign w:val="bottom"/>
            <w:tcBorders>
              <w:bottom w:val="single" w:sz="8" w:color="D5EEEE"/>
            </w:tcBorders>
          </w:tcPr>
          <w:p>
            <w:pPr>
              <w:ind w:left="5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tcBorders>
              <w:bottom w:val="single" w:sz="8" w:color="D5EEEE"/>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120" w:type="dxa"/>
            <w:vAlign w:val="bottom"/>
            <w:tcBorders>
              <w:bottom w:val="single" w:sz="8" w:color="D5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14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D5EEEE"/>
            </w:tcBorders>
          </w:tcPr>
          <w:p>
            <w:pPr>
              <w:spacing w:after="0"/>
              <w:rPr>
                <w:sz w:val="19"/>
                <w:szCs w:val="19"/>
                <w:color w:val="auto"/>
              </w:rPr>
            </w:pPr>
          </w:p>
        </w:tc>
        <w:tc>
          <w:tcPr>
            <w:tcW w:w="14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920" w:type="dxa"/>
            <w:vAlign w:val="bottom"/>
            <w:tcBorders>
              <w:bottom w:val="single" w:sz="8" w:color="D5EEEE"/>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8"/>
        </w:trPr>
        <w:tc>
          <w:tcPr>
            <w:tcW w:w="342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shd w:val="clear" w:color="auto" w:fill="D5EEE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(27,054)</w:t>
            </w:r>
          </w:p>
        </w:tc>
        <w:tc>
          <w:tcPr>
            <w:tcW w:w="20" w:type="dxa"/>
            <w:vAlign w:val="bottom"/>
            <w:tcBorders>
              <w:bottom w:val="single" w:sz="8" w:color="auto"/>
            </w:tcBorders>
          </w:tcPr>
          <w:p>
            <w:pPr>
              <w:spacing w:after="0"/>
              <w:rPr>
                <w:sz w:val="18"/>
                <w:szCs w:val="18"/>
                <w:color w:val="auto"/>
              </w:rPr>
            </w:pPr>
          </w:p>
        </w:tc>
        <w:tc>
          <w:tcPr>
            <w:tcW w:w="100" w:type="dxa"/>
            <w:vAlign w:val="bottom"/>
            <w:tcBorders>
              <w:left w:val="single" w:sz="8" w:color="D5EEEE"/>
            </w:tcBorders>
            <w:shd w:val="clear" w:color="auto" w:fill="D5EEEE"/>
          </w:tcPr>
          <w:p>
            <w:pPr>
              <w:spacing w:after="0"/>
              <w:rPr>
                <w:sz w:val="18"/>
                <w:szCs w:val="18"/>
                <w:color w:val="auto"/>
              </w:rPr>
            </w:pPr>
          </w:p>
        </w:tc>
        <w:tc>
          <w:tcPr>
            <w:tcW w:w="120" w:type="dxa"/>
            <w:vAlign w:val="bottom"/>
            <w:shd w:val="clear" w:color="auto" w:fill="D5EEE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(25,303)</w:t>
            </w:r>
          </w:p>
        </w:tc>
        <w:tc>
          <w:tcPr>
            <w:tcW w:w="20" w:type="dxa"/>
            <w:vAlign w:val="bottom"/>
            <w:tcBorders>
              <w:bottom w:val="single" w:sz="8" w:color="auto"/>
            </w:tcBorders>
          </w:tcPr>
          <w:p>
            <w:pPr>
              <w:spacing w:after="0"/>
              <w:rPr>
                <w:sz w:val="18"/>
                <w:szCs w:val="18"/>
                <w:color w:val="auto"/>
              </w:rPr>
            </w:pPr>
          </w:p>
        </w:tc>
        <w:tc>
          <w:tcPr>
            <w:tcW w:w="80" w:type="dxa"/>
            <w:vAlign w:val="bottom"/>
            <w:shd w:val="clear" w:color="auto" w:fill="D5EEEE"/>
          </w:tcPr>
          <w:p>
            <w:pPr>
              <w:spacing w:after="0"/>
              <w:rPr>
                <w:sz w:val="18"/>
                <w:szCs w:val="18"/>
                <w:color w:val="auto"/>
              </w:rPr>
            </w:pPr>
          </w:p>
        </w:tc>
        <w:tc>
          <w:tcPr>
            <w:tcW w:w="140" w:type="dxa"/>
            <w:vAlign w:val="bottom"/>
            <w:shd w:val="clear" w:color="auto" w:fill="D5EEE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40" w:type="dxa"/>
            <w:vAlign w:val="bottom"/>
            <w:gridSpan w:val="2"/>
          </w:tcPr>
          <w:p>
            <w:pPr>
              <w:spacing w:after="0"/>
              <w:rPr>
                <w:sz w:val="18"/>
                <w:szCs w:val="18"/>
                <w:color w:val="auto"/>
              </w:rPr>
            </w:pPr>
          </w:p>
        </w:tc>
        <w:tc>
          <w:tcPr>
            <w:tcW w:w="60" w:type="dxa"/>
            <w:vAlign w:val="bottom"/>
            <w:shd w:val="clear" w:color="auto" w:fill="D5EEEE"/>
          </w:tcPr>
          <w:p>
            <w:pPr>
              <w:jc w:val="right"/>
              <w:ind w:right="35"/>
              <w:spacing w:after="0"/>
              <w:rPr>
                <w:sz w:val="20"/>
                <w:szCs w:val="20"/>
                <w:color w:val="auto"/>
              </w:rPr>
            </w:pPr>
            <w:r>
              <w:rPr>
                <w:rFonts w:ascii="Times New Roman" w:cs="Times New Roman" w:eastAsia="Times New Roman" w:hAnsi="Times New Roman"/>
                <w:sz w:val="1"/>
                <w:szCs w:val="1"/>
                <w:color w:val="auto"/>
                <w:w w:val="4294967281"/>
                <w:shd w:val="clear" w:color="auto" w:fill="D5EEEE"/>
              </w:rPr>
              <w:t>)</w:t>
            </w:r>
          </w:p>
        </w:tc>
        <w:tc>
          <w:tcPr>
            <w:tcW w:w="140" w:type="dxa"/>
            <w:vAlign w:val="bottom"/>
            <w:shd w:val="clear" w:color="auto" w:fill="D5EEEE"/>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2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w w:val="79"/>
                <w:shd w:val="clear" w:color="auto" w:fill="D5EEEE"/>
              </w:rPr>
              <w:t>%</w:t>
            </w:r>
          </w:p>
        </w:tc>
        <w:tc>
          <w:tcPr>
            <w:tcW w:w="0" w:type="dxa"/>
            <w:vAlign w:val="bottom"/>
          </w:tcPr>
          <w:p>
            <w:pPr>
              <w:spacing w:after="0"/>
              <w:rPr>
                <w:sz w:val="1"/>
                <w:szCs w:val="1"/>
                <w:color w:val="auto"/>
              </w:rPr>
            </w:pPr>
          </w:p>
        </w:tc>
      </w:tr>
      <w:tr>
        <w:trPr>
          <w:trHeight w:val="206"/>
        </w:trPr>
        <w:tc>
          <w:tcPr>
            <w:tcW w:w="3420" w:type="dxa"/>
            <w:vAlign w:val="bottom"/>
            <w:tcBorders>
              <w:bottom w:val="single" w:sz="8" w:color="D5EEEE"/>
            </w:tcBorders>
          </w:tcPr>
          <w:p>
            <w:pPr>
              <w:spacing w:after="0" w:line="206" w:lineRule="exact"/>
              <w:rPr>
                <w:sz w:val="20"/>
                <w:szCs w:val="20"/>
                <w:color w:val="auto"/>
              </w:rPr>
            </w:pPr>
            <w:r>
              <w:rPr>
                <w:rFonts w:ascii="Times New Roman" w:cs="Times New Roman" w:eastAsia="Times New Roman" w:hAnsi="Times New Roman"/>
                <w:sz w:val="18"/>
                <w:szCs w:val="18"/>
                <w:color w:val="auto"/>
              </w:rPr>
              <w:t>Operating loss</w:t>
            </w:r>
          </w:p>
        </w:tc>
        <w:tc>
          <w:tcPr>
            <w:tcW w:w="140" w:type="dxa"/>
            <w:vAlign w:val="bottom"/>
            <w:tcBorders>
              <w:bottom w:val="single" w:sz="8" w:color="D5EE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(14,423)</w:t>
            </w:r>
          </w:p>
        </w:tc>
        <w:tc>
          <w:tcPr>
            <w:tcW w:w="20" w:type="dxa"/>
            <w:vAlign w:val="bottom"/>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12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540" w:type="dxa"/>
            <w:vAlign w:val="bottom"/>
            <w:tcBorders>
              <w:bottom w:val="single" w:sz="8" w:color="D5EEEE"/>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(15,845)</w:t>
            </w:r>
          </w:p>
        </w:tc>
        <w:tc>
          <w:tcPr>
            <w:tcW w:w="2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14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70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1,422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bottom w:val="single" w:sz="8" w:color="D5EEEE"/>
            </w:tcBorders>
            <w:gridSpan w:val="2"/>
          </w:tcPr>
          <w:p>
            <w:pPr>
              <w:spacing w:after="0"/>
              <w:rPr>
                <w:sz w:val="17"/>
                <w:szCs w:val="17"/>
                <w:color w:val="auto"/>
              </w:rPr>
            </w:pPr>
          </w:p>
        </w:tc>
        <w:tc>
          <w:tcPr>
            <w:tcW w:w="920" w:type="dxa"/>
            <w:vAlign w:val="bottom"/>
            <w:tcBorders>
              <w:bottom w:val="single" w:sz="8" w:color="D5EEEE"/>
            </w:tcBorders>
            <w:gridSpan w:val="3"/>
          </w:tcPr>
          <w:p>
            <w:pPr>
              <w:jc w:val="right"/>
              <w:spacing w:after="0" w:line="20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3"/>
        </w:trPr>
        <w:tc>
          <w:tcPr>
            <w:tcW w:w="3420" w:type="dxa"/>
            <w:vAlign w:val="bottom"/>
            <w:shd w:val="clear" w:color="auto" w:fill="D5EEEE"/>
          </w:tcPr>
          <w:p>
            <w:pPr>
              <w:spacing w:after="0" w:line="203" w:lineRule="exact"/>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D5EEE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7"/>
                <w:szCs w:val="17"/>
                <w:color w:val="auto"/>
              </w:rPr>
            </w:pPr>
          </w:p>
        </w:tc>
        <w:tc>
          <w:tcPr>
            <w:tcW w:w="100" w:type="dxa"/>
            <w:vAlign w:val="bottom"/>
            <w:tcBorders>
              <w:left w:val="single" w:sz="8" w:color="D5EEEE"/>
            </w:tcBorders>
            <w:shd w:val="clear" w:color="auto" w:fill="D5EEEE"/>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140" w:type="dxa"/>
            <w:vAlign w:val="bottom"/>
            <w:shd w:val="clear" w:color="auto" w:fill="D5EEEE"/>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5"/>
          </w:tcPr>
          <w:p>
            <w:pPr>
              <w:jc w:val="right"/>
              <w:ind w:right="35"/>
              <w:spacing w:after="0" w:line="203" w:lineRule="exact"/>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1"/>
        </w:trPr>
        <w:tc>
          <w:tcPr>
            <w:tcW w:w="342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tcBorders>
              <w:bottom w:val="single" w:sz="8" w:color="D5EEEE"/>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120" w:type="dxa"/>
            <w:vAlign w:val="bottom"/>
            <w:tcBorders>
              <w:bottom w:val="single" w:sz="8" w:color="D5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14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D5EEEE"/>
            </w:tcBorders>
          </w:tcPr>
          <w:p>
            <w:pPr>
              <w:spacing w:after="0"/>
              <w:rPr>
                <w:sz w:val="19"/>
                <w:szCs w:val="19"/>
                <w:color w:val="auto"/>
              </w:rPr>
            </w:pPr>
          </w:p>
        </w:tc>
        <w:tc>
          <w:tcPr>
            <w:tcW w:w="14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920" w:type="dxa"/>
            <w:vAlign w:val="bottom"/>
            <w:tcBorders>
              <w:bottom w:val="single" w:sz="8" w:color="D5EEEE"/>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08"/>
        </w:trPr>
        <w:tc>
          <w:tcPr>
            <w:tcW w:w="3420" w:type="dxa"/>
            <w:vAlign w:val="bottom"/>
            <w:shd w:val="clear" w:color="auto" w:fill="D5EEEE"/>
          </w:tcPr>
          <w:p>
            <w:pPr>
              <w:ind w:left="2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shd w:val="clear" w:color="auto" w:fill="D5EEE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(14,402)</w:t>
            </w:r>
          </w:p>
        </w:tc>
        <w:tc>
          <w:tcPr>
            <w:tcW w:w="20" w:type="dxa"/>
            <w:vAlign w:val="bottom"/>
          </w:tcPr>
          <w:p>
            <w:pPr>
              <w:spacing w:after="0"/>
              <w:rPr>
                <w:sz w:val="18"/>
                <w:szCs w:val="18"/>
                <w:color w:val="auto"/>
              </w:rPr>
            </w:pPr>
          </w:p>
        </w:tc>
        <w:tc>
          <w:tcPr>
            <w:tcW w:w="100" w:type="dxa"/>
            <w:vAlign w:val="bottom"/>
            <w:tcBorders>
              <w:left w:val="single" w:sz="8" w:color="D5EEEE"/>
            </w:tcBorders>
            <w:shd w:val="clear" w:color="auto" w:fill="D5EEEE"/>
          </w:tcPr>
          <w:p>
            <w:pPr>
              <w:spacing w:after="0"/>
              <w:rPr>
                <w:sz w:val="18"/>
                <w:szCs w:val="18"/>
                <w:color w:val="auto"/>
              </w:rPr>
            </w:pPr>
          </w:p>
        </w:tc>
        <w:tc>
          <w:tcPr>
            <w:tcW w:w="120" w:type="dxa"/>
            <w:vAlign w:val="bottom"/>
            <w:shd w:val="clear" w:color="auto" w:fill="D5EEE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(15,847)</w:t>
            </w:r>
          </w:p>
        </w:tc>
        <w:tc>
          <w:tcPr>
            <w:tcW w:w="20" w:type="dxa"/>
            <w:vAlign w:val="bottom"/>
          </w:tcPr>
          <w:p>
            <w:pPr>
              <w:spacing w:after="0"/>
              <w:rPr>
                <w:sz w:val="18"/>
                <w:szCs w:val="18"/>
                <w:color w:val="auto"/>
              </w:rPr>
            </w:pPr>
          </w:p>
        </w:tc>
        <w:tc>
          <w:tcPr>
            <w:tcW w:w="80" w:type="dxa"/>
            <w:vAlign w:val="bottom"/>
            <w:shd w:val="clear" w:color="auto" w:fill="D5EEEE"/>
          </w:tcPr>
          <w:p>
            <w:pPr>
              <w:spacing w:after="0"/>
              <w:rPr>
                <w:sz w:val="18"/>
                <w:szCs w:val="18"/>
                <w:color w:val="auto"/>
              </w:rPr>
            </w:pPr>
          </w:p>
        </w:tc>
        <w:tc>
          <w:tcPr>
            <w:tcW w:w="140" w:type="dxa"/>
            <w:vAlign w:val="bottom"/>
            <w:shd w:val="clear" w:color="auto" w:fill="D5EEE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shd w:val="clear" w:color="auto" w:fill="D5EEEE"/>
          </w:tcPr>
          <w:p>
            <w:pPr>
              <w:spacing w:after="0"/>
              <w:rPr>
                <w:sz w:val="18"/>
                <w:szCs w:val="18"/>
                <w:color w:val="auto"/>
              </w:rPr>
            </w:pPr>
          </w:p>
        </w:tc>
        <w:tc>
          <w:tcPr>
            <w:tcW w:w="220" w:type="dxa"/>
            <w:vAlign w:val="bottom"/>
            <w:gridSpan w:val="2"/>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1"/>
        </w:trPr>
        <w:tc>
          <w:tcPr>
            <w:tcW w:w="3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5"/>
          </w:tcPr>
          <w:p>
            <w:pPr>
              <w:jc w:val="right"/>
              <w:ind w:right="35"/>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8"/>
        </w:trPr>
        <w:tc>
          <w:tcPr>
            <w:tcW w:w="342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D5EEEE"/>
            </w:tcBorders>
            <w:shd w:val="clear" w:color="auto" w:fill="D5EEEE"/>
          </w:tcPr>
          <w:p>
            <w:pPr>
              <w:spacing w:after="0"/>
              <w:rPr>
                <w:sz w:val="18"/>
                <w:szCs w:val="18"/>
                <w:color w:val="auto"/>
              </w:rPr>
            </w:pPr>
          </w:p>
        </w:tc>
        <w:tc>
          <w:tcPr>
            <w:tcW w:w="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(14,427)</w:t>
            </w:r>
          </w:p>
        </w:tc>
        <w:tc>
          <w:tcPr>
            <w:tcW w:w="20" w:type="dxa"/>
            <w:vAlign w:val="bottom"/>
            <w:tcBorders>
              <w:top w:val="single" w:sz="8" w:color="auto"/>
            </w:tcBorders>
            <w:shd w:val="clear" w:color="auto" w:fill="D5EEEE"/>
          </w:tcPr>
          <w:p>
            <w:pPr>
              <w:spacing w:after="0"/>
              <w:rPr>
                <w:sz w:val="18"/>
                <w:szCs w:val="18"/>
                <w:color w:val="auto"/>
              </w:rPr>
            </w:pPr>
          </w:p>
        </w:tc>
        <w:tc>
          <w:tcPr>
            <w:tcW w:w="100" w:type="dxa"/>
            <w:vAlign w:val="bottom"/>
            <w:tcBorders>
              <w:top w:val="single" w:sz="8" w:color="D5EEEE"/>
              <w:left w:val="single" w:sz="8" w:color="D5EEEE"/>
            </w:tcBorders>
            <w:shd w:val="clear" w:color="auto" w:fill="D5EEEE"/>
          </w:tcPr>
          <w:p>
            <w:pPr>
              <w:spacing w:after="0"/>
              <w:rPr>
                <w:sz w:val="18"/>
                <w:szCs w:val="18"/>
                <w:color w:val="auto"/>
              </w:rPr>
            </w:pPr>
          </w:p>
        </w:tc>
        <w:tc>
          <w:tcPr>
            <w:tcW w:w="12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D5EEEE"/>
              </w:rPr>
              <w:t>$</w:t>
            </w:r>
          </w:p>
        </w:tc>
        <w:tc>
          <w:tcPr>
            <w:tcW w:w="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(15,868)</w:t>
            </w:r>
          </w:p>
        </w:tc>
        <w:tc>
          <w:tcPr>
            <w:tcW w:w="20" w:type="dxa"/>
            <w:vAlign w:val="bottom"/>
            <w:tcBorders>
              <w:top w:val="single" w:sz="8" w:color="auto"/>
            </w:tcBorders>
            <w:shd w:val="clear" w:color="auto" w:fill="D5EEEE"/>
          </w:tcPr>
          <w:p>
            <w:pPr>
              <w:spacing w:after="0"/>
              <w:rPr>
                <w:sz w:val="18"/>
                <w:szCs w:val="18"/>
                <w:color w:val="auto"/>
              </w:rPr>
            </w:pPr>
          </w:p>
        </w:tc>
        <w:tc>
          <w:tcPr>
            <w:tcW w:w="80" w:type="dxa"/>
            <w:vAlign w:val="bottom"/>
            <w:tcBorders>
              <w:top w:val="single" w:sz="8" w:color="D5EEEE"/>
            </w:tcBorders>
            <w:shd w:val="clear" w:color="auto" w:fill="D5EEEE"/>
          </w:tcPr>
          <w:p>
            <w:pPr>
              <w:spacing w:after="0"/>
              <w:rPr>
                <w:sz w:val="18"/>
                <w:szCs w:val="18"/>
                <w:color w:val="auto"/>
              </w:rPr>
            </w:pPr>
          </w:p>
        </w:tc>
        <w:tc>
          <w:tcPr>
            <w:tcW w:w="140" w:type="dxa"/>
            <w:vAlign w:val="bottom"/>
            <w:tcBorders>
              <w:top w:val="single" w:sz="8" w:color="D5EEEE"/>
            </w:tcBorders>
            <w:shd w:val="clear" w:color="auto" w:fill="D5EEEE"/>
          </w:tcPr>
          <w:p>
            <w:pPr>
              <w:spacing w:after="0"/>
              <w:rPr>
                <w:sz w:val="18"/>
                <w:szCs w:val="18"/>
                <w:color w:val="auto"/>
              </w:rPr>
            </w:pPr>
          </w:p>
        </w:tc>
        <w:tc>
          <w:tcPr>
            <w:tcW w:w="80" w:type="dxa"/>
            <w:vAlign w:val="bottom"/>
            <w:tcBorders>
              <w:top w:val="single" w:sz="8" w:color="D5EEEE"/>
            </w:tcBorders>
          </w:tcPr>
          <w:p>
            <w:pPr>
              <w:spacing w:after="0"/>
              <w:rPr>
                <w:sz w:val="18"/>
                <w:szCs w:val="18"/>
                <w:color w:val="auto"/>
              </w:rPr>
            </w:pPr>
          </w:p>
        </w:tc>
        <w:tc>
          <w:tcPr>
            <w:tcW w:w="70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D5EEEE"/>
            </w:tcBorders>
            <w:shd w:val="clear" w:color="auto" w:fill="D5EEEE"/>
          </w:tcPr>
          <w:p>
            <w:pPr>
              <w:spacing w:after="0"/>
              <w:rPr>
                <w:sz w:val="18"/>
                <w:szCs w:val="18"/>
                <w:color w:val="auto"/>
              </w:rPr>
            </w:pPr>
          </w:p>
        </w:tc>
        <w:tc>
          <w:tcPr>
            <w:tcW w:w="220" w:type="dxa"/>
            <w:vAlign w:val="bottom"/>
            <w:tcBorders>
              <w:top w:val="single" w:sz="8" w:color="D5EEEE"/>
            </w:tcBorders>
            <w:gridSpan w:val="2"/>
          </w:tcPr>
          <w:p>
            <w:pPr>
              <w:spacing w:after="0"/>
              <w:rPr>
                <w:sz w:val="18"/>
                <w:szCs w:val="18"/>
                <w:color w:val="auto"/>
              </w:rPr>
            </w:pPr>
          </w:p>
        </w:tc>
        <w:tc>
          <w:tcPr>
            <w:tcW w:w="920" w:type="dxa"/>
            <w:vAlign w:val="bottom"/>
            <w:tcBorders>
              <w:top w:val="single" w:sz="8" w:color="D5EEEE"/>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60"/>
        </w:trPr>
        <w:tc>
          <w:tcPr>
            <w:tcW w:w="3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-2186940</wp:posOffset>
            </wp:positionV>
            <wp:extent cx="6198870" cy="23317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98870" cy="2331720"/>
                    </a:xfrm>
                    <a:prstGeom prst="rect">
                      <a:avLst/>
                    </a:prstGeom>
                    <a:noFill/>
                  </pic:spPr>
                </pic:pic>
              </a:graphicData>
            </a:graphic>
          </wp:anchor>
        </w:drawing>
      </w:r>
    </w:p>
    <w:p>
      <w:pPr>
        <w:spacing w:after="0" w:line="397" w:lineRule="exact"/>
        <w:rPr>
          <w:sz w:val="20"/>
          <w:szCs w:val="20"/>
          <w:color w:val="auto"/>
        </w:rPr>
      </w:pPr>
    </w:p>
    <w:p>
      <w:pPr>
        <w:ind w:right="180" w:firstLine="720"/>
        <w:spacing w:after="0" w:line="249" w:lineRule="auto"/>
        <w:rPr>
          <w:sz w:val="20"/>
          <w:szCs w:val="20"/>
          <w:color w:val="auto"/>
        </w:rPr>
      </w:pPr>
      <w:r>
        <w:rPr>
          <w:rFonts w:ascii="Times New Roman" w:cs="Times New Roman" w:eastAsia="Times New Roman" w:hAnsi="Times New Roman"/>
          <w:sz w:val="20"/>
          <w:szCs w:val="20"/>
          <w:color w:val="auto"/>
        </w:rPr>
        <w:t>Total net revenue increased 37% to $14.0 million, compared to $10.2 million in the corresponding period in the prior year. RECELL® commercial revenues were $13.8 million, while RECELL revenues associated with the U.S. Department of Health and Human Services’ Biomedical Advanced Research and Development Authority within the Office of the Assistant Secretary for Preparedness and Response (“BARDA”) were $0.2 million. Revenues associated with BARDA were attributable to the vendor managed inventory associated with the purchase of RECELL units for emergency preparedness by BARDA.</w:t>
      </w:r>
    </w:p>
    <w:p>
      <w:pPr>
        <w:spacing w:after="0" w:line="187" w:lineRule="exact"/>
        <w:rPr>
          <w:sz w:val="20"/>
          <w:szCs w:val="20"/>
          <w:color w:val="auto"/>
        </w:rPr>
      </w:pPr>
    </w:p>
    <w:p>
      <w:pPr>
        <w:ind w:right="640" w:firstLine="720"/>
        <w:spacing w:after="0" w:line="279" w:lineRule="auto"/>
        <w:rPr>
          <w:sz w:val="20"/>
          <w:szCs w:val="20"/>
          <w:color w:val="auto"/>
        </w:rPr>
      </w:pPr>
      <w:r>
        <w:rPr>
          <w:rFonts w:ascii="Times New Roman" w:cs="Times New Roman" w:eastAsia="Times New Roman" w:hAnsi="Times New Roman"/>
          <w:sz w:val="20"/>
          <w:szCs w:val="20"/>
          <w:color w:val="auto"/>
        </w:rPr>
        <w:t>Gross profit margin was 86% compared with 83% in the corresponding period in the prior year, driven largely by the extension of our shelf-life and lower shipping costs.</w:t>
      </w:r>
    </w:p>
    <w:p>
      <w:pPr>
        <w:spacing w:after="0" w:line="1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BARDA income consisted of funding from BARDA, under the Assistant Secretary for Preparedness and Response, within</w:t>
      </w:r>
    </w:p>
    <w:p>
      <w:pPr>
        <w:spacing w:after="0"/>
        <w:rPr>
          <w:sz w:val="20"/>
          <w:szCs w:val="20"/>
          <w:color w:val="auto"/>
        </w:rPr>
      </w:pPr>
      <w:r>
        <w:rPr>
          <w:rFonts w:ascii="Times New Roman" w:cs="Times New Roman" w:eastAsia="Times New Roman" w:hAnsi="Times New Roman"/>
          <w:sz w:val="20"/>
          <w:szCs w:val="20"/>
          <w:color w:val="auto"/>
        </w:rPr>
        <w:t>the U.S. Department of Health and Human Services, under ongoing USG Contract No. HHSO100201500028C. Under the BARDA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contract, income of $0.6 million was recognized during the transition period ended December 31, 2021, compared to income of</w:t>
      </w:r>
    </w:p>
    <w:p>
      <w:pPr>
        <w:spacing w:after="0"/>
        <w:rPr>
          <w:sz w:val="20"/>
          <w:szCs w:val="20"/>
          <w:color w:val="auto"/>
        </w:rPr>
      </w:pPr>
      <w:r>
        <w:rPr>
          <w:rFonts w:ascii="Times New Roman" w:cs="Times New Roman" w:eastAsia="Times New Roman" w:hAnsi="Times New Roman"/>
          <w:sz w:val="20"/>
          <w:szCs w:val="20"/>
          <w:color w:val="auto"/>
        </w:rPr>
        <w:t>$1.0 million for the same period in the prior year. BARDA income declined as a result of wind-down of certain activities associated</w:t>
      </w:r>
    </w:p>
    <w:p>
      <w:pPr>
        <w:spacing w:after="0"/>
        <w:rPr>
          <w:sz w:val="20"/>
          <w:szCs w:val="20"/>
          <w:color w:val="auto"/>
        </w:rPr>
      </w:pPr>
      <w:r>
        <w:rPr>
          <w:rFonts w:ascii="Times New Roman" w:cs="Times New Roman" w:eastAsia="Times New Roman" w:hAnsi="Times New Roman"/>
          <w:sz w:val="20"/>
          <w:szCs w:val="20"/>
          <w:color w:val="auto"/>
        </w:rPr>
        <w:t>with continued pivotal trials for the treatment of pediatric scald injuries.</w:t>
      </w: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Total operating expenses increased 7% to $27.1 million, compared to $25.3 million in the corresponding period in the prior</w:t>
      </w:r>
    </w:p>
    <w:p>
      <w:pPr>
        <w:spacing w:after="0"/>
        <w:rPr>
          <w:sz w:val="20"/>
          <w:szCs w:val="20"/>
          <w:color w:val="auto"/>
        </w:rPr>
      </w:pPr>
      <w:r>
        <w:rPr>
          <w:rFonts w:ascii="Times New Roman" w:cs="Times New Roman" w:eastAsia="Times New Roman" w:hAnsi="Times New Roman"/>
          <w:sz w:val="20"/>
          <w:szCs w:val="20"/>
          <w:color w:val="auto"/>
        </w:rPr>
        <w:t>year.</w:t>
      </w:r>
    </w:p>
    <w:p>
      <w:pPr>
        <w:sectPr>
          <w:pgSz w:w="11880" w:h="15480" w:orient="portrait"/>
          <w:cols w:equalWidth="0" w:num="1">
            <w:col w:w="10720"/>
          </w:cols>
          <w:pgMar w:left="540" w:top="887"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10720"/>
          </w:cols>
          <w:pgMar w:left="540" w:top="887" w:right="620" w:bottom="0" w:gutter="0" w:footer="0" w:header="0"/>
          <w:type w:val="continuous"/>
        </w:sectPr>
      </w:pPr>
    </w:p>
    <w:bookmarkStart w:id="37" w:name="page38"/>
    <w:bookmarkEnd w:id="37"/>
    <w:p>
      <w:pPr>
        <w:ind w:right="100" w:firstLine="720"/>
        <w:spacing w:after="0" w:line="249" w:lineRule="auto"/>
        <w:rPr>
          <w:sz w:val="20"/>
          <w:szCs w:val="20"/>
          <w:color w:val="auto"/>
        </w:rPr>
      </w:pPr>
      <w:r>
        <w:rPr>
          <w:rFonts w:ascii="Times New Roman" w:cs="Times New Roman" w:eastAsia="Times New Roman" w:hAnsi="Times New Roman"/>
          <w:sz w:val="20"/>
          <w:szCs w:val="20"/>
          <w:color w:val="auto"/>
        </w:rPr>
        <w:t>Sales and marketing expenses increased 23%, or $1.6 million, to $8.5 million, compared to $6.9 million recognized in the corresponding period in the prior year. Increased costs in the current year are driven primarily by pre-commercialization planning for RECELL launches in soft tissue repair and vitiligo as well higher travel costs and increased hands-on professional education and training events. Higher travel costs along with professional and training events in the current period are driven by fewer COVID-19 related travel restrictions.</w:t>
      </w:r>
    </w:p>
    <w:p>
      <w:pPr>
        <w:spacing w:after="0" w:line="197" w:lineRule="exact"/>
        <w:rPr>
          <w:sz w:val="20"/>
          <w:szCs w:val="20"/>
          <w:color w:val="auto"/>
        </w:rPr>
      </w:pPr>
    </w:p>
    <w:p>
      <w:pPr>
        <w:ind w:right="140" w:firstLine="720"/>
        <w:spacing w:after="0" w:line="253" w:lineRule="auto"/>
        <w:rPr>
          <w:sz w:val="20"/>
          <w:szCs w:val="20"/>
          <w:color w:val="auto"/>
        </w:rPr>
      </w:pPr>
      <w:r>
        <w:rPr>
          <w:rFonts w:ascii="Times New Roman" w:cs="Times New Roman" w:eastAsia="Times New Roman" w:hAnsi="Times New Roman"/>
          <w:sz w:val="20"/>
          <w:szCs w:val="20"/>
          <w:color w:val="auto"/>
        </w:rPr>
        <w:t>General and administrative expenses decreased 6%, or $0.7 million, to $11.0 million, compared to $11.7 million recognized in the corresponding period in the prior year. The decrease was driven by certain one-time professional services costs incurred in the prior period with establishing the Company as a domestic filer with the SEC following completion of the Redomiciliation, and severance costs associated with a former executive employee in the prior year.</w:t>
      </w:r>
    </w:p>
    <w:p>
      <w:pPr>
        <w:spacing w:after="0" w:line="192"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Research and development expenses increased 13%, or $0.9 million, to $7.6 million, compared to $6.7 million recognized in the corresponding period in the prior year. The increase was primarily attributed to ongoing development of a next generation device for more automated preparation of Spray-On Skin™ Cells for vitiligo. In addition, we had higher costs associated with an increased rate of enrollment into our soft tissue repair clinical trial, as well as other research and development costs associated with furthering the Company’s pipeline.</w:t>
      </w:r>
    </w:p>
    <w:p>
      <w:pPr>
        <w:spacing w:after="0" w:line="197"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Net loss decreased 9%, or $1.4 million, to $14.4 million, over the $15.9 million recognized in the corresponding period in the prior year. The decrease in net loss was driven by higher revenue during the year, partially offset by higher operating expenses as described above.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Overview</w:t>
      </w:r>
    </w:p>
    <w:p>
      <w:pPr>
        <w:spacing w:after="0" w:line="120"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We expect to utilize cash reserves until U.S. sales of our products reach a level sufficient to fund ongoing operations. AVITA Medical has historically funded its research and development activities, and more recently its substantial investment in sales and marketing activities, through raising capital by issuing securities, and it is expected that similar funding will be obtained to provide working capital if and when required. As of December 31, 2022, the Company had approximately $18.2 million in cash and cash equivalents and $68.1 million in marketable securities and believes it has sufficient cash reserves to fund operations for the next 12-months. If the Company is unable to raise capital in the future, the Company may need to curtail expenditures by scaling back certain research and development or other programs.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Financing Activities</w:t>
      </w:r>
    </w:p>
    <w:p>
      <w:pPr>
        <w:spacing w:after="0" w:line="118" w:lineRule="exact"/>
        <w:rPr>
          <w:sz w:val="20"/>
          <w:szCs w:val="20"/>
          <w:color w:val="auto"/>
        </w:rPr>
      </w:pPr>
    </w:p>
    <w:p>
      <w:pPr>
        <w:ind w:right="500" w:firstLine="720"/>
        <w:spacing w:after="0" w:line="279" w:lineRule="auto"/>
        <w:rPr>
          <w:sz w:val="20"/>
          <w:szCs w:val="20"/>
          <w:color w:val="auto"/>
        </w:rPr>
      </w:pPr>
      <w:r>
        <w:rPr>
          <w:rFonts w:ascii="Times New Roman" w:cs="Times New Roman" w:eastAsia="Times New Roman" w:hAnsi="Times New Roman"/>
          <w:sz w:val="20"/>
          <w:szCs w:val="20"/>
          <w:color w:val="auto"/>
        </w:rPr>
        <w:t>On March 1, 2021, the Company issued 3,214,250 shares of common stock at an offering price of $21.50 per share in a registered underwritten offering. The gross proceeds from the offering were approximately $69.1 million.</w:t>
      </w:r>
    </w:p>
    <w:p>
      <w:pPr>
        <w:spacing w:after="0" w:line="166" w:lineRule="exact"/>
        <w:rPr>
          <w:sz w:val="20"/>
          <w:szCs w:val="20"/>
          <w:color w:val="auto"/>
        </w:rPr>
      </w:pPr>
    </w:p>
    <w:p>
      <w:pPr>
        <w:ind w:right="140" w:firstLine="720"/>
        <w:spacing w:after="0" w:line="249" w:lineRule="auto"/>
        <w:rPr>
          <w:sz w:val="20"/>
          <w:szCs w:val="20"/>
          <w:color w:val="auto"/>
        </w:rPr>
      </w:pPr>
      <w:r>
        <w:rPr>
          <w:rFonts w:ascii="Times New Roman" w:cs="Times New Roman" w:eastAsia="Times New Roman" w:hAnsi="Times New Roman"/>
          <w:sz w:val="20"/>
          <w:szCs w:val="20"/>
          <w:color w:val="auto"/>
        </w:rPr>
        <w:t>AVITA Medical also benefits from cash inflows from the BARDA contract (discussed earlier in this Annual Report). We entered into the contract on September 29, 2015, and the scope has expanded through a number of amendments to the contract. The current contract period continues to December 31, 2023, with the option by BARDA to terminate earlier. The contract provided funding for the development of the RECELL System. The contract will continue to provide funding for future use of the product as a medical countermeasure to assist disaster preparedness and response in the U.S. for mass casualty events involving burn injuries.</w:t>
      </w:r>
    </w:p>
    <w:p>
      <w:pPr>
        <w:spacing w:after="0" w:line="188"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Under the contract, BARDA has provided funding and technical support for the development of the RECELL System. BARDA funded the completion of two randomized, controlled pivotal clinical trials, as well as Compassionate Use and Continued Access programs, and development of the health economic model demonstrating the cost savings associated with the RECELL System. BARDA exercised a contract option to fund a randomized, controlled clinical trial for a pediatric early intervention study which commenced enrollment in March 2020, and closed to enrollment in June 2021, subsequent to FDA-approval of an expanded RECELL indication for use that includes treatment of pediatric patients. Currently, the BARDA contract is supporting the Company’s clinical trial in soft-tissue repair. Also included in the BARDA contract was a provision for procurement of the RECELL System under a vendor-managed inventory system to bolster emergency preparedness in the amount of $7.6 million. Further, BARDA expanded the awarded contract to provide supplemental funding of $1.6 million to support the logistics of emergency deployment of RECELL Systems for use in mass casualty or other emergency situations. We are contracted to manage this inventory of product until the federal government requests shipment or at contract termination on December 31, 2023. As of December 31, 2022, we had received cumulative payments of $37.9 million under the BARDA contract. For the year-ended December 31, 2022, we recognized $370,000 of revenue related to BARDA services provided to BARDA for emergency preparedness.</w:t>
      </w:r>
    </w:p>
    <w:p>
      <w:pPr>
        <w:sectPr>
          <w:pgSz w:w="11880" w:h="15480" w:orient="portrait"/>
          <w:cols w:equalWidth="0" w:num="1">
            <w:col w:w="10760"/>
          </w:cols>
          <w:pgMar w:left="540" w:top="887"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10760"/>
          </w:cols>
          <w:pgMar w:left="540" w:top="887" w:right="580" w:bottom="0" w:gutter="0" w:footer="0" w:header="0"/>
          <w:type w:val="continuous"/>
        </w:sectPr>
      </w:pPr>
    </w:p>
    <w:bookmarkStart w:id="38" w:name="page39"/>
    <w:bookmarkEnd w:id="38"/>
    <w:p>
      <w:pPr>
        <w:ind w:right="80" w:firstLine="720"/>
        <w:spacing w:after="0" w:line="260" w:lineRule="auto"/>
        <w:rPr>
          <w:sz w:val="20"/>
          <w:szCs w:val="20"/>
          <w:color w:val="auto"/>
        </w:rPr>
      </w:pPr>
      <w:r>
        <w:rPr>
          <w:rFonts w:ascii="Times New Roman" w:cs="Times New Roman" w:eastAsia="Times New Roman" w:hAnsi="Times New Roman"/>
          <w:sz w:val="20"/>
          <w:szCs w:val="20"/>
          <w:color w:val="auto"/>
        </w:rPr>
        <w:t>Given the above, we believe there is presently sufficient working capital to support our committed research and development programs and other activities over the next twelve months and the Company believes it has the ability to realize its assets and pay its liabilities and commitments in the normal course of business.</w:t>
      </w:r>
    </w:p>
    <w:p>
      <w:pPr>
        <w:spacing w:after="0" w:line="1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summarizes our cash flows for the periods presented:</w:t>
      </w:r>
    </w:p>
    <w:p>
      <w:pPr>
        <w:spacing w:after="0" w:line="200" w:lineRule="exact"/>
        <w:rPr>
          <w:sz w:val="20"/>
          <w:szCs w:val="20"/>
          <w:color w:val="auto"/>
        </w:rPr>
      </w:pPr>
    </w:p>
    <w:p>
      <w:pPr>
        <w:spacing w:after="0" w:line="264" w:lineRule="exact"/>
        <w:rPr>
          <w:sz w:val="20"/>
          <w:szCs w:val="20"/>
          <w:color w:val="auto"/>
        </w:rPr>
      </w:pPr>
    </w:p>
    <w:tbl>
      <w:tblPr>
        <w:tblLayout w:type="fixed"/>
        <w:tblInd w:w="540" w:type="dxa"/>
        <w:tblCellMar>
          <w:top w:w="0" w:type="dxa"/>
          <w:left w:w="0" w:type="dxa"/>
          <w:bottom w:w="0" w:type="dxa"/>
          <w:right w:w="0" w:type="dxa"/>
        </w:tblCellMar>
      </w:tblPr>
      <w:tr>
        <w:trPr>
          <w:trHeight w:val="228"/>
        </w:trPr>
        <w:tc>
          <w:tcPr>
            <w:tcW w:w="6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5"/>
          </w:tcPr>
          <w:p>
            <w:pPr>
              <w:jc w:val="center"/>
              <w:ind w:right="415"/>
              <w:spacing w:after="0"/>
              <w:rPr>
                <w:sz w:val="20"/>
                <w:szCs w:val="20"/>
                <w:color w:val="auto"/>
              </w:rPr>
            </w:pPr>
            <w:r>
              <w:rPr>
                <w:rFonts w:ascii="Times New Roman" w:cs="Times New Roman" w:eastAsia="Times New Roman" w:hAnsi="Times New Roman"/>
                <w:sz w:val="18"/>
                <w:szCs w:val="18"/>
                <w:b w:val="1"/>
                <w:bCs w:val="1"/>
                <w:color w:val="auto"/>
                <w:w w:val="99"/>
              </w:rPr>
              <w:t>Year-Ended</w:t>
            </w: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6"/>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Borders>
              <w:top w:val="single" w:sz="8" w:color="auto"/>
            </w:tcBorders>
            <w:gridSpan w:val="4"/>
          </w:tcPr>
          <w:p>
            <w:pPr>
              <w:jc w:val="center"/>
              <w:ind w:right="40"/>
              <w:spacing w:after="0" w:line="186"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90"/>
              <w:spacing w:after="0" w:line="186"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53"/>
        </w:trPr>
        <w:tc>
          <w:tcPr>
            <w:tcW w:w="6540" w:type="dxa"/>
            <w:vAlign w:val="bottom"/>
            <w:tcBorders>
              <w:bottom w:val="single" w:sz="8" w:color="D5EEEE"/>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200" w:type="dxa"/>
            <w:vAlign w:val="bottom"/>
            <w:tcBorders>
              <w:bottom w:val="single" w:sz="8" w:color="D5EEEE"/>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D5EEEE"/>
            </w:tcBorders>
          </w:tcPr>
          <w:p>
            <w:pPr>
              <w:spacing w:after="0"/>
              <w:rPr>
                <w:sz w:val="21"/>
                <w:szCs w:val="21"/>
                <w:color w:val="auto"/>
              </w:rPr>
            </w:pPr>
          </w:p>
        </w:tc>
      </w:tr>
      <w:tr>
        <w:trPr>
          <w:trHeight w:val="183"/>
        </w:trPr>
        <w:tc>
          <w:tcPr>
            <w:tcW w:w="6400" w:type="dxa"/>
            <w:vAlign w:val="bottom"/>
            <w:tcBorders>
              <w:top w:val="single" w:sz="8" w:color="D5EEEE"/>
            </w:tcBorders>
            <w:shd w:val="clear" w:color="auto" w:fill="D5EEEE"/>
          </w:tcPr>
          <w:p>
            <w:pPr>
              <w:spacing w:after="0" w:line="183" w:lineRule="exact"/>
              <w:rPr>
                <w:sz w:val="20"/>
                <w:szCs w:val="20"/>
                <w:color w:val="auto"/>
              </w:rPr>
            </w:pPr>
            <w:r>
              <w:rPr>
                <w:rFonts w:ascii="Times New Roman" w:cs="Times New Roman" w:eastAsia="Times New Roman" w:hAnsi="Times New Roman"/>
                <w:sz w:val="18"/>
                <w:szCs w:val="18"/>
                <w:color w:val="auto"/>
              </w:rPr>
              <w:t>Net cash used in operations</w:t>
            </w:r>
          </w:p>
        </w:tc>
        <w:tc>
          <w:tcPr>
            <w:tcW w:w="140" w:type="dxa"/>
            <w:vAlign w:val="bottom"/>
            <w:tcBorders>
              <w:top w:val="single" w:sz="8" w:color="D5EEEE"/>
            </w:tcBorders>
            <w:shd w:val="clear" w:color="auto" w:fill="D5EEEE"/>
          </w:tcPr>
          <w:p>
            <w:pPr>
              <w:spacing w:after="0"/>
              <w:rPr>
                <w:sz w:val="15"/>
                <w:szCs w:val="15"/>
                <w:color w:val="auto"/>
              </w:rPr>
            </w:pPr>
          </w:p>
        </w:tc>
        <w:tc>
          <w:tcPr>
            <w:tcW w:w="80" w:type="dxa"/>
            <w:vAlign w:val="bottom"/>
            <w:tcBorders>
              <w:top w:val="single" w:sz="8" w:color="D5EEEE"/>
            </w:tcBorders>
            <w:shd w:val="clear" w:color="auto" w:fill="D5EEEE"/>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0" w:type="dxa"/>
            <w:vAlign w:val="bottom"/>
            <w:tcBorders>
              <w:top w:val="single" w:sz="8" w:color="D5EEEE"/>
            </w:tcBorders>
          </w:tcPr>
          <w:p>
            <w:pPr>
              <w:spacing w:after="0"/>
              <w:rPr>
                <w:sz w:val="15"/>
                <w:szCs w:val="15"/>
                <w:color w:val="auto"/>
              </w:rPr>
            </w:pPr>
          </w:p>
        </w:tc>
        <w:tc>
          <w:tcPr>
            <w:tcW w:w="1100" w:type="dxa"/>
            <w:vAlign w:val="bottom"/>
            <w:tcBorders>
              <w:top w:val="single" w:sz="8" w:color="D5EEEE"/>
            </w:tcBorders>
            <w:shd w:val="clear" w:color="auto" w:fill="D5EEEE"/>
          </w:tcPr>
          <w:p>
            <w:pPr>
              <w:jc w:val="right"/>
              <w:spacing w:after="0" w:line="183" w:lineRule="exact"/>
              <w:rPr>
                <w:sz w:val="20"/>
                <w:szCs w:val="20"/>
                <w:color w:val="auto"/>
              </w:rPr>
            </w:pPr>
            <w:r>
              <w:rPr>
                <w:rFonts w:ascii="Times New Roman" w:cs="Times New Roman" w:eastAsia="Times New Roman" w:hAnsi="Times New Roman"/>
                <w:sz w:val="18"/>
                <w:szCs w:val="18"/>
                <w:color w:val="auto"/>
              </w:rPr>
              <w:t>(19,090</w:t>
            </w:r>
          </w:p>
        </w:tc>
        <w:tc>
          <w:tcPr>
            <w:tcW w:w="20" w:type="dxa"/>
            <w:vAlign w:val="bottom"/>
            <w:tcBorders>
              <w:top w:val="single" w:sz="8" w:color="D5EEEE"/>
            </w:tcBorders>
            <w:shd w:val="clear" w:color="auto" w:fill="D5EEEE"/>
          </w:tcPr>
          <w:p>
            <w:pPr>
              <w:spacing w:after="0"/>
              <w:rPr>
                <w:sz w:val="15"/>
                <w:szCs w:val="15"/>
                <w:color w:val="auto"/>
              </w:rPr>
            </w:pPr>
          </w:p>
        </w:tc>
        <w:tc>
          <w:tcPr>
            <w:tcW w:w="80" w:type="dxa"/>
            <w:vAlign w:val="bottom"/>
            <w:tcBorders>
              <w:top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5EEEE"/>
              </w:rPr>
              <w:t>)</w:t>
            </w:r>
          </w:p>
        </w:tc>
        <w:tc>
          <w:tcPr>
            <w:tcW w:w="200" w:type="dxa"/>
            <w:vAlign w:val="bottom"/>
            <w:tcBorders>
              <w:top w:val="single" w:sz="8" w:color="D5EEEE"/>
            </w:tcBorders>
            <w:shd w:val="clear" w:color="auto" w:fill="D5EEEE"/>
          </w:tcPr>
          <w:p>
            <w:pPr>
              <w:spacing w:after="0"/>
              <w:rPr>
                <w:sz w:val="15"/>
                <w:szCs w:val="15"/>
                <w:color w:val="auto"/>
              </w:rPr>
            </w:pPr>
          </w:p>
        </w:tc>
        <w:tc>
          <w:tcPr>
            <w:tcW w:w="80" w:type="dxa"/>
            <w:vAlign w:val="bottom"/>
            <w:tcBorders>
              <w:top w:val="single" w:sz="8" w:color="D5EEEE"/>
            </w:tcBorders>
            <w:shd w:val="clear" w:color="auto" w:fill="D5EEEE"/>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0" w:type="dxa"/>
            <w:vAlign w:val="bottom"/>
            <w:tcBorders>
              <w:top w:val="single" w:sz="8" w:color="D5EEEE"/>
            </w:tcBorders>
          </w:tcPr>
          <w:p>
            <w:pPr>
              <w:spacing w:after="0"/>
              <w:rPr>
                <w:sz w:val="15"/>
                <w:szCs w:val="15"/>
                <w:color w:val="auto"/>
              </w:rPr>
            </w:pPr>
          </w:p>
        </w:tc>
        <w:tc>
          <w:tcPr>
            <w:tcW w:w="1480" w:type="dxa"/>
            <w:vAlign w:val="bottom"/>
            <w:tcBorders>
              <w:top w:val="single" w:sz="8" w:color="D5EEEE"/>
            </w:tcBorders>
            <w:shd w:val="clear" w:color="auto" w:fill="D5EEEE"/>
          </w:tcPr>
          <w:p>
            <w:pPr>
              <w:jc w:val="right"/>
              <w:spacing w:after="0" w:line="183" w:lineRule="exact"/>
              <w:rPr>
                <w:sz w:val="20"/>
                <w:szCs w:val="20"/>
                <w:color w:val="auto"/>
              </w:rPr>
            </w:pPr>
            <w:r>
              <w:rPr>
                <w:rFonts w:ascii="Times New Roman" w:cs="Times New Roman" w:eastAsia="Times New Roman" w:hAnsi="Times New Roman"/>
                <w:sz w:val="18"/>
                <w:szCs w:val="18"/>
                <w:color w:val="auto"/>
              </w:rPr>
              <w:t>(18,024)</w:t>
            </w:r>
          </w:p>
        </w:tc>
        <w:tc>
          <w:tcPr>
            <w:tcW w:w="100" w:type="dxa"/>
            <w:vAlign w:val="bottom"/>
            <w:tcBorders>
              <w:top w:val="single" w:sz="8" w:color="D5EEEE"/>
            </w:tcBorders>
            <w:shd w:val="clear" w:color="auto" w:fill="D5EEEE"/>
          </w:tcPr>
          <w:p>
            <w:pPr>
              <w:spacing w:after="0"/>
              <w:rPr>
                <w:sz w:val="15"/>
                <w:szCs w:val="15"/>
                <w:color w:val="auto"/>
              </w:rPr>
            </w:pPr>
          </w:p>
        </w:tc>
      </w:tr>
      <w:tr>
        <w:trPr>
          <w:trHeight w:val="221"/>
        </w:trPr>
        <w:tc>
          <w:tcPr>
            <w:tcW w:w="640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10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(19,332</w:t>
            </w:r>
          </w:p>
        </w:tc>
        <w:tc>
          <w:tcPr>
            <w:tcW w:w="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200" w:type="dxa"/>
            <w:vAlign w:val="bottom"/>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(50,208)</w:t>
            </w:r>
          </w:p>
        </w:tc>
        <w:tc>
          <w:tcPr>
            <w:tcW w:w="100" w:type="dxa"/>
            <w:vAlign w:val="bottom"/>
            <w:tcBorders>
              <w:bottom w:val="single" w:sz="8" w:color="D5EEEE"/>
            </w:tcBorders>
          </w:tcPr>
          <w:p>
            <w:pPr>
              <w:spacing w:after="0"/>
              <w:rPr>
                <w:sz w:val="19"/>
                <w:szCs w:val="19"/>
                <w:color w:val="auto"/>
              </w:rPr>
            </w:pPr>
          </w:p>
        </w:tc>
      </w:tr>
      <w:tr>
        <w:trPr>
          <w:trHeight w:val="203"/>
        </w:trPr>
        <w:tc>
          <w:tcPr>
            <w:tcW w:w="6400" w:type="dxa"/>
            <w:vAlign w:val="bottom"/>
            <w:shd w:val="clear" w:color="auto" w:fill="D5EEEE"/>
          </w:tcPr>
          <w:p>
            <w:pPr>
              <w:spacing w:after="0"/>
              <w:rPr>
                <w:sz w:val="17"/>
                <w:szCs w:val="17"/>
                <w:color w:val="auto"/>
              </w:rPr>
            </w:pPr>
          </w:p>
        </w:tc>
        <w:tc>
          <w:tcPr>
            <w:tcW w:w="140" w:type="dxa"/>
            <w:vAlign w:val="bottom"/>
            <w:shd w:val="clear" w:color="auto" w:fill="D5EEE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900</w:t>
            </w:r>
          </w:p>
        </w:tc>
        <w:tc>
          <w:tcPr>
            <w:tcW w:w="20" w:type="dxa"/>
            <w:vAlign w:val="bottom"/>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64,065</w:t>
            </w:r>
          </w:p>
        </w:tc>
        <w:tc>
          <w:tcPr>
            <w:tcW w:w="100" w:type="dxa"/>
            <w:vAlign w:val="bottom"/>
            <w:shd w:val="clear" w:color="auto" w:fill="D5EEEE"/>
          </w:tcPr>
          <w:p>
            <w:pPr>
              <w:spacing w:after="0"/>
              <w:rPr>
                <w:sz w:val="17"/>
                <w:szCs w:val="17"/>
                <w:color w:val="auto"/>
              </w:rPr>
            </w:pPr>
          </w:p>
        </w:tc>
      </w:tr>
      <w:tr>
        <w:trPr>
          <w:trHeight w:val="221"/>
        </w:trPr>
        <w:tc>
          <w:tcPr>
            <w:tcW w:w="640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8"/>
                <w:szCs w:val="18"/>
                <w:color w:val="auto"/>
              </w:rPr>
              <w:t>Effect of foreign exchange rate on cash and cash equivalents and restricted cash</w:t>
            </w:r>
          </w:p>
        </w:tc>
        <w:tc>
          <w:tcPr>
            <w:tcW w:w="14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10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20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D5EEEE"/>
            </w:tcBorders>
          </w:tcPr>
          <w:p>
            <w:pPr>
              <w:spacing w:after="0"/>
              <w:rPr>
                <w:sz w:val="19"/>
                <w:szCs w:val="19"/>
                <w:color w:val="auto"/>
              </w:rPr>
            </w:pPr>
          </w:p>
        </w:tc>
      </w:tr>
      <w:tr>
        <w:trPr>
          <w:trHeight w:val="218"/>
        </w:trPr>
        <w:tc>
          <w:tcPr>
            <w:tcW w:w="6400" w:type="dxa"/>
            <w:vAlign w:val="bottom"/>
            <w:shd w:val="clear" w:color="auto" w:fill="D5EEEE"/>
          </w:tcPr>
          <w:p>
            <w:pPr>
              <w:spacing w:after="0" w:line="203" w:lineRule="exact"/>
              <w:rPr>
                <w:sz w:val="20"/>
                <w:szCs w:val="20"/>
                <w:color w:val="auto"/>
              </w:rPr>
            </w:pPr>
            <w:r>
              <w:rPr>
                <w:rFonts w:ascii="Times New Roman" w:cs="Times New Roman" w:eastAsia="Times New Roman" w:hAnsi="Times New Roman"/>
                <w:sz w:val="18"/>
                <w:szCs w:val="18"/>
                <w:color w:val="auto"/>
              </w:rPr>
              <w:t>Net increase/(decrease) in cash and cash equivalents and restricted cash</w:t>
            </w:r>
          </w:p>
        </w:tc>
        <w:tc>
          <w:tcPr>
            <w:tcW w:w="140" w:type="dxa"/>
            <w:vAlign w:val="bottom"/>
            <w:shd w:val="clear" w:color="auto" w:fill="D5EEE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(37,548</w:t>
            </w:r>
          </w:p>
        </w:tc>
        <w:tc>
          <w:tcPr>
            <w:tcW w:w="20" w:type="dxa"/>
            <w:vAlign w:val="bottom"/>
          </w:tcPr>
          <w:p>
            <w:pPr>
              <w:spacing w:after="0"/>
              <w:rPr>
                <w:sz w:val="18"/>
                <w:szCs w:val="18"/>
                <w:color w:val="auto"/>
              </w:rPr>
            </w:pPr>
          </w:p>
        </w:tc>
        <w:tc>
          <w:tcPr>
            <w:tcW w:w="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5EEEE"/>
              </w:rPr>
              <w:t>)</w:t>
            </w:r>
          </w:p>
        </w:tc>
        <w:tc>
          <w:tcPr>
            <w:tcW w:w="200" w:type="dxa"/>
            <w:vAlign w:val="bottom"/>
            <w:shd w:val="clear" w:color="auto" w:fill="D5EEE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100" w:type="dxa"/>
            <w:vAlign w:val="bottom"/>
            <w:shd w:val="clear" w:color="auto" w:fill="D5EEEE"/>
          </w:tcPr>
          <w:p>
            <w:pPr>
              <w:spacing w:after="0"/>
              <w:rPr>
                <w:sz w:val="18"/>
                <w:szCs w:val="18"/>
                <w:color w:val="auto"/>
              </w:rPr>
            </w:pPr>
          </w:p>
        </w:tc>
      </w:tr>
      <w:tr>
        <w:trPr>
          <w:trHeight w:val="206"/>
        </w:trPr>
        <w:tc>
          <w:tcPr>
            <w:tcW w:w="6400" w:type="dxa"/>
            <w:vAlign w:val="bottom"/>
            <w:tcBorders>
              <w:bottom w:val="single" w:sz="8" w:color="D5EEEE"/>
            </w:tcBorders>
          </w:tcPr>
          <w:p>
            <w:pPr>
              <w:spacing w:after="0"/>
              <w:rPr>
                <w:sz w:val="17"/>
                <w:szCs w:val="17"/>
                <w:color w:val="auto"/>
              </w:rPr>
            </w:pPr>
          </w:p>
        </w:tc>
        <w:tc>
          <w:tcPr>
            <w:tcW w:w="14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10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55,712</w:t>
            </w:r>
          </w:p>
        </w:tc>
        <w:tc>
          <w:tcPr>
            <w:tcW w:w="2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59,966</w:t>
            </w:r>
          </w:p>
        </w:tc>
        <w:tc>
          <w:tcPr>
            <w:tcW w:w="100" w:type="dxa"/>
            <w:vAlign w:val="bottom"/>
            <w:tcBorders>
              <w:bottom w:val="single" w:sz="8" w:color="D5EEEE"/>
            </w:tcBorders>
          </w:tcPr>
          <w:p>
            <w:pPr>
              <w:spacing w:after="0"/>
              <w:rPr>
                <w:sz w:val="17"/>
                <w:szCs w:val="17"/>
                <w:color w:val="auto"/>
              </w:rPr>
            </w:pPr>
          </w:p>
        </w:tc>
      </w:tr>
      <w:tr>
        <w:trPr>
          <w:trHeight w:val="203"/>
        </w:trPr>
        <w:tc>
          <w:tcPr>
            <w:tcW w:w="6400" w:type="dxa"/>
            <w:vAlign w:val="bottom"/>
            <w:shd w:val="clear" w:color="auto" w:fill="D5EEEE"/>
          </w:tcPr>
          <w:p>
            <w:pPr>
              <w:spacing w:after="0"/>
              <w:rPr>
                <w:sz w:val="17"/>
                <w:szCs w:val="17"/>
                <w:color w:val="auto"/>
              </w:rPr>
            </w:pPr>
          </w:p>
        </w:tc>
        <w:tc>
          <w:tcPr>
            <w:tcW w:w="140" w:type="dxa"/>
            <w:vAlign w:val="bottom"/>
            <w:shd w:val="clear" w:color="auto" w:fill="D5EEE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18,164</w:t>
            </w:r>
          </w:p>
        </w:tc>
        <w:tc>
          <w:tcPr>
            <w:tcW w:w="20" w:type="dxa"/>
            <w:vAlign w:val="bottom"/>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55,712</w:t>
            </w:r>
          </w:p>
        </w:tc>
        <w:tc>
          <w:tcPr>
            <w:tcW w:w="100" w:type="dxa"/>
            <w:vAlign w:val="bottom"/>
            <w:shd w:val="clear" w:color="auto" w:fill="D5EEEE"/>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5252085</wp:posOffset>
            </wp:positionH>
            <wp:positionV relativeFrom="paragraph">
              <wp:posOffset>-1275715</wp:posOffset>
            </wp:positionV>
            <wp:extent cx="1276985"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6985" cy="37465"/>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-1000125</wp:posOffset>
            </wp:positionV>
            <wp:extent cx="6198870" cy="10134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98870" cy="1013460"/>
                    </a:xfrm>
                    <a:prstGeom prst="rect">
                      <a:avLst/>
                    </a:prstGeom>
                    <a:noFill/>
                  </pic:spPr>
                </pic:pic>
              </a:graphicData>
            </a:graphic>
          </wp:anchor>
        </w:drawing>
      </w:r>
    </w:p>
    <w:p>
      <w:pPr>
        <w:spacing w:after="0" w:line="178" w:lineRule="exact"/>
        <w:rPr>
          <w:sz w:val="20"/>
          <w:szCs w:val="20"/>
          <w:color w:val="auto"/>
        </w:rPr>
      </w:pPr>
    </w:p>
    <w:p>
      <w:pPr>
        <w:ind w:right="180" w:firstLine="720"/>
        <w:spacing w:after="0" w:line="254" w:lineRule="auto"/>
        <w:rPr>
          <w:sz w:val="20"/>
          <w:szCs w:val="20"/>
          <w:color w:val="auto"/>
        </w:rPr>
      </w:pPr>
      <w:r>
        <w:rPr>
          <w:rFonts w:ascii="Times New Roman" w:cs="Times New Roman" w:eastAsia="Times New Roman" w:hAnsi="Times New Roman"/>
          <w:sz w:val="20"/>
          <w:szCs w:val="20"/>
          <w:color w:val="auto"/>
        </w:rPr>
        <w:t>Net cash used in operating activities was $19.1 million during the year-ended December 31, 2022, and $18.0 million during the year-ended December 31, 2021. The increase was primarily resulted from higher operating costs, partially offset by increased revenues.</w:t>
      </w:r>
    </w:p>
    <w:p>
      <w:pPr>
        <w:spacing w:after="0" w:line="172" w:lineRule="exact"/>
        <w:rPr>
          <w:sz w:val="20"/>
          <w:szCs w:val="20"/>
          <w:color w:val="auto"/>
        </w:rPr>
      </w:pPr>
    </w:p>
    <w:p>
      <w:pPr>
        <w:ind w:right="120" w:firstLine="720"/>
        <w:spacing w:after="0" w:line="253" w:lineRule="auto"/>
        <w:rPr>
          <w:sz w:val="20"/>
          <w:szCs w:val="20"/>
          <w:color w:val="auto"/>
        </w:rPr>
      </w:pPr>
      <w:r>
        <w:rPr>
          <w:rFonts w:ascii="Times New Roman" w:cs="Times New Roman" w:eastAsia="Times New Roman" w:hAnsi="Times New Roman"/>
          <w:sz w:val="20"/>
          <w:szCs w:val="20"/>
          <w:color w:val="auto"/>
        </w:rPr>
        <w:t>Net cash used in investing activities was $19.3 million during the year-ended December 31, 2022 and $50.2 million during the during the year-ended December 31, 2021. Cash flows used for investing activities were primarily attributable to investing excess cash in marketable securities in the prior year.</w:t>
      </w:r>
    </w:p>
    <w:p>
      <w:pPr>
        <w:spacing w:after="0" w:line="187" w:lineRule="exact"/>
        <w:rPr>
          <w:sz w:val="20"/>
          <w:szCs w:val="20"/>
          <w:color w:val="auto"/>
        </w:rPr>
      </w:pPr>
    </w:p>
    <w:p>
      <w:pPr>
        <w:ind w:right="20" w:firstLine="720"/>
        <w:spacing w:after="0" w:line="274" w:lineRule="auto"/>
        <w:rPr>
          <w:sz w:val="20"/>
          <w:szCs w:val="20"/>
          <w:color w:val="auto"/>
        </w:rPr>
      </w:pPr>
      <w:r>
        <w:rPr>
          <w:rFonts w:ascii="Times New Roman" w:cs="Times New Roman" w:eastAsia="Times New Roman" w:hAnsi="Times New Roman"/>
          <w:sz w:val="20"/>
          <w:szCs w:val="20"/>
          <w:color w:val="auto"/>
        </w:rPr>
        <w:t>Net cash provided by financing activities was $0.9 million and $64.1 million for the year-ended December 31, 2022 and 2021 respectively. The decrease in cash provided by financing activities was due to the issuance of common stock during March 2021.</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Capital Management and Material Cash Requirements</w:t>
      </w:r>
    </w:p>
    <w:p>
      <w:pPr>
        <w:spacing w:after="0" w:line="116" w:lineRule="exact"/>
        <w:rPr>
          <w:sz w:val="20"/>
          <w:szCs w:val="20"/>
          <w:color w:val="auto"/>
        </w:rPr>
      </w:pPr>
    </w:p>
    <w:p>
      <w:pPr>
        <w:ind w:right="120" w:firstLine="720"/>
        <w:spacing w:after="0" w:line="247" w:lineRule="auto"/>
        <w:rPr>
          <w:sz w:val="20"/>
          <w:szCs w:val="20"/>
          <w:color w:val="auto"/>
        </w:rPr>
      </w:pPr>
      <w:r>
        <w:rPr>
          <w:rFonts w:ascii="Times New Roman" w:cs="Times New Roman" w:eastAsia="Times New Roman" w:hAnsi="Times New Roman"/>
          <w:sz w:val="20"/>
          <w:szCs w:val="20"/>
          <w:color w:val="auto"/>
        </w:rPr>
        <w:t>We aim to manage capital so that the Company continues as a going concern while also maintaining optimal returns to stockholders and benefits for other stakeholders. We also aim to maintain a capital structure that ensures the lowest cost of capital available to the Company. We regularly review the Company’s capital structure and seek to take advantage of available opportunities to improve outcomes for the Company and its stockholders.</w:t>
      </w:r>
    </w:p>
    <w:p>
      <w:pPr>
        <w:spacing w:after="0" w:line="193" w:lineRule="exact"/>
        <w:rPr>
          <w:sz w:val="20"/>
          <w:szCs w:val="20"/>
          <w:color w:val="auto"/>
        </w:rPr>
      </w:pPr>
    </w:p>
    <w:p>
      <w:pPr>
        <w:ind w:right="20" w:firstLine="720"/>
        <w:spacing w:after="0"/>
        <w:rPr>
          <w:sz w:val="20"/>
          <w:szCs w:val="20"/>
          <w:color w:val="auto"/>
        </w:rPr>
      </w:pPr>
      <w:r>
        <w:rPr>
          <w:rFonts w:ascii="Times New Roman" w:cs="Times New Roman" w:eastAsia="Times New Roman" w:hAnsi="Times New Roman"/>
          <w:sz w:val="20"/>
          <w:szCs w:val="20"/>
          <w:color w:val="auto"/>
        </w:rPr>
        <w:t>For the annual period ended December 31, 2022, there were no dividends paid and we have no plans to commence the payment of dividends. We have no purchase commitments or long-term contractual obligations or purchase commitments, except for lease obligations as of December 31, 2022. Refer to Note 6 of our Consolidated Financial Statements for further details on our lease obligations. In addition, we have no off-balance sheet arrangements (as defined in the rules and regulations of the SEC) that have or are reasonably likely to have a current or future effect on our financial condition, changes in financial condition, revenues or expenses, results of operations, liquidity, capital expenditures or capital resources that is material investors. We have no committed plans to issue further shares on the market but will continue to assess market conditions and the Company’s cash flow requirements to ensure the Company is appropriately funded in order to pursue its various opportunities.</w:t>
      </w:r>
    </w:p>
    <w:p>
      <w:pPr>
        <w:spacing w:after="0" w:line="203" w:lineRule="exact"/>
        <w:rPr>
          <w:sz w:val="20"/>
          <w:szCs w:val="20"/>
          <w:color w:val="auto"/>
        </w:rPr>
      </w:pPr>
    </w:p>
    <w:p>
      <w:pPr>
        <w:ind w:right="160" w:firstLine="720"/>
        <w:spacing w:after="0" w:line="271" w:lineRule="auto"/>
        <w:rPr>
          <w:sz w:val="20"/>
          <w:szCs w:val="20"/>
          <w:color w:val="auto"/>
        </w:rPr>
      </w:pPr>
      <w:r>
        <w:rPr>
          <w:rFonts w:ascii="Times New Roman" w:cs="Times New Roman" w:eastAsia="Times New Roman" w:hAnsi="Times New Roman"/>
          <w:sz w:val="20"/>
          <w:szCs w:val="20"/>
          <w:color w:val="auto"/>
        </w:rPr>
        <w:t>There is no significant external borrowing at the reporting date. Neither the Company nor any of the subsidiaries are subject to externally imposed capital requirement.</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24" w:lineRule="exact"/>
        <w:rPr>
          <w:sz w:val="20"/>
          <w:szCs w:val="20"/>
          <w:color w:val="auto"/>
        </w:rPr>
      </w:pPr>
    </w:p>
    <w:p>
      <w:pPr>
        <w:ind w:right="660" w:firstLine="720"/>
        <w:spacing w:after="0" w:line="255" w:lineRule="auto"/>
        <w:rPr>
          <w:sz w:val="20"/>
          <w:szCs w:val="20"/>
          <w:color w:val="auto"/>
        </w:rPr>
      </w:pPr>
      <w:r>
        <w:rPr>
          <w:rFonts w:ascii="Times New Roman" w:cs="Times New Roman" w:eastAsia="Times New Roman" w:hAnsi="Times New Roman"/>
          <w:sz w:val="20"/>
          <w:szCs w:val="20"/>
          <w:color w:val="auto"/>
        </w:rPr>
        <w:t>The SEC defines “critical accounting policies” as those that require the application of management’s most difficult, subjective, or complex judgments, often as a result of the need to make estimates about the effect of matters that are inherently uncertain and may change in subsequent periods.</w:t>
      </w:r>
    </w:p>
    <w:p>
      <w:pPr>
        <w:spacing w:after="0" w:line="184"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U.S. Generally Accepted Accounting Practices, or U.S. GAAP, requires us to make estimates and assumptions that affect the reported amounts of assets and liabilities and disclosures of contingent assets and liabilities at the date of the financial statements and the reported amounts of revenues and expenses during the reporting period. We base those estimates on historical experience and on various assumptions that are believed to be reasonable under the circumstances. Actual results could differ from those estimates.</w:t>
      </w:r>
    </w:p>
    <w:p>
      <w:pPr>
        <w:sectPr>
          <w:pgSz w:w="11880" w:h="15480" w:orient="portrait"/>
          <w:cols w:equalWidth="0" w:num="1">
            <w:col w:w="10800"/>
          </w:cols>
          <w:pgMar w:left="540" w:top="887" w:right="540" w:bottom="0" w:gutter="0" w:footer="0" w:header="0"/>
        </w:sect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10800"/>
          </w:cols>
          <w:pgMar w:left="540" w:top="887" w:right="540" w:bottom="0" w:gutter="0" w:footer="0" w:header="0"/>
          <w:type w:val="continuous"/>
        </w:sectPr>
      </w:pPr>
    </w:p>
    <w:bookmarkStart w:id="39" w:name="page40"/>
    <w:bookmarkEnd w:id="39"/>
    <w:p>
      <w:pPr>
        <w:ind w:firstLine="720"/>
        <w:spacing w:after="0" w:line="249" w:lineRule="auto"/>
        <w:rPr>
          <w:sz w:val="20"/>
          <w:szCs w:val="20"/>
          <w:color w:val="auto"/>
        </w:rPr>
      </w:pPr>
      <w:r>
        <w:rPr>
          <w:rFonts w:ascii="Times New Roman" w:cs="Times New Roman" w:eastAsia="Times New Roman" w:hAnsi="Times New Roman"/>
          <w:sz w:val="20"/>
          <w:szCs w:val="20"/>
          <w:color w:val="auto"/>
        </w:rPr>
        <w:t>The following listing is not intended to be a comprehensive list of all of our accounting policies. Our significant accounting policies are described in Note 2 to our consolidated financial statements contained elsewhere in this Annual Report. In many cases, the accounting treatment of a particular transaction is dictated by U.S. GAAP, with no need for our judgment in its application. There are also areas in which our judgment in selecting an available alternative would not produce a materially different result. We have identified the following as our critical accounting policies.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19" w:lineRule="exact"/>
        <w:rPr>
          <w:sz w:val="20"/>
          <w:szCs w:val="20"/>
          <w:color w:val="auto"/>
        </w:rPr>
      </w:pPr>
    </w:p>
    <w:p>
      <w:pPr>
        <w:ind w:right="320" w:firstLine="720"/>
        <w:spacing w:after="0" w:line="259" w:lineRule="auto"/>
        <w:rPr>
          <w:sz w:val="20"/>
          <w:szCs w:val="20"/>
          <w:color w:val="auto"/>
        </w:rPr>
      </w:pPr>
      <w:r>
        <w:rPr>
          <w:rFonts w:ascii="Times New Roman" w:cs="Times New Roman" w:eastAsia="Times New Roman" w:hAnsi="Times New Roman"/>
          <w:sz w:val="20"/>
          <w:szCs w:val="20"/>
          <w:color w:val="auto"/>
        </w:rPr>
        <w:t>The Company adopted ASC Topic 606 – Revenue from Contracts with Customers, on July 1, 2018. Under Topic 606, the Company recognizes revenue when its customers obtain control of promised goods or services, in an amount that reflects the consideration which the Company expects to be entitled in exchange for those goods or services.</w:t>
      </w:r>
    </w:p>
    <w:p>
      <w:pPr>
        <w:spacing w:after="0" w:line="187" w:lineRule="exact"/>
        <w:rPr>
          <w:sz w:val="20"/>
          <w:szCs w:val="20"/>
          <w:color w:val="auto"/>
        </w:rPr>
      </w:pPr>
    </w:p>
    <w:p>
      <w:pPr>
        <w:ind w:right="620" w:firstLine="720"/>
        <w:spacing w:after="0" w:line="277" w:lineRule="auto"/>
        <w:rPr>
          <w:sz w:val="20"/>
          <w:szCs w:val="20"/>
          <w:color w:val="auto"/>
        </w:rPr>
      </w:pPr>
      <w:r>
        <w:rPr>
          <w:rFonts w:ascii="Times New Roman" w:cs="Times New Roman" w:eastAsia="Times New Roman" w:hAnsi="Times New Roman"/>
          <w:sz w:val="20"/>
          <w:szCs w:val="20"/>
          <w:color w:val="auto"/>
        </w:rPr>
        <w:t>To determine revenue recognition for arrangements that are within the scope of Topic 606, the Company performs the following five steps:</w:t>
      </w:r>
    </w:p>
    <w:p>
      <w:pPr>
        <w:spacing w:after="0" w:line="159" w:lineRule="exact"/>
        <w:rPr>
          <w:sz w:val="20"/>
          <w:szCs w:val="20"/>
          <w:color w:val="auto"/>
        </w:rPr>
      </w:pPr>
    </w:p>
    <w:p>
      <w:pPr>
        <w:ind w:left="720" w:hanging="72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 the contract with a customer</w:t>
      </w:r>
    </w:p>
    <w:p>
      <w:pPr>
        <w:spacing w:after="0" w:line="199"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 the performance obligations</w:t>
      </w:r>
    </w:p>
    <w:p>
      <w:pPr>
        <w:spacing w:after="0" w:line="199"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transaction price</w:t>
      </w:r>
    </w:p>
    <w:p>
      <w:pPr>
        <w:spacing w:after="0" w:line="199"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Allocate the transaction price to the performance obligations</w:t>
      </w:r>
    </w:p>
    <w:p>
      <w:pPr>
        <w:spacing w:after="0" w:line="202" w:lineRule="exact"/>
        <w:rPr>
          <w:rFonts w:ascii="Times New Roman" w:cs="Times New Roman" w:eastAsia="Times New Roman" w:hAnsi="Times New Roman"/>
          <w:sz w:val="20"/>
          <w:szCs w:val="20"/>
          <w:color w:val="auto"/>
        </w:rPr>
      </w:pPr>
    </w:p>
    <w:p>
      <w:pPr>
        <w:ind w:left="720" w:hanging="72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Recognize revenue when/as performance obligation(s) are satisfied</w:t>
      </w:r>
    </w:p>
    <w:p>
      <w:pPr>
        <w:spacing w:after="0" w:line="233" w:lineRule="exact"/>
        <w:rPr>
          <w:sz w:val="20"/>
          <w:szCs w:val="20"/>
          <w:color w:val="auto"/>
        </w:rPr>
      </w:pPr>
    </w:p>
    <w:p>
      <w:pPr>
        <w:ind w:right="180" w:firstLine="720"/>
        <w:spacing w:after="0" w:line="239" w:lineRule="auto"/>
        <w:rPr>
          <w:sz w:val="20"/>
          <w:szCs w:val="20"/>
          <w:color w:val="auto"/>
        </w:rPr>
      </w:pPr>
      <w:r>
        <w:rPr>
          <w:rFonts w:ascii="Times New Roman" w:cs="Times New Roman" w:eastAsia="Times New Roman" w:hAnsi="Times New Roman"/>
          <w:sz w:val="20"/>
          <w:szCs w:val="20"/>
          <w:color w:val="auto"/>
        </w:rPr>
        <w:t>In order for an arrangement to be considered a contract, it must be probable that the Company will collect the consideration to which it is entitled for goods or services to be transferred. Once the contract is determined to be within the scope of ASC 606, the Company assesses the goods or services promised with each contract, determines whether those are performance obligations and the related transaction price. The Company then recognizes the sale of goods based on the transaction price that is allocated to the respective performance obligation when the performance obligation is satisfied.</w:t>
      </w:r>
    </w:p>
    <w:p>
      <w:pPr>
        <w:spacing w:after="0" w:line="197" w:lineRule="exact"/>
        <w:rPr>
          <w:sz w:val="20"/>
          <w:szCs w:val="20"/>
          <w:color w:val="auto"/>
        </w:rPr>
      </w:pPr>
    </w:p>
    <w:p>
      <w:pPr>
        <w:ind w:right="60" w:firstLine="720"/>
        <w:spacing w:after="0" w:line="238" w:lineRule="auto"/>
        <w:rPr>
          <w:sz w:val="20"/>
          <w:szCs w:val="20"/>
          <w:color w:val="auto"/>
        </w:rPr>
      </w:pPr>
      <w:r>
        <w:rPr>
          <w:rFonts w:ascii="Times New Roman" w:cs="Times New Roman" w:eastAsia="Times New Roman" w:hAnsi="Times New Roman"/>
          <w:sz w:val="20"/>
          <w:szCs w:val="20"/>
          <w:color w:val="auto"/>
        </w:rPr>
        <w:t>The Company’s revenue consists primarily of the sale of the RECELL System to hospitals or other treatment centers, COSMOTEC and to BARDA (collectively, “customers”), predominately in the United States. The Company evaluated the BARDA contract and concluded that a portion of the arrangement, such as the procurement of the RECELL system and the emergency preparedness, represents a transaction with a customer and as such are in the scope of ASC 606. Amounts received from BARDA for the research and development of the Company’s product are classified as BARDA income in the consolidated statement of operations and are accounted for under IAS 20. For further details refer to BARDA Income and Receivables below.</w:t>
      </w:r>
    </w:p>
    <w:p>
      <w:pPr>
        <w:spacing w:after="0" w:line="194" w:lineRule="exact"/>
        <w:rPr>
          <w:sz w:val="20"/>
          <w:szCs w:val="20"/>
          <w:color w:val="auto"/>
        </w:rPr>
      </w:pPr>
    </w:p>
    <w:p>
      <w:pPr>
        <w:ind w:right="60" w:firstLine="721"/>
        <w:spacing w:after="0" w:line="235" w:lineRule="auto"/>
        <w:rPr>
          <w:sz w:val="20"/>
          <w:szCs w:val="20"/>
          <w:color w:val="auto"/>
        </w:rPr>
      </w:pPr>
      <w:r>
        <w:rPr>
          <w:rFonts w:ascii="Times New Roman" w:cs="Times New Roman" w:eastAsia="Times New Roman" w:hAnsi="Times New Roman"/>
          <w:sz w:val="20"/>
          <w:szCs w:val="20"/>
          <w:color w:val="auto"/>
        </w:rPr>
        <w:t>Revenues for commercial customers (COSMOTEC, hospitals and treatment centers) are recognized as control of the product is transferred to customers, at an amount that reflects the consideration expected to be received in exchange for the product. Revenues are recognized net of volume discounts. As such, revenue is recognized only to the extent a significant reversal of revenues is not expected to occur in subsequent periods. For the Company’s contracts that have an original duration of one year or less, the Company used the practical expedient applicable to such contracts and does not consider the time value of money. Further, because of the short duration of these contracts, the Company has not disclosed the transaction price for the remaining performance obligations as of each reporting period or when the Company expects to recognize this revenue. The Company has further applied the practical expedient to exclude sales tax in the transaction price and expense contract fulfilment costs such as commissions and shipping and handling expenses as incurred.</w:t>
      </w:r>
    </w:p>
    <w:p>
      <w:pPr>
        <w:spacing w:after="0" w:line="204" w:lineRule="exact"/>
        <w:rPr>
          <w:sz w:val="20"/>
          <w:szCs w:val="20"/>
          <w:color w:val="auto"/>
        </w:rPr>
      </w:pPr>
    </w:p>
    <w:p>
      <w:pPr>
        <w:ind w:firstLine="721"/>
        <w:spacing w:after="0" w:line="246" w:lineRule="auto"/>
        <w:rPr>
          <w:sz w:val="20"/>
          <w:szCs w:val="20"/>
          <w:color w:val="auto"/>
        </w:rPr>
      </w:pPr>
      <w:r>
        <w:rPr>
          <w:rFonts w:ascii="Times New Roman" w:cs="Times New Roman" w:eastAsia="Times New Roman" w:hAnsi="Times New Roman"/>
          <w:sz w:val="20"/>
          <w:szCs w:val="20"/>
          <w:color w:val="auto"/>
        </w:rPr>
        <w:t>For revenues related to the BARDA contract with-in the scope of ASC 606, the Company identified two performance obligations (i) the procurement of 5,614 RECELL units, (ii) emergency preparedness services. Through this contract the Company promises to procure the product through a vendor management inventory arrangement and to stand ready to provide emergency deployment services related to the product. Emergency preparedness services include procuring necessary storage containers, housing, and maintaining the containers (and product), and providing shipping and handling services in the event of an emergency situation. This stand ready obligation is a series of distinct services that are substantially the same and have the same pattern of transfer to the customer, overtime as services are consumed.</w:t>
      </w:r>
    </w:p>
    <w:p>
      <w:pPr>
        <w:spacing w:after="0" w:line="201" w:lineRule="exact"/>
        <w:rPr>
          <w:sz w:val="20"/>
          <w:szCs w:val="20"/>
          <w:color w:val="auto"/>
        </w:rPr>
      </w:pPr>
    </w:p>
    <w:p>
      <w:pPr>
        <w:ind w:right="40" w:firstLine="721"/>
        <w:spacing w:after="0" w:line="252" w:lineRule="auto"/>
        <w:rPr>
          <w:sz w:val="20"/>
          <w:szCs w:val="20"/>
          <w:color w:val="auto"/>
        </w:rPr>
      </w:pPr>
      <w:r>
        <w:rPr>
          <w:rFonts w:ascii="Times New Roman" w:cs="Times New Roman" w:eastAsia="Times New Roman" w:hAnsi="Times New Roman"/>
          <w:sz w:val="20"/>
          <w:szCs w:val="20"/>
          <w:color w:val="auto"/>
        </w:rPr>
        <w:t>The total transaction price for the portion of the BARDA contract that is with-in the scope of ASC 606, was determined to be $9.2 million. The transaction price was allocated on a stand-alone selling price basis as follows: $7.6 million to the procurement of the RECELL product, which is classified as revenues when recognized in the consolidated statement of operations and $1.6 million to the emergency deployment services is be classified as revenues when recognized in the consolidated statement of operations. The</w:t>
      </w:r>
    </w:p>
    <w:p>
      <w:pPr>
        <w:sectPr>
          <w:pgSz w:w="11880" w:h="15480" w:orient="portrait"/>
          <w:cols w:equalWidth="0" w:num="1">
            <w:col w:w="10780"/>
          </w:cols>
          <w:pgMar w:left="540" w:top="887" w:right="560" w:bottom="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10780"/>
          </w:cols>
          <w:pgMar w:left="540" w:top="887" w:right="560" w:bottom="0" w:gutter="0" w:footer="0" w:header="0"/>
          <w:type w:val="continuous"/>
        </w:sectPr>
      </w:pPr>
    </w:p>
    <w:bookmarkStart w:id="40" w:name="page41"/>
    <w:bookmarkEnd w:id="40"/>
    <w:p>
      <w:pPr>
        <w:ind w:right="200"/>
        <w:spacing w:after="0" w:line="249" w:lineRule="auto"/>
        <w:rPr>
          <w:sz w:val="20"/>
          <w:szCs w:val="20"/>
          <w:color w:val="auto"/>
        </w:rPr>
      </w:pPr>
      <w:r>
        <w:rPr>
          <w:rFonts w:ascii="Times New Roman" w:cs="Times New Roman" w:eastAsia="Times New Roman" w:hAnsi="Times New Roman"/>
          <w:sz w:val="20"/>
          <w:szCs w:val="20"/>
          <w:color w:val="auto"/>
        </w:rPr>
        <w:t>$1.6 million for emergency deployment includes variable consideration which is deemed immaterial to the contract as a whole. The Company estimated the stand-alone selling price of the procurement of the RECELL product based on historical pricing of the Company’s product at the initial execution of the contract. The Company estimated the stand-alone selling price of the emergency deployment services performed based on the Company’s projected cost of providing the services plus an applicable profit margin as denoted in the contract.</w:t>
      </w:r>
    </w:p>
    <w:p>
      <w:pPr>
        <w:spacing w:after="0" w:line="197"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The Company’s performance obligations are either satisfied at a point in time or over time as services are provided. The product procurement performance obligation is satisfied at a point in time, upon transfer of control of the product. As such, the related revenue for these performance obligations is recognized at a point in time as revenue within the Company’s consolidated statement of operations. In addition to guidance under ASC 606, the Company recognizes revenue from the sales of RECELL product to BARDA for placement into vaccine stockpiles in accordance with Securities and Exchange Commission (SEC) Interpretation, Commission Guidance regarding Accounting for Sale of Vaccines and BioTerror Countermeasures to the Federal Government for Placement into the Pediatric Vaccine Stockpile or the Strategic National Stockpile (SNS). Under this guidance, revenue is recognized when product is placed in the BARDA vendor-managed inventory (“</w:t>
      </w:r>
      <w:r>
        <w:rPr>
          <w:rFonts w:ascii="Times New Roman" w:cs="Times New Roman" w:eastAsia="Times New Roman" w:hAnsi="Times New Roman"/>
          <w:sz w:val="20"/>
          <w:szCs w:val="20"/>
          <w:b w:val="1"/>
          <w:bCs w:val="1"/>
          <w:color w:val="auto"/>
        </w:rPr>
        <w:t>VMI</w:t>
      </w:r>
      <w:r>
        <w:rPr>
          <w:rFonts w:ascii="Times New Roman" w:cs="Times New Roman" w:eastAsia="Times New Roman" w:hAnsi="Times New Roman"/>
          <w:sz w:val="20"/>
          <w:szCs w:val="20"/>
          <w:color w:val="auto"/>
        </w:rPr>
        <w:t>”) as control of the product has been transferred to the customer at the time of delivery to the VMI. RECELL units that have been delivered to BARDA have a product replacement obligation at no cost to BARDA due to product’s limited shelf-life. The estimated cost of the expired inventory over the term of the contract is accrued on a per unit basis at the time of delivery. The liability is released upon replacement of the product along with a corresponding reduction to inventory. The emergency preparedness services performance obligation is satisfied over time. Revenue for the emergency deployment will be recognized on a straight-line basis during the term of the contract as services are consumed over time. Services recognized are included in sales within the consolidated statement of operations. Contract costs to fulfil the performance obligation are incremental and expected to be recovered are capitalized and amortized on a straight-line basis over the term of the contract. Contract costs are included in other long-term assets.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 Liabilities</w:t>
      </w:r>
    </w:p>
    <w:p>
      <w:pPr>
        <w:spacing w:after="0" w:line="119" w:lineRule="exact"/>
        <w:rPr>
          <w:sz w:val="20"/>
          <w:szCs w:val="20"/>
          <w:color w:val="auto"/>
        </w:rPr>
      </w:pPr>
    </w:p>
    <w:p>
      <w:pPr>
        <w:ind w:right="60" w:firstLine="721"/>
        <w:spacing w:after="0" w:line="250" w:lineRule="auto"/>
        <w:rPr>
          <w:sz w:val="20"/>
          <w:szCs w:val="20"/>
          <w:color w:val="auto"/>
        </w:rPr>
      </w:pPr>
      <w:r>
        <w:rPr>
          <w:rFonts w:ascii="Times New Roman" w:cs="Times New Roman" w:eastAsia="Times New Roman" w:hAnsi="Times New Roman"/>
          <w:sz w:val="20"/>
          <w:szCs w:val="20"/>
          <w:color w:val="auto"/>
        </w:rPr>
        <w:t>The Company receives payments from customers based on contractual terms. Trade receivables are recorded when the right to consideration becomes unconditional. The Company satisfies its performance obligation on product sales when the products are shipped or delivered, depending on the terms of the sale. Payment terms on invoiced amounts are typically 30-90 days, and do not include a financing component. Contract liabilities are recorded when the Company receives payment prior to satisfying its obligation to transfer goods to a customer.</w:t>
      </w:r>
    </w:p>
    <w:p>
      <w:pPr>
        <w:spacing w:after="0" w:line="192" w:lineRule="exact"/>
        <w:rPr>
          <w:sz w:val="20"/>
          <w:szCs w:val="20"/>
          <w:color w:val="auto"/>
        </w:rPr>
      </w:pPr>
    </w:p>
    <w:p>
      <w:pPr>
        <w:ind w:right="660" w:firstLine="721"/>
        <w:spacing w:after="0" w:line="279" w:lineRule="auto"/>
        <w:rPr>
          <w:sz w:val="20"/>
          <w:szCs w:val="20"/>
          <w:color w:val="auto"/>
        </w:rPr>
      </w:pPr>
      <w:r>
        <w:rPr>
          <w:rFonts w:ascii="Times New Roman" w:cs="Times New Roman" w:eastAsia="Times New Roman" w:hAnsi="Times New Roman"/>
          <w:sz w:val="20"/>
          <w:szCs w:val="20"/>
          <w:color w:val="auto"/>
        </w:rPr>
        <w:t>See Note 14 to our Consolidated Financial Statements included in this Annual Report for additional detail on revenue recognition.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Government Grants / BARDA Income and Receivables</w:t>
      </w:r>
    </w:p>
    <w:p>
      <w:pPr>
        <w:spacing w:after="0" w:line="119" w:lineRule="exact"/>
        <w:rPr>
          <w:sz w:val="20"/>
          <w:szCs w:val="20"/>
          <w:color w:val="auto"/>
        </w:rPr>
      </w:pPr>
    </w:p>
    <w:p>
      <w:pPr>
        <w:jc w:val="both"/>
        <w:ind w:right="440" w:firstLine="721"/>
        <w:spacing w:after="0" w:line="260" w:lineRule="auto"/>
        <w:rPr>
          <w:sz w:val="20"/>
          <w:szCs w:val="20"/>
          <w:color w:val="auto"/>
        </w:rPr>
      </w:pPr>
      <w:r>
        <w:rPr>
          <w:rFonts w:ascii="Times New Roman" w:cs="Times New Roman" w:eastAsia="Times New Roman" w:hAnsi="Times New Roman"/>
          <w:sz w:val="20"/>
          <w:szCs w:val="20"/>
          <w:color w:val="auto"/>
        </w:rPr>
        <w:t>AVITA Medical was granted a BARDA contract in September 2015, wherein BARDA provided funding to the AVITA Medical to support the ongoing U.S. clinical regulatory program towards FDA premarket approval, Compassionate Use program, clinical and health economics research, and U.S. pediatric burn programs.</w:t>
      </w:r>
    </w:p>
    <w:p>
      <w:pPr>
        <w:spacing w:after="0" w:line="182" w:lineRule="exact"/>
        <w:rPr>
          <w:sz w:val="20"/>
          <w:szCs w:val="20"/>
          <w:color w:val="auto"/>
        </w:rPr>
      </w:pPr>
    </w:p>
    <w:p>
      <w:pPr>
        <w:ind w:right="200" w:firstLine="721"/>
        <w:spacing w:after="0" w:line="279" w:lineRule="auto"/>
        <w:rPr>
          <w:sz w:val="20"/>
          <w:szCs w:val="20"/>
          <w:color w:val="auto"/>
        </w:rPr>
      </w:pPr>
      <w:r>
        <w:rPr>
          <w:rFonts w:ascii="Times New Roman" w:cs="Times New Roman" w:eastAsia="Times New Roman" w:hAnsi="Times New Roman"/>
          <w:sz w:val="19"/>
          <w:szCs w:val="19"/>
          <w:color w:val="auto"/>
        </w:rPr>
        <w:t>Income under the BARDA contract is earned under a cost-plus-fixed-fee arrangement in which the Company is reimbursed for direct costs incurred plus allowable indirect costs and a fixed-fee earned. Billings under the contracts are based on approved provisional indirect billing rates, which permit recovery of fringe benefits, general and administrative expenses and a fixed fee.</w:t>
      </w:r>
    </w:p>
    <w:p>
      <w:pPr>
        <w:spacing w:after="0" w:line="169" w:lineRule="exact"/>
        <w:rPr>
          <w:sz w:val="20"/>
          <w:szCs w:val="20"/>
          <w:color w:val="auto"/>
        </w:rPr>
      </w:pPr>
    </w:p>
    <w:p>
      <w:pPr>
        <w:ind w:firstLine="721"/>
        <w:spacing w:after="0" w:line="246" w:lineRule="auto"/>
        <w:rPr>
          <w:sz w:val="20"/>
          <w:szCs w:val="20"/>
          <w:color w:val="auto"/>
        </w:rPr>
      </w:pPr>
      <w:r>
        <w:rPr>
          <w:rFonts w:ascii="Times New Roman" w:cs="Times New Roman" w:eastAsia="Times New Roman" w:hAnsi="Times New Roman"/>
          <w:sz w:val="20"/>
          <w:szCs w:val="20"/>
          <w:color w:val="auto"/>
        </w:rPr>
        <w:t>The Company has concluded that grants are not within the scope of ASC 606, as they do not meet the definition of a contract with a “customer”. The Company has further concluded that Subtopic 958-605, Not-for-Profit-Entities-Revenue Recognition also does not apply, as the Company is a business entity, and the grants are with governmental agencies. Government grants and related receivables are recognized when there is reasonable assurance that the grant will be received, and all attaching conditions will be complied with. When the grant relates to an expense item, it is recognized as income over the periods necessary to match the grant on a systematic basis to the costs that it is intended to compensate. When the grant relates to an asset, the fair value is credited to deferred income and is released to the profit or loss over the expected useful life of the relevant asset by equal annual installments.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Share-Based Compensation</w:t>
      </w:r>
    </w:p>
    <w:p>
      <w:pPr>
        <w:spacing w:after="0" w:line="116" w:lineRule="exact"/>
        <w:rPr>
          <w:sz w:val="20"/>
          <w:szCs w:val="20"/>
          <w:color w:val="auto"/>
        </w:rPr>
      </w:pPr>
    </w:p>
    <w:p>
      <w:pPr>
        <w:ind w:right="60" w:firstLine="721"/>
        <w:spacing w:after="0" w:line="250" w:lineRule="auto"/>
        <w:rPr>
          <w:sz w:val="20"/>
          <w:szCs w:val="20"/>
          <w:color w:val="auto"/>
        </w:rPr>
      </w:pPr>
      <w:r>
        <w:rPr>
          <w:rFonts w:ascii="Times New Roman" w:cs="Times New Roman" w:eastAsia="Times New Roman" w:hAnsi="Times New Roman"/>
          <w:sz w:val="20"/>
          <w:szCs w:val="20"/>
          <w:color w:val="auto"/>
        </w:rPr>
        <w:t>The Company records compensation expense for share-based payments to employees, including grants of stock options, restricted stock units and performance-based awards based on the fair market value of the awards on the date of grant. The fair value of share-based compensation awards is amortized over the vesting period of the award. Compensation expense for performance-based awards is measured based on the number of shares ultimately expected to vest, estimated at each reporting date based on management’s expectations regarding the relevant performance criteria.</w:t>
      </w:r>
    </w:p>
    <w:p>
      <w:pPr>
        <w:sectPr>
          <w:pgSz w:w="11880" w:h="15480" w:orient="portrait"/>
          <w:cols w:equalWidth="0" w:num="1">
            <w:col w:w="10780"/>
          </w:cols>
          <w:pgMar w:left="540" w:top="887" w:right="560" w:bottom="0" w:gutter="0" w:footer="0" w:header="0"/>
        </w:sectPr>
      </w:pP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10780"/>
          </w:cols>
          <w:pgMar w:left="540" w:top="887" w:right="560" w:bottom="0" w:gutter="0" w:footer="0" w:header="0"/>
          <w:type w:val="continuous"/>
        </w:sectPr>
      </w:pPr>
    </w:p>
    <w:bookmarkStart w:id="41" w:name="page42"/>
    <w:bookmarkEnd w:id="41"/>
    <w:p>
      <w:pPr>
        <w:ind w:firstLine="720"/>
        <w:spacing w:after="0" w:line="260" w:lineRule="auto"/>
        <w:rPr>
          <w:sz w:val="20"/>
          <w:szCs w:val="20"/>
          <w:color w:val="auto"/>
        </w:rPr>
      </w:pPr>
      <w:r>
        <w:rPr>
          <w:rFonts w:ascii="Times New Roman" w:cs="Times New Roman" w:eastAsia="Times New Roman" w:hAnsi="Times New Roman"/>
          <w:sz w:val="20"/>
          <w:szCs w:val="20"/>
          <w:color w:val="auto"/>
        </w:rPr>
        <w:t>The Company estimates the fair value of tenure-based share options using the Black-Scholes option pricing model on the date of grant. The Company estimates the fair value of options with a performance condition and market condition using the Monte-Carlo simulation model. Restricted stock units are valued based on the market price on the grant date.</w:t>
      </w:r>
    </w:p>
    <w:p>
      <w:pPr>
        <w:spacing w:after="0" w:line="1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assumptions were used in the valuation of stock options.</w:t>
      </w:r>
    </w:p>
    <w:p>
      <w:pPr>
        <w:spacing w:after="0" w:line="252" w:lineRule="exact"/>
        <w:rPr>
          <w:sz w:val="20"/>
          <w:szCs w:val="20"/>
          <w:color w:val="auto"/>
        </w:rPr>
      </w:pPr>
    </w:p>
    <w:p>
      <w:pPr>
        <w:ind w:left="720" w:right="60" w:hanging="360"/>
        <w:spacing w:after="0" w:line="278" w:lineRule="auto"/>
        <w:tabs>
          <w:tab w:leader="none" w:pos="7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Expected volatility – determined using the average of the historical volatility using daily intervals over the expected term and the derived volatility using the longest term available of 12 months.</w:t>
      </w:r>
    </w:p>
    <w:p>
      <w:pPr>
        <w:spacing w:after="0" w:line="181" w:lineRule="exact"/>
        <w:rPr>
          <w:rFonts w:ascii="Arial" w:cs="Arial" w:eastAsia="Arial" w:hAnsi="Arial"/>
          <w:sz w:val="20"/>
          <w:szCs w:val="20"/>
          <w:color w:val="auto"/>
        </w:rPr>
      </w:pPr>
    </w:p>
    <w:p>
      <w:pPr>
        <w:ind w:left="720" w:right="340" w:hanging="360"/>
        <w:spacing w:after="0" w:line="278" w:lineRule="auto"/>
        <w:tabs>
          <w:tab w:leader="none" w:pos="7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Expected dividends – None, based on the fact that the Company has never paid cash dividends and does not expect to pay any cash dividends in the foreseeable future.</w:t>
      </w:r>
    </w:p>
    <w:p>
      <w:pPr>
        <w:spacing w:after="0" w:line="181" w:lineRule="exact"/>
        <w:rPr>
          <w:rFonts w:ascii="Arial" w:cs="Arial" w:eastAsia="Arial" w:hAnsi="Arial"/>
          <w:sz w:val="20"/>
          <w:szCs w:val="20"/>
          <w:color w:val="auto"/>
        </w:rPr>
      </w:pPr>
    </w:p>
    <w:p>
      <w:pPr>
        <w:ind w:left="720" w:right="140" w:hanging="360"/>
        <w:spacing w:after="0" w:line="246" w:lineRule="auto"/>
        <w:tabs>
          <w:tab w:leader="none" w:pos="7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Expected term – the expected term of the Company’s stock options for tenure only vesting has been determined utilizing the “simplified” method as described in the SEC’s Staff Accounting Bulletin No. 107 relating to stock-based compensation. The simplified method was chosen because the Company has limited historical option exercise experience due to its short operating history of awards granted, the first plan was established in 2016 and was primarily used for Executives awards. Further, the Company does not have sufficient history of exercises in the U.S. market given the Company’s redomiciliation from Australia to the United States in 2020. The expected term of options with a performance condition or market condition was set to the contractual term of 10 years.</w:t>
      </w:r>
    </w:p>
    <w:p>
      <w:pPr>
        <w:spacing w:after="0" w:line="212" w:lineRule="exact"/>
        <w:rPr>
          <w:rFonts w:ascii="Arial" w:cs="Arial" w:eastAsia="Arial" w:hAnsi="Arial"/>
          <w:sz w:val="20"/>
          <w:szCs w:val="20"/>
          <w:color w:val="auto"/>
        </w:rPr>
      </w:pPr>
    </w:p>
    <w:p>
      <w:pPr>
        <w:ind w:left="720" w:right="80" w:hanging="360"/>
        <w:spacing w:after="0" w:line="278" w:lineRule="auto"/>
        <w:tabs>
          <w:tab w:leader="none" w:pos="72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Risk-free interest rate – the risk-free interest rate is based on the U.S. Treasury yield in effect at the time of grant for a period approximately equal to the expected term of the award.</w:t>
      </w:r>
    </w:p>
    <w:p>
      <w:pPr>
        <w:spacing w:after="0" w:line="167" w:lineRule="exact"/>
        <w:rPr>
          <w:sz w:val="20"/>
          <w:szCs w:val="20"/>
          <w:color w:val="auto"/>
        </w:rPr>
      </w:pPr>
    </w:p>
    <w:p>
      <w:pPr>
        <w:ind w:right="360" w:firstLine="720"/>
        <w:spacing w:after="0" w:line="279" w:lineRule="auto"/>
        <w:rPr>
          <w:sz w:val="20"/>
          <w:szCs w:val="20"/>
          <w:color w:val="auto"/>
        </w:rPr>
      </w:pPr>
      <w:r>
        <w:rPr>
          <w:rFonts w:ascii="Times New Roman" w:cs="Times New Roman" w:eastAsia="Times New Roman" w:hAnsi="Times New Roman"/>
          <w:sz w:val="20"/>
          <w:szCs w:val="20"/>
          <w:color w:val="auto"/>
        </w:rPr>
        <w:t>See Note 15 to our Consolidated Financial Statements included in this Annual Report for additional detail on share-based compensation.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19"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Income taxes are accounted for using the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Deferred tax assets are reduced by a valuation allowance if it is more likely than not that a portion of the deferred tax asset will not be realized.</w:t>
      </w:r>
    </w:p>
    <w:p>
      <w:pPr>
        <w:spacing w:after="0" w:line="200" w:lineRule="exact"/>
        <w:rPr>
          <w:sz w:val="20"/>
          <w:szCs w:val="20"/>
          <w:color w:val="auto"/>
        </w:rPr>
      </w:pPr>
    </w:p>
    <w:p>
      <w:pPr>
        <w:ind w:right="60" w:firstLine="721"/>
        <w:spacing w:after="0" w:line="249" w:lineRule="auto"/>
        <w:rPr>
          <w:sz w:val="20"/>
          <w:szCs w:val="20"/>
          <w:color w:val="auto"/>
        </w:rPr>
      </w:pPr>
      <w:r>
        <w:rPr>
          <w:rFonts w:ascii="Times New Roman" w:cs="Times New Roman" w:eastAsia="Times New Roman" w:hAnsi="Times New Roman"/>
          <w:sz w:val="20"/>
          <w:szCs w:val="20"/>
          <w:color w:val="auto"/>
        </w:rPr>
        <w:t>The Company reviews its uncertain tax positions regularly. An uncertain tax position represents the Company’s expected treatment of a tax position taken in a filed return or planned to be taken in a future tax return or claim that has not been reflected in measuring income tax expense for financial reporting purposes. The Company recognizes the tax benefit from an uncertain tax position when it is more-likely-than-not that the position will be sustained upon examination on the basis of the technical merits or the statute of limitations for the relevant taxing authority to examine and challenge the tax position has expired.</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See Note 16 to our Consolidated Financial Statements included in this Annual Report for additional detail on income taxes.</w:t>
      </w:r>
    </w:p>
    <w:p>
      <w:pPr>
        <w:sectPr>
          <w:pgSz w:w="11880" w:h="15480" w:orient="portrait"/>
          <w:cols w:equalWidth="0" w:num="1">
            <w:col w:w="10800"/>
          </w:cols>
          <w:pgMar w:left="540" w:top="88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10800"/>
          </w:cols>
          <w:pgMar w:left="540" w:top="887" w:right="540" w:bottom="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4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As a smaller reporting company, we are not required to provide the information required by this item.</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1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financial statements and supplementary data are attached hereto beginning on Page F-1 and are incorporated by reference</w:t>
      </w:r>
    </w:p>
    <w:p>
      <w:pPr>
        <w:spacing w:after="0"/>
        <w:rPr>
          <w:sz w:val="20"/>
          <w:szCs w:val="20"/>
          <w:color w:val="auto"/>
        </w:rPr>
      </w:pPr>
      <w:r>
        <w:rPr>
          <w:rFonts w:ascii="Times New Roman" w:cs="Times New Roman" w:eastAsia="Times New Roman" w:hAnsi="Times New Roman"/>
          <w:sz w:val="20"/>
          <w:szCs w:val="20"/>
          <w:color w:val="auto"/>
        </w:rPr>
        <w:t>herein.</w:t>
      </w:r>
    </w:p>
    <w:p>
      <w:pPr>
        <w:spacing w:after="0" w:line="357" w:lineRule="exact"/>
        <w:rPr>
          <w:sz w:val="20"/>
          <w:szCs w:val="20"/>
          <w:color w:val="auto"/>
        </w:rPr>
      </w:pPr>
    </w:p>
    <w:p>
      <w:pPr>
        <w:ind w:right="940"/>
        <w:spacing w:after="0" w:line="286" w:lineRule="auto"/>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3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124"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chief executive officer and chief financial officer, or persons performing similar functions, as appropriate to allow timely decisions regarding required disclosure. As required by Rules 13a-15(b) and 15d-15(b) under the Exchange Act, our management, with the participation of our chief executive officer and chief financial officer, conducted an evaluation of the effectiveness of our disclosure controls and procedures as of December 31, 2022. Based on this evaluation, our chief executive officer and chief financial officer concluded that our disclosure controls and procedures were effective as of December 31, 2022.</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Annual Report on Internal Control over Financial Reporting</w:t>
      </w:r>
    </w:p>
    <w:p>
      <w:pPr>
        <w:spacing w:after="0" w:line="124" w:lineRule="exact"/>
        <w:rPr>
          <w:sz w:val="20"/>
          <w:szCs w:val="20"/>
          <w:color w:val="auto"/>
        </w:rPr>
      </w:pPr>
    </w:p>
    <w:p>
      <w:pPr>
        <w:ind w:right="180" w:firstLine="720"/>
        <w:spacing w:after="0" w:line="246"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for our company, as this term is defined in Rules 13a-15(f) and 15d-15(f) under the Exchange Act. As required by Rules 13a-15(e) and 15d-15(e) under the Exchange Act, our management, with the participation of our chief executive officer and chief financial officer, conducted an evaluation of the effectiveness of our internal control over financial reporting as of December 31, 2022, based on the criteria set forth in the Internal Control—Integrated Framework (2013) issued by the Committee of Sponsoring Organizations of the Treadway Commission. Based on this evaluation, our management concluded that our internal control over financial reporting was effective as of December 31, 2022.</w:t>
      </w:r>
    </w:p>
    <w:p>
      <w:pPr>
        <w:spacing w:after="0" w:line="201" w:lineRule="exact"/>
        <w:rPr>
          <w:sz w:val="20"/>
          <w:szCs w:val="20"/>
          <w:color w:val="auto"/>
        </w:rPr>
      </w:pPr>
    </w:p>
    <w:p>
      <w:pPr>
        <w:ind w:right="120" w:firstLine="720"/>
        <w:spacing w:after="0" w:line="258" w:lineRule="auto"/>
        <w:rPr>
          <w:sz w:val="20"/>
          <w:szCs w:val="20"/>
          <w:color w:val="auto"/>
        </w:rPr>
      </w:pPr>
      <w:r>
        <w:rPr>
          <w:rFonts w:ascii="Times New Roman" w:cs="Times New Roman" w:eastAsia="Times New Roman" w:hAnsi="Times New Roman"/>
          <w:sz w:val="20"/>
          <w:szCs w:val="20"/>
          <w:color w:val="auto"/>
        </w:rPr>
        <w:t>This report does not include an attestation report of our independent registered public accounting firm regarding our internal control over financial reporting, in accordance with applicable SEC rules that permit us to provide only management’s report in this report.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124" w:lineRule="exact"/>
        <w:rPr>
          <w:sz w:val="20"/>
          <w:szCs w:val="20"/>
          <w:color w:val="auto"/>
        </w:rPr>
      </w:pPr>
    </w:p>
    <w:p>
      <w:pPr>
        <w:ind w:right="700" w:firstLine="720"/>
        <w:spacing w:after="0" w:line="279" w:lineRule="auto"/>
        <w:rPr>
          <w:sz w:val="20"/>
          <w:szCs w:val="20"/>
          <w:color w:val="auto"/>
        </w:rPr>
      </w:pPr>
      <w:r>
        <w:rPr>
          <w:rFonts w:ascii="Times New Roman" w:cs="Times New Roman" w:eastAsia="Times New Roman" w:hAnsi="Times New Roman"/>
          <w:sz w:val="20"/>
          <w:szCs w:val="20"/>
          <w:color w:val="auto"/>
        </w:rPr>
        <w:t>During the three-months ended December 31, 2022, there were no material changes made in our internal control over financial reporting (as such term is defined in Rules 13a-15(f) and 15d-15(f) of the Exchange Act).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Inherent Limitations on Disclosure Controls and Procedures</w:t>
      </w:r>
    </w:p>
    <w:p>
      <w:pPr>
        <w:spacing w:after="0" w:line="124"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Management recognizes that any controls and procedures, no matter how well-designed and operated, can provide only reasonable assurance of achieving their objectives, and management necessarily applies its judgment in evaluating the benefits of possible controls and procedures relative to their costs. Because of these inherent limitations, our disclosure controls and procedures may not prevent or detect all instances of fraud, misstatements, or other control issues. In addition, projections of any evaluation of the effectiveness of disclosure or internal controls to future periods are subject to risks, including, among others, that controls may become inadequate because of changes in conditions or that the degree of compliance with policies or procedures may deteriorate.</w:t>
      </w:r>
    </w:p>
    <w:p>
      <w:pPr>
        <w:sectPr>
          <w:pgSz w:w="11880" w:h="15480" w:orient="portrait"/>
          <w:cols w:equalWidth="0" w:num="1">
            <w:col w:w="10800"/>
          </w:cols>
          <w:pgMar w:left="540" w:top="8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10800"/>
          </w:cols>
          <w:pgMar w:left="540" w:top="884" w:right="540" w:bottom="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1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9900"/>
          </w:cols>
          <w:pgMar w:left="540" w:top="88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9900"/>
          </w:cols>
          <w:pgMar w:left="540" w:top="884" w:right="1440" w:bottom="0" w:gutter="0" w:footer="0" w:header="0"/>
          <w:type w:val="continuous"/>
        </w:sectPr>
      </w:pPr>
    </w:p>
    <w:bookmarkStart w:id="44" w:name="page45"/>
    <w:bookmarkEnd w:id="44"/>
    <w:p>
      <w:pPr>
        <w:ind w:left="498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Identification of Directors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gridSpan w:val="2"/>
            <w:vMerge w:val="restart"/>
          </w:tcPr>
          <w:p>
            <w:pPr>
              <w:ind w:left="820"/>
              <w:spacing w:after="0"/>
              <w:rPr>
                <w:sz w:val="20"/>
                <w:szCs w:val="20"/>
                <w:color w:val="auto"/>
              </w:rPr>
            </w:pPr>
            <w:r>
              <w:rPr>
                <w:rFonts w:ascii="Times New Roman" w:cs="Times New Roman" w:eastAsia="Times New Roman" w:hAnsi="Times New Roman"/>
                <w:sz w:val="20"/>
                <w:szCs w:val="20"/>
                <w:b w:val="1"/>
                <w:bCs w:val="1"/>
                <w:color w:val="auto"/>
              </w:rPr>
              <w:t>Name</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Age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Position with the Company and Principal</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Director Since</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Board Term</w:t>
            </w:r>
          </w:p>
        </w:tc>
        <w:tc>
          <w:tcPr>
            <w:tcW w:w="0" w:type="dxa"/>
            <w:vAlign w:val="bottom"/>
          </w:tcPr>
          <w:p>
            <w:pPr>
              <w:spacing w:after="0"/>
              <w:rPr>
                <w:sz w:val="1"/>
                <w:szCs w:val="1"/>
                <w:color w:val="auto"/>
              </w:rPr>
            </w:pPr>
          </w:p>
        </w:tc>
      </w:tr>
      <w:tr>
        <w:trPr>
          <w:trHeight w:val="159"/>
        </w:trPr>
        <w:tc>
          <w:tcPr>
            <w:tcW w:w="2320" w:type="dxa"/>
            <w:vAlign w:val="bottom"/>
            <w:gridSpan w:val="2"/>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5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Occupation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Expires</w:t>
            </w:r>
          </w:p>
        </w:tc>
        <w:tc>
          <w:tcPr>
            <w:tcW w:w="0" w:type="dxa"/>
            <w:vAlign w:val="bottom"/>
          </w:tcPr>
          <w:p>
            <w:pPr>
              <w:spacing w:after="0"/>
              <w:rPr>
                <w:sz w:val="1"/>
                <w:szCs w:val="1"/>
                <w:color w:val="auto"/>
              </w:rPr>
            </w:pPr>
          </w:p>
        </w:tc>
      </w:tr>
      <w:tr>
        <w:trPr>
          <w:trHeight w:val="114"/>
        </w:trPr>
        <w:tc>
          <w:tcPr>
            <w:tcW w:w="2160" w:type="dxa"/>
            <w:vAlign w:val="bottom"/>
            <w:tcBorders>
              <w:bottom w:val="single" w:sz="8" w:color="auto"/>
            </w:tcBorders>
          </w:tcPr>
          <w:p>
            <w:pPr>
              <w:spacing w:after="0"/>
              <w:rPr>
                <w:sz w:val="9"/>
                <w:szCs w:val="9"/>
                <w:color w:val="auto"/>
              </w:rPr>
            </w:pPr>
          </w:p>
        </w:tc>
        <w:tc>
          <w:tcPr>
            <w:tcW w:w="160" w:type="dxa"/>
            <w:vAlign w:val="bottom"/>
            <w:tcBorders>
              <w:bottom w:val="single" w:sz="8" w:color="D5EEEE"/>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D5EEEE"/>
            </w:tcBorders>
          </w:tcPr>
          <w:p>
            <w:pPr>
              <w:spacing w:after="0"/>
              <w:rPr>
                <w:sz w:val="9"/>
                <w:szCs w:val="9"/>
                <w:color w:val="auto"/>
              </w:rPr>
            </w:pPr>
          </w:p>
        </w:tc>
        <w:tc>
          <w:tcPr>
            <w:tcW w:w="4540" w:type="dxa"/>
            <w:vAlign w:val="bottom"/>
            <w:tcBorders>
              <w:bottom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160" w:type="dxa"/>
            <w:vAlign w:val="bottom"/>
            <w:tcBorders>
              <w:top w:val="single" w:sz="8" w:color="D5EEEE"/>
            </w:tcBorders>
            <w:shd w:val="clear" w:color="auto" w:fill="D5EEEE"/>
          </w:tcPr>
          <w:p>
            <w:pPr>
              <w:ind w:left="140"/>
              <w:spacing w:after="0" w:line="214" w:lineRule="exact"/>
              <w:rPr>
                <w:sz w:val="20"/>
                <w:szCs w:val="20"/>
                <w:color w:val="auto"/>
              </w:rPr>
            </w:pPr>
            <w:r>
              <w:rPr>
                <w:rFonts w:ascii="Times New Roman" w:cs="Times New Roman" w:eastAsia="Times New Roman" w:hAnsi="Times New Roman"/>
                <w:sz w:val="20"/>
                <w:szCs w:val="20"/>
                <w:color w:val="auto"/>
              </w:rPr>
              <w:t>Lou Panaccio</w:t>
            </w:r>
          </w:p>
        </w:tc>
        <w:tc>
          <w:tcPr>
            <w:tcW w:w="160" w:type="dxa"/>
            <w:vAlign w:val="bottom"/>
            <w:tcBorders>
              <w:top w:val="single" w:sz="8" w:color="D5EEEE"/>
            </w:tcBorders>
            <w:shd w:val="clear" w:color="auto" w:fill="D5EEEE"/>
          </w:tcPr>
          <w:p>
            <w:pPr>
              <w:spacing w:after="0"/>
              <w:rPr>
                <w:sz w:val="18"/>
                <w:szCs w:val="18"/>
                <w:color w:val="auto"/>
              </w:rPr>
            </w:pPr>
          </w:p>
        </w:tc>
        <w:tc>
          <w:tcPr>
            <w:tcW w:w="820" w:type="dxa"/>
            <w:vAlign w:val="bottom"/>
            <w:tcBorders>
              <w:top w:val="single" w:sz="8" w:color="D5EEEE"/>
            </w:tcBorders>
            <w:shd w:val="clear" w:color="auto" w:fill="D5EEEE"/>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65</w:t>
            </w:r>
          </w:p>
        </w:tc>
        <w:tc>
          <w:tcPr>
            <w:tcW w:w="20" w:type="dxa"/>
            <w:vAlign w:val="bottom"/>
            <w:tcBorders>
              <w:top w:val="single" w:sz="8" w:color="D5EEEE"/>
            </w:tcBorders>
          </w:tcPr>
          <w:p>
            <w:pPr>
              <w:spacing w:after="0"/>
              <w:rPr>
                <w:sz w:val="18"/>
                <w:szCs w:val="18"/>
                <w:color w:val="auto"/>
              </w:rPr>
            </w:pPr>
          </w:p>
        </w:tc>
        <w:tc>
          <w:tcPr>
            <w:tcW w:w="100" w:type="dxa"/>
            <w:vAlign w:val="bottom"/>
            <w:tcBorders>
              <w:top w:val="single" w:sz="8" w:color="D5EEEE"/>
            </w:tcBorders>
            <w:shd w:val="clear" w:color="auto" w:fill="D5EEEE"/>
          </w:tcPr>
          <w:p>
            <w:pPr>
              <w:spacing w:after="0"/>
              <w:rPr>
                <w:sz w:val="18"/>
                <w:szCs w:val="18"/>
                <w:color w:val="auto"/>
              </w:rPr>
            </w:pPr>
          </w:p>
        </w:tc>
        <w:tc>
          <w:tcPr>
            <w:tcW w:w="4540" w:type="dxa"/>
            <w:vAlign w:val="bottom"/>
            <w:shd w:val="clear" w:color="auto" w:fill="D5EEEE"/>
          </w:tcPr>
          <w:p>
            <w:pPr>
              <w:jc w:val="center"/>
              <w:spacing w:after="0" w:line="214" w:lineRule="exact"/>
              <w:rPr>
                <w:sz w:val="20"/>
                <w:szCs w:val="20"/>
                <w:color w:val="auto"/>
              </w:rPr>
            </w:pPr>
            <w:r>
              <w:rPr>
                <w:rFonts w:ascii="Times New Roman" w:cs="Times New Roman" w:eastAsia="Times New Roman" w:hAnsi="Times New Roman"/>
                <w:sz w:val="20"/>
                <w:szCs w:val="20"/>
                <w:color w:val="auto"/>
              </w:rPr>
              <w:t>Chairman of the Board of Directors</w:t>
            </w:r>
          </w:p>
        </w:tc>
        <w:tc>
          <w:tcPr>
            <w:tcW w:w="20" w:type="dxa"/>
            <w:vAlign w:val="bottom"/>
          </w:tcPr>
          <w:p>
            <w:pPr>
              <w:spacing w:after="0"/>
              <w:rPr>
                <w:sz w:val="18"/>
                <w:szCs w:val="18"/>
                <w:color w:val="auto"/>
              </w:rPr>
            </w:pPr>
          </w:p>
        </w:tc>
        <w:tc>
          <w:tcPr>
            <w:tcW w:w="80" w:type="dxa"/>
            <w:vAlign w:val="bottom"/>
            <w:tcBorders>
              <w:top w:val="single" w:sz="8" w:color="D5EEEE"/>
            </w:tcBorders>
            <w:shd w:val="clear" w:color="auto" w:fill="D5EEEE"/>
          </w:tcPr>
          <w:p>
            <w:pPr>
              <w:spacing w:after="0"/>
              <w:rPr>
                <w:sz w:val="18"/>
                <w:szCs w:val="18"/>
                <w:color w:val="auto"/>
              </w:rPr>
            </w:pPr>
          </w:p>
        </w:tc>
        <w:tc>
          <w:tcPr>
            <w:tcW w:w="1460" w:type="dxa"/>
            <w:vAlign w:val="bottom"/>
            <w:tcBorders>
              <w:top w:val="single" w:sz="8" w:color="D5EEEE"/>
            </w:tcBorders>
            <w:shd w:val="clear" w:color="auto" w:fill="D5EEEE"/>
          </w:tcPr>
          <w:p>
            <w:pPr>
              <w:jc w:val="center"/>
              <w:spacing w:after="0" w:line="214" w:lineRule="exact"/>
              <w:rPr>
                <w:sz w:val="20"/>
                <w:szCs w:val="20"/>
                <w:color w:val="auto"/>
              </w:rPr>
            </w:pPr>
            <w:r>
              <w:rPr>
                <w:rFonts w:ascii="Times New Roman" w:cs="Times New Roman" w:eastAsia="Times New Roman" w:hAnsi="Times New Roman"/>
                <w:sz w:val="20"/>
                <w:szCs w:val="20"/>
                <w:color w:val="auto"/>
                <w:w w:val="99"/>
              </w:rPr>
              <w:t>July 2014</w:t>
            </w:r>
          </w:p>
        </w:tc>
        <w:tc>
          <w:tcPr>
            <w:tcW w:w="20" w:type="dxa"/>
            <w:vAlign w:val="bottom"/>
            <w:tcBorders>
              <w:top w:val="single" w:sz="8" w:color="D5EEEE"/>
            </w:tcBorders>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Borders>
              <w:top w:val="single" w:sz="8" w:color="D5EEEE"/>
            </w:tcBorders>
            <w:shd w:val="clear" w:color="auto" w:fill="D5EEEE"/>
          </w:tcPr>
          <w:p>
            <w:pPr>
              <w:jc w:val="center"/>
              <w:spacing w:after="0" w:line="214" w:lineRule="exact"/>
              <w:rPr>
                <w:sz w:val="20"/>
                <w:szCs w:val="20"/>
                <w:color w:val="auto"/>
              </w:rPr>
            </w:pPr>
            <w:r>
              <w:rPr>
                <w:rFonts w:ascii="Times New Roman" w:cs="Times New Roman" w:eastAsia="Times New Roman" w:hAnsi="Times New Roman"/>
                <w:sz w:val="20"/>
                <w:szCs w:val="20"/>
                <w:color w:val="auto"/>
                <w:shd w:val="clear" w:color="auto" w:fill="D5EEEE"/>
              </w:rPr>
              <w:t>December 2023</w:t>
            </w:r>
          </w:p>
        </w:tc>
        <w:tc>
          <w:tcPr>
            <w:tcW w:w="0" w:type="dxa"/>
            <w:vAlign w:val="bottom"/>
          </w:tcPr>
          <w:p>
            <w:pPr>
              <w:spacing w:after="0"/>
              <w:rPr>
                <w:sz w:val="1"/>
                <w:szCs w:val="1"/>
                <w:color w:val="auto"/>
              </w:rPr>
            </w:pPr>
          </w:p>
        </w:tc>
      </w:tr>
      <w:tr>
        <w:trPr>
          <w:trHeight w:val="245"/>
        </w:trPr>
        <w:tc>
          <w:tcPr>
            <w:tcW w:w="2160" w:type="dxa"/>
            <w:vAlign w:val="bottom"/>
            <w:tcBorders>
              <w:bottom w:val="single" w:sz="8" w:color="D5EEEE"/>
            </w:tcBorders>
          </w:tcPr>
          <w:p>
            <w:pPr>
              <w:ind w:left="140"/>
              <w:spacing w:after="0"/>
              <w:rPr>
                <w:sz w:val="20"/>
                <w:szCs w:val="20"/>
                <w:color w:val="auto"/>
              </w:rPr>
            </w:pPr>
            <w:r>
              <w:rPr>
                <w:rFonts w:ascii="Times New Roman" w:cs="Times New Roman" w:eastAsia="Times New Roman" w:hAnsi="Times New Roman"/>
                <w:sz w:val="20"/>
                <w:szCs w:val="20"/>
                <w:color w:val="auto"/>
              </w:rPr>
              <w:t>Jeremy Curnock Cook</w:t>
            </w:r>
          </w:p>
        </w:tc>
        <w:tc>
          <w:tcPr>
            <w:tcW w:w="160" w:type="dxa"/>
            <w:vAlign w:val="bottom"/>
            <w:tcBorders>
              <w:bottom w:val="single" w:sz="8" w:color="D5EEEE"/>
            </w:tcBorders>
          </w:tcPr>
          <w:p>
            <w:pPr>
              <w:spacing w:after="0"/>
              <w:rPr>
                <w:sz w:val="21"/>
                <w:szCs w:val="21"/>
                <w:color w:val="auto"/>
              </w:rPr>
            </w:pPr>
          </w:p>
        </w:tc>
        <w:tc>
          <w:tcPr>
            <w:tcW w:w="820" w:type="dxa"/>
            <w:vAlign w:val="bottom"/>
            <w:tcBorders>
              <w:bottom w:val="single" w:sz="8" w:color="D5EEEE"/>
            </w:tcBorders>
          </w:tcPr>
          <w:p>
            <w:pPr>
              <w:jc w:val="center"/>
              <w:spacing w:after="0"/>
              <w:rPr>
                <w:sz w:val="20"/>
                <w:szCs w:val="20"/>
                <w:color w:val="auto"/>
              </w:rPr>
            </w:pPr>
            <w:r>
              <w:rPr>
                <w:rFonts w:ascii="Times New Roman" w:cs="Times New Roman" w:eastAsia="Times New Roman" w:hAnsi="Times New Roman"/>
                <w:sz w:val="20"/>
                <w:szCs w:val="20"/>
                <w:color w:val="auto"/>
                <w:w w:val="99"/>
              </w:rPr>
              <w:t>73</w:t>
            </w: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Non-Executive Director</w:t>
            </w:r>
          </w:p>
        </w:tc>
        <w:tc>
          <w:tcPr>
            <w:tcW w:w="20" w:type="dxa"/>
            <w:vAlign w:val="bottom"/>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October 2012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Borders>
              <w:bottom w:val="single" w:sz="8" w:color="D5EEEE"/>
            </w:tcBorders>
          </w:tcPr>
          <w:p>
            <w:pPr>
              <w:jc w:val="center"/>
              <w:spacing w:after="0"/>
              <w:rPr>
                <w:sz w:val="20"/>
                <w:szCs w:val="20"/>
                <w:color w:val="auto"/>
              </w:rPr>
            </w:pPr>
            <w:r>
              <w:rPr>
                <w:rFonts w:ascii="Times New Roman" w:cs="Times New Roman" w:eastAsia="Times New Roman" w:hAnsi="Times New Roman"/>
                <w:sz w:val="20"/>
                <w:szCs w:val="20"/>
                <w:color w:val="auto"/>
                <w:highlight w:val="white"/>
              </w:rPr>
              <w:t>December 2023</w:t>
            </w:r>
          </w:p>
        </w:tc>
        <w:tc>
          <w:tcPr>
            <w:tcW w:w="0" w:type="dxa"/>
            <w:vAlign w:val="bottom"/>
          </w:tcPr>
          <w:p>
            <w:pPr>
              <w:spacing w:after="0"/>
              <w:rPr>
                <w:sz w:val="1"/>
                <w:szCs w:val="1"/>
                <w:color w:val="auto"/>
              </w:rPr>
            </w:pPr>
          </w:p>
        </w:tc>
      </w:tr>
      <w:tr>
        <w:trPr>
          <w:trHeight w:val="110"/>
        </w:trPr>
        <w:tc>
          <w:tcPr>
            <w:tcW w:w="2160" w:type="dxa"/>
            <w:vAlign w:val="bottom"/>
            <w:vMerge w:val="restart"/>
            <w:shd w:val="clear" w:color="auto" w:fill="D5EEEE"/>
          </w:tcPr>
          <w:p>
            <w:pPr>
              <w:ind w:left="140"/>
              <w:spacing w:after="0" w:line="205" w:lineRule="exact"/>
              <w:rPr>
                <w:sz w:val="20"/>
                <w:szCs w:val="20"/>
                <w:color w:val="auto"/>
              </w:rPr>
            </w:pPr>
            <w:r>
              <w:rPr>
                <w:rFonts w:ascii="Times New Roman" w:cs="Times New Roman" w:eastAsia="Times New Roman" w:hAnsi="Times New Roman"/>
                <w:sz w:val="20"/>
                <w:szCs w:val="20"/>
                <w:color w:val="auto"/>
              </w:rPr>
              <w:t>Professor Suzanne</w:t>
            </w:r>
          </w:p>
        </w:tc>
        <w:tc>
          <w:tcPr>
            <w:tcW w:w="160" w:type="dxa"/>
            <w:vAlign w:val="bottom"/>
            <w:shd w:val="clear" w:color="auto" w:fill="D5EEEE"/>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shd w:val="clear" w:color="auto" w:fill="D5EEEE"/>
          </w:tcPr>
          <w:p>
            <w:pPr>
              <w:spacing w:after="0"/>
              <w:rPr>
                <w:sz w:val="9"/>
                <w:szCs w:val="9"/>
                <w:color w:val="auto"/>
              </w:rPr>
            </w:pPr>
          </w:p>
        </w:tc>
        <w:tc>
          <w:tcPr>
            <w:tcW w:w="4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shd w:val="clear" w:color="auto" w:fill="D5EEEE"/>
          </w:tcPr>
          <w:p>
            <w:pPr>
              <w:spacing w:after="0"/>
              <w:rPr>
                <w:sz w:val="9"/>
                <w:szCs w:val="9"/>
                <w:color w:val="auto"/>
              </w:rPr>
            </w:pPr>
          </w:p>
        </w:tc>
        <w:tc>
          <w:tcPr>
            <w:tcW w:w="1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0" w:type="dxa"/>
            <w:vAlign w:val="bottom"/>
            <w:shd w:val="clear" w:color="auto" w:fill="D5EEE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160" w:type="dxa"/>
            <w:vAlign w:val="bottom"/>
            <w:vMerge w:val="continue"/>
            <w:shd w:val="clear" w:color="auto" w:fill="D5EEEE"/>
          </w:tcPr>
          <w:p>
            <w:pPr>
              <w:spacing w:after="0"/>
              <w:rPr>
                <w:sz w:val="8"/>
                <w:szCs w:val="8"/>
                <w:color w:val="auto"/>
              </w:rPr>
            </w:pPr>
          </w:p>
        </w:tc>
        <w:tc>
          <w:tcPr>
            <w:tcW w:w="160" w:type="dxa"/>
            <w:vAlign w:val="bottom"/>
            <w:shd w:val="clear" w:color="auto" w:fill="D5EEEE"/>
          </w:tcPr>
          <w:p>
            <w:pPr>
              <w:spacing w:after="0"/>
              <w:rPr>
                <w:sz w:val="8"/>
                <w:szCs w:val="8"/>
                <w:color w:val="auto"/>
              </w:rPr>
            </w:pPr>
          </w:p>
        </w:tc>
        <w:tc>
          <w:tcPr>
            <w:tcW w:w="820" w:type="dxa"/>
            <w:vAlign w:val="bottom"/>
            <w:vMerge w:val="restart"/>
            <w:shd w:val="clear" w:color="auto" w:fill="D5EEEE"/>
          </w:tcPr>
          <w:p>
            <w:pPr>
              <w:jc w:val="center"/>
              <w:spacing w:after="0"/>
              <w:rPr>
                <w:sz w:val="20"/>
                <w:szCs w:val="20"/>
                <w:color w:val="auto"/>
              </w:rPr>
            </w:pPr>
            <w:r>
              <w:rPr>
                <w:rFonts w:ascii="Times New Roman" w:cs="Times New Roman" w:eastAsia="Times New Roman" w:hAnsi="Times New Roman"/>
                <w:sz w:val="20"/>
                <w:szCs w:val="20"/>
                <w:color w:val="auto"/>
                <w:w w:val="99"/>
              </w:rPr>
              <w:t>72</w:t>
            </w:r>
          </w:p>
        </w:tc>
        <w:tc>
          <w:tcPr>
            <w:tcW w:w="20" w:type="dxa"/>
            <w:vAlign w:val="bottom"/>
          </w:tcPr>
          <w:p>
            <w:pPr>
              <w:spacing w:after="0"/>
              <w:rPr>
                <w:sz w:val="8"/>
                <w:szCs w:val="8"/>
                <w:color w:val="auto"/>
              </w:rPr>
            </w:pPr>
          </w:p>
        </w:tc>
        <w:tc>
          <w:tcPr>
            <w:tcW w:w="100" w:type="dxa"/>
            <w:vAlign w:val="bottom"/>
            <w:shd w:val="clear" w:color="auto" w:fill="D5EEEE"/>
          </w:tcPr>
          <w:p>
            <w:pPr>
              <w:spacing w:after="0"/>
              <w:rPr>
                <w:sz w:val="8"/>
                <w:szCs w:val="8"/>
                <w:color w:val="auto"/>
              </w:rPr>
            </w:pPr>
          </w:p>
        </w:tc>
        <w:tc>
          <w:tcPr>
            <w:tcW w:w="4540" w:type="dxa"/>
            <w:vAlign w:val="bottom"/>
            <w:vMerge w:val="restart"/>
            <w:shd w:val="clear" w:color="auto" w:fill="D5EEEE"/>
          </w:tcPr>
          <w:p>
            <w:pPr>
              <w:jc w:val="center"/>
              <w:spacing w:after="0"/>
              <w:rPr>
                <w:sz w:val="20"/>
                <w:szCs w:val="20"/>
                <w:color w:val="auto"/>
              </w:rPr>
            </w:pPr>
            <w:r>
              <w:rPr>
                <w:rFonts w:ascii="Times New Roman" w:cs="Times New Roman" w:eastAsia="Times New Roman" w:hAnsi="Times New Roman"/>
                <w:sz w:val="20"/>
                <w:szCs w:val="20"/>
                <w:color w:val="auto"/>
              </w:rPr>
              <w:t>Non-Executive Director</w:t>
            </w:r>
          </w:p>
        </w:tc>
        <w:tc>
          <w:tcPr>
            <w:tcW w:w="20" w:type="dxa"/>
            <w:vAlign w:val="bottom"/>
          </w:tcPr>
          <w:p>
            <w:pPr>
              <w:spacing w:after="0"/>
              <w:rPr>
                <w:sz w:val="8"/>
                <w:szCs w:val="8"/>
                <w:color w:val="auto"/>
              </w:rPr>
            </w:pPr>
          </w:p>
        </w:tc>
        <w:tc>
          <w:tcPr>
            <w:tcW w:w="80" w:type="dxa"/>
            <w:vAlign w:val="bottom"/>
            <w:shd w:val="clear" w:color="auto" w:fill="D5EEEE"/>
          </w:tcPr>
          <w:p>
            <w:pPr>
              <w:spacing w:after="0"/>
              <w:rPr>
                <w:sz w:val="8"/>
                <w:szCs w:val="8"/>
                <w:color w:val="auto"/>
              </w:rPr>
            </w:pPr>
          </w:p>
        </w:tc>
        <w:tc>
          <w:tcPr>
            <w:tcW w:w="1460" w:type="dxa"/>
            <w:vAlign w:val="bottom"/>
            <w:vMerge w:val="restart"/>
            <w:shd w:val="clear" w:color="auto" w:fill="D5EEEE"/>
          </w:tcPr>
          <w:p>
            <w:pPr>
              <w:jc w:val="center"/>
              <w:spacing w:after="0"/>
              <w:rPr>
                <w:sz w:val="20"/>
                <w:szCs w:val="20"/>
                <w:color w:val="auto"/>
              </w:rPr>
            </w:pPr>
            <w:r>
              <w:rPr>
                <w:rFonts w:ascii="Times New Roman" w:cs="Times New Roman" w:eastAsia="Times New Roman" w:hAnsi="Times New Roman"/>
                <w:sz w:val="20"/>
                <w:szCs w:val="20"/>
                <w:color w:val="auto"/>
                <w:w w:val="98"/>
              </w:rPr>
              <w:t>January 2016</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vMerge w:val="restart"/>
            <w:shd w:val="clear" w:color="auto" w:fill="D5EEEE"/>
          </w:tcPr>
          <w:p>
            <w:pPr>
              <w:jc w:val="center"/>
              <w:spacing w:after="0"/>
              <w:rPr>
                <w:sz w:val="20"/>
                <w:szCs w:val="20"/>
                <w:color w:val="auto"/>
              </w:rPr>
            </w:pPr>
            <w:r>
              <w:rPr>
                <w:rFonts w:ascii="Times New Roman" w:cs="Times New Roman" w:eastAsia="Times New Roman" w:hAnsi="Times New Roman"/>
                <w:sz w:val="20"/>
                <w:szCs w:val="20"/>
                <w:color w:val="auto"/>
                <w:shd w:val="clear" w:color="auto" w:fill="D5EEEE"/>
              </w:rPr>
              <w:t>December 2023</w:t>
            </w:r>
          </w:p>
        </w:tc>
        <w:tc>
          <w:tcPr>
            <w:tcW w:w="0" w:type="dxa"/>
            <w:vAlign w:val="bottom"/>
          </w:tcPr>
          <w:p>
            <w:pPr>
              <w:spacing w:after="0"/>
              <w:rPr>
                <w:sz w:val="1"/>
                <w:szCs w:val="1"/>
                <w:color w:val="auto"/>
              </w:rPr>
            </w:pPr>
          </w:p>
        </w:tc>
      </w:tr>
      <w:tr>
        <w:trPr>
          <w:trHeight w:val="135"/>
        </w:trPr>
        <w:tc>
          <w:tcPr>
            <w:tcW w:w="2160" w:type="dxa"/>
            <w:vAlign w:val="bottom"/>
            <w:vMerge w:val="restart"/>
            <w:shd w:val="clear" w:color="auto" w:fill="D5EEEE"/>
          </w:tcPr>
          <w:p>
            <w:pPr>
              <w:ind w:left="140"/>
              <w:spacing w:after="0"/>
              <w:rPr>
                <w:sz w:val="20"/>
                <w:szCs w:val="20"/>
                <w:color w:val="auto"/>
              </w:rPr>
            </w:pPr>
            <w:r>
              <w:rPr>
                <w:rFonts w:ascii="Times New Roman" w:cs="Times New Roman" w:eastAsia="Times New Roman" w:hAnsi="Times New Roman"/>
                <w:sz w:val="20"/>
                <w:szCs w:val="20"/>
                <w:color w:val="auto"/>
              </w:rPr>
              <w:t>Crowe</w:t>
            </w:r>
          </w:p>
        </w:tc>
        <w:tc>
          <w:tcPr>
            <w:tcW w:w="160" w:type="dxa"/>
            <w:vAlign w:val="bottom"/>
            <w:shd w:val="clear" w:color="auto" w:fill="D5EEEE"/>
          </w:tcPr>
          <w:p>
            <w:pPr>
              <w:spacing w:after="0"/>
              <w:rPr>
                <w:sz w:val="11"/>
                <w:szCs w:val="11"/>
                <w:color w:val="auto"/>
              </w:rPr>
            </w:pPr>
          </w:p>
        </w:tc>
        <w:tc>
          <w:tcPr>
            <w:tcW w:w="820" w:type="dxa"/>
            <w:vAlign w:val="bottom"/>
            <w:vMerge w:val="continue"/>
            <w:shd w:val="clear" w:color="auto" w:fill="D5EEE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D5EEEE"/>
          </w:tcPr>
          <w:p>
            <w:pPr>
              <w:spacing w:after="0"/>
              <w:rPr>
                <w:sz w:val="11"/>
                <w:szCs w:val="11"/>
                <w:color w:val="auto"/>
              </w:rPr>
            </w:pPr>
          </w:p>
        </w:tc>
        <w:tc>
          <w:tcPr>
            <w:tcW w:w="4540" w:type="dxa"/>
            <w:vAlign w:val="bottom"/>
            <w:vMerge w:val="continue"/>
            <w:shd w:val="clear" w:color="auto" w:fill="D5EEE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D5EEEE"/>
          </w:tcPr>
          <w:p>
            <w:pPr>
              <w:spacing w:after="0"/>
              <w:rPr>
                <w:sz w:val="11"/>
                <w:szCs w:val="11"/>
                <w:color w:val="auto"/>
              </w:rPr>
            </w:pPr>
          </w:p>
        </w:tc>
        <w:tc>
          <w:tcPr>
            <w:tcW w:w="1460" w:type="dxa"/>
            <w:vAlign w:val="bottom"/>
            <w:vMerge w:val="continue"/>
            <w:shd w:val="clear" w:color="auto" w:fill="D5EEEE"/>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vMerge w:val="continue"/>
            <w:shd w:val="clear" w:color="auto" w:fill="D5EEE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160" w:type="dxa"/>
            <w:vAlign w:val="bottom"/>
            <w:vMerge w:val="continue"/>
            <w:shd w:val="clear" w:color="auto" w:fill="D5EEEE"/>
          </w:tcPr>
          <w:p>
            <w:pPr>
              <w:spacing w:after="0"/>
              <w:rPr>
                <w:sz w:val="10"/>
                <w:szCs w:val="10"/>
                <w:color w:val="auto"/>
              </w:rPr>
            </w:pPr>
          </w:p>
        </w:tc>
        <w:tc>
          <w:tcPr>
            <w:tcW w:w="160" w:type="dxa"/>
            <w:vAlign w:val="bottom"/>
            <w:shd w:val="clear" w:color="auto" w:fill="D5EEEE"/>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D5EEEE"/>
          </w:tcPr>
          <w:p>
            <w:pPr>
              <w:spacing w:after="0"/>
              <w:rPr>
                <w:sz w:val="10"/>
                <w:szCs w:val="10"/>
                <w:color w:val="auto"/>
              </w:rPr>
            </w:pPr>
          </w:p>
        </w:tc>
        <w:tc>
          <w:tcPr>
            <w:tcW w:w="4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D5EEEE"/>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0" w:type="dxa"/>
            <w:vAlign w:val="bottom"/>
            <w:shd w:val="clear" w:color="auto" w:fill="D5EEEE"/>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160" w:type="dxa"/>
            <w:vAlign w:val="bottom"/>
            <w:tcBorders>
              <w:bottom w:val="single" w:sz="8" w:color="D5EEEE"/>
            </w:tcBorders>
          </w:tcPr>
          <w:p>
            <w:pPr>
              <w:ind w:left="140"/>
              <w:spacing w:after="0"/>
              <w:rPr>
                <w:sz w:val="20"/>
                <w:szCs w:val="20"/>
                <w:color w:val="auto"/>
              </w:rPr>
            </w:pPr>
            <w:r>
              <w:rPr>
                <w:rFonts w:ascii="Times New Roman" w:cs="Times New Roman" w:eastAsia="Times New Roman" w:hAnsi="Times New Roman"/>
                <w:sz w:val="20"/>
                <w:szCs w:val="20"/>
                <w:color w:val="auto"/>
              </w:rPr>
              <w:t>Jan Stern Reed</w:t>
            </w:r>
          </w:p>
        </w:tc>
        <w:tc>
          <w:tcPr>
            <w:tcW w:w="160" w:type="dxa"/>
            <w:vAlign w:val="bottom"/>
            <w:tcBorders>
              <w:bottom w:val="single" w:sz="8" w:color="D5EEEE"/>
            </w:tcBorders>
          </w:tcPr>
          <w:p>
            <w:pPr>
              <w:spacing w:after="0"/>
              <w:rPr>
                <w:sz w:val="21"/>
                <w:szCs w:val="21"/>
                <w:color w:val="auto"/>
              </w:rPr>
            </w:pPr>
          </w:p>
        </w:tc>
        <w:tc>
          <w:tcPr>
            <w:tcW w:w="820" w:type="dxa"/>
            <w:vAlign w:val="bottom"/>
            <w:tcBorders>
              <w:bottom w:val="single" w:sz="8" w:color="D5EEEE"/>
            </w:tcBorders>
          </w:tcPr>
          <w:p>
            <w:pPr>
              <w:jc w:val="center"/>
              <w:spacing w:after="0"/>
              <w:rPr>
                <w:sz w:val="20"/>
                <w:szCs w:val="20"/>
                <w:color w:val="auto"/>
              </w:rPr>
            </w:pPr>
            <w:r>
              <w:rPr>
                <w:rFonts w:ascii="Times New Roman" w:cs="Times New Roman" w:eastAsia="Times New Roman" w:hAnsi="Times New Roman"/>
                <w:sz w:val="20"/>
                <w:szCs w:val="20"/>
                <w:color w:val="auto"/>
                <w:w w:val="99"/>
              </w:rPr>
              <w:t>63</w:t>
            </w: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Non-Executive Director</w:t>
            </w:r>
          </w:p>
        </w:tc>
        <w:tc>
          <w:tcPr>
            <w:tcW w:w="20" w:type="dxa"/>
            <w:vAlign w:val="bottom"/>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2021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tcBorders>
              <w:bottom w:val="single" w:sz="8" w:color="D5EEEE"/>
            </w:tcBorders>
          </w:tcPr>
          <w:p>
            <w:pPr>
              <w:jc w:val="center"/>
              <w:spacing w:after="0"/>
              <w:rPr>
                <w:sz w:val="20"/>
                <w:szCs w:val="20"/>
                <w:color w:val="auto"/>
              </w:rPr>
            </w:pPr>
            <w:r>
              <w:rPr>
                <w:rFonts w:ascii="Times New Roman" w:cs="Times New Roman" w:eastAsia="Times New Roman" w:hAnsi="Times New Roman"/>
                <w:sz w:val="20"/>
                <w:szCs w:val="20"/>
                <w:color w:val="auto"/>
                <w:highlight w:val="white"/>
              </w:rPr>
              <w:t>December 2023</w:t>
            </w:r>
          </w:p>
        </w:tc>
        <w:tc>
          <w:tcPr>
            <w:tcW w:w="0" w:type="dxa"/>
            <w:vAlign w:val="bottom"/>
          </w:tcPr>
          <w:p>
            <w:pPr>
              <w:spacing w:after="0"/>
              <w:rPr>
                <w:sz w:val="1"/>
                <w:szCs w:val="1"/>
                <w:color w:val="auto"/>
              </w:rPr>
            </w:pPr>
          </w:p>
        </w:tc>
      </w:tr>
      <w:tr>
        <w:trPr>
          <w:trHeight w:val="225"/>
        </w:trPr>
        <w:tc>
          <w:tcPr>
            <w:tcW w:w="2160" w:type="dxa"/>
            <w:vAlign w:val="bottom"/>
            <w:shd w:val="clear" w:color="auto" w:fill="D5EEEE"/>
          </w:tcPr>
          <w:p>
            <w:pPr>
              <w:ind w:left="140"/>
              <w:spacing w:after="0" w:line="226" w:lineRule="exact"/>
              <w:rPr>
                <w:sz w:val="20"/>
                <w:szCs w:val="20"/>
                <w:color w:val="auto"/>
              </w:rPr>
            </w:pPr>
            <w:r>
              <w:rPr>
                <w:rFonts w:ascii="Times New Roman" w:cs="Times New Roman" w:eastAsia="Times New Roman" w:hAnsi="Times New Roman"/>
                <w:sz w:val="20"/>
                <w:szCs w:val="20"/>
                <w:color w:val="auto"/>
              </w:rPr>
              <w:t>James Corbett</w:t>
            </w:r>
          </w:p>
        </w:tc>
        <w:tc>
          <w:tcPr>
            <w:tcW w:w="160" w:type="dxa"/>
            <w:vAlign w:val="bottom"/>
            <w:shd w:val="clear" w:color="auto" w:fill="D5EEEE"/>
          </w:tcPr>
          <w:p>
            <w:pPr>
              <w:spacing w:after="0"/>
              <w:rPr>
                <w:sz w:val="19"/>
                <w:szCs w:val="19"/>
                <w:color w:val="auto"/>
              </w:rPr>
            </w:pPr>
          </w:p>
        </w:tc>
        <w:tc>
          <w:tcPr>
            <w:tcW w:w="820" w:type="dxa"/>
            <w:vAlign w:val="bottom"/>
            <w:shd w:val="clear" w:color="auto" w:fill="D5EEEE"/>
          </w:tcPr>
          <w:p>
            <w:pPr>
              <w:jc w:val="center"/>
              <w:spacing w:after="0" w:line="226" w:lineRule="exact"/>
              <w:rPr>
                <w:sz w:val="20"/>
                <w:szCs w:val="20"/>
                <w:color w:val="auto"/>
              </w:rPr>
            </w:pPr>
            <w:r>
              <w:rPr>
                <w:rFonts w:ascii="Times New Roman" w:cs="Times New Roman" w:eastAsia="Times New Roman" w:hAnsi="Times New Roman"/>
                <w:sz w:val="20"/>
                <w:szCs w:val="20"/>
                <w:color w:val="auto"/>
                <w:w w:val="99"/>
              </w:rPr>
              <w:t>64</w:t>
            </w:r>
          </w:p>
        </w:tc>
        <w:tc>
          <w:tcPr>
            <w:tcW w:w="20" w:type="dxa"/>
            <w:vAlign w:val="bottom"/>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4540" w:type="dxa"/>
            <w:vAlign w:val="bottom"/>
            <w:shd w:val="clear" w:color="auto" w:fill="D5EEEE"/>
          </w:tcPr>
          <w:p>
            <w:pPr>
              <w:jc w:val="center"/>
              <w:spacing w:after="0" w:line="226" w:lineRule="exact"/>
              <w:rPr>
                <w:sz w:val="20"/>
                <w:szCs w:val="20"/>
                <w:color w:val="auto"/>
              </w:rPr>
            </w:pPr>
            <w:r>
              <w:rPr>
                <w:rFonts w:ascii="Times New Roman" w:cs="Times New Roman" w:eastAsia="Times New Roman" w:hAnsi="Times New Roman"/>
                <w:sz w:val="20"/>
                <w:szCs w:val="20"/>
                <w:color w:val="auto"/>
                <w:w w:val="99"/>
              </w:rPr>
              <w:t>Executive Director and Chief Executive Officer</w:t>
            </w:r>
          </w:p>
        </w:tc>
        <w:tc>
          <w:tcPr>
            <w:tcW w:w="20" w:type="dxa"/>
            <w:vAlign w:val="bottom"/>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1460" w:type="dxa"/>
            <w:vAlign w:val="bottom"/>
            <w:shd w:val="clear" w:color="auto" w:fill="D5EEEE"/>
          </w:tcPr>
          <w:p>
            <w:pPr>
              <w:jc w:val="center"/>
              <w:spacing w:after="0" w:line="226" w:lineRule="exact"/>
              <w:rPr>
                <w:sz w:val="20"/>
                <w:szCs w:val="20"/>
                <w:color w:val="auto"/>
              </w:rPr>
            </w:pPr>
            <w:r>
              <w:rPr>
                <w:rFonts w:ascii="Times New Roman" w:cs="Times New Roman" w:eastAsia="Times New Roman" w:hAnsi="Times New Roman"/>
                <w:sz w:val="20"/>
                <w:szCs w:val="20"/>
                <w:color w:val="auto"/>
                <w:w w:val="99"/>
              </w:rPr>
              <w:t>July 2021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shd w:val="clear" w:color="auto" w:fill="D5EEEE"/>
          </w:tcPr>
          <w:p>
            <w:pPr>
              <w:jc w:val="center"/>
              <w:spacing w:after="0" w:line="226" w:lineRule="exact"/>
              <w:rPr>
                <w:sz w:val="20"/>
                <w:szCs w:val="20"/>
                <w:color w:val="auto"/>
              </w:rPr>
            </w:pPr>
            <w:r>
              <w:rPr>
                <w:rFonts w:ascii="Times New Roman" w:cs="Times New Roman" w:eastAsia="Times New Roman" w:hAnsi="Times New Roman"/>
                <w:sz w:val="20"/>
                <w:szCs w:val="20"/>
                <w:color w:val="auto"/>
                <w:shd w:val="clear" w:color="auto" w:fill="D5EEEE"/>
              </w:rPr>
              <w:t>December 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-942340</wp:posOffset>
            </wp:positionV>
            <wp:extent cx="6871970" cy="9556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71970" cy="955675"/>
                    </a:xfrm>
                    <a:prstGeom prst="rect">
                      <a:avLst/>
                    </a:prstGeom>
                    <a:noFill/>
                  </pic:spPr>
                </pic:pic>
              </a:graphicData>
            </a:graphic>
          </wp:anchor>
        </w:drawing>
      </w:r>
    </w:p>
    <w:p>
      <w:pPr>
        <w:spacing w:after="0" w:line="233" w:lineRule="exact"/>
        <w:rPr>
          <w:sz w:val="20"/>
          <w:szCs w:val="20"/>
          <w:color w:val="auto"/>
        </w:rPr>
      </w:pPr>
    </w:p>
    <w:p>
      <w:pPr>
        <w:ind w:right="60" w:firstLine="720"/>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Lou Panaccio </w:t>
      </w:r>
      <w:r>
        <w:rPr>
          <w:rFonts w:ascii="Times New Roman" w:cs="Times New Roman" w:eastAsia="Times New Roman" w:hAnsi="Times New Roman"/>
          <w:sz w:val="20"/>
          <w:szCs w:val="20"/>
          <w:color w:val="auto"/>
        </w:rPr>
        <w:t>has served as Non-Executive Chairman of the Board of Directors since July 2014. Mr. Panaccio is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successful healthcare businessman with extensive experience leading companies from concept to commercialization. Mr. Panaccio possesses more than 35 years of executive leadership experience in healthcare services and life sciences, including more than 25 years of board-level experience. Mr. Panaccio is currently a Non-Executive Director of ASX50 company and one of the world’s largest medical diagnostics companies, Sonic Healthcare Limited, where he has served since 2005. In addition, Mr. Panaccio is a Non-Executive Director of Unison Housing Limited, was a Non-Executive Chairman of Genera Biosystems Limited until June 2019, is a Non-Executive Chairman of Adherium Limited and a Non-Executive Director of Rhythm Biosciences Limited, both are publicly listed (ASX) development-stage medical diagnostics/device companies. We believe Mr. Panaccio is qualified to serve on our board of directors based on his extensive experience in the healthcare services and life sciences and his experience serving on boards.</w:t>
      </w:r>
    </w:p>
    <w:p>
      <w:pPr>
        <w:spacing w:after="0" w:line="155"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Jeremy Curnock Cook </w:t>
      </w:r>
      <w:r>
        <w:rPr>
          <w:rFonts w:ascii="Times New Roman" w:cs="Times New Roman" w:eastAsia="Times New Roman" w:hAnsi="Times New Roman"/>
          <w:sz w:val="20"/>
          <w:szCs w:val="20"/>
          <w:color w:val="auto"/>
        </w:rPr>
        <w:t>has served as a Non-Executive Director of since October 2012. He is a veteran in the life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sciences/healthcare industry and has been actively supporting the commercialization of healthcare innovations and helping entrepreneurs build their international businesses over the past 45 years. Founder and Managing Director of BioScience Managers, Mr. Curnock Cook brings his decades of international experience to our Board of Directors. Over his career, Mr. Curnock Cook has successfully managed in excess of US $1 billion in equity investments. He launched the first dedicated biotechnology fund for the Australian market and is a former head of the life science private equity team at Rothschild Asset Management, an early pioneer and significant investor in the sector. In his early career he founded the International Biochemicals Group which he successfully sold to Royal Dutch Shell. Mr. Curnock Cook co-created a European-focused seed fund with Johnson &amp; Johnson and built the International Biotechnology Trust. Mr. Curncock Cook has served on more than 40 boards of directors in the life science sector, in the UK, Europe, USA, Canada, Japan, and Australia. In addition to serving on our Board of Directors, Mr. Curnock Cook serves on the following boards: International BioScience Managers Ltd appointed March 2000, Bioscience Managers Pty Ltd appointed January 2003, REX Bionics appointed February 2012, Sea Dragon appointed October 2012, Adherium Ltd appointed April 2015, Bioscience Managers UK Ltd appointed August 2017, Marine Department Ltd, appointed on January 2019, JLCC Ltd appointed December 2019, CRiL appointed November 2020 and Humanetix appointed September 2021. We believe Mr. Curnock Cook is qualified to serve on our board of directors based on his extensive experience in the life sciences.</w:t>
      </w:r>
    </w:p>
    <w:p>
      <w:pPr>
        <w:spacing w:after="0" w:line="190"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Professor Suzanne Crowe AO </w:t>
      </w:r>
      <w:r>
        <w:rPr>
          <w:rFonts w:ascii="Times New Roman" w:cs="Times New Roman" w:eastAsia="Times New Roman" w:hAnsi="Times New Roman"/>
          <w:sz w:val="20"/>
          <w:szCs w:val="20"/>
          <w:color w:val="auto"/>
        </w:rPr>
        <w:t>has served as a Non-Executive Director since January 2016. Australian-based, she is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physician-scientist and ASX/Nasdaq-listed company director with expertise in supporting companies with their medical and scientific strategies. A Fellow of the Australian Institute of Company Directors, and Emeritus Professor, Monash University Melbourne, she is currently a Non-Executive Director of Sonic Healthcare Ltd, a large global medical diagnostic company. Past board positions include St. Vincent's Health Australia Ltd (2012-2021), the country’s largest not-for-profit health and aged care provider. After 35 years at both, she has recently retired from the Burnet Institute, having served as Associate Director and The Alfred Hospital Melbourne, where she held the appointment of Senior Specialist Physician in Infectious Diseases. She was appointed as Officer of the Order of Australia (AO) in 2020 in recognition of her services to health, clinical governance, biomedical research, and education. We believe Professor Crowe is qualified to serve on our board of directors based on her technical experience and extensive expertise in supporting companies with their medical and scientific strategies.</w:t>
      </w:r>
    </w:p>
    <w:p>
      <w:pPr>
        <w:spacing w:after="0" w:line="192"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Jan Stern Reed </w:t>
      </w:r>
      <w:r>
        <w:rPr>
          <w:rFonts w:ascii="Times New Roman" w:cs="Times New Roman" w:eastAsia="Times New Roman" w:hAnsi="Times New Roman"/>
          <w:sz w:val="20"/>
          <w:szCs w:val="20"/>
          <w:color w:val="auto"/>
        </w:rPr>
        <w:t>has served as a Non-Executive Director since July 2021. She has more than 35 years of legal, management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business leadership experience primarily within the healthcare industry, and brings significant expertise in corporate governance, compliance and risk management. Ms. Reed served as Senior Vice President, General Counsel and Corporate Secretary at Walgreens Boots Alliance, Inc., a global pharmacy-led, health and wellbeing company. Prior to Walgreens, Ms. Reed was Executive Vice President, Human Resources, General Counsel and Corporate Secretary of Solo Cup Company, where she was responsible for the legal, human resources, internal audit, corporate communications, and compliance functions. Prior to Solo Cup Company, she was Associate General Counsel, Corporate Secretary and Chief Corporate Governance Officer at Baxter International, Inc. Ms. Reed holds</w:t>
      </w:r>
    </w:p>
    <w:p>
      <w:pPr>
        <w:sectPr>
          <w:pgSz w:w="11880" w:h="15480" w:orient="portrait"/>
          <w:cols w:equalWidth="0" w:num="1">
            <w:col w:w="10800"/>
          </w:cols>
          <w:pgMar w:left="540" w:top="884" w:right="540" w:bottom="0" w:gutter="0" w:footer="0" w:header="0"/>
        </w:sectPr>
      </w:pP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10800"/>
          </w:cols>
          <w:pgMar w:left="540" w:top="884" w:right="540" w:bottom="0" w:gutter="0" w:footer="0" w:header="0"/>
          <w:type w:val="continuous"/>
        </w:sectPr>
      </w:pPr>
    </w:p>
    <w:bookmarkStart w:id="45" w:name="page46"/>
    <w:bookmarkEnd w:id="45"/>
    <w:p>
      <w:pPr>
        <w:ind w:right="100"/>
        <w:spacing w:after="0" w:line="246" w:lineRule="auto"/>
        <w:rPr>
          <w:sz w:val="20"/>
          <w:szCs w:val="20"/>
          <w:color w:val="auto"/>
        </w:rPr>
      </w:pPr>
      <w:r>
        <w:rPr>
          <w:rFonts w:ascii="Times New Roman" w:cs="Times New Roman" w:eastAsia="Times New Roman" w:hAnsi="Times New Roman"/>
          <w:sz w:val="20"/>
          <w:szCs w:val="20"/>
          <w:color w:val="auto"/>
        </w:rPr>
        <w:t>a Bachelor of Arts degree from the University of Michigan and a Juris Doctor from the Northwestern University Pritzker School of Law. Ms. Reed currently serves as a board member of Stepan Co. (NYSE:SCL), a major manufacturer of specialty and intermediate chemicals used in a broad range of industries, and AngioDynamics, Inc. (Nasdaq: ANGO), an industry-leading and transformative medical technology company focused on restoring healthy blood flow in the body’s vascular system, expanding cancer treatment options, and improving quality of life for patients. We believe Ms. Reed is qualified to serve on our Board of Directors based on her extensive experience in legal, human resources, corporate governance, general management and business leadership, primarily within the healthcare industry.</w:t>
      </w:r>
    </w:p>
    <w:p>
      <w:pPr>
        <w:spacing w:after="0" w:line="188"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James Corbett </w:t>
      </w:r>
      <w:r>
        <w:rPr>
          <w:rFonts w:ascii="Times New Roman" w:cs="Times New Roman" w:eastAsia="Times New Roman" w:hAnsi="Times New Roman"/>
          <w:sz w:val="20"/>
          <w:szCs w:val="20"/>
          <w:color w:val="auto"/>
        </w:rPr>
        <w:t>was appointed as President and CEO of the Company effective as of September 28, 2022. Mr. Corbett served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a Non-Executive Director from July 2021 to September 28, 2022. He has approximately 40 years of leadership experience in the medical device field, most recently, as CEO of CathWorks Ltd., a software-based medical technology company. Mr. Corbett has extensive global commercial and operating experience, serving as an expatriate General Manager of Baxter Japan and later as General Manager and President of Scimed Life Systems Inc. and Boston Scientific International respectively. During his career he has served as CEO of three publicly listed companies; Microtherapeutics Inc (MTIX), ev3 Inc (evvv), Alphatec Spine (ATEC). Mr. Corbett has also led two privately funded companies as CEO: Home Diagnostics Inc. and Vertos Medical. Mr. Corbett has extensive capital market and governance experience from both public and private environments. Mr. Corbett holds a Bachelor of Science in Business Administration from the University of Kansas. Mr. Corbett is a board member of two privately held medical device companies. We believe Mr. Corbett is qualified to serve on our board of directors based on his global commercial and operating expertise in supporting companies with their medical and scientific strategies.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Identification of Executive Officers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gridSpan w:val="2"/>
            <w:vMerge w:val="restart"/>
          </w:tcPr>
          <w:p>
            <w:pPr>
              <w:ind w:left="980"/>
              <w:spacing w:after="0"/>
              <w:rPr>
                <w:sz w:val="20"/>
                <w:szCs w:val="20"/>
                <w:color w:val="auto"/>
              </w:rPr>
            </w:pPr>
            <w:r>
              <w:rPr>
                <w:rFonts w:ascii="Times New Roman" w:cs="Times New Roman" w:eastAsia="Times New Roman" w:hAnsi="Times New Roman"/>
                <w:sz w:val="20"/>
                <w:szCs w:val="20"/>
                <w:b w:val="1"/>
                <w:bCs w:val="1"/>
                <w:color w:val="auto"/>
              </w:rPr>
              <w:t>Name</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Age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Position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 First Elected or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640" w:type="dxa"/>
            <w:vAlign w:val="bottom"/>
            <w:gridSpan w:val="2"/>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Appointed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4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2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D5EEEE"/>
            </w:tcBorders>
          </w:tcPr>
          <w:p>
            <w:pPr>
              <w:spacing w:after="0"/>
              <w:rPr>
                <w:sz w:val="9"/>
                <w:szCs w:val="9"/>
                <w:color w:val="auto"/>
              </w:rPr>
            </w:pPr>
          </w:p>
        </w:tc>
        <w:tc>
          <w:tcPr>
            <w:tcW w:w="1780" w:type="dxa"/>
            <w:vAlign w:val="bottom"/>
            <w:tcBorders>
              <w:bottom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2480" w:type="dxa"/>
            <w:vAlign w:val="bottom"/>
            <w:tcBorders>
              <w:top w:val="single" w:sz="8" w:color="D5EEEE"/>
            </w:tcBorders>
            <w:shd w:val="clear" w:color="auto" w:fill="D5EEEE"/>
          </w:tcPr>
          <w:p>
            <w:pPr>
              <w:ind w:left="140"/>
              <w:spacing w:after="0" w:line="212" w:lineRule="exact"/>
              <w:rPr>
                <w:sz w:val="20"/>
                <w:szCs w:val="20"/>
                <w:color w:val="auto"/>
              </w:rPr>
            </w:pPr>
            <w:r>
              <w:rPr>
                <w:rFonts w:ascii="Times New Roman" w:cs="Times New Roman" w:eastAsia="Times New Roman" w:hAnsi="Times New Roman"/>
                <w:sz w:val="20"/>
                <w:szCs w:val="20"/>
                <w:color w:val="auto"/>
              </w:rPr>
              <w:t>James Corbett*</w:t>
            </w:r>
          </w:p>
        </w:tc>
        <w:tc>
          <w:tcPr>
            <w:tcW w:w="160" w:type="dxa"/>
            <w:vAlign w:val="bottom"/>
            <w:tcBorders>
              <w:top w:val="single" w:sz="8" w:color="D5EEEE"/>
            </w:tcBorders>
            <w:shd w:val="clear" w:color="auto" w:fill="D5EEEE"/>
          </w:tcPr>
          <w:p>
            <w:pPr>
              <w:spacing w:after="0"/>
              <w:rPr>
                <w:sz w:val="18"/>
                <w:szCs w:val="18"/>
                <w:color w:val="auto"/>
              </w:rPr>
            </w:pPr>
          </w:p>
        </w:tc>
        <w:tc>
          <w:tcPr>
            <w:tcW w:w="920" w:type="dxa"/>
            <w:vAlign w:val="bottom"/>
            <w:shd w:val="clear" w:color="auto" w:fill="D5EEEE"/>
          </w:tcPr>
          <w:p>
            <w:pPr>
              <w:jc w:val="center"/>
              <w:spacing w:after="0" w:line="212" w:lineRule="exact"/>
              <w:rPr>
                <w:sz w:val="20"/>
                <w:szCs w:val="20"/>
                <w:color w:val="auto"/>
              </w:rPr>
            </w:pPr>
            <w:r>
              <w:rPr>
                <w:rFonts w:ascii="Times New Roman" w:cs="Times New Roman" w:eastAsia="Times New Roman" w:hAnsi="Times New Roman"/>
                <w:sz w:val="20"/>
                <w:szCs w:val="20"/>
                <w:color w:val="auto"/>
                <w:w w:val="99"/>
              </w:rPr>
              <w:t>64</w:t>
            </w:r>
          </w:p>
        </w:tc>
        <w:tc>
          <w:tcPr>
            <w:tcW w:w="20" w:type="dxa"/>
            <w:vAlign w:val="bottom"/>
          </w:tcPr>
          <w:p>
            <w:pPr>
              <w:spacing w:after="0"/>
              <w:rPr>
                <w:sz w:val="18"/>
                <w:szCs w:val="18"/>
                <w:color w:val="auto"/>
              </w:rPr>
            </w:pPr>
          </w:p>
        </w:tc>
        <w:tc>
          <w:tcPr>
            <w:tcW w:w="100" w:type="dxa"/>
            <w:vAlign w:val="bottom"/>
            <w:tcBorders>
              <w:top w:val="single" w:sz="8" w:color="D5EEEE"/>
            </w:tcBorders>
            <w:shd w:val="clear" w:color="auto" w:fill="D5EEEE"/>
          </w:tcPr>
          <w:p>
            <w:pPr>
              <w:spacing w:after="0"/>
              <w:rPr>
                <w:sz w:val="18"/>
                <w:szCs w:val="18"/>
                <w:color w:val="auto"/>
              </w:rPr>
            </w:pPr>
          </w:p>
        </w:tc>
        <w:tc>
          <w:tcPr>
            <w:tcW w:w="5220" w:type="dxa"/>
            <w:vAlign w:val="bottom"/>
            <w:tcBorders>
              <w:top w:val="single" w:sz="8" w:color="D5EEEE"/>
            </w:tcBorders>
            <w:shd w:val="clear" w:color="auto" w:fill="D5EEEE"/>
          </w:tcPr>
          <w:p>
            <w:pPr>
              <w:jc w:val="center"/>
              <w:spacing w:after="0" w:line="212" w:lineRule="exact"/>
              <w:rPr>
                <w:sz w:val="20"/>
                <w:szCs w:val="20"/>
                <w:color w:val="auto"/>
              </w:rPr>
            </w:pPr>
            <w:r>
              <w:rPr>
                <w:rFonts w:ascii="Times New Roman" w:cs="Times New Roman" w:eastAsia="Times New Roman" w:hAnsi="Times New Roman"/>
                <w:sz w:val="20"/>
                <w:szCs w:val="20"/>
                <w:color w:val="auto"/>
              </w:rPr>
              <w:t>Chief Executive Officer</w:t>
            </w:r>
          </w:p>
        </w:tc>
        <w:tc>
          <w:tcPr>
            <w:tcW w:w="20" w:type="dxa"/>
            <w:vAlign w:val="bottom"/>
            <w:tcBorders>
              <w:top w:val="single" w:sz="8" w:color="D5EEEE"/>
            </w:tcBorders>
          </w:tcPr>
          <w:p>
            <w:pPr>
              <w:spacing w:after="0"/>
              <w:rPr>
                <w:sz w:val="18"/>
                <w:szCs w:val="18"/>
                <w:color w:val="auto"/>
              </w:rPr>
            </w:pPr>
          </w:p>
        </w:tc>
        <w:tc>
          <w:tcPr>
            <w:tcW w:w="80" w:type="dxa"/>
            <w:vAlign w:val="bottom"/>
            <w:tcBorders>
              <w:top w:val="single" w:sz="8" w:color="D5EEEE"/>
            </w:tcBorders>
            <w:shd w:val="clear" w:color="auto" w:fill="D5EEEE"/>
          </w:tcPr>
          <w:p>
            <w:pPr>
              <w:spacing w:after="0"/>
              <w:rPr>
                <w:sz w:val="18"/>
                <w:szCs w:val="18"/>
                <w:color w:val="auto"/>
              </w:rPr>
            </w:pPr>
          </w:p>
        </w:tc>
        <w:tc>
          <w:tcPr>
            <w:tcW w:w="1780" w:type="dxa"/>
            <w:vAlign w:val="bottom"/>
            <w:tcBorders>
              <w:top w:val="single" w:sz="8" w:color="D5EEEE"/>
            </w:tcBorders>
            <w:shd w:val="clear" w:color="auto" w:fill="D5EEEE"/>
          </w:tcPr>
          <w:p>
            <w:pPr>
              <w:jc w:val="center"/>
              <w:spacing w:after="0" w:line="212" w:lineRule="exact"/>
              <w:rPr>
                <w:sz w:val="20"/>
                <w:szCs w:val="20"/>
                <w:color w:val="auto"/>
              </w:rPr>
            </w:pPr>
            <w:r>
              <w:rPr>
                <w:rFonts w:ascii="Times New Roman" w:cs="Times New Roman" w:eastAsia="Times New Roman" w:hAnsi="Times New Roman"/>
                <w:sz w:val="20"/>
                <w:szCs w:val="20"/>
                <w:color w:val="auto"/>
                <w:w w:val="99"/>
              </w:rPr>
              <w:t>September 2022</w:t>
            </w:r>
          </w:p>
        </w:tc>
        <w:tc>
          <w:tcPr>
            <w:tcW w:w="20" w:type="dxa"/>
            <w:vAlign w:val="bottom"/>
            <w:tcBorders>
              <w:top w:val="single" w:sz="8" w:color="D5EEEE"/>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480" w:type="dxa"/>
            <w:vAlign w:val="bottom"/>
            <w:tcBorders>
              <w:bottom w:val="single" w:sz="8" w:color="D5EEEE"/>
            </w:tcBorders>
          </w:tcPr>
          <w:p>
            <w:pPr>
              <w:ind w:left="140"/>
              <w:spacing w:after="0"/>
              <w:rPr>
                <w:sz w:val="20"/>
                <w:szCs w:val="20"/>
                <w:color w:val="auto"/>
              </w:rPr>
            </w:pPr>
            <w:r>
              <w:rPr>
                <w:rFonts w:ascii="Times New Roman" w:cs="Times New Roman" w:eastAsia="Times New Roman" w:hAnsi="Times New Roman"/>
                <w:sz w:val="20"/>
                <w:szCs w:val="20"/>
                <w:color w:val="auto"/>
              </w:rPr>
              <w:t>Sean Ekins</w:t>
            </w:r>
          </w:p>
        </w:tc>
        <w:tc>
          <w:tcPr>
            <w:tcW w:w="160" w:type="dxa"/>
            <w:vAlign w:val="bottom"/>
            <w:tcBorders>
              <w:bottom w:val="single" w:sz="8" w:color="D5EEEE"/>
            </w:tcBorders>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48</w:t>
            </w:r>
          </w:p>
        </w:tc>
        <w:tc>
          <w:tcPr>
            <w:tcW w:w="20" w:type="dxa"/>
            <w:vAlign w:val="bottom"/>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Interim Chief Financial Officer</w:t>
            </w:r>
          </w:p>
        </w:tc>
        <w:tc>
          <w:tcPr>
            <w:tcW w:w="20" w:type="dxa"/>
            <w:vAlign w:val="bottom"/>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1780" w:type="dxa"/>
            <w:vAlign w:val="bottom"/>
            <w:tcBorders>
              <w:bottom w:val="single" w:sz="8" w:color="D5EEEE"/>
            </w:tcBorders>
          </w:tcPr>
          <w:p>
            <w:pPr>
              <w:jc w:val="center"/>
              <w:spacing w:after="0"/>
              <w:rPr>
                <w:sz w:val="20"/>
                <w:szCs w:val="20"/>
                <w:color w:val="auto"/>
              </w:rPr>
            </w:pPr>
            <w:r>
              <w:rPr>
                <w:rFonts w:ascii="Times New Roman" w:cs="Times New Roman" w:eastAsia="Times New Roman" w:hAnsi="Times New Roman"/>
                <w:sz w:val="20"/>
                <w:szCs w:val="20"/>
                <w:color w:val="auto"/>
              </w:rPr>
              <w:t>January 2023</w:t>
            </w:r>
          </w:p>
        </w:tc>
        <w:tc>
          <w:tcPr>
            <w:tcW w:w="20" w:type="dxa"/>
            <w:vAlign w:val="bottom"/>
            <w:tcBorders>
              <w:bottom w:val="single" w:sz="8" w:color="D5EEEE"/>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480" w:type="dxa"/>
            <w:vAlign w:val="bottom"/>
            <w:shd w:val="clear" w:color="auto" w:fill="D5EEEE"/>
          </w:tcPr>
          <w:p>
            <w:pPr>
              <w:ind w:left="140"/>
              <w:spacing w:after="0" w:line="226" w:lineRule="exact"/>
              <w:rPr>
                <w:sz w:val="20"/>
                <w:szCs w:val="20"/>
                <w:color w:val="auto"/>
              </w:rPr>
            </w:pPr>
            <w:r>
              <w:rPr>
                <w:rFonts w:ascii="Times New Roman" w:cs="Times New Roman" w:eastAsia="Times New Roman" w:hAnsi="Times New Roman"/>
                <w:sz w:val="20"/>
                <w:szCs w:val="20"/>
                <w:color w:val="auto"/>
              </w:rPr>
              <w:t>Erin Liberto</w:t>
            </w:r>
          </w:p>
        </w:tc>
        <w:tc>
          <w:tcPr>
            <w:tcW w:w="160" w:type="dxa"/>
            <w:vAlign w:val="bottom"/>
            <w:shd w:val="clear" w:color="auto" w:fill="D5EEEE"/>
          </w:tcPr>
          <w:p>
            <w:pPr>
              <w:spacing w:after="0"/>
              <w:rPr>
                <w:sz w:val="19"/>
                <w:szCs w:val="19"/>
                <w:color w:val="auto"/>
              </w:rPr>
            </w:pPr>
          </w:p>
        </w:tc>
        <w:tc>
          <w:tcPr>
            <w:tcW w:w="920" w:type="dxa"/>
            <w:vAlign w:val="bottom"/>
            <w:shd w:val="clear" w:color="auto" w:fill="D5EEEE"/>
          </w:tcPr>
          <w:p>
            <w:pPr>
              <w:jc w:val="center"/>
              <w:spacing w:after="0" w:line="226" w:lineRule="exact"/>
              <w:rPr>
                <w:sz w:val="20"/>
                <w:szCs w:val="20"/>
                <w:color w:val="auto"/>
              </w:rPr>
            </w:pPr>
            <w:r>
              <w:rPr>
                <w:rFonts w:ascii="Times New Roman" w:cs="Times New Roman" w:eastAsia="Times New Roman" w:hAnsi="Times New Roman"/>
                <w:sz w:val="20"/>
                <w:szCs w:val="20"/>
                <w:color w:val="auto"/>
                <w:w w:val="99"/>
              </w:rPr>
              <w:t>48</w:t>
            </w:r>
          </w:p>
        </w:tc>
        <w:tc>
          <w:tcPr>
            <w:tcW w:w="20" w:type="dxa"/>
            <w:vAlign w:val="bottom"/>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5220" w:type="dxa"/>
            <w:vAlign w:val="bottom"/>
            <w:shd w:val="clear" w:color="auto" w:fill="D5EEEE"/>
          </w:tcPr>
          <w:p>
            <w:pPr>
              <w:jc w:val="center"/>
              <w:spacing w:after="0" w:line="226" w:lineRule="exact"/>
              <w:rPr>
                <w:sz w:val="20"/>
                <w:szCs w:val="20"/>
                <w:color w:val="auto"/>
              </w:rPr>
            </w:pPr>
            <w:r>
              <w:rPr>
                <w:rFonts w:ascii="Times New Roman" w:cs="Times New Roman" w:eastAsia="Times New Roman" w:hAnsi="Times New Roman"/>
                <w:sz w:val="20"/>
                <w:szCs w:val="20"/>
                <w:color w:val="auto"/>
                <w:w w:val="99"/>
              </w:rPr>
              <w:t>Chief Commercial Officer</w:t>
            </w:r>
          </w:p>
        </w:tc>
        <w:tc>
          <w:tcPr>
            <w:tcW w:w="20" w:type="dxa"/>
            <w:vAlign w:val="bottom"/>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1780" w:type="dxa"/>
            <w:vAlign w:val="bottom"/>
            <w:shd w:val="clear" w:color="auto" w:fill="D5EEEE"/>
          </w:tcPr>
          <w:p>
            <w:pPr>
              <w:jc w:val="center"/>
              <w:spacing w:after="0" w:line="226" w:lineRule="exact"/>
              <w:rPr>
                <w:sz w:val="20"/>
                <w:szCs w:val="20"/>
                <w:color w:val="auto"/>
              </w:rPr>
            </w:pPr>
            <w:r>
              <w:rPr>
                <w:rFonts w:ascii="Times New Roman" w:cs="Times New Roman" w:eastAsia="Times New Roman" w:hAnsi="Times New Roman"/>
                <w:sz w:val="20"/>
                <w:szCs w:val="20"/>
                <w:color w:val="auto"/>
                <w:w w:val="99"/>
              </w:rPr>
              <w:t>August 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480" w:type="dxa"/>
            <w:vAlign w:val="bottom"/>
            <w:tcBorders>
              <w:bottom w:val="single" w:sz="8" w:color="D5EEEE"/>
            </w:tcBorders>
          </w:tcPr>
          <w:p>
            <w:pPr>
              <w:ind w:left="140"/>
              <w:spacing w:after="0"/>
              <w:rPr>
                <w:sz w:val="20"/>
                <w:szCs w:val="20"/>
                <w:color w:val="auto"/>
              </w:rPr>
            </w:pPr>
            <w:r>
              <w:rPr>
                <w:rFonts w:ascii="Times New Roman" w:cs="Times New Roman" w:eastAsia="Times New Roman" w:hAnsi="Times New Roman"/>
                <w:sz w:val="20"/>
                <w:szCs w:val="20"/>
                <w:color w:val="auto"/>
              </w:rPr>
              <w:t>Andrew Quick</w:t>
            </w:r>
          </w:p>
        </w:tc>
        <w:tc>
          <w:tcPr>
            <w:tcW w:w="160" w:type="dxa"/>
            <w:vAlign w:val="bottom"/>
            <w:tcBorders>
              <w:bottom w:val="single" w:sz="8" w:color="D5EEEE"/>
            </w:tcBorders>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52</w:t>
            </w:r>
          </w:p>
        </w:tc>
        <w:tc>
          <w:tcPr>
            <w:tcW w:w="20" w:type="dxa"/>
            <w:vAlign w:val="bottom"/>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Technology Officer</w:t>
            </w:r>
          </w:p>
        </w:tc>
        <w:tc>
          <w:tcPr>
            <w:tcW w:w="20" w:type="dxa"/>
            <w:vAlign w:val="bottom"/>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1780" w:type="dxa"/>
            <w:vAlign w:val="bottom"/>
            <w:tcBorders>
              <w:bottom w:val="single" w:sz="8" w:color="D5EEEE"/>
            </w:tcBorders>
          </w:tcPr>
          <w:p>
            <w:pPr>
              <w:jc w:val="center"/>
              <w:spacing w:after="0"/>
              <w:rPr>
                <w:sz w:val="20"/>
                <w:szCs w:val="20"/>
                <w:color w:val="auto"/>
              </w:rPr>
            </w:pPr>
            <w:r>
              <w:rPr>
                <w:rFonts w:ascii="Times New Roman" w:cs="Times New Roman" w:eastAsia="Times New Roman" w:hAnsi="Times New Roman"/>
                <w:sz w:val="20"/>
                <w:szCs w:val="20"/>
                <w:color w:val="auto"/>
              </w:rPr>
              <w:t>April 2019</w:t>
            </w:r>
          </w:p>
        </w:tc>
        <w:tc>
          <w:tcPr>
            <w:tcW w:w="20" w:type="dxa"/>
            <w:vAlign w:val="bottom"/>
            <w:tcBorders>
              <w:bottom w:val="single" w:sz="8" w:color="D5EEEE"/>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480" w:type="dxa"/>
            <w:vAlign w:val="bottom"/>
            <w:shd w:val="clear" w:color="auto" w:fill="D5EEEE"/>
          </w:tcPr>
          <w:p>
            <w:pPr>
              <w:ind w:left="140"/>
              <w:spacing w:after="0" w:line="225" w:lineRule="exact"/>
              <w:rPr>
                <w:sz w:val="20"/>
                <w:szCs w:val="20"/>
                <w:color w:val="auto"/>
              </w:rPr>
            </w:pPr>
            <w:r>
              <w:rPr>
                <w:rFonts w:ascii="Times New Roman" w:cs="Times New Roman" w:eastAsia="Times New Roman" w:hAnsi="Times New Roman"/>
                <w:sz w:val="20"/>
                <w:szCs w:val="20"/>
                <w:color w:val="auto"/>
              </w:rPr>
              <w:t>Donna Shiroma</w:t>
            </w:r>
          </w:p>
        </w:tc>
        <w:tc>
          <w:tcPr>
            <w:tcW w:w="160" w:type="dxa"/>
            <w:vAlign w:val="bottom"/>
            <w:shd w:val="clear" w:color="auto" w:fill="D5EEEE"/>
          </w:tcPr>
          <w:p>
            <w:pPr>
              <w:spacing w:after="0"/>
              <w:rPr>
                <w:sz w:val="19"/>
                <w:szCs w:val="19"/>
                <w:color w:val="auto"/>
              </w:rPr>
            </w:pPr>
          </w:p>
        </w:tc>
        <w:tc>
          <w:tcPr>
            <w:tcW w:w="920" w:type="dxa"/>
            <w:vAlign w:val="bottom"/>
            <w:shd w:val="clear" w:color="auto" w:fill="D5EEEE"/>
          </w:tcPr>
          <w:p>
            <w:pPr>
              <w:jc w:val="center"/>
              <w:spacing w:after="0" w:line="225" w:lineRule="exact"/>
              <w:rPr>
                <w:sz w:val="20"/>
                <w:szCs w:val="20"/>
                <w:color w:val="auto"/>
              </w:rPr>
            </w:pPr>
            <w:r>
              <w:rPr>
                <w:rFonts w:ascii="Times New Roman" w:cs="Times New Roman" w:eastAsia="Times New Roman" w:hAnsi="Times New Roman"/>
                <w:sz w:val="20"/>
                <w:szCs w:val="20"/>
                <w:color w:val="auto"/>
                <w:w w:val="99"/>
              </w:rPr>
              <w:t>60</w:t>
            </w:r>
          </w:p>
        </w:tc>
        <w:tc>
          <w:tcPr>
            <w:tcW w:w="20" w:type="dxa"/>
            <w:vAlign w:val="bottom"/>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5220" w:type="dxa"/>
            <w:vAlign w:val="bottom"/>
            <w:shd w:val="clear" w:color="auto" w:fill="D5EEEE"/>
          </w:tcPr>
          <w:p>
            <w:pPr>
              <w:jc w:val="center"/>
              <w:spacing w:after="0" w:line="225" w:lineRule="exact"/>
              <w:rPr>
                <w:sz w:val="20"/>
                <w:szCs w:val="20"/>
                <w:color w:val="auto"/>
              </w:rPr>
            </w:pPr>
            <w:r>
              <w:rPr>
                <w:rFonts w:ascii="Times New Roman" w:cs="Times New Roman" w:eastAsia="Times New Roman" w:hAnsi="Times New Roman"/>
                <w:sz w:val="20"/>
                <w:szCs w:val="20"/>
                <w:color w:val="auto"/>
              </w:rPr>
              <w:t>General Counsel</w:t>
            </w:r>
          </w:p>
        </w:tc>
        <w:tc>
          <w:tcPr>
            <w:tcW w:w="20" w:type="dxa"/>
            <w:vAlign w:val="bottom"/>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1780" w:type="dxa"/>
            <w:vAlign w:val="bottom"/>
            <w:shd w:val="clear" w:color="auto" w:fill="D5EEEE"/>
          </w:tcPr>
          <w:p>
            <w:pPr>
              <w:jc w:val="center"/>
              <w:spacing w:after="0" w:line="225" w:lineRule="exact"/>
              <w:rPr>
                <w:sz w:val="20"/>
                <w:szCs w:val="20"/>
                <w:color w:val="auto"/>
              </w:rPr>
            </w:pPr>
            <w:r>
              <w:rPr>
                <w:rFonts w:ascii="Times New Roman" w:cs="Times New Roman" w:eastAsia="Times New Roman" w:hAnsi="Times New Roman"/>
                <w:sz w:val="20"/>
                <w:szCs w:val="20"/>
                <w:color w:val="auto"/>
              </w:rPr>
              <w:t>June 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-794385</wp:posOffset>
            </wp:positionV>
            <wp:extent cx="6884670" cy="8077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84670" cy="807720"/>
                    </a:xfrm>
                    <a:prstGeom prst="rect">
                      <a:avLst/>
                    </a:prstGeom>
                    <a:noFill/>
                  </pic:spPr>
                </pic:pic>
              </a:graphicData>
            </a:graphic>
          </wp:anchor>
        </w:drawing>
      </w:r>
    </w:p>
    <w:p>
      <w:pPr>
        <w:spacing w:after="0" w:line="188" w:lineRule="exact"/>
        <w:rPr>
          <w:sz w:val="20"/>
          <w:szCs w:val="20"/>
          <w:color w:val="auto"/>
        </w:rPr>
      </w:pPr>
    </w:p>
    <w:p>
      <w:pPr>
        <w:ind w:left="720" w:right="1920" w:hanging="720"/>
        <w:spacing w:after="0" w:line="479"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Mr. Corbett was appointed as President and CEO of the Company effective as of September 28, 2022. </w:t>
      </w:r>
      <w:r>
        <w:rPr>
          <w:rFonts w:ascii="Times New Roman" w:cs="Times New Roman" w:eastAsia="Times New Roman" w:hAnsi="Times New Roman"/>
          <w:sz w:val="20"/>
          <w:szCs w:val="20"/>
          <w:b w:val="1"/>
          <w:bCs w:val="1"/>
          <w:color w:val="auto"/>
        </w:rPr>
        <w:t xml:space="preserve">James Corbett </w:t>
      </w:r>
      <w:r>
        <w:rPr>
          <w:rFonts w:ascii="Times New Roman" w:cs="Times New Roman" w:eastAsia="Times New Roman" w:hAnsi="Times New Roman"/>
          <w:sz w:val="20"/>
          <w:szCs w:val="20"/>
          <w:color w:val="auto"/>
        </w:rPr>
        <w:t>is discussed above under “Identification of Directors”.</w:t>
      </w:r>
    </w:p>
    <w:p>
      <w:pPr>
        <w:ind w:right="40" w:firstLine="720"/>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Sean Ekins </w:t>
      </w:r>
      <w:r>
        <w:rPr>
          <w:rFonts w:ascii="Times New Roman" w:cs="Times New Roman" w:eastAsia="Times New Roman" w:hAnsi="Times New Roman"/>
          <w:sz w:val="20"/>
          <w:szCs w:val="20"/>
          <w:color w:val="auto"/>
        </w:rPr>
        <w:t>has served as the interim Chief Financial Officer since January 2023. A versatile financial leader with more than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 years of experience in technology, high-tech manufacturing and entertainment industries, Mr. Ekins joined AVITA Medical in 2017 and currently serves as Senior Vice President of Finance. Over the course of his career, Mr. Ekins has demonstrated expertise across all aspects of management and operational accounting, inclusive of SEC and financial reporting, systems analysis and implementation, and team development. Prior to joining the company, Mr. Ekins served as the North American Controller for IXIA, a test, visibility, and security solutions provider, where he led all accounting operations, including the transition and successful integration into Keysight Technologies following the company’s acquisition. Previously, Mr. Ekins held accounting positions with The Walt Disney Company, Countrywide Financial Corporation, and 3D Systems, Inc. Mr. Ekins is a Certified Public Accountant and earned his Bachelor Science in Accounting from the University of Southern California.</w:t>
      </w:r>
    </w:p>
    <w:p>
      <w:pPr>
        <w:spacing w:after="0" w:line="187" w:lineRule="exact"/>
        <w:rPr>
          <w:sz w:val="20"/>
          <w:szCs w:val="20"/>
          <w:color w:val="auto"/>
        </w:rPr>
      </w:pPr>
    </w:p>
    <w:p>
      <w:pPr>
        <w:ind w:right="60" w:firstLine="720"/>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Erin Liberto </w:t>
      </w:r>
      <w:r>
        <w:rPr>
          <w:rFonts w:ascii="Times New Roman" w:cs="Times New Roman" w:eastAsia="Times New Roman" w:hAnsi="Times New Roman"/>
          <w:sz w:val="20"/>
          <w:szCs w:val="20"/>
          <w:color w:val="auto"/>
        </w:rPr>
        <w:t>has served as Chief Commercial Officer since August 2017. Ms. Liberto has more than 20 years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multifaceted global commercial experience developing, launching, managing, and optimizing healthcare portfolios with products that span therapeutic and aesthetic indications for international organizations including Allergan and Johnson &amp; Johnson. Ms. Liberto’s proficiency in long-term strategic planning has led to more than a dozen successful product launches across the United States, Europe, and Asia Pacific. Ms. Liberto holds an International MBA with a concentration in Global Marketing from Thunderbird School of Global Management in Arizona and a Bachelor of Commerce from McMaster University in Canada.</w:t>
      </w:r>
    </w:p>
    <w:p>
      <w:pPr>
        <w:spacing w:after="0" w:line="185" w:lineRule="exact"/>
        <w:rPr>
          <w:sz w:val="20"/>
          <w:szCs w:val="20"/>
          <w:color w:val="auto"/>
        </w:rPr>
      </w:pPr>
    </w:p>
    <w:p>
      <w:pPr>
        <w:ind w:right="100" w:firstLine="720"/>
        <w:spacing w:after="0" w:line="262" w:lineRule="auto"/>
        <w:rPr>
          <w:sz w:val="20"/>
          <w:szCs w:val="20"/>
          <w:color w:val="auto"/>
        </w:rPr>
      </w:pPr>
      <w:r>
        <w:rPr>
          <w:rFonts w:ascii="Times New Roman" w:cs="Times New Roman" w:eastAsia="Times New Roman" w:hAnsi="Times New Roman"/>
          <w:sz w:val="19"/>
          <w:szCs w:val="19"/>
          <w:b w:val="1"/>
          <w:bCs w:val="1"/>
          <w:color w:val="auto"/>
        </w:rPr>
        <w:t xml:space="preserve">Andrew Quick </w:t>
      </w:r>
      <w:r>
        <w:rPr>
          <w:rFonts w:ascii="Times New Roman" w:cs="Times New Roman" w:eastAsia="Times New Roman" w:hAnsi="Times New Roman"/>
          <w:sz w:val="19"/>
          <w:szCs w:val="19"/>
          <w:color w:val="auto"/>
        </w:rPr>
        <w:t>was appointed Chief Technology Officer in April 2019 and previous to that served as Senior Vice President,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Clinical Development. Mr. Quick joined the company in July of 2010 and has more than 25 years of experience in medical device design, development, clinical research and medical affairs. Mr. Quick has previously held leadership positions in the development of diagnostic instrumentation and active implantable therapeutics, including most recently with Boston Scientific Neuromodulation / Advanced Bionics from 2006 to 2010 where he led U.S. investigational device and post-market clinical research in the cochlear implant business. He also served in a series of positions with SonaMed Corporation from 1994 to 2005, including Vice President, Products and Clinical Affairs. Mr. Quick has B.S. and M.S. degrees in Biomedical Engineering from Boston University.</w:t>
      </w:r>
    </w:p>
    <w:p>
      <w:pPr>
        <w:sectPr>
          <w:pgSz w:w="11880" w:h="15480" w:orient="portrait"/>
          <w:cols w:equalWidth="0" w:num="1">
            <w:col w:w="10800"/>
          </w:cols>
          <w:pgMar w:left="540" w:top="887" w:right="540" w:bottom="0"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10800"/>
          </w:cols>
          <w:pgMar w:left="540" w:top="887" w:right="540" w:bottom="0" w:gutter="0" w:footer="0" w:header="0"/>
          <w:type w:val="continuous"/>
        </w:sectPr>
      </w:pPr>
    </w:p>
    <w:bookmarkStart w:id="46" w:name="page47"/>
    <w:bookmarkEnd w:id="46"/>
    <w:p>
      <w:pPr>
        <w:ind w:right="120" w:firstLine="720"/>
        <w:spacing w:after="0" w:line="256" w:lineRule="auto"/>
        <w:rPr>
          <w:sz w:val="20"/>
          <w:szCs w:val="20"/>
          <w:color w:val="auto"/>
        </w:rPr>
      </w:pPr>
      <w:r>
        <w:rPr>
          <w:rFonts w:ascii="Times New Roman" w:cs="Times New Roman" w:eastAsia="Times New Roman" w:hAnsi="Times New Roman"/>
          <w:sz w:val="19"/>
          <w:szCs w:val="19"/>
          <w:b w:val="1"/>
          <w:bCs w:val="1"/>
          <w:color w:val="auto"/>
        </w:rPr>
        <w:t xml:space="preserve">Donna Shiroma </w:t>
      </w:r>
      <w:r>
        <w:rPr>
          <w:rFonts w:ascii="Times New Roman" w:cs="Times New Roman" w:eastAsia="Times New Roman" w:hAnsi="Times New Roman"/>
          <w:sz w:val="19"/>
          <w:szCs w:val="19"/>
          <w:color w:val="auto"/>
        </w:rPr>
        <w:t>has served as General Counsel since June 2018. Ms. Shiroma has more than 20 years of legal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compliance experience in the pharmaceutical and medical device industries and has played an instrumental role in transitioning companies from clinical to commercial entities. Prior to joining the Company, she served in roles of increasing responsibility as corporate counsel, general counsel, vice president of legal, chief privacy and compliance officer, and chief commercial officer for Astex Pharmaceuticals from 2017 to 2018, Ascend Therapeutics from 2008 to 2017, PDL BioPharma from 2006 to 2008, and several Johnson &amp; Johnson companies. Ms. Shiroma holds a B.S. in Environmental Sciences from University of California, Berkeley, and a Juris Doctor degree from Santa Clara University School of Law. She is licensed in the State of California as an attorney.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Term of Office</w:t>
      </w:r>
    </w:p>
    <w:p>
      <w:pPr>
        <w:spacing w:after="0" w:line="222" w:lineRule="exact"/>
        <w:rPr>
          <w:sz w:val="20"/>
          <w:szCs w:val="20"/>
          <w:color w:val="auto"/>
        </w:rPr>
      </w:pPr>
    </w:p>
    <w:p>
      <w:pPr>
        <w:ind w:right="60" w:firstLine="720"/>
        <w:spacing w:after="0" w:line="248" w:lineRule="auto"/>
        <w:rPr>
          <w:sz w:val="20"/>
          <w:szCs w:val="20"/>
          <w:color w:val="auto"/>
        </w:rPr>
      </w:pPr>
      <w:r>
        <w:rPr>
          <w:rFonts w:ascii="Times New Roman" w:cs="Times New Roman" w:eastAsia="Times New Roman" w:hAnsi="Times New Roman"/>
          <w:sz w:val="20"/>
          <w:szCs w:val="20"/>
          <w:color w:val="auto"/>
        </w:rPr>
        <w:t>Our Directors are elected for a term of one year and until their respective successors are elected and qualified, or until their earlier resignation, disqualification, or removal. Our executive officers are appointed by our Board of Directors and hold office for such terms as may be prescribed by our Board of Directors and until their successors are appointed, or until their earlier resignation or removal.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Family Relationships</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There are no family relationships between our Directors or executive officers.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Involvement in Certain Legal Proceedings</w:t>
      </w:r>
    </w:p>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 of our Directors or executive officers has been involved in any of the following events during the past ten years:</w:t>
      </w:r>
    </w:p>
    <w:p>
      <w:pPr>
        <w:spacing w:after="0" w:line="116" w:lineRule="exact"/>
        <w:rPr>
          <w:sz w:val="20"/>
          <w:szCs w:val="20"/>
          <w:color w:val="auto"/>
        </w:rPr>
      </w:pPr>
    </w:p>
    <w:p>
      <w:pPr>
        <w:jc w:val="both"/>
        <w:ind w:left="1100" w:right="360" w:hanging="488"/>
        <w:spacing w:after="0" w:line="254" w:lineRule="auto"/>
        <w:tabs>
          <w:tab w:leader="none" w:pos="11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bankruptcy petition filed by or against any business or property of such person or any partnership or business in which such person was a general partner or executive officer either at the time of the bankruptcy or within two years prior to that time;</w:t>
      </w:r>
    </w:p>
    <w:p>
      <w:pPr>
        <w:spacing w:after="0" w:line="67" w:lineRule="exact"/>
        <w:rPr>
          <w:rFonts w:ascii="Times New Roman" w:cs="Times New Roman" w:eastAsia="Times New Roman" w:hAnsi="Times New Roman"/>
          <w:sz w:val="20"/>
          <w:szCs w:val="20"/>
          <w:color w:val="auto"/>
        </w:rPr>
      </w:pPr>
    </w:p>
    <w:p>
      <w:pPr>
        <w:ind w:left="1100" w:right="300" w:hanging="488"/>
        <w:spacing w:after="0" w:line="271" w:lineRule="auto"/>
        <w:tabs>
          <w:tab w:leader="none" w:pos="11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conviction in a criminal proceeding or being a named subject of a pending criminal proceeding (excluding traffic violations and other minor offences);</w:t>
      </w:r>
    </w:p>
    <w:p>
      <w:pPr>
        <w:spacing w:after="0" w:line="49" w:lineRule="exact"/>
        <w:rPr>
          <w:rFonts w:ascii="Times New Roman" w:cs="Times New Roman" w:eastAsia="Times New Roman" w:hAnsi="Times New Roman"/>
          <w:sz w:val="20"/>
          <w:szCs w:val="20"/>
          <w:color w:val="auto"/>
        </w:rPr>
      </w:pPr>
    </w:p>
    <w:p>
      <w:pPr>
        <w:ind w:left="1100" w:right="340" w:hanging="487"/>
        <w:spacing w:after="0" w:line="254" w:lineRule="auto"/>
        <w:tabs>
          <w:tab w:leader="none" w:pos="11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being the subject of any order, judgment, or decree, not subsequently reversed, suspended or vacated, of any court of competent jurisdiction, permanently or temporarily enjoining, barring, suspending or otherwise limiting his or her involvement in any type of business, securities or banking activities;</w:t>
      </w:r>
    </w:p>
    <w:p>
      <w:pPr>
        <w:spacing w:after="0" w:line="66" w:lineRule="exact"/>
        <w:rPr>
          <w:rFonts w:ascii="Times New Roman" w:cs="Times New Roman" w:eastAsia="Times New Roman" w:hAnsi="Times New Roman"/>
          <w:sz w:val="20"/>
          <w:szCs w:val="20"/>
          <w:color w:val="auto"/>
        </w:rPr>
      </w:pPr>
    </w:p>
    <w:p>
      <w:pPr>
        <w:ind w:left="1100" w:right="200" w:hanging="487"/>
        <w:spacing w:after="0" w:line="253" w:lineRule="auto"/>
        <w:tabs>
          <w:tab w:leader="none" w:pos="11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being found by a court of competent jurisdiction (in a civil action), the SEC or the Commodity Futures Trading Commission to have violated a federal or state securities or commodities law, and the judgment has not been reversed, suspended, or vacated;</w:t>
      </w:r>
    </w:p>
    <w:p>
      <w:pPr>
        <w:spacing w:after="0" w:line="67" w:lineRule="exact"/>
        <w:rPr>
          <w:rFonts w:ascii="Times New Roman" w:cs="Times New Roman" w:eastAsia="Times New Roman" w:hAnsi="Times New Roman"/>
          <w:sz w:val="20"/>
          <w:szCs w:val="20"/>
          <w:color w:val="auto"/>
        </w:rPr>
      </w:pPr>
    </w:p>
    <w:p>
      <w:pPr>
        <w:ind w:left="1100" w:right="40" w:hanging="487"/>
        <w:spacing w:after="0" w:line="242" w:lineRule="auto"/>
        <w:tabs>
          <w:tab w:leader="none" w:pos="11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being the subject of, or a party to, any federal or state judicial or administrative order, judgment, decree, or finding, not subsequently reversed, suspended or vacated, relating to an alleged violation of: (i) any federal or state securities or commodities law or regulation; or (ii) any law or regulation respecting financial institutions or insurance companies including, but not limited to, a temporary or permanent injunction, order of disgorgement or restitution, civil money penalty or temporary or permanent cease- and-desist order, or removal or prohibition order; or (iii) any law or regulation prohibiting mail or wire fraud or fraud in connection with any business entity; or</w:t>
      </w:r>
    </w:p>
    <w:p>
      <w:pPr>
        <w:spacing w:after="0" w:line="80" w:lineRule="exact"/>
        <w:rPr>
          <w:rFonts w:ascii="Times New Roman" w:cs="Times New Roman" w:eastAsia="Times New Roman" w:hAnsi="Times New Roman"/>
          <w:sz w:val="20"/>
          <w:szCs w:val="20"/>
          <w:color w:val="auto"/>
        </w:rPr>
      </w:pPr>
    </w:p>
    <w:p>
      <w:pPr>
        <w:ind w:left="1100" w:right="160" w:hanging="487"/>
        <w:spacing w:after="0" w:line="248" w:lineRule="auto"/>
        <w:tabs>
          <w:tab w:leader="none" w:pos="11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being the subject of, or a party to, any sanction or order, not subsequently reversed, suspended or vacated, of any self-regulatory organization (as defined in Section 3(a)(26) of the Exchange Act), any registered entity (as defined in Section 1(a)(40) of the Commodity Exchange Act), or any equivalent exchange, association, entity or organization that has disciplinary authority over its members or persons associated with a member.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Gender Diversity</w:t>
      </w:r>
    </w:p>
    <w:p>
      <w:pPr>
        <w:spacing w:after="0" w:line="224" w:lineRule="exact"/>
        <w:rPr>
          <w:sz w:val="20"/>
          <w:szCs w:val="20"/>
          <w:color w:val="auto"/>
        </w:rPr>
      </w:pPr>
    </w:p>
    <w:p>
      <w:pPr>
        <w:ind w:right="180" w:firstLine="721"/>
        <w:spacing w:after="0" w:line="228" w:lineRule="auto"/>
        <w:rPr>
          <w:sz w:val="20"/>
          <w:szCs w:val="20"/>
          <w:color w:val="auto"/>
        </w:rPr>
      </w:pPr>
      <w:r>
        <w:rPr>
          <w:rFonts w:ascii="Times New Roman" w:cs="Times New Roman" w:eastAsia="Times New Roman" w:hAnsi="Times New Roman"/>
          <w:sz w:val="20"/>
          <w:szCs w:val="20"/>
          <w:color w:val="auto"/>
        </w:rPr>
        <w:t>Under the 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Edition of the ASX’s Corporate Governance Principles and Recommendations the Company is required to set measurable objectives for achieving gender diversity in the composition of its board, senior executives and workforce generally.</w:t>
      </w:r>
    </w:p>
    <w:p>
      <w:pPr>
        <w:spacing w:after="0" w:line="186" w:lineRule="exact"/>
        <w:rPr>
          <w:sz w:val="20"/>
          <w:szCs w:val="20"/>
          <w:color w:val="auto"/>
        </w:rPr>
      </w:pPr>
    </w:p>
    <w:p>
      <w:pPr>
        <w:ind w:right="220" w:firstLine="721"/>
        <w:spacing w:after="0" w:line="253" w:lineRule="auto"/>
        <w:rPr>
          <w:sz w:val="20"/>
          <w:szCs w:val="20"/>
          <w:color w:val="auto"/>
        </w:rPr>
      </w:pPr>
      <w:r>
        <w:rPr>
          <w:rFonts w:ascii="Times New Roman" w:cs="Times New Roman" w:eastAsia="Times New Roman" w:hAnsi="Times New Roman"/>
          <w:sz w:val="20"/>
          <w:szCs w:val="20"/>
          <w:color w:val="auto"/>
        </w:rPr>
        <w:t>In the Company’s 2021 Form 10-KT, the Company confirmed that it had set a target of having at least 30% of its Directors being of each gender by 2024. As of the date of this Form 10-K, the Company has achieved that target as the Directors of the Company are 40% female and 60% male.</w:t>
      </w:r>
    </w:p>
    <w:p>
      <w:pPr>
        <w:spacing w:after="0" w:line="173" w:lineRule="exact"/>
        <w:rPr>
          <w:sz w:val="20"/>
          <w:szCs w:val="20"/>
          <w:color w:val="auto"/>
        </w:rPr>
      </w:pPr>
    </w:p>
    <w:p>
      <w:pPr>
        <w:ind w:firstLine="721"/>
        <w:spacing w:after="0" w:line="247" w:lineRule="auto"/>
        <w:rPr>
          <w:sz w:val="20"/>
          <w:szCs w:val="20"/>
          <w:color w:val="auto"/>
        </w:rPr>
      </w:pPr>
      <w:r>
        <w:rPr>
          <w:rFonts w:ascii="Times New Roman" w:cs="Times New Roman" w:eastAsia="Times New Roman" w:hAnsi="Times New Roman"/>
          <w:sz w:val="20"/>
          <w:szCs w:val="20"/>
          <w:color w:val="auto"/>
        </w:rPr>
        <w:t>The Company is also in the process of developing measurable objectives for achieving gender diversity in the composition of its senior executives and workforce generally in accordance with its Code of Ethics and Business Conduct. The Company will disclose its measurable objectives, the time period for achieving those objectives and the Company’s progress towards achieving those objectives in future reporting periods.</w:t>
      </w:r>
    </w:p>
    <w:p>
      <w:pPr>
        <w:sectPr>
          <w:pgSz w:w="11880" w:h="15480" w:orient="portrait"/>
          <w:cols w:equalWidth="0" w:num="1">
            <w:col w:w="10780"/>
          </w:cols>
          <w:pgMar w:left="540" w:top="879" w:right="560" w:bottom="0" w:gutter="0" w:footer="0" w:header="0"/>
        </w:sect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10780"/>
          </w:cols>
          <w:pgMar w:left="540" w:top="879" w:right="560" w:bottom="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b w:val="1"/>
          <w:bCs w:val="1"/>
          <w:color w:val="auto"/>
        </w:rPr>
        <w:t>Performance Evaluations</w:t>
      </w:r>
    </w:p>
    <w:p>
      <w:pPr>
        <w:spacing w:after="0" w:line="124" w:lineRule="exact"/>
        <w:rPr>
          <w:sz w:val="20"/>
          <w:szCs w:val="20"/>
          <w:color w:val="auto"/>
        </w:rPr>
      </w:pPr>
    </w:p>
    <w:p>
      <w:pPr>
        <w:jc w:val="both"/>
        <w:ind w:right="40" w:firstLine="720"/>
        <w:spacing w:after="0" w:line="259" w:lineRule="auto"/>
        <w:rPr>
          <w:sz w:val="20"/>
          <w:szCs w:val="20"/>
          <w:color w:val="auto"/>
        </w:rPr>
      </w:pPr>
      <w:r>
        <w:rPr>
          <w:rFonts w:ascii="Times New Roman" w:cs="Times New Roman" w:eastAsia="Times New Roman" w:hAnsi="Times New Roman"/>
          <w:sz w:val="20"/>
          <w:szCs w:val="20"/>
          <w:color w:val="auto"/>
        </w:rPr>
        <w:t>At least annually, the Nominating and Corporate Governance Committee will lead the Board of Directors in a self-evaluation to determine whether the board, its committees and individual directors are functioning effectively. The board completed its last self-evaluation during the fiscal year-ended December 31, 2022.</w:t>
      </w:r>
    </w:p>
    <w:p>
      <w:pPr>
        <w:spacing w:after="0" w:line="64" w:lineRule="exact"/>
        <w:rPr>
          <w:sz w:val="20"/>
          <w:szCs w:val="20"/>
          <w:color w:val="auto"/>
        </w:rPr>
      </w:pPr>
    </w:p>
    <w:p>
      <w:pPr>
        <w:ind w:right="20" w:firstLine="720"/>
        <w:spacing w:after="0" w:line="250" w:lineRule="auto"/>
        <w:rPr>
          <w:sz w:val="20"/>
          <w:szCs w:val="20"/>
          <w:color w:val="auto"/>
        </w:rPr>
      </w:pPr>
      <w:r>
        <w:rPr>
          <w:rFonts w:ascii="Times New Roman" w:cs="Times New Roman" w:eastAsia="Times New Roman" w:hAnsi="Times New Roman"/>
          <w:sz w:val="20"/>
          <w:szCs w:val="20"/>
          <w:color w:val="auto"/>
        </w:rPr>
        <w:t>Additionally, the Nominating and Corporate Governance Committee, Compensation Committee and Audit Committee conduct an annual evaluation of each Board committee as it relates to the composition of each committee, the frequency and length of meetings, each committees primary responsibilities, and the effectiveness of the each of the committee’s duties. The Nominating and Corporate Governance Committee and Compensation Committee completed its self-evaluation during the fiscal year-ended December 31, 2022.</w:t>
      </w:r>
    </w:p>
    <w:p>
      <w:pPr>
        <w:spacing w:after="0" w:line="74" w:lineRule="exact"/>
        <w:rPr>
          <w:sz w:val="20"/>
          <w:szCs w:val="20"/>
          <w:color w:val="auto"/>
        </w:rPr>
      </w:pPr>
    </w:p>
    <w:p>
      <w:pPr>
        <w:ind w:right="240" w:firstLine="720"/>
        <w:spacing w:after="0" w:line="276" w:lineRule="auto"/>
        <w:rPr>
          <w:sz w:val="20"/>
          <w:szCs w:val="20"/>
          <w:color w:val="auto"/>
        </w:rPr>
      </w:pPr>
      <w:r>
        <w:rPr>
          <w:rFonts w:ascii="Times New Roman" w:cs="Times New Roman" w:eastAsia="Times New Roman" w:hAnsi="Times New Roman"/>
          <w:sz w:val="20"/>
          <w:szCs w:val="20"/>
          <w:color w:val="auto"/>
        </w:rPr>
        <w:t>The Company's Compensation Committee has historically undertaken a review of the performance of the Company's CEO and the executive management team annually during the first quarter of the calendar year.</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Code of Ethics</w:t>
      </w:r>
    </w:p>
    <w:p>
      <w:pPr>
        <w:spacing w:after="0" w:line="2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have adopted a Code of Conduct, or the Code, that constitutes a “code of ethics” as that term is defined in paragraph</w:t>
      </w:r>
    </w:p>
    <w:p>
      <w:pPr>
        <w:ind w:right="140"/>
        <w:spacing w:after="0" w:line="279" w:lineRule="auto"/>
        <w:tabs>
          <w:tab w:leader="none" w:pos="286"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Item 406 of Regulation S-K and that applies to our executive officers, non-executive Directors, management and employees of the Company. A copy of the Code is available on our website at www.avitamedical.com.</w:t>
      </w:r>
    </w:p>
    <w:p>
      <w:pPr>
        <w:spacing w:after="0" w:line="154" w:lineRule="exact"/>
        <w:rPr>
          <w:sz w:val="20"/>
          <w:szCs w:val="20"/>
          <w:color w:val="auto"/>
        </w:rPr>
      </w:pPr>
    </w:p>
    <w:p>
      <w:pPr>
        <w:ind w:right="180" w:firstLine="720"/>
        <w:spacing w:after="0" w:line="259" w:lineRule="auto"/>
        <w:rPr>
          <w:sz w:val="20"/>
          <w:szCs w:val="20"/>
          <w:color w:val="auto"/>
        </w:rPr>
      </w:pPr>
      <w:r>
        <w:rPr>
          <w:rFonts w:ascii="Times New Roman" w:cs="Times New Roman" w:eastAsia="Times New Roman" w:hAnsi="Times New Roman"/>
          <w:sz w:val="20"/>
          <w:szCs w:val="20"/>
          <w:color w:val="auto"/>
        </w:rPr>
        <w:t>If we make any amendments to the Code or grant any waivers, including any implicit waiver, from a provision of the Code, we will disclose the nature of such amendment or waiver on our website. The information on our website is not incorporated by reference into this Annual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16(a) Beneficial ownership Reporting Compliance</w:t>
      </w:r>
    </w:p>
    <w:p>
      <w:pPr>
        <w:spacing w:after="0" w:line="234" w:lineRule="exact"/>
        <w:rPr>
          <w:sz w:val="20"/>
          <w:szCs w:val="20"/>
          <w:color w:val="auto"/>
        </w:rPr>
      </w:pPr>
    </w:p>
    <w:p>
      <w:pPr>
        <w:ind w:right="160" w:firstLine="720"/>
        <w:spacing w:after="0" w:line="249" w:lineRule="auto"/>
        <w:rPr>
          <w:sz w:val="20"/>
          <w:szCs w:val="20"/>
          <w:color w:val="auto"/>
        </w:rPr>
      </w:pPr>
      <w:r>
        <w:rPr>
          <w:rFonts w:ascii="Times New Roman" w:cs="Times New Roman" w:eastAsia="Times New Roman" w:hAnsi="Times New Roman"/>
          <w:sz w:val="20"/>
          <w:szCs w:val="20"/>
          <w:color w:val="auto"/>
        </w:rPr>
        <w:t>Section 16(a) of the Securities Exchange Act requires the Company’s Directors and certain of its executive officers and persons who beneficially own more than 10% of the Company’s common shares to file reports of and changes in ownership with the SEC. Based solely on the Company’s review of copies of SEC filings it has received or filed, the Company believes that each of its Directors, executive officers, and beneficial owners of more than 10% of the shares satisfied the Section 16(a) filing requirements during the fiscal year-ended December 31, 2022.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Election of Directors</w:t>
      </w:r>
    </w:p>
    <w:p>
      <w:pPr>
        <w:spacing w:after="0" w:line="234"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Our Board of Directors consists of five members. Directors are elected at our annual general meeting of stockholders and hold office for a term of one year and until their successors have been elected and qualified or until the earlier of their resignation or removal. Our Directors were most recently elected at our 2022 annual general meeting on December 12, 2022, to hold office for a term of one year or until his or her successor is duly elected and qualified. Any newly created directorship or any vacancy occurring on our Board of Directors may be filled only by a majority of the remaining members of our Board, even if such majority is less than a quorum, and each Director so elected shall hold office until the expiration of the term of office of the Director whom he or she has replaced or until his or her successor is elected and qualified. Under ASX Listing Rule 14.4, any Directors of the Company (except a managing Director) must not hold office without re-election past the third annual general meeting following the Director’s appointment or three years, whichever is longer.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Stockholder Nominees for Director</w:t>
      </w:r>
    </w:p>
    <w:p>
      <w:pPr>
        <w:spacing w:after="0" w:line="203" w:lineRule="exact"/>
        <w:rPr>
          <w:sz w:val="20"/>
          <w:szCs w:val="20"/>
          <w:color w:val="auto"/>
        </w:rPr>
      </w:pPr>
    </w:p>
    <w:p>
      <w:pPr>
        <w:ind w:right="360" w:firstLine="721"/>
        <w:spacing w:after="0" w:line="279" w:lineRule="auto"/>
        <w:rPr>
          <w:sz w:val="20"/>
          <w:szCs w:val="20"/>
          <w:color w:val="auto"/>
        </w:rPr>
      </w:pPr>
      <w:r>
        <w:rPr>
          <w:rFonts w:ascii="Times New Roman" w:cs="Times New Roman" w:eastAsia="Times New Roman" w:hAnsi="Times New Roman"/>
          <w:sz w:val="20"/>
          <w:szCs w:val="20"/>
          <w:color w:val="auto"/>
        </w:rPr>
        <w:t>There have been no material changes to the procedures by which stockholders may recommend nominees to the Board of Directors.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Committees of the Board of Directors</w:t>
      </w:r>
    </w:p>
    <w:p>
      <w:pPr>
        <w:spacing w:after="0" w:line="232" w:lineRule="exact"/>
        <w:rPr>
          <w:sz w:val="20"/>
          <w:szCs w:val="20"/>
          <w:color w:val="auto"/>
        </w:rPr>
      </w:pPr>
    </w:p>
    <w:p>
      <w:pPr>
        <w:ind w:right="20" w:firstLine="721"/>
        <w:spacing w:after="0" w:line="278" w:lineRule="auto"/>
        <w:rPr>
          <w:sz w:val="20"/>
          <w:szCs w:val="20"/>
          <w:color w:val="auto"/>
        </w:rPr>
      </w:pPr>
      <w:r>
        <w:rPr>
          <w:rFonts w:ascii="Times New Roman" w:cs="Times New Roman" w:eastAsia="Times New Roman" w:hAnsi="Times New Roman"/>
          <w:sz w:val="19"/>
          <w:szCs w:val="19"/>
          <w:color w:val="auto"/>
        </w:rPr>
        <w:t>Our Board of Directors has established an audit committee, a compensation committee, and a nominating and corporate governance committee, each of which operates pursuant to a written charter adopted by our Board of Directors. Our Board of Directors may also establish other committees from time to time to assist the Board of Directors. The composition and functioning of all of our committees comply with all applicable requirements of the Sarbanes-Oxley Act, Nasdaq and SEC rules and regulations and the ASX Listing Rules and also align with the ASX Corporate Governance Council’s 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Edition Corporate Governance Principles and</w:t>
      </w:r>
    </w:p>
    <w:p>
      <w:pPr>
        <w:sectPr>
          <w:pgSz w:w="11880" w:h="15480" w:orient="portrait"/>
          <w:cols w:equalWidth="0" w:num="1">
            <w:col w:w="10780"/>
          </w:cols>
          <w:pgMar w:left="540" w:top="116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10780"/>
          </w:cols>
          <w:pgMar w:left="540" w:top="1160" w:right="560" w:bottom="0" w:gutter="0" w:footer="0" w:header="0"/>
          <w:type w:val="continuous"/>
        </w:sectPr>
      </w:pPr>
    </w:p>
    <w:bookmarkStart w:id="48" w:name="page49"/>
    <w:bookmarkEnd w:id="48"/>
    <w:p>
      <w:pPr>
        <w:ind w:right="160"/>
        <w:spacing w:after="0" w:line="279" w:lineRule="auto"/>
        <w:rPr>
          <w:sz w:val="20"/>
          <w:szCs w:val="20"/>
          <w:color w:val="auto"/>
        </w:rPr>
      </w:pPr>
      <w:r>
        <w:rPr>
          <w:rFonts w:ascii="Times New Roman" w:cs="Times New Roman" w:eastAsia="Times New Roman" w:hAnsi="Times New Roman"/>
          <w:sz w:val="20"/>
          <w:szCs w:val="20"/>
          <w:color w:val="auto"/>
        </w:rPr>
        <w:t>Recommendations. Each committee has a charter, which is available on our website at www.avitamedical.com. As of the date of this report, the composition of our audit, compensation, and nominating and corporate governance committees were as follows:</w:t>
      </w:r>
    </w:p>
    <w:p>
      <w:pPr>
        <w:spacing w:after="0" w:line="202" w:lineRule="exact"/>
        <w:rPr>
          <w:sz w:val="20"/>
          <w:szCs w:val="20"/>
          <w:color w:val="auto"/>
        </w:rPr>
      </w:pPr>
    </w:p>
    <w:tbl>
      <w:tblPr>
        <w:tblLayout w:type="fixed"/>
        <w:tblInd w:w="54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Nominating and</w:t>
            </w:r>
          </w:p>
        </w:tc>
        <w:tc>
          <w:tcPr>
            <w:tcW w:w="0" w:type="dxa"/>
            <w:vAlign w:val="bottom"/>
          </w:tcPr>
          <w:p>
            <w:pPr>
              <w:spacing w:after="0"/>
              <w:rPr>
                <w:sz w:val="1"/>
                <w:szCs w:val="1"/>
                <w:color w:val="auto"/>
              </w:rPr>
            </w:pPr>
          </w:p>
        </w:tc>
      </w:tr>
      <w:tr>
        <w:trPr>
          <w:trHeight w:val="185"/>
        </w:trPr>
        <w:tc>
          <w:tcPr>
            <w:tcW w:w="34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0" w:type="dxa"/>
            <w:vAlign w:val="bottom"/>
          </w:tcPr>
          <w:p>
            <w:pPr>
              <w:spacing w:after="0"/>
              <w:rPr>
                <w:sz w:val="1"/>
                <w:szCs w:val="1"/>
                <w:color w:val="auto"/>
              </w:rPr>
            </w:pPr>
          </w:p>
        </w:tc>
      </w:tr>
      <w:tr>
        <w:trPr>
          <w:trHeight w:val="185"/>
        </w:trPr>
        <w:tc>
          <w:tcPr>
            <w:tcW w:w="34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Director</w:t>
            </w:r>
          </w:p>
        </w:tc>
        <w:tc>
          <w:tcPr>
            <w:tcW w:w="24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Audit</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Governance</w:t>
            </w:r>
          </w:p>
        </w:tc>
        <w:tc>
          <w:tcPr>
            <w:tcW w:w="0" w:type="dxa"/>
            <w:vAlign w:val="bottom"/>
          </w:tcPr>
          <w:p>
            <w:pPr>
              <w:spacing w:after="0"/>
              <w:rPr>
                <w:sz w:val="1"/>
                <w:szCs w:val="1"/>
                <w:color w:val="auto"/>
              </w:rPr>
            </w:pPr>
          </w:p>
        </w:tc>
      </w:tr>
      <w:tr>
        <w:trPr>
          <w:trHeight w:val="203"/>
        </w:trPr>
        <w:tc>
          <w:tcPr>
            <w:tcW w:w="3480" w:type="dxa"/>
            <w:vAlign w:val="bottom"/>
            <w:vMerge w:val="continue"/>
          </w:tcPr>
          <w:p>
            <w:pPr>
              <w:spacing w:after="0"/>
              <w:rPr>
                <w:sz w:val="17"/>
                <w:szCs w:val="17"/>
                <w:color w:val="auto"/>
              </w:rPr>
            </w:pPr>
          </w:p>
        </w:tc>
        <w:tc>
          <w:tcPr>
            <w:tcW w:w="2420" w:type="dxa"/>
            <w:vAlign w:val="bottom"/>
          </w:tcPr>
          <w:p>
            <w:pPr>
              <w:jc w:val="center"/>
              <w:ind w:left="1164"/>
              <w:spacing w:after="0"/>
              <w:rPr>
                <w:sz w:val="20"/>
                <w:szCs w:val="20"/>
                <w:color w:val="auto"/>
              </w:rPr>
            </w:pPr>
            <w:r>
              <w:rPr>
                <w:rFonts w:ascii="Times New Roman" w:cs="Times New Roman" w:eastAsia="Times New Roman" w:hAnsi="Times New Roman"/>
                <w:sz w:val="16"/>
                <w:szCs w:val="16"/>
                <w:b w:val="1"/>
                <w:bCs w:val="1"/>
                <w:color w:val="auto"/>
              </w:rPr>
              <w:t>Independent</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Committee</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Committee</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Committee</w:t>
            </w:r>
          </w:p>
        </w:tc>
        <w:tc>
          <w:tcPr>
            <w:tcW w:w="0" w:type="dxa"/>
            <w:vAlign w:val="bottom"/>
          </w:tcPr>
          <w:p>
            <w:pPr>
              <w:spacing w:after="0"/>
              <w:rPr>
                <w:sz w:val="1"/>
                <w:szCs w:val="1"/>
                <w:color w:val="auto"/>
              </w:rPr>
            </w:pPr>
          </w:p>
        </w:tc>
      </w:tr>
      <w:tr>
        <w:trPr>
          <w:trHeight w:val="228"/>
        </w:trPr>
        <w:tc>
          <w:tcPr>
            <w:tcW w:w="3480" w:type="dxa"/>
            <w:vAlign w:val="bottom"/>
            <w:shd w:val="clear" w:color="auto" w:fill="D5EEEE"/>
          </w:tcPr>
          <w:p>
            <w:pPr>
              <w:spacing w:after="0" w:line="228" w:lineRule="exact"/>
              <w:rPr>
                <w:sz w:val="20"/>
                <w:szCs w:val="20"/>
                <w:color w:val="auto"/>
              </w:rPr>
            </w:pPr>
            <w:r>
              <w:rPr>
                <w:rFonts w:ascii="Times New Roman" w:cs="Times New Roman" w:eastAsia="Times New Roman" w:hAnsi="Times New Roman"/>
                <w:sz w:val="20"/>
                <w:szCs w:val="20"/>
                <w:color w:val="auto"/>
              </w:rPr>
              <w:t>Lou Panaccio</w:t>
            </w:r>
          </w:p>
        </w:tc>
        <w:tc>
          <w:tcPr>
            <w:tcW w:w="2420" w:type="dxa"/>
            <w:vAlign w:val="bottom"/>
            <w:shd w:val="clear" w:color="auto" w:fill="D5EEEE"/>
          </w:tcPr>
          <w:p>
            <w:pPr>
              <w:jc w:val="center"/>
              <w:ind w:left="1164"/>
              <w:spacing w:after="0" w:line="228" w:lineRule="exact"/>
              <w:rPr>
                <w:sz w:val="20"/>
                <w:szCs w:val="20"/>
                <w:color w:val="auto"/>
              </w:rPr>
            </w:pPr>
            <w:r>
              <w:rPr>
                <w:rFonts w:ascii="Times New Roman" w:cs="Times New Roman" w:eastAsia="Times New Roman" w:hAnsi="Times New Roman"/>
                <w:sz w:val="20"/>
                <w:szCs w:val="20"/>
                <w:color w:val="auto"/>
              </w:rPr>
              <w:t>X</w:t>
            </w:r>
          </w:p>
        </w:tc>
        <w:tc>
          <w:tcPr>
            <w:tcW w:w="1280" w:type="dxa"/>
            <w:vAlign w:val="bottom"/>
            <w:shd w:val="clear" w:color="auto" w:fill="D5EEEE"/>
          </w:tcPr>
          <w:p>
            <w:pPr>
              <w:jc w:val="center"/>
              <w:spacing w:after="0" w:line="228" w:lineRule="exact"/>
              <w:rPr>
                <w:sz w:val="20"/>
                <w:szCs w:val="20"/>
                <w:color w:val="auto"/>
              </w:rPr>
            </w:pPr>
            <w:r>
              <w:rPr>
                <w:rFonts w:ascii="Times New Roman" w:cs="Times New Roman" w:eastAsia="Times New Roman" w:hAnsi="Times New Roman"/>
                <w:sz w:val="20"/>
                <w:szCs w:val="20"/>
                <w:color w:val="auto"/>
              </w:rPr>
              <w:t>Member</w:t>
            </w:r>
          </w:p>
        </w:tc>
        <w:tc>
          <w:tcPr>
            <w:tcW w:w="1100" w:type="dxa"/>
            <w:vAlign w:val="bottom"/>
            <w:shd w:val="clear" w:color="auto" w:fill="D5EEEE"/>
          </w:tcPr>
          <w:p>
            <w:pPr>
              <w:jc w:val="center"/>
              <w:spacing w:after="0" w:line="228" w:lineRule="exact"/>
              <w:rPr>
                <w:sz w:val="20"/>
                <w:szCs w:val="20"/>
                <w:color w:val="auto"/>
              </w:rPr>
            </w:pPr>
            <w:r>
              <w:rPr>
                <w:rFonts w:ascii="Times New Roman" w:cs="Times New Roman" w:eastAsia="Times New Roman" w:hAnsi="Times New Roman"/>
                <w:sz w:val="20"/>
                <w:szCs w:val="20"/>
                <w:color w:val="auto"/>
              </w:rPr>
              <w:t>Member</w:t>
            </w:r>
          </w:p>
        </w:tc>
        <w:tc>
          <w:tcPr>
            <w:tcW w:w="1440" w:type="dxa"/>
            <w:vAlign w:val="bottom"/>
            <w:shd w:val="clear" w:color="auto" w:fill="D5EEEE"/>
          </w:tcPr>
          <w:p>
            <w:pPr>
              <w:jc w:val="center"/>
              <w:spacing w:after="0" w:line="228" w:lineRule="exact"/>
              <w:rPr>
                <w:sz w:val="20"/>
                <w:szCs w:val="20"/>
                <w:color w:val="auto"/>
              </w:rPr>
            </w:pPr>
            <w:r>
              <w:rPr>
                <w:rFonts w:ascii="Times New Roman" w:cs="Times New Roman" w:eastAsia="Times New Roman" w:hAnsi="Times New Roman"/>
                <w:sz w:val="20"/>
                <w:szCs w:val="20"/>
                <w:color w:val="auto"/>
              </w:rPr>
              <w:t>Member</w:t>
            </w:r>
          </w:p>
        </w:tc>
        <w:tc>
          <w:tcPr>
            <w:tcW w:w="0" w:type="dxa"/>
            <w:vAlign w:val="bottom"/>
          </w:tcPr>
          <w:p>
            <w:pPr>
              <w:spacing w:after="0"/>
              <w:rPr>
                <w:sz w:val="1"/>
                <w:szCs w:val="1"/>
                <w:color w:val="auto"/>
              </w:rPr>
            </w:pPr>
          </w:p>
        </w:tc>
      </w:tr>
      <w:tr>
        <w:trPr>
          <w:trHeight w:val="210"/>
        </w:trPr>
        <w:tc>
          <w:tcPr>
            <w:tcW w:w="348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Jeremy Curnock Cook</w:t>
            </w:r>
          </w:p>
        </w:tc>
        <w:tc>
          <w:tcPr>
            <w:tcW w:w="2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0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8"/>
              </w:rPr>
              <w:t>Interim</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80" w:type="dxa"/>
            <w:vAlign w:val="bottom"/>
          </w:tcPr>
          <w:p>
            <w:pPr>
              <w:spacing w:after="0"/>
              <w:rPr>
                <w:sz w:val="21"/>
                <w:szCs w:val="21"/>
                <w:color w:val="auto"/>
              </w:rPr>
            </w:pPr>
          </w:p>
        </w:tc>
        <w:tc>
          <w:tcPr>
            <w:tcW w:w="2420" w:type="dxa"/>
            <w:vAlign w:val="bottom"/>
          </w:tcPr>
          <w:p>
            <w:pPr>
              <w:jc w:val="center"/>
              <w:ind w:left="1164"/>
              <w:spacing w:after="0"/>
              <w:rPr>
                <w:sz w:val="20"/>
                <w:szCs w:val="20"/>
                <w:color w:val="auto"/>
              </w:rPr>
            </w:pPr>
            <w:r>
              <w:rPr>
                <w:rFonts w:ascii="Times New Roman" w:cs="Times New Roman" w:eastAsia="Times New Roman" w:hAnsi="Times New Roman"/>
                <w:sz w:val="20"/>
                <w:szCs w:val="20"/>
                <w:color w:val="auto"/>
              </w:rPr>
              <w:t>X</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Member</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Chair</w:t>
            </w: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Member</w:t>
            </w:r>
          </w:p>
        </w:tc>
        <w:tc>
          <w:tcPr>
            <w:tcW w:w="0" w:type="dxa"/>
            <w:vAlign w:val="bottom"/>
          </w:tcPr>
          <w:p>
            <w:pPr>
              <w:spacing w:after="0"/>
              <w:rPr>
                <w:sz w:val="1"/>
                <w:szCs w:val="1"/>
                <w:color w:val="auto"/>
              </w:rPr>
            </w:pPr>
          </w:p>
        </w:tc>
      </w:tr>
      <w:tr>
        <w:trPr>
          <w:trHeight w:val="230"/>
        </w:trPr>
        <w:tc>
          <w:tcPr>
            <w:tcW w:w="34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Professor Suzanne Crowe</w:t>
            </w:r>
          </w:p>
        </w:tc>
        <w:tc>
          <w:tcPr>
            <w:tcW w:w="2420" w:type="dxa"/>
            <w:vAlign w:val="bottom"/>
            <w:shd w:val="clear" w:color="auto" w:fill="D5EEEE"/>
          </w:tcPr>
          <w:p>
            <w:pPr>
              <w:jc w:val="center"/>
              <w:ind w:left="1164"/>
              <w:spacing w:after="0"/>
              <w:rPr>
                <w:sz w:val="20"/>
                <w:szCs w:val="20"/>
                <w:color w:val="auto"/>
              </w:rPr>
            </w:pPr>
            <w:r>
              <w:rPr>
                <w:rFonts w:ascii="Times New Roman" w:cs="Times New Roman" w:eastAsia="Times New Roman" w:hAnsi="Times New Roman"/>
                <w:sz w:val="20"/>
                <w:szCs w:val="20"/>
                <w:color w:val="auto"/>
              </w:rPr>
              <w:t>X</w:t>
            </w:r>
          </w:p>
        </w:tc>
        <w:tc>
          <w:tcPr>
            <w:tcW w:w="1280" w:type="dxa"/>
            <w:vAlign w:val="bottom"/>
            <w:shd w:val="clear" w:color="auto" w:fill="D5EEEE"/>
          </w:tcPr>
          <w:p>
            <w:pPr>
              <w:jc w:val="center"/>
              <w:spacing w:after="0"/>
              <w:rPr>
                <w:sz w:val="20"/>
                <w:szCs w:val="20"/>
                <w:color w:val="auto"/>
              </w:rPr>
            </w:pPr>
            <w:r>
              <w:rPr>
                <w:rFonts w:ascii="Times New Roman" w:cs="Times New Roman" w:eastAsia="Times New Roman" w:hAnsi="Times New Roman"/>
                <w:sz w:val="20"/>
                <w:szCs w:val="20"/>
                <w:color w:val="auto"/>
                <w:w w:val="98"/>
              </w:rPr>
              <w:t>Chair</w:t>
            </w:r>
          </w:p>
        </w:tc>
        <w:tc>
          <w:tcPr>
            <w:tcW w:w="1100" w:type="dxa"/>
            <w:vAlign w:val="bottom"/>
            <w:shd w:val="clear" w:color="auto" w:fill="D5EEEE"/>
          </w:tcPr>
          <w:p>
            <w:pPr>
              <w:spacing w:after="0"/>
              <w:rPr>
                <w:sz w:val="20"/>
                <w:szCs w:val="20"/>
                <w:color w:val="auto"/>
              </w:rPr>
            </w:pPr>
          </w:p>
        </w:tc>
        <w:tc>
          <w:tcPr>
            <w:tcW w:w="1440" w:type="dxa"/>
            <w:vAlign w:val="bottom"/>
            <w:shd w:val="clear" w:color="auto" w:fill="D5EEEE"/>
          </w:tcPr>
          <w:p>
            <w:pPr>
              <w:jc w:val="center"/>
              <w:spacing w:after="0"/>
              <w:rPr>
                <w:sz w:val="20"/>
                <w:szCs w:val="20"/>
                <w:color w:val="auto"/>
              </w:rPr>
            </w:pPr>
            <w:r>
              <w:rPr>
                <w:rFonts w:ascii="Times New Roman" w:cs="Times New Roman" w:eastAsia="Times New Roman" w:hAnsi="Times New Roman"/>
                <w:sz w:val="20"/>
                <w:szCs w:val="20"/>
                <w:color w:val="auto"/>
                <w:w w:val="98"/>
              </w:rPr>
              <w:t>Chair</w:t>
            </w:r>
          </w:p>
        </w:tc>
        <w:tc>
          <w:tcPr>
            <w:tcW w:w="0" w:type="dxa"/>
            <w:vAlign w:val="bottom"/>
          </w:tcPr>
          <w:p>
            <w:pPr>
              <w:spacing w:after="0"/>
              <w:rPr>
                <w:sz w:val="1"/>
                <w:szCs w:val="1"/>
                <w:color w:val="auto"/>
              </w:rPr>
            </w:pPr>
          </w:p>
        </w:tc>
      </w:tr>
      <w:tr>
        <w:trPr>
          <w:trHeight w:val="267"/>
        </w:trPr>
        <w:tc>
          <w:tcPr>
            <w:tcW w:w="3480" w:type="dxa"/>
            <w:vAlign w:val="bottom"/>
          </w:tcPr>
          <w:p>
            <w:pPr>
              <w:spacing w:after="0"/>
              <w:rPr>
                <w:sz w:val="20"/>
                <w:szCs w:val="20"/>
                <w:color w:val="auto"/>
              </w:rPr>
            </w:pPr>
            <w:r>
              <w:rPr>
                <w:rFonts w:ascii="Times New Roman" w:cs="Times New Roman" w:eastAsia="Times New Roman" w:hAnsi="Times New Roman"/>
                <w:sz w:val="20"/>
                <w:szCs w:val="20"/>
                <w:color w:val="auto"/>
              </w:rPr>
              <w:t>Jan Stern Reed</w:t>
            </w:r>
          </w:p>
        </w:tc>
        <w:tc>
          <w:tcPr>
            <w:tcW w:w="2420" w:type="dxa"/>
            <w:vAlign w:val="bottom"/>
          </w:tcPr>
          <w:p>
            <w:pPr>
              <w:jc w:val="center"/>
              <w:ind w:left="1164"/>
              <w:spacing w:after="0"/>
              <w:rPr>
                <w:sz w:val="20"/>
                <w:szCs w:val="20"/>
                <w:color w:val="auto"/>
              </w:rPr>
            </w:pPr>
            <w:r>
              <w:rPr>
                <w:rFonts w:ascii="Times New Roman" w:cs="Times New Roman" w:eastAsia="Times New Roman" w:hAnsi="Times New Roman"/>
                <w:sz w:val="20"/>
                <w:szCs w:val="20"/>
                <w:color w:val="auto"/>
              </w:rPr>
              <w:t>X</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Member</w:t>
            </w: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Member</w:t>
            </w: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Member</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Audit Committee</w:t>
      </w:r>
    </w:p>
    <w:p>
      <w:pPr>
        <w:spacing w:after="0" w:line="122" w:lineRule="exact"/>
        <w:rPr>
          <w:sz w:val="20"/>
          <w:szCs w:val="20"/>
          <w:color w:val="auto"/>
        </w:rPr>
      </w:pPr>
    </w:p>
    <w:p>
      <w:pPr>
        <w:ind w:right="40" w:firstLine="720"/>
        <w:spacing w:after="0" w:line="236" w:lineRule="auto"/>
        <w:rPr>
          <w:sz w:val="20"/>
          <w:szCs w:val="20"/>
          <w:color w:val="auto"/>
        </w:rPr>
      </w:pPr>
      <w:r>
        <w:rPr>
          <w:rFonts w:ascii="Times New Roman" w:cs="Times New Roman" w:eastAsia="Times New Roman" w:hAnsi="Times New Roman"/>
          <w:sz w:val="20"/>
          <w:szCs w:val="20"/>
          <w:color w:val="auto"/>
        </w:rPr>
        <w:t>Nasdaq Marketplace Rules require us to establish an audit committee comprised of at least three members, each of whom is financially literate and satisfies the respective “independence” requirements of the SEC and Nasdaq and one of whom has accounting or related financial management expertise at senior levels within a company. In addition, the ASX Listing Rules and the 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Edition of the ASX’s Corporate Governance Principles and Recommendations require us to have an Audit Committee comprised of at least three members, all of whom are non-executive Directors and a majority of whom are “independent” Directors, and which is chaired by an independent Director who is not the chair of the Board.</w:t>
      </w:r>
    </w:p>
    <w:p>
      <w:pPr>
        <w:spacing w:after="0" w:line="87"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We have a separately-designated standing Audit Committee established in accordance with Section 3(a)(58)(A) of the Exchange Act. Our Audit Committee assists our Board of Directors in overseeing the accounting and financial reporting processes of our company and audits of our financial statements, including the integrity of our financial statements, compliance with legal and regulatory requirements, our registered public accounting firm’s qualifications and independence, and such other duties as may be directed by our Board of Directors. The Audit Committee is also required to assess risk management in conjunction with the Board of Directors.</w:t>
      </w:r>
    </w:p>
    <w:p>
      <w:pPr>
        <w:spacing w:after="0" w:line="191" w:lineRule="exact"/>
        <w:rPr>
          <w:sz w:val="20"/>
          <w:szCs w:val="20"/>
          <w:color w:val="auto"/>
        </w:rPr>
      </w:pPr>
    </w:p>
    <w:p>
      <w:pPr>
        <w:ind w:firstLine="720"/>
        <w:spacing w:after="0" w:line="232" w:lineRule="auto"/>
        <w:rPr>
          <w:sz w:val="20"/>
          <w:szCs w:val="20"/>
          <w:color w:val="auto"/>
        </w:rPr>
      </w:pPr>
      <w:r>
        <w:rPr>
          <w:rFonts w:ascii="Times New Roman" w:cs="Times New Roman" w:eastAsia="Times New Roman" w:hAnsi="Times New Roman"/>
          <w:sz w:val="20"/>
          <w:szCs w:val="20"/>
          <w:color w:val="auto"/>
        </w:rPr>
        <w:t>Our Audit Committee currently consists of three Board members, each of whom satisfies the “independence” requirements of the SEC, Nasdaq Marketplace Rules, the ASX Listing Rules and the 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Edition of the ASX’s Corporate Governance Principles and Recommendations. Our Audit Committee is currently composed of Jeremy Curnock Cook, Lou Panaccio and Jan Stern Reed. Each qualifies as an “independent director” within the meaning of Nasdaq Marketplace Rules and the 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Edition of the ASX’s Corporate Governance Principles and Recommendations. Mr. Corbett was the Chairman of the Audit Committee from February 23, 2022 through September 28, 2022. Mr. Corbett stepped down from his role on the Audit Committee following his appointment to President and CEO of the Company on September 28, 2022. Prior to his appointment to President and CEO, Mr. Corbett was an independent director. Mr. Curnock Cook is the current Interim Audit Committee Chair and was appointed to that role as of September 28, 2022, following Mr. Corbett’s transition to President and CEO of the Company. Our Board of Directors has determined that Jeremy Curnock Cook is an “audit committee financial expert,” as defined in item 407(d)(5)(ii) of Regulations S-K. The Audit Committee meets at least two times per year. See below for summary of attendance.</w:t>
      </w:r>
    </w:p>
    <w:p>
      <w:pPr>
        <w:spacing w:after="0" w:line="204" w:lineRule="exact"/>
        <w:rPr>
          <w:sz w:val="20"/>
          <w:szCs w:val="20"/>
          <w:color w:val="auto"/>
        </w:rPr>
      </w:pPr>
    </w:p>
    <w:p>
      <w:pPr>
        <w:ind w:right="40" w:firstLine="721"/>
        <w:spacing w:after="0" w:line="279" w:lineRule="auto"/>
        <w:rPr>
          <w:sz w:val="20"/>
          <w:szCs w:val="20"/>
          <w:color w:val="auto"/>
        </w:rPr>
      </w:pPr>
      <w:r>
        <w:rPr>
          <w:rFonts w:ascii="Times New Roman" w:cs="Times New Roman" w:eastAsia="Times New Roman" w:hAnsi="Times New Roman"/>
          <w:sz w:val="20"/>
          <w:szCs w:val="20"/>
          <w:color w:val="auto"/>
        </w:rPr>
        <w:t>The Audit Committee held a total of six meetings during the annual period ended December 31, 2022. The meetings attended by each Director, and the number of meetings that they were each eligible to attend, is as follows:</w:t>
      </w:r>
    </w:p>
    <w:p>
      <w:pPr>
        <w:spacing w:after="0" w:line="397" w:lineRule="exact"/>
        <w:rPr>
          <w:sz w:val="20"/>
          <w:szCs w:val="20"/>
          <w:color w:val="auto"/>
        </w:rPr>
      </w:pPr>
    </w:p>
    <w:tbl>
      <w:tblPr>
        <w:tblLayout w:type="fixed"/>
        <w:tblInd w:w="1620" w:type="dxa"/>
        <w:tblCellMar>
          <w:top w:w="0" w:type="dxa"/>
          <w:left w:w="0" w:type="dxa"/>
          <w:bottom w:w="0" w:type="dxa"/>
          <w:right w:w="0" w:type="dxa"/>
        </w:tblCellMar>
      </w:tblPr>
      <w:tr>
        <w:trPr>
          <w:trHeight w:val="274"/>
        </w:trPr>
        <w:tc>
          <w:tcPr>
            <w:tcW w:w="342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3860" w:type="dxa"/>
            <w:vAlign w:val="bottom"/>
            <w:tcBorders>
              <w:top w:val="single" w:sz="8" w:color="auto"/>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Meetings attended/Eligible to attend</w:t>
            </w:r>
          </w:p>
        </w:tc>
      </w:tr>
      <w:tr>
        <w:trPr>
          <w:trHeight w:val="210"/>
        </w:trPr>
        <w:tc>
          <w:tcPr>
            <w:tcW w:w="3420" w:type="dxa"/>
            <w:vAlign w:val="bottom"/>
            <w:tcBorders>
              <w:top w:val="single" w:sz="8" w:color="D5EEEE"/>
            </w:tcBorders>
            <w:shd w:val="clear" w:color="auto" w:fill="D5EEEE"/>
          </w:tcPr>
          <w:p>
            <w:pPr>
              <w:spacing w:after="0" w:line="209" w:lineRule="exact"/>
              <w:rPr>
                <w:sz w:val="20"/>
                <w:szCs w:val="20"/>
                <w:color w:val="auto"/>
              </w:rPr>
            </w:pPr>
            <w:r>
              <w:rPr>
                <w:rFonts w:ascii="Times New Roman" w:cs="Times New Roman" w:eastAsia="Times New Roman" w:hAnsi="Times New Roman"/>
                <w:sz w:val="20"/>
                <w:szCs w:val="20"/>
                <w:color w:val="auto"/>
              </w:rPr>
              <w:t>Lou Panaccio</w:t>
            </w:r>
          </w:p>
        </w:tc>
        <w:tc>
          <w:tcPr>
            <w:tcW w:w="280" w:type="dxa"/>
            <w:vAlign w:val="bottom"/>
            <w:tcBorders>
              <w:top w:val="single" w:sz="8" w:color="D5EEEE"/>
            </w:tcBorders>
            <w:shd w:val="clear" w:color="auto" w:fill="D5EEEE"/>
          </w:tcPr>
          <w:p>
            <w:pPr>
              <w:spacing w:after="0"/>
              <w:rPr>
                <w:sz w:val="18"/>
                <w:szCs w:val="18"/>
                <w:color w:val="auto"/>
              </w:rPr>
            </w:pPr>
          </w:p>
        </w:tc>
        <w:tc>
          <w:tcPr>
            <w:tcW w:w="3840" w:type="dxa"/>
            <w:vAlign w:val="bottom"/>
            <w:tcBorders>
              <w:top w:val="single" w:sz="8" w:color="D5EEEE"/>
            </w:tcBorders>
            <w:shd w:val="clear" w:color="auto" w:fill="D5EEEE"/>
          </w:tcPr>
          <w:p>
            <w:pPr>
              <w:jc w:val="center"/>
              <w:spacing w:after="0" w:line="209" w:lineRule="exact"/>
              <w:rPr>
                <w:sz w:val="20"/>
                <w:szCs w:val="20"/>
                <w:color w:val="auto"/>
              </w:rPr>
            </w:pPr>
            <w:r>
              <w:rPr>
                <w:rFonts w:ascii="Times New Roman" w:cs="Times New Roman" w:eastAsia="Times New Roman" w:hAnsi="Times New Roman"/>
                <w:sz w:val="20"/>
                <w:szCs w:val="20"/>
                <w:color w:val="auto"/>
              </w:rPr>
              <w:t>4/6</w:t>
            </w:r>
          </w:p>
        </w:tc>
        <w:tc>
          <w:tcPr>
            <w:tcW w:w="20" w:type="dxa"/>
            <w:vAlign w:val="bottom"/>
            <w:tcBorders>
              <w:top w:val="single" w:sz="8" w:color="D5EEEE"/>
            </w:tcBorders>
          </w:tcPr>
          <w:p>
            <w:pPr>
              <w:spacing w:after="0"/>
              <w:rPr>
                <w:sz w:val="18"/>
                <w:szCs w:val="18"/>
                <w:color w:val="auto"/>
              </w:rPr>
            </w:pPr>
          </w:p>
        </w:tc>
      </w:tr>
      <w:tr>
        <w:trPr>
          <w:trHeight w:val="245"/>
        </w:trPr>
        <w:tc>
          <w:tcPr>
            <w:tcW w:w="342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Jeremy Curnock Cook</w:t>
            </w:r>
          </w:p>
        </w:tc>
        <w:tc>
          <w:tcPr>
            <w:tcW w:w="280" w:type="dxa"/>
            <w:vAlign w:val="bottom"/>
            <w:tcBorders>
              <w:bottom w:val="single" w:sz="8" w:color="D5EEEE"/>
            </w:tcBorders>
          </w:tcPr>
          <w:p>
            <w:pPr>
              <w:spacing w:after="0"/>
              <w:rPr>
                <w:sz w:val="21"/>
                <w:szCs w:val="21"/>
                <w:color w:val="auto"/>
              </w:rPr>
            </w:pPr>
          </w:p>
        </w:tc>
        <w:tc>
          <w:tcPr>
            <w:tcW w:w="3840" w:type="dxa"/>
            <w:vAlign w:val="bottom"/>
            <w:tcBorders>
              <w:bottom w:val="single" w:sz="8" w:color="D5EEEE"/>
            </w:tcBorders>
          </w:tcPr>
          <w:p>
            <w:pPr>
              <w:jc w:val="center"/>
              <w:spacing w:after="0"/>
              <w:rPr>
                <w:sz w:val="20"/>
                <w:szCs w:val="20"/>
                <w:color w:val="auto"/>
              </w:rPr>
            </w:pPr>
            <w:r>
              <w:rPr>
                <w:rFonts w:ascii="Times New Roman" w:cs="Times New Roman" w:eastAsia="Times New Roman" w:hAnsi="Times New Roman"/>
                <w:sz w:val="20"/>
                <w:szCs w:val="20"/>
                <w:color w:val="auto"/>
              </w:rPr>
              <w:t>4/6</w:t>
            </w:r>
          </w:p>
        </w:tc>
        <w:tc>
          <w:tcPr>
            <w:tcW w:w="20" w:type="dxa"/>
            <w:vAlign w:val="bottom"/>
            <w:tcBorders>
              <w:bottom w:val="single" w:sz="8" w:color="D5EEEE"/>
            </w:tcBorders>
          </w:tcPr>
          <w:p>
            <w:pPr>
              <w:spacing w:after="0"/>
              <w:rPr>
                <w:sz w:val="21"/>
                <w:szCs w:val="21"/>
                <w:color w:val="auto"/>
              </w:rPr>
            </w:pPr>
          </w:p>
        </w:tc>
      </w:tr>
      <w:tr>
        <w:trPr>
          <w:trHeight w:val="225"/>
        </w:trPr>
        <w:tc>
          <w:tcPr>
            <w:tcW w:w="342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Jan Stern Reed</w:t>
            </w:r>
          </w:p>
        </w:tc>
        <w:tc>
          <w:tcPr>
            <w:tcW w:w="280" w:type="dxa"/>
            <w:vAlign w:val="bottom"/>
            <w:shd w:val="clear" w:color="auto" w:fill="D5EEEE"/>
          </w:tcPr>
          <w:p>
            <w:pPr>
              <w:spacing w:after="0"/>
              <w:rPr>
                <w:sz w:val="19"/>
                <w:szCs w:val="19"/>
                <w:color w:val="auto"/>
              </w:rPr>
            </w:pPr>
          </w:p>
        </w:tc>
        <w:tc>
          <w:tcPr>
            <w:tcW w:w="3840" w:type="dxa"/>
            <w:vAlign w:val="bottom"/>
            <w:shd w:val="clear" w:color="auto" w:fill="D5EEEE"/>
          </w:tcPr>
          <w:p>
            <w:pPr>
              <w:jc w:val="center"/>
              <w:spacing w:after="0" w:line="225" w:lineRule="exact"/>
              <w:rPr>
                <w:sz w:val="20"/>
                <w:szCs w:val="20"/>
                <w:color w:val="auto"/>
              </w:rPr>
            </w:pPr>
            <w:r>
              <w:rPr>
                <w:rFonts w:ascii="Times New Roman" w:cs="Times New Roman" w:eastAsia="Times New Roman" w:hAnsi="Times New Roman"/>
                <w:sz w:val="20"/>
                <w:szCs w:val="20"/>
                <w:color w:val="auto"/>
              </w:rPr>
              <w:t>6/6</w:t>
            </w:r>
          </w:p>
        </w:tc>
        <w:tc>
          <w:tcPr>
            <w:tcW w:w="20" w:type="dxa"/>
            <w:vAlign w:val="bottom"/>
          </w:tcPr>
          <w:p>
            <w:pPr>
              <w:spacing w:after="0"/>
              <w:rPr>
                <w:sz w:val="19"/>
                <w:szCs w:val="19"/>
                <w:color w:val="auto"/>
              </w:rPr>
            </w:pPr>
          </w:p>
        </w:tc>
      </w:tr>
      <w:tr>
        <w:trPr>
          <w:trHeight w:val="245"/>
        </w:trPr>
        <w:tc>
          <w:tcPr>
            <w:tcW w:w="342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James Corbett</w:t>
            </w:r>
          </w:p>
        </w:tc>
        <w:tc>
          <w:tcPr>
            <w:tcW w:w="280" w:type="dxa"/>
            <w:vAlign w:val="bottom"/>
            <w:tcBorders>
              <w:bottom w:val="single" w:sz="8" w:color="D5EEEE"/>
            </w:tcBorders>
          </w:tcPr>
          <w:p>
            <w:pPr>
              <w:spacing w:after="0"/>
              <w:rPr>
                <w:sz w:val="21"/>
                <w:szCs w:val="21"/>
                <w:color w:val="auto"/>
              </w:rPr>
            </w:pPr>
          </w:p>
        </w:tc>
        <w:tc>
          <w:tcPr>
            <w:tcW w:w="3840" w:type="dxa"/>
            <w:vAlign w:val="bottom"/>
            <w:tcBorders>
              <w:bottom w:val="single" w:sz="8" w:color="D5EEEE"/>
            </w:tcBorders>
          </w:tcPr>
          <w:p>
            <w:pPr>
              <w:jc w:val="center"/>
              <w:spacing w:after="0"/>
              <w:rPr>
                <w:sz w:val="20"/>
                <w:szCs w:val="20"/>
                <w:color w:val="auto"/>
              </w:rPr>
            </w:pPr>
            <w:r>
              <w:rPr>
                <w:rFonts w:ascii="Times New Roman" w:cs="Times New Roman" w:eastAsia="Times New Roman" w:hAnsi="Times New Roman"/>
                <w:sz w:val="20"/>
                <w:szCs w:val="20"/>
                <w:color w:val="auto"/>
              </w:rPr>
              <w:t>6/6</w:t>
            </w:r>
          </w:p>
        </w:tc>
        <w:tc>
          <w:tcPr>
            <w:tcW w:w="20" w:type="dxa"/>
            <w:vAlign w:val="bottom"/>
            <w:tcBorders>
              <w:bottom w:val="single" w:sz="8" w:color="D5EEEE"/>
            </w:tcBorders>
          </w:tcPr>
          <w:p>
            <w:pPr>
              <w:spacing w:after="0"/>
              <w:rPr>
                <w:sz w:val="21"/>
                <w:szCs w:val="21"/>
                <w:color w:val="auto"/>
              </w:rPr>
            </w:pPr>
          </w:p>
        </w:tc>
      </w:tr>
      <w:tr>
        <w:trPr>
          <w:trHeight w:val="225"/>
        </w:trPr>
        <w:tc>
          <w:tcPr>
            <w:tcW w:w="342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Dr. Michael Perry</w:t>
            </w:r>
          </w:p>
        </w:tc>
        <w:tc>
          <w:tcPr>
            <w:tcW w:w="280" w:type="dxa"/>
            <w:vAlign w:val="bottom"/>
            <w:shd w:val="clear" w:color="auto" w:fill="D5EEEE"/>
          </w:tcPr>
          <w:p>
            <w:pPr>
              <w:spacing w:after="0"/>
              <w:rPr>
                <w:sz w:val="19"/>
                <w:szCs w:val="19"/>
                <w:color w:val="auto"/>
              </w:rPr>
            </w:pPr>
          </w:p>
        </w:tc>
        <w:tc>
          <w:tcPr>
            <w:tcW w:w="3840" w:type="dxa"/>
            <w:vAlign w:val="bottom"/>
            <w:shd w:val="clear" w:color="auto" w:fill="D5EEEE"/>
          </w:tcPr>
          <w:p>
            <w:pPr>
              <w:jc w:val="center"/>
              <w:spacing w:after="0" w:line="225" w:lineRule="exact"/>
              <w:rPr>
                <w:sz w:val="20"/>
                <w:szCs w:val="20"/>
                <w:color w:val="auto"/>
              </w:rPr>
            </w:pPr>
            <w:r>
              <w:rPr>
                <w:rFonts w:ascii="Times New Roman" w:cs="Times New Roman" w:eastAsia="Times New Roman" w:hAnsi="Times New Roman"/>
                <w:sz w:val="20"/>
                <w:szCs w:val="20"/>
                <w:color w:val="auto"/>
              </w:rPr>
              <w:t>3/3</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1028700</wp:posOffset>
            </wp:positionH>
            <wp:positionV relativeFrom="paragraph">
              <wp:posOffset>-935355</wp:posOffset>
            </wp:positionV>
            <wp:extent cx="48018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801870" cy="8890"/>
                    </a:xfrm>
                    <a:prstGeom prst="rect">
                      <a:avLst/>
                    </a:prstGeom>
                    <a:noFill/>
                  </pic:spPr>
                </pic:pic>
              </a:graphicData>
            </a:graphic>
          </wp:anchor>
        </w:drawing>
        <w:drawing>
          <wp:anchor simplePos="0" relativeHeight="251657728" behindDoc="1" locked="0" layoutInCell="0" allowOverlap="1">
            <wp:simplePos x="0" y="0"/>
            <wp:positionH relativeFrom="column">
              <wp:posOffset>1016000</wp:posOffset>
            </wp:positionH>
            <wp:positionV relativeFrom="paragraph">
              <wp:posOffset>-792480</wp:posOffset>
            </wp:positionV>
            <wp:extent cx="4827270" cy="8058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27270" cy="80581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Committee</w:t>
      </w:r>
    </w:p>
    <w:p>
      <w:pPr>
        <w:spacing w:after="0" w:line="124" w:lineRule="exact"/>
        <w:rPr>
          <w:sz w:val="20"/>
          <w:szCs w:val="20"/>
          <w:color w:val="auto"/>
        </w:rPr>
      </w:pPr>
    </w:p>
    <w:p>
      <w:pPr>
        <w:ind w:right="20" w:firstLine="720"/>
        <w:spacing w:after="0" w:line="238" w:lineRule="auto"/>
        <w:rPr>
          <w:sz w:val="20"/>
          <w:szCs w:val="20"/>
          <w:color w:val="auto"/>
        </w:rPr>
      </w:pPr>
      <w:r>
        <w:rPr>
          <w:rFonts w:ascii="Times New Roman" w:cs="Times New Roman" w:eastAsia="Times New Roman" w:hAnsi="Times New Roman"/>
          <w:sz w:val="19"/>
          <w:szCs w:val="19"/>
          <w:color w:val="auto"/>
        </w:rPr>
        <w:t>Our Board of Directors has established a Compensation Committee, which is comprised of independent Directors, within the meaning of Nasdaq Marketplace Rules and also the 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Edition of the ASX’s Corporate Governance Principles and Recommendations. The Compensation Committee must be comprised solely of non-executive directors in accordance with the ASX Listing Rules and must also be chaired by an independent Director in accordance with the 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Edition of the ASX’s Corporate Governance Principles and Recommendations. The Compensation Committee is responsible for reviewing the salary, incentives, and other benefits of our directors, senior executive officers and employees, and to make recommendations on such matters for approval by our Board of</w:t>
      </w:r>
    </w:p>
    <w:p>
      <w:pPr>
        <w:sectPr>
          <w:pgSz w:w="11880" w:h="15480" w:orient="portrait"/>
          <w:cols w:equalWidth="0" w:num="1">
            <w:col w:w="10800"/>
          </w:cols>
          <w:pgMar w:left="540" w:top="887" w:right="540" w:bottom="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10800"/>
          </w:cols>
          <w:pgMar w:left="540" w:top="887" w:right="540" w:bottom="0" w:gutter="0" w:footer="0" w:header="0"/>
          <w:type w:val="continuous"/>
        </w:sectPr>
      </w:pPr>
    </w:p>
    <w:bookmarkStart w:id="49" w:name="page50"/>
    <w:bookmarkEnd w:id="49"/>
    <w:p>
      <w:pPr>
        <w:ind w:right="280"/>
        <w:spacing w:after="0" w:line="250" w:lineRule="auto"/>
        <w:rPr>
          <w:sz w:val="20"/>
          <w:szCs w:val="20"/>
          <w:color w:val="auto"/>
        </w:rPr>
      </w:pPr>
      <w:r>
        <w:rPr>
          <w:rFonts w:ascii="Times New Roman" w:cs="Times New Roman" w:eastAsia="Times New Roman" w:hAnsi="Times New Roman"/>
          <w:sz w:val="19"/>
          <w:szCs w:val="19"/>
          <w:color w:val="auto"/>
        </w:rPr>
        <w:t>Directors. The Compensation Committee is also responsible for overseeing and advising our Board of Directors with regard to the adoption of policies that govern our compensation programs. Professor Suzanne Crowe, Jeremy Curnock Cook, Jan Stern Reed and Lou Panaccio are the current members of the Compensation Committee, and each qualifies as an “independent Director” within the meaning of Nasdaq Marketplace Rules and the 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Edition of the ASX’s Corporate Governance Principles and Recommendations. Professor Suzanne Crowe is the chair of this committee (being an independent Director who is not the chair of the Board).</w:t>
      </w:r>
    </w:p>
    <w:p>
      <w:pPr>
        <w:spacing w:after="0" w:line="183" w:lineRule="exact"/>
        <w:rPr>
          <w:sz w:val="20"/>
          <w:szCs w:val="20"/>
          <w:color w:val="auto"/>
        </w:rPr>
      </w:pPr>
    </w:p>
    <w:p>
      <w:pPr>
        <w:ind w:right="400" w:firstLine="720"/>
        <w:spacing w:after="0" w:line="279" w:lineRule="auto"/>
        <w:rPr>
          <w:sz w:val="20"/>
          <w:szCs w:val="20"/>
          <w:color w:val="auto"/>
        </w:rPr>
      </w:pPr>
      <w:r>
        <w:rPr>
          <w:rFonts w:ascii="Times New Roman" w:cs="Times New Roman" w:eastAsia="Times New Roman" w:hAnsi="Times New Roman"/>
          <w:sz w:val="20"/>
          <w:szCs w:val="20"/>
          <w:color w:val="auto"/>
        </w:rPr>
        <w:t>The Compensation Committee held a total of 10 meetings during annual period ended December 31, 2022. The meetings attended by each Director, and the number of meetings that they were each eligible to attend, is as follows:</w:t>
      </w:r>
    </w:p>
    <w:p>
      <w:pPr>
        <w:spacing w:after="0" w:line="200" w:lineRule="exact"/>
        <w:rPr>
          <w:sz w:val="20"/>
          <w:szCs w:val="20"/>
          <w:color w:val="auto"/>
        </w:rPr>
      </w:pPr>
    </w:p>
    <w:p>
      <w:pPr>
        <w:spacing w:after="0" w:line="243" w:lineRule="exact"/>
        <w:rPr>
          <w:sz w:val="20"/>
          <w:szCs w:val="20"/>
          <w:color w:val="auto"/>
        </w:rPr>
      </w:pPr>
    </w:p>
    <w:tbl>
      <w:tblPr>
        <w:tblLayout w:type="fixed"/>
        <w:tblInd w:w="1620" w:type="dxa"/>
        <w:tblCellMar>
          <w:top w:w="0" w:type="dxa"/>
          <w:left w:w="0" w:type="dxa"/>
          <w:bottom w:w="0" w:type="dxa"/>
          <w:right w:w="0" w:type="dxa"/>
        </w:tblCellMar>
      </w:tblPr>
      <w:tr>
        <w:trPr>
          <w:trHeight w:val="274"/>
        </w:trPr>
        <w:tc>
          <w:tcPr>
            <w:tcW w:w="342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3860" w:type="dxa"/>
            <w:vAlign w:val="bottom"/>
            <w:tcBorders>
              <w:top w:val="single" w:sz="8" w:color="auto"/>
              <w:bottom w:val="single" w:sz="8" w:color="auto"/>
            </w:tcBorders>
            <w:gridSpan w:val="2"/>
          </w:tcPr>
          <w:p>
            <w:pPr>
              <w:ind w:left="380"/>
              <w:spacing w:after="0"/>
              <w:rPr>
                <w:sz w:val="20"/>
                <w:szCs w:val="20"/>
                <w:color w:val="auto"/>
              </w:rPr>
            </w:pPr>
            <w:r>
              <w:rPr>
                <w:rFonts w:ascii="Times New Roman" w:cs="Times New Roman" w:eastAsia="Times New Roman" w:hAnsi="Times New Roman"/>
                <w:sz w:val="20"/>
                <w:szCs w:val="20"/>
                <w:b w:val="1"/>
                <w:bCs w:val="1"/>
                <w:color w:val="auto"/>
              </w:rPr>
              <w:t>Meetings attended/Eligible to attend</w:t>
            </w:r>
          </w:p>
        </w:tc>
      </w:tr>
      <w:tr>
        <w:trPr>
          <w:trHeight w:val="212"/>
        </w:trPr>
        <w:tc>
          <w:tcPr>
            <w:tcW w:w="3420" w:type="dxa"/>
            <w:vAlign w:val="bottom"/>
            <w:tcBorders>
              <w:top w:val="single" w:sz="8" w:color="D5EEEE"/>
            </w:tcBorders>
            <w:shd w:val="clear" w:color="auto" w:fill="D5EEEE"/>
          </w:tcPr>
          <w:p>
            <w:pPr>
              <w:spacing w:after="0" w:line="212" w:lineRule="exact"/>
              <w:rPr>
                <w:sz w:val="20"/>
                <w:szCs w:val="20"/>
                <w:color w:val="auto"/>
              </w:rPr>
            </w:pPr>
            <w:r>
              <w:rPr>
                <w:rFonts w:ascii="Times New Roman" w:cs="Times New Roman" w:eastAsia="Times New Roman" w:hAnsi="Times New Roman"/>
                <w:sz w:val="20"/>
                <w:szCs w:val="20"/>
                <w:color w:val="auto"/>
              </w:rPr>
              <w:t>Lou Panaccio</w:t>
            </w:r>
          </w:p>
        </w:tc>
        <w:tc>
          <w:tcPr>
            <w:tcW w:w="280" w:type="dxa"/>
            <w:vAlign w:val="bottom"/>
            <w:tcBorders>
              <w:top w:val="single" w:sz="8" w:color="D5EEEE"/>
            </w:tcBorders>
            <w:shd w:val="clear" w:color="auto" w:fill="D5EEEE"/>
          </w:tcPr>
          <w:p>
            <w:pPr>
              <w:spacing w:after="0"/>
              <w:rPr>
                <w:sz w:val="18"/>
                <w:szCs w:val="18"/>
                <w:color w:val="auto"/>
              </w:rPr>
            </w:pPr>
          </w:p>
        </w:tc>
        <w:tc>
          <w:tcPr>
            <w:tcW w:w="3840" w:type="dxa"/>
            <w:vAlign w:val="bottom"/>
            <w:tcBorders>
              <w:top w:val="single" w:sz="8" w:color="D5EEEE"/>
            </w:tcBorders>
            <w:shd w:val="clear" w:color="auto" w:fill="D5EEEE"/>
          </w:tcPr>
          <w:p>
            <w:pPr>
              <w:jc w:val="center"/>
              <w:spacing w:after="0" w:line="212" w:lineRule="exact"/>
              <w:rPr>
                <w:sz w:val="20"/>
                <w:szCs w:val="20"/>
                <w:color w:val="auto"/>
              </w:rPr>
            </w:pPr>
            <w:r>
              <w:rPr>
                <w:rFonts w:ascii="Times New Roman" w:cs="Times New Roman" w:eastAsia="Times New Roman" w:hAnsi="Times New Roman"/>
                <w:sz w:val="20"/>
                <w:szCs w:val="20"/>
                <w:color w:val="auto"/>
              </w:rPr>
              <w:t>9/10</w:t>
            </w:r>
          </w:p>
        </w:tc>
        <w:tc>
          <w:tcPr>
            <w:tcW w:w="20" w:type="dxa"/>
            <w:vAlign w:val="bottom"/>
            <w:tcBorders>
              <w:top w:val="single" w:sz="8" w:color="D5EEEE"/>
            </w:tcBorders>
          </w:tcPr>
          <w:p>
            <w:pPr>
              <w:spacing w:after="0"/>
              <w:rPr>
                <w:sz w:val="18"/>
                <w:szCs w:val="18"/>
                <w:color w:val="auto"/>
              </w:rPr>
            </w:pPr>
          </w:p>
        </w:tc>
      </w:tr>
      <w:tr>
        <w:trPr>
          <w:trHeight w:val="242"/>
        </w:trPr>
        <w:tc>
          <w:tcPr>
            <w:tcW w:w="342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Jeremy Curnock Cook</w:t>
            </w:r>
          </w:p>
        </w:tc>
        <w:tc>
          <w:tcPr>
            <w:tcW w:w="280" w:type="dxa"/>
            <w:vAlign w:val="bottom"/>
            <w:tcBorders>
              <w:bottom w:val="single" w:sz="8" w:color="D5EEEE"/>
            </w:tcBorders>
          </w:tcPr>
          <w:p>
            <w:pPr>
              <w:spacing w:after="0"/>
              <w:rPr>
                <w:sz w:val="21"/>
                <w:szCs w:val="21"/>
                <w:color w:val="auto"/>
              </w:rPr>
            </w:pPr>
          </w:p>
        </w:tc>
        <w:tc>
          <w:tcPr>
            <w:tcW w:w="3840" w:type="dxa"/>
            <w:vAlign w:val="bottom"/>
            <w:tcBorders>
              <w:bottom w:val="single" w:sz="8" w:color="D5EEEE"/>
            </w:tcBorders>
          </w:tcPr>
          <w:p>
            <w:pPr>
              <w:jc w:val="center"/>
              <w:spacing w:after="0"/>
              <w:rPr>
                <w:sz w:val="20"/>
                <w:szCs w:val="20"/>
                <w:color w:val="auto"/>
              </w:rPr>
            </w:pPr>
            <w:r>
              <w:rPr>
                <w:rFonts w:ascii="Times New Roman" w:cs="Times New Roman" w:eastAsia="Times New Roman" w:hAnsi="Times New Roman"/>
                <w:sz w:val="20"/>
                <w:szCs w:val="20"/>
                <w:color w:val="auto"/>
              </w:rPr>
              <w:t>9/10</w:t>
            </w:r>
          </w:p>
        </w:tc>
        <w:tc>
          <w:tcPr>
            <w:tcW w:w="20" w:type="dxa"/>
            <w:vAlign w:val="bottom"/>
            <w:tcBorders>
              <w:bottom w:val="single" w:sz="8" w:color="D5EEEE"/>
            </w:tcBorders>
          </w:tcPr>
          <w:p>
            <w:pPr>
              <w:spacing w:after="0"/>
              <w:rPr>
                <w:sz w:val="21"/>
                <w:szCs w:val="21"/>
                <w:color w:val="auto"/>
              </w:rPr>
            </w:pPr>
          </w:p>
        </w:tc>
      </w:tr>
      <w:tr>
        <w:trPr>
          <w:trHeight w:val="228"/>
        </w:trPr>
        <w:tc>
          <w:tcPr>
            <w:tcW w:w="3420" w:type="dxa"/>
            <w:vAlign w:val="bottom"/>
            <w:shd w:val="clear" w:color="auto" w:fill="D5EEEE"/>
          </w:tcPr>
          <w:p>
            <w:pPr>
              <w:spacing w:after="0" w:line="226" w:lineRule="exact"/>
              <w:rPr>
                <w:sz w:val="20"/>
                <w:szCs w:val="20"/>
                <w:color w:val="auto"/>
              </w:rPr>
            </w:pPr>
            <w:r>
              <w:rPr>
                <w:rFonts w:ascii="Times New Roman" w:cs="Times New Roman" w:eastAsia="Times New Roman" w:hAnsi="Times New Roman"/>
                <w:sz w:val="20"/>
                <w:szCs w:val="20"/>
                <w:color w:val="auto"/>
              </w:rPr>
              <w:t>Professor Suzanne Crowe</w:t>
            </w:r>
          </w:p>
        </w:tc>
        <w:tc>
          <w:tcPr>
            <w:tcW w:w="280" w:type="dxa"/>
            <w:vAlign w:val="bottom"/>
            <w:shd w:val="clear" w:color="auto" w:fill="D5EEEE"/>
          </w:tcPr>
          <w:p>
            <w:pPr>
              <w:spacing w:after="0"/>
              <w:rPr>
                <w:sz w:val="19"/>
                <w:szCs w:val="19"/>
                <w:color w:val="auto"/>
              </w:rPr>
            </w:pPr>
          </w:p>
        </w:tc>
        <w:tc>
          <w:tcPr>
            <w:tcW w:w="3840" w:type="dxa"/>
            <w:vAlign w:val="bottom"/>
            <w:shd w:val="clear" w:color="auto" w:fill="D5EEEE"/>
          </w:tcPr>
          <w:p>
            <w:pPr>
              <w:jc w:val="center"/>
              <w:spacing w:after="0" w:line="228" w:lineRule="exact"/>
              <w:rPr>
                <w:sz w:val="20"/>
                <w:szCs w:val="20"/>
                <w:color w:val="auto"/>
              </w:rPr>
            </w:pPr>
            <w:r>
              <w:rPr>
                <w:rFonts w:ascii="Times New Roman" w:cs="Times New Roman" w:eastAsia="Times New Roman" w:hAnsi="Times New Roman"/>
                <w:sz w:val="20"/>
                <w:szCs w:val="20"/>
                <w:color w:val="auto"/>
              </w:rPr>
              <w:t>10/10</w:t>
            </w:r>
          </w:p>
        </w:tc>
        <w:tc>
          <w:tcPr>
            <w:tcW w:w="20" w:type="dxa"/>
            <w:vAlign w:val="bottom"/>
          </w:tcPr>
          <w:p>
            <w:pPr>
              <w:spacing w:after="0"/>
              <w:rPr>
                <w:sz w:val="19"/>
                <w:szCs w:val="19"/>
                <w:color w:val="auto"/>
              </w:rPr>
            </w:pPr>
          </w:p>
        </w:tc>
      </w:tr>
      <w:tr>
        <w:trPr>
          <w:trHeight w:val="245"/>
        </w:trPr>
        <w:tc>
          <w:tcPr>
            <w:tcW w:w="342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Jan Stern Reed</w:t>
            </w:r>
          </w:p>
        </w:tc>
        <w:tc>
          <w:tcPr>
            <w:tcW w:w="280" w:type="dxa"/>
            <w:vAlign w:val="bottom"/>
            <w:tcBorders>
              <w:bottom w:val="single" w:sz="8" w:color="D5EEEE"/>
            </w:tcBorders>
          </w:tcPr>
          <w:p>
            <w:pPr>
              <w:spacing w:after="0"/>
              <w:rPr>
                <w:sz w:val="21"/>
                <w:szCs w:val="21"/>
                <w:color w:val="auto"/>
              </w:rPr>
            </w:pPr>
          </w:p>
        </w:tc>
        <w:tc>
          <w:tcPr>
            <w:tcW w:w="3840" w:type="dxa"/>
            <w:vAlign w:val="bottom"/>
            <w:tcBorders>
              <w:bottom w:val="single" w:sz="8" w:color="D5EEEE"/>
            </w:tcBorders>
          </w:tcPr>
          <w:p>
            <w:pPr>
              <w:jc w:val="center"/>
              <w:spacing w:after="0"/>
              <w:rPr>
                <w:sz w:val="20"/>
                <w:szCs w:val="20"/>
                <w:color w:val="auto"/>
              </w:rPr>
            </w:pPr>
            <w:r>
              <w:rPr>
                <w:rFonts w:ascii="Times New Roman" w:cs="Times New Roman" w:eastAsia="Times New Roman" w:hAnsi="Times New Roman"/>
                <w:sz w:val="20"/>
                <w:szCs w:val="20"/>
                <w:color w:val="auto"/>
              </w:rPr>
              <w:t>10/10</w:t>
            </w:r>
          </w:p>
        </w:tc>
        <w:tc>
          <w:tcPr>
            <w:tcW w:w="20" w:type="dxa"/>
            <w:vAlign w:val="bottom"/>
            <w:tcBorders>
              <w:bottom w:val="single" w:sz="8" w:color="D5EEEE"/>
            </w:tcBorders>
          </w:tcPr>
          <w:p>
            <w:pPr>
              <w:spacing w:after="0"/>
              <w:rPr>
                <w:sz w:val="21"/>
                <w:szCs w:val="21"/>
                <w:color w:val="auto"/>
              </w:rPr>
            </w:pPr>
          </w:p>
        </w:tc>
      </w:tr>
      <w:tr>
        <w:trPr>
          <w:trHeight w:val="225"/>
        </w:trPr>
        <w:tc>
          <w:tcPr>
            <w:tcW w:w="342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James Corbett</w:t>
            </w:r>
          </w:p>
        </w:tc>
        <w:tc>
          <w:tcPr>
            <w:tcW w:w="280" w:type="dxa"/>
            <w:vAlign w:val="bottom"/>
            <w:shd w:val="clear" w:color="auto" w:fill="D5EEEE"/>
          </w:tcPr>
          <w:p>
            <w:pPr>
              <w:spacing w:after="0"/>
              <w:rPr>
                <w:sz w:val="19"/>
                <w:szCs w:val="19"/>
                <w:color w:val="auto"/>
              </w:rPr>
            </w:pPr>
          </w:p>
        </w:tc>
        <w:tc>
          <w:tcPr>
            <w:tcW w:w="3840" w:type="dxa"/>
            <w:vAlign w:val="bottom"/>
            <w:shd w:val="clear" w:color="auto" w:fill="D5EEEE"/>
          </w:tcPr>
          <w:p>
            <w:pPr>
              <w:jc w:val="center"/>
              <w:spacing w:after="0" w:line="225" w:lineRule="exact"/>
              <w:rPr>
                <w:sz w:val="20"/>
                <w:szCs w:val="20"/>
                <w:color w:val="auto"/>
              </w:rPr>
            </w:pPr>
            <w:r>
              <w:rPr>
                <w:rFonts w:ascii="Times New Roman" w:cs="Times New Roman" w:eastAsia="Times New Roman" w:hAnsi="Times New Roman"/>
                <w:sz w:val="20"/>
                <w:szCs w:val="20"/>
                <w:color w:val="auto"/>
              </w:rPr>
              <w:t>6/6</w:t>
            </w:r>
          </w:p>
        </w:tc>
        <w:tc>
          <w:tcPr>
            <w:tcW w:w="20" w:type="dxa"/>
            <w:vAlign w:val="bottom"/>
          </w:tcPr>
          <w:p>
            <w:pPr>
              <w:spacing w:after="0"/>
              <w:rPr>
                <w:sz w:val="19"/>
                <w:szCs w:val="19"/>
                <w:color w:val="auto"/>
              </w:rPr>
            </w:pPr>
          </w:p>
        </w:tc>
      </w:tr>
      <w:tr>
        <w:trPr>
          <w:trHeight w:val="245"/>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Dr. Michael Perry</w:t>
            </w:r>
          </w:p>
        </w:tc>
        <w:tc>
          <w:tcPr>
            <w:tcW w:w="280" w:type="dxa"/>
            <w:vAlign w:val="bottom"/>
          </w:tcPr>
          <w:p>
            <w:pPr>
              <w:spacing w:after="0"/>
              <w:rPr>
                <w:sz w:val="21"/>
                <w:szCs w:val="21"/>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4/4</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1028700</wp:posOffset>
            </wp:positionH>
            <wp:positionV relativeFrom="paragraph">
              <wp:posOffset>-1092200</wp:posOffset>
            </wp:positionV>
            <wp:extent cx="48018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01870" cy="8890"/>
                    </a:xfrm>
                    <a:prstGeom prst="rect">
                      <a:avLst/>
                    </a:prstGeom>
                    <a:noFill/>
                  </pic:spPr>
                </pic:pic>
              </a:graphicData>
            </a:graphic>
          </wp:anchor>
        </w:drawing>
        <w:drawing>
          <wp:anchor simplePos="0" relativeHeight="251657728" behindDoc="1" locked="0" layoutInCell="0" allowOverlap="1">
            <wp:simplePos x="0" y="0"/>
            <wp:positionH relativeFrom="column">
              <wp:posOffset>1016000</wp:posOffset>
            </wp:positionH>
            <wp:positionV relativeFrom="paragraph">
              <wp:posOffset>-949960</wp:posOffset>
            </wp:positionV>
            <wp:extent cx="4827270" cy="9632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27270" cy="96329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Nominating and Corporate Governance Committee</w:t>
      </w:r>
    </w:p>
    <w:p>
      <w:pPr>
        <w:spacing w:after="0" w:line="124" w:lineRule="exact"/>
        <w:rPr>
          <w:sz w:val="20"/>
          <w:szCs w:val="20"/>
          <w:color w:val="auto"/>
        </w:rPr>
      </w:pPr>
    </w:p>
    <w:p>
      <w:pPr>
        <w:ind w:firstLine="720"/>
        <w:spacing w:after="0" w:line="232" w:lineRule="auto"/>
        <w:rPr>
          <w:sz w:val="20"/>
          <w:szCs w:val="20"/>
          <w:color w:val="auto"/>
        </w:rPr>
      </w:pPr>
      <w:r>
        <w:rPr>
          <w:rFonts w:ascii="Times New Roman" w:cs="Times New Roman" w:eastAsia="Times New Roman" w:hAnsi="Times New Roman"/>
          <w:sz w:val="20"/>
          <w:szCs w:val="20"/>
          <w:color w:val="auto"/>
        </w:rPr>
        <w:t>Our Board of Directors has established a Nominating and Corporate Governance Committee. Under the 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Edition of the ASX’s Corporate Governance Principles and Recommendations, our Nominating and Corporate Governance Committee should have at least three members, a majority of whom are independent, and should also be chaired by an independent director. Professor Suzanne Crowe, Lou Panaccio, Jan Stern Reed and Jeremy Curnock Cook are the current members of the Nominating and Corporate Governance Committee and each qualifies as an “independent director” within the meaning of Nasdaq Marketplace Rules and the 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Edition of the ASX’s Corporate Governance Principles and Recommendations. Professor Suzanne Crowe is the Chair of this committee (being an independent director). The Nominating and Corporate Governance Committee is responsible for identifying individuals qualified to become members of our Board of Directors, recommending nominees for election at the stockholders meetings or to fill vacancies that arise on our Board of Directors, and recommending qualified and experienced directors to serve on the committees of our Board of Directors. In addition, the Nominating and Corporate Governance Committee is responsible for leading the Board of Directors to complete a self-evaluation of the board, its committees, and the individual directors.</w:t>
      </w:r>
    </w:p>
    <w:p>
      <w:pPr>
        <w:spacing w:after="0" w:line="204" w:lineRule="exact"/>
        <w:rPr>
          <w:sz w:val="20"/>
          <w:szCs w:val="20"/>
          <w:color w:val="auto"/>
        </w:rPr>
      </w:pPr>
    </w:p>
    <w:p>
      <w:pPr>
        <w:ind w:right="160" w:firstLine="720"/>
        <w:spacing w:after="0" w:line="259" w:lineRule="auto"/>
        <w:rPr>
          <w:sz w:val="20"/>
          <w:szCs w:val="20"/>
          <w:color w:val="auto"/>
        </w:rPr>
      </w:pPr>
      <w:r>
        <w:rPr>
          <w:rFonts w:ascii="Times New Roman" w:cs="Times New Roman" w:eastAsia="Times New Roman" w:hAnsi="Times New Roman"/>
          <w:sz w:val="20"/>
          <w:szCs w:val="20"/>
          <w:color w:val="auto"/>
        </w:rPr>
        <w:t>The Nominating and Corporate Governance Committee held a total of four meetings during the annual period ended December 31, 2022. The meetings attended by each Director, and the number of meetings that they were each eligible to attend, is as follows:</w:t>
      </w:r>
    </w:p>
    <w:p>
      <w:pPr>
        <w:spacing w:after="0" w:line="200" w:lineRule="exact"/>
        <w:rPr>
          <w:sz w:val="20"/>
          <w:szCs w:val="20"/>
          <w:color w:val="auto"/>
        </w:rPr>
      </w:pPr>
    </w:p>
    <w:p>
      <w:pPr>
        <w:spacing w:after="0" w:line="218" w:lineRule="exact"/>
        <w:rPr>
          <w:sz w:val="20"/>
          <w:szCs w:val="20"/>
          <w:color w:val="auto"/>
        </w:rPr>
      </w:pPr>
    </w:p>
    <w:tbl>
      <w:tblPr>
        <w:tblLayout w:type="fixed"/>
        <w:tblInd w:w="1620" w:type="dxa"/>
        <w:tblCellMar>
          <w:top w:w="0" w:type="dxa"/>
          <w:left w:w="0" w:type="dxa"/>
          <w:bottom w:w="0" w:type="dxa"/>
          <w:right w:w="0" w:type="dxa"/>
        </w:tblCellMar>
      </w:tblPr>
      <w:tr>
        <w:trPr>
          <w:trHeight w:val="254"/>
        </w:trPr>
        <w:tc>
          <w:tcPr>
            <w:tcW w:w="3420" w:type="dxa"/>
            <w:vAlign w:val="bottom"/>
            <w:tcBorders>
              <w:top w:val="single" w:sz="8" w:color="auto"/>
              <w:bottom w:val="single" w:sz="8" w:color="D5EEEE"/>
            </w:tcBorders>
          </w:tcPr>
          <w:p>
            <w:pPr>
              <w:spacing w:after="0"/>
              <w:rPr>
                <w:sz w:val="22"/>
                <w:szCs w:val="22"/>
                <w:color w:val="auto"/>
              </w:rPr>
            </w:pPr>
          </w:p>
        </w:tc>
        <w:tc>
          <w:tcPr>
            <w:tcW w:w="280" w:type="dxa"/>
            <w:vAlign w:val="bottom"/>
            <w:tcBorders>
              <w:top w:val="single" w:sz="8" w:color="auto"/>
              <w:bottom w:val="single" w:sz="8" w:color="D5EEEE"/>
            </w:tcBorders>
          </w:tcPr>
          <w:p>
            <w:pPr>
              <w:spacing w:after="0"/>
              <w:rPr>
                <w:sz w:val="22"/>
                <w:szCs w:val="22"/>
                <w:color w:val="auto"/>
              </w:rPr>
            </w:pPr>
          </w:p>
        </w:tc>
        <w:tc>
          <w:tcPr>
            <w:tcW w:w="3860" w:type="dxa"/>
            <w:vAlign w:val="bottom"/>
            <w:tcBorders>
              <w:top w:val="single" w:sz="8" w:color="auto"/>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Meetings attended/Eligible to attend</w:t>
            </w:r>
          </w:p>
        </w:tc>
      </w:tr>
      <w:tr>
        <w:trPr>
          <w:trHeight w:val="230"/>
        </w:trPr>
        <w:tc>
          <w:tcPr>
            <w:tcW w:w="34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Lou Panaccio</w:t>
            </w:r>
          </w:p>
        </w:tc>
        <w:tc>
          <w:tcPr>
            <w:tcW w:w="280" w:type="dxa"/>
            <w:vAlign w:val="bottom"/>
            <w:shd w:val="clear" w:color="auto" w:fill="D5EEEE"/>
          </w:tcPr>
          <w:p>
            <w:pPr>
              <w:spacing w:after="0"/>
              <w:rPr>
                <w:sz w:val="20"/>
                <w:szCs w:val="20"/>
                <w:color w:val="auto"/>
              </w:rPr>
            </w:pPr>
          </w:p>
        </w:tc>
        <w:tc>
          <w:tcPr>
            <w:tcW w:w="3840" w:type="dxa"/>
            <w:vAlign w:val="bottom"/>
            <w:shd w:val="clear" w:color="auto" w:fill="D5EEEE"/>
          </w:tcPr>
          <w:p>
            <w:pPr>
              <w:jc w:val="center"/>
              <w:spacing w:after="0"/>
              <w:rPr>
                <w:sz w:val="20"/>
                <w:szCs w:val="20"/>
                <w:color w:val="auto"/>
              </w:rPr>
            </w:pPr>
            <w:r>
              <w:rPr>
                <w:rFonts w:ascii="Times New Roman" w:cs="Times New Roman" w:eastAsia="Times New Roman" w:hAnsi="Times New Roman"/>
                <w:sz w:val="20"/>
                <w:szCs w:val="20"/>
                <w:color w:val="auto"/>
              </w:rPr>
              <w:t>2/4</w:t>
            </w:r>
          </w:p>
        </w:tc>
        <w:tc>
          <w:tcPr>
            <w:tcW w:w="20" w:type="dxa"/>
            <w:vAlign w:val="bottom"/>
          </w:tcPr>
          <w:p>
            <w:pPr>
              <w:spacing w:after="0"/>
              <w:rPr>
                <w:sz w:val="20"/>
                <w:szCs w:val="20"/>
                <w:color w:val="auto"/>
              </w:rPr>
            </w:pPr>
          </w:p>
        </w:tc>
      </w:tr>
      <w:tr>
        <w:trPr>
          <w:trHeight w:val="245"/>
        </w:trPr>
        <w:tc>
          <w:tcPr>
            <w:tcW w:w="342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Jeremy Curnock Cook</w:t>
            </w:r>
          </w:p>
        </w:tc>
        <w:tc>
          <w:tcPr>
            <w:tcW w:w="280" w:type="dxa"/>
            <w:vAlign w:val="bottom"/>
            <w:tcBorders>
              <w:bottom w:val="single" w:sz="8" w:color="D5EEEE"/>
            </w:tcBorders>
          </w:tcPr>
          <w:p>
            <w:pPr>
              <w:spacing w:after="0"/>
              <w:rPr>
                <w:sz w:val="21"/>
                <w:szCs w:val="21"/>
                <w:color w:val="auto"/>
              </w:rPr>
            </w:pPr>
          </w:p>
        </w:tc>
        <w:tc>
          <w:tcPr>
            <w:tcW w:w="3840" w:type="dxa"/>
            <w:vAlign w:val="bottom"/>
            <w:tcBorders>
              <w:bottom w:val="single" w:sz="8" w:color="D5EEEE"/>
            </w:tcBorders>
          </w:tcPr>
          <w:p>
            <w:pPr>
              <w:jc w:val="center"/>
              <w:spacing w:after="0"/>
              <w:rPr>
                <w:sz w:val="20"/>
                <w:szCs w:val="20"/>
                <w:color w:val="auto"/>
              </w:rPr>
            </w:pPr>
            <w:r>
              <w:rPr>
                <w:rFonts w:ascii="Times New Roman" w:cs="Times New Roman" w:eastAsia="Times New Roman" w:hAnsi="Times New Roman"/>
                <w:sz w:val="20"/>
                <w:szCs w:val="20"/>
                <w:color w:val="auto"/>
              </w:rPr>
              <w:t>4/4</w:t>
            </w:r>
          </w:p>
        </w:tc>
        <w:tc>
          <w:tcPr>
            <w:tcW w:w="20" w:type="dxa"/>
            <w:vAlign w:val="bottom"/>
            <w:tcBorders>
              <w:bottom w:val="single" w:sz="8" w:color="D5EEEE"/>
            </w:tcBorders>
          </w:tcPr>
          <w:p>
            <w:pPr>
              <w:spacing w:after="0"/>
              <w:rPr>
                <w:sz w:val="21"/>
                <w:szCs w:val="21"/>
                <w:color w:val="auto"/>
              </w:rPr>
            </w:pPr>
          </w:p>
        </w:tc>
      </w:tr>
      <w:tr>
        <w:trPr>
          <w:trHeight w:val="225"/>
        </w:trPr>
        <w:tc>
          <w:tcPr>
            <w:tcW w:w="342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Professor Suzanne Crowe</w:t>
            </w:r>
          </w:p>
        </w:tc>
        <w:tc>
          <w:tcPr>
            <w:tcW w:w="280" w:type="dxa"/>
            <w:vAlign w:val="bottom"/>
            <w:shd w:val="clear" w:color="auto" w:fill="D5EEEE"/>
          </w:tcPr>
          <w:p>
            <w:pPr>
              <w:spacing w:after="0"/>
              <w:rPr>
                <w:sz w:val="19"/>
                <w:szCs w:val="19"/>
                <w:color w:val="auto"/>
              </w:rPr>
            </w:pPr>
          </w:p>
        </w:tc>
        <w:tc>
          <w:tcPr>
            <w:tcW w:w="3840" w:type="dxa"/>
            <w:vAlign w:val="bottom"/>
            <w:shd w:val="clear" w:color="auto" w:fill="D5EEEE"/>
          </w:tcPr>
          <w:p>
            <w:pPr>
              <w:jc w:val="center"/>
              <w:spacing w:after="0" w:line="225" w:lineRule="exact"/>
              <w:rPr>
                <w:sz w:val="20"/>
                <w:szCs w:val="20"/>
                <w:color w:val="auto"/>
              </w:rPr>
            </w:pPr>
            <w:r>
              <w:rPr>
                <w:rFonts w:ascii="Times New Roman" w:cs="Times New Roman" w:eastAsia="Times New Roman" w:hAnsi="Times New Roman"/>
                <w:sz w:val="20"/>
                <w:szCs w:val="20"/>
                <w:color w:val="auto"/>
              </w:rPr>
              <w:t>4/4</w:t>
            </w:r>
          </w:p>
        </w:tc>
        <w:tc>
          <w:tcPr>
            <w:tcW w:w="20" w:type="dxa"/>
            <w:vAlign w:val="bottom"/>
          </w:tcPr>
          <w:p>
            <w:pPr>
              <w:spacing w:after="0"/>
              <w:rPr>
                <w:sz w:val="19"/>
                <w:szCs w:val="19"/>
                <w:color w:val="auto"/>
              </w:rPr>
            </w:pPr>
          </w:p>
        </w:tc>
      </w:tr>
      <w:tr>
        <w:trPr>
          <w:trHeight w:val="245"/>
        </w:trPr>
        <w:tc>
          <w:tcPr>
            <w:tcW w:w="342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Jan Stern Reed</w:t>
            </w:r>
          </w:p>
        </w:tc>
        <w:tc>
          <w:tcPr>
            <w:tcW w:w="280" w:type="dxa"/>
            <w:vAlign w:val="bottom"/>
            <w:tcBorders>
              <w:bottom w:val="single" w:sz="8" w:color="D5EEEE"/>
            </w:tcBorders>
          </w:tcPr>
          <w:p>
            <w:pPr>
              <w:spacing w:after="0"/>
              <w:rPr>
                <w:sz w:val="21"/>
                <w:szCs w:val="21"/>
                <w:color w:val="auto"/>
              </w:rPr>
            </w:pPr>
          </w:p>
        </w:tc>
        <w:tc>
          <w:tcPr>
            <w:tcW w:w="3840" w:type="dxa"/>
            <w:vAlign w:val="bottom"/>
            <w:tcBorders>
              <w:bottom w:val="single" w:sz="8" w:color="D5EEEE"/>
            </w:tcBorders>
          </w:tcPr>
          <w:p>
            <w:pPr>
              <w:jc w:val="center"/>
              <w:spacing w:after="0"/>
              <w:rPr>
                <w:sz w:val="20"/>
                <w:szCs w:val="20"/>
                <w:color w:val="auto"/>
              </w:rPr>
            </w:pPr>
            <w:r>
              <w:rPr>
                <w:rFonts w:ascii="Times New Roman" w:cs="Times New Roman" w:eastAsia="Times New Roman" w:hAnsi="Times New Roman"/>
                <w:sz w:val="20"/>
                <w:szCs w:val="20"/>
                <w:color w:val="auto"/>
              </w:rPr>
              <w:t>4/4</w:t>
            </w:r>
          </w:p>
        </w:tc>
        <w:tc>
          <w:tcPr>
            <w:tcW w:w="20" w:type="dxa"/>
            <w:vAlign w:val="bottom"/>
            <w:tcBorders>
              <w:bottom w:val="single" w:sz="8" w:color="D5EEEE"/>
            </w:tcBorders>
          </w:tcPr>
          <w:p>
            <w:pPr>
              <w:spacing w:after="0"/>
              <w:rPr>
                <w:sz w:val="21"/>
                <w:szCs w:val="21"/>
                <w:color w:val="auto"/>
              </w:rPr>
            </w:pPr>
          </w:p>
        </w:tc>
      </w:tr>
      <w:tr>
        <w:trPr>
          <w:trHeight w:val="225"/>
        </w:trPr>
        <w:tc>
          <w:tcPr>
            <w:tcW w:w="342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James Corbett</w:t>
            </w:r>
          </w:p>
        </w:tc>
        <w:tc>
          <w:tcPr>
            <w:tcW w:w="280" w:type="dxa"/>
            <w:vAlign w:val="bottom"/>
            <w:shd w:val="clear" w:color="auto" w:fill="D5EEEE"/>
          </w:tcPr>
          <w:p>
            <w:pPr>
              <w:spacing w:after="0"/>
              <w:rPr>
                <w:sz w:val="19"/>
                <w:szCs w:val="19"/>
                <w:color w:val="auto"/>
              </w:rPr>
            </w:pPr>
          </w:p>
        </w:tc>
        <w:tc>
          <w:tcPr>
            <w:tcW w:w="3840" w:type="dxa"/>
            <w:vAlign w:val="bottom"/>
            <w:shd w:val="clear" w:color="auto" w:fill="D5EEEE"/>
          </w:tcPr>
          <w:p>
            <w:pPr>
              <w:jc w:val="center"/>
              <w:spacing w:after="0" w:line="225" w:lineRule="exact"/>
              <w:rPr>
                <w:sz w:val="20"/>
                <w:szCs w:val="20"/>
                <w:color w:val="auto"/>
              </w:rPr>
            </w:pPr>
            <w:r>
              <w:rPr>
                <w:rFonts w:ascii="Times New Roman" w:cs="Times New Roman" w:eastAsia="Times New Roman" w:hAnsi="Times New Roman"/>
                <w:sz w:val="20"/>
                <w:szCs w:val="20"/>
                <w:color w:val="auto"/>
              </w:rPr>
              <w:t>4/4</w:t>
            </w:r>
          </w:p>
        </w:tc>
        <w:tc>
          <w:tcPr>
            <w:tcW w:w="20" w:type="dxa"/>
            <w:vAlign w:val="bottom"/>
          </w:tcPr>
          <w:p>
            <w:pPr>
              <w:spacing w:after="0"/>
              <w:rPr>
                <w:sz w:val="19"/>
                <w:szCs w:val="19"/>
                <w:color w:val="auto"/>
              </w:rPr>
            </w:pPr>
          </w:p>
        </w:tc>
      </w:tr>
      <w:tr>
        <w:trPr>
          <w:trHeight w:val="245"/>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Dr. Michael Perry</w:t>
            </w:r>
          </w:p>
        </w:tc>
        <w:tc>
          <w:tcPr>
            <w:tcW w:w="280" w:type="dxa"/>
            <w:vAlign w:val="bottom"/>
          </w:tcPr>
          <w:p>
            <w:pPr>
              <w:spacing w:after="0"/>
              <w:rPr>
                <w:sz w:val="21"/>
                <w:szCs w:val="21"/>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3/3</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1028700</wp:posOffset>
            </wp:positionH>
            <wp:positionV relativeFrom="paragraph">
              <wp:posOffset>-1090930</wp:posOffset>
            </wp:positionV>
            <wp:extent cx="48018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01870" cy="8890"/>
                    </a:xfrm>
                    <a:prstGeom prst="rect">
                      <a:avLst/>
                    </a:prstGeom>
                    <a:noFill/>
                  </pic:spPr>
                </pic:pic>
              </a:graphicData>
            </a:graphic>
          </wp:anchor>
        </w:drawing>
        <w:drawing>
          <wp:anchor simplePos="0" relativeHeight="251657728" behindDoc="1" locked="0" layoutInCell="0" allowOverlap="1">
            <wp:simplePos x="0" y="0"/>
            <wp:positionH relativeFrom="column">
              <wp:posOffset>1016000</wp:posOffset>
            </wp:positionH>
            <wp:positionV relativeFrom="paragraph">
              <wp:posOffset>-948055</wp:posOffset>
            </wp:positionV>
            <wp:extent cx="4827270" cy="9613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827270" cy="9613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of Directors’ Meetings</w:t>
      </w:r>
    </w:p>
    <w:p>
      <w:pPr>
        <w:spacing w:after="0" w:line="244" w:lineRule="exact"/>
        <w:rPr>
          <w:sz w:val="20"/>
          <w:szCs w:val="20"/>
          <w:color w:val="auto"/>
        </w:rPr>
      </w:pPr>
    </w:p>
    <w:p>
      <w:pPr>
        <w:ind w:right="700" w:firstLine="720"/>
        <w:spacing w:after="0" w:line="279" w:lineRule="auto"/>
        <w:rPr>
          <w:sz w:val="20"/>
          <w:szCs w:val="20"/>
          <w:color w:val="auto"/>
        </w:rPr>
      </w:pPr>
      <w:r>
        <w:rPr>
          <w:rFonts w:ascii="Times New Roman" w:cs="Times New Roman" w:eastAsia="Times New Roman" w:hAnsi="Times New Roman"/>
          <w:sz w:val="20"/>
          <w:szCs w:val="20"/>
          <w:color w:val="auto"/>
        </w:rPr>
        <w:t>The Board of Directors held a total of 12 meetings during the annual period ended December 31, 2022. The meetings attended by each Director, and the number of meetings that they were each eligible to attend, is as follows:</w:t>
      </w:r>
    </w:p>
    <w:p>
      <w:pPr>
        <w:spacing w:after="0" w:line="398" w:lineRule="exact"/>
        <w:rPr>
          <w:sz w:val="20"/>
          <w:szCs w:val="20"/>
          <w:color w:val="auto"/>
        </w:rPr>
      </w:pPr>
    </w:p>
    <w:tbl>
      <w:tblPr>
        <w:tblLayout w:type="fixed"/>
        <w:tblInd w:w="1620" w:type="dxa"/>
        <w:tblCellMar>
          <w:top w:w="0" w:type="dxa"/>
          <w:left w:w="0" w:type="dxa"/>
          <w:bottom w:w="0" w:type="dxa"/>
          <w:right w:w="0" w:type="dxa"/>
        </w:tblCellMar>
      </w:tblPr>
      <w:tr>
        <w:trPr>
          <w:trHeight w:val="274"/>
        </w:trPr>
        <w:tc>
          <w:tcPr>
            <w:tcW w:w="342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3860" w:type="dxa"/>
            <w:vAlign w:val="bottom"/>
            <w:tcBorders>
              <w:top w:val="single" w:sz="8" w:color="auto"/>
              <w:bottom w:val="single" w:sz="8" w:color="auto"/>
            </w:tcBorders>
            <w:gridSpan w:val="2"/>
          </w:tcPr>
          <w:p>
            <w:pPr>
              <w:ind w:left="380"/>
              <w:spacing w:after="0"/>
              <w:rPr>
                <w:sz w:val="20"/>
                <w:szCs w:val="20"/>
                <w:color w:val="auto"/>
              </w:rPr>
            </w:pPr>
            <w:r>
              <w:rPr>
                <w:rFonts w:ascii="Times New Roman" w:cs="Times New Roman" w:eastAsia="Times New Roman" w:hAnsi="Times New Roman"/>
                <w:sz w:val="20"/>
                <w:szCs w:val="20"/>
                <w:b w:val="1"/>
                <w:bCs w:val="1"/>
                <w:color w:val="auto"/>
              </w:rPr>
              <w:t>Meetings attended/Eligible to attend</w:t>
            </w:r>
          </w:p>
        </w:tc>
      </w:tr>
      <w:tr>
        <w:trPr>
          <w:trHeight w:val="210"/>
        </w:trPr>
        <w:tc>
          <w:tcPr>
            <w:tcW w:w="3420" w:type="dxa"/>
            <w:vAlign w:val="bottom"/>
            <w:tcBorders>
              <w:top w:val="single" w:sz="8" w:color="D5EEEE"/>
            </w:tcBorders>
            <w:shd w:val="clear" w:color="auto" w:fill="D5EEEE"/>
          </w:tcPr>
          <w:p>
            <w:pPr>
              <w:spacing w:after="0" w:line="209" w:lineRule="exact"/>
              <w:rPr>
                <w:sz w:val="20"/>
                <w:szCs w:val="20"/>
                <w:color w:val="auto"/>
              </w:rPr>
            </w:pPr>
            <w:r>
              <w:rPr>
                <w:rFonts w:ascii="Times New Roman" w:cs="Times New Roman" w:eastAsia="Times New Roman" w:hAnsi="Times New Roman"/>
                <w:sz w:val="20"/>
                <w:szCs w:val="20"/>
                <w:color w:val="auto"/>
              </w:rPr>
              <w:t>Lou Panaccio</w:t>
            </w:r>
          </w:p>
        </w:tc>
        <w:tc>
          <w:tcPr>
            <w:tcW w:w="280" w:type="dxa"/>
            <w:vAlign w:val="bottom"/>
            <w:tcBorders>
              <w:top w:val="single" w:sz="8" w:color="D5EEEE"/>
            </w:tcBorders>
            <w:shd w:val="clear" w:color="auto" w:fill="D5EEEE"/>
          </w:tcPr>
          <w:p>
            <w:pPr>
              <w:spacing w:after="0"/>
              <w:rPr>
                <w:sz w:val="18"/>
                <w:szCs w:val="18"/>
                <w:color w:val="auto"/>
              </w:rPr>
            </w:pPr>
          </w:p>
        </w:tc>
        <w:tc>
          <w:tcPr>
            <w:tcW w:w="3840" w:type="dxa"/>
            <w:vAlign w:val="bottom"/>
            <w:tcBorders>
              <w:top w:val="single" w:sz="8" w:color="D5EEEE"/>
            </w:tcBorders>
            <w:shd w:val="clear" w:color="auto" w:fill="D5EEEE"/>
          </w:tcPr>
          <w:p>
            <w:pPr>
              <w:jc w:val="center"/>
              <w:spacing w:after="0" w:line="209" w:lineRule="exact"/>
              <w:rPr>
                <w:sz w:val="20"/>
                <w:szCs w:val="20"/>
                <w:color w:val="auto"/>
              </w:rPr>
            </w:pPr>
            <w:r>
              <w:rPr>
                <w:rFonts w:ascii="Times New Roman" w:cs="Times New Roman" w:eastAsia="Times New Roman" w:hAnsi="Times New Roman"/>
                <w:sz w:val="20"/>
                <w:szCs w:val="20"/>
                <w:color w:val="auto"/>
              </w:rPr>
              <w:t>10/12</w:t>
            </w:r>
          </w:p>
        </w:tc>
        <w:tc>
          <w:tcPr>
            <w:tcW w:w="20" w:type="dxa"/>
            <w:vAlign w:val="bottom"/>
            <w:tcBorders>
              <w:top w:val="single" w:sz="8" w:color="D5EEEE"/>
            </w:tcBorders>
          </w:tcPr>
          <w:p>
            <w:pPr>
              <w:spacing w:after="0"/>
              <w:rPr>
                <w:sz w:val="18"/>
                <w:szCs w:val="18"/>
                <w:color w:val="auto"/>
              </w:rPr>
            </w:pPr>
          </w:p>
        </w:tc>
      </w:tr>
      <w:tr>
        <w:trPr>
          <w:trHeight w:val="245"/>
        </w:trPr>
        <w:tc>
          <w:tcPr>
            <w:tcW w:w="342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Jeremy Curnock Cook</w:t>
            </w:r>
          </w:p>
        </w:tc>
        <w:tc>
          <w:tcPr>
            <w:tcW w:w="280" w:type="dxa"/>
            <w:vAlign w:val="bottom"/>
            <w:tcBorders>
              <w:bottom w:val="single" w:sz="8" w:color="D5EEEE"/>
            </w:tcBorders>
          </w:tcPr>
          <w:p>
            <w:pPr>
              <w:spacing w:after="0"/>
              <w:rPr>
                <w:sz w:val="21"/>
                <w:szCs w:val="21"/>
                <w:color w:val="auto"/>
              </w:rPr>
            </w:pPr>
          </w:p>
        </w:tc>
        <w:tc>
          <w:tcPr>
            <w:tcW w:w="3840" w:type="dxa"/>
            <w:vAlign w:val="bottom"/>
            <w:tcBorders>
              <w:bottom w:val="single" w:sz="8" w:color="D5EEEE"/>
            </w:tcBorders>
          </w:tcPr>
          <w:p>
            <w:pPr>
              <w:jc w:val="center"/>
              <w:spacing w:after="0"/>
              <w:rPr>
                <w:sz w:val="20"/>
                <w:szCs w:val="20"/>
                <w:color w:val="auto"/>
              </w:rPr>
            </w:pPr>
            <w:r>
              <w:rPr>
                <w:rFonts w:ascii="Times New Roman" w:cs="Times New Roman" w:eastAsia="Times New Roman" w:hAnsi="Times New Roman"/>
                <w:sz w:val="20"/>
                <w:szCs w:val="20"/>
                <w:color w:val="auto"/>
              </w:rPr>
              <w:t>11/12</w:t>
            </w:r>
          </w:p>
        </w:tc>
        <w:tc>
          <w:tcPr>
            <w:tcW w:w="20" w:type="dxa"/>
            <w:vAlign w:val="bottom"/>
            <w:tcBorders>
              <w:bottom w:val="single" w:sz="8" w:color="D5EEEE"/>
            </w:tcBorders>
          </w:tcPr>
          <w:p>
            <w:pPr>
              <w:spacing w:after="0"/>
              <w:rPr>
                <w:sz w:val="21"/>
                <w:szCs w:val="21"/>
                <w:color w:val="auto"/>
              </w:rPr>
            </w:pPr>
          </w:p>
        </w:tc>
      </w:tr>
      <w:tr>
        <w:trPr>
          <w:trHeight w:val="225"/>
        </w:trPr>
        <w:tc>
          <w:tcPr>
            <w:tcW w:w="342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Professor Suzanne Crowe</w:t>
            </w:r>
          </w:p>
        </w:tc>
        <w:tc>
          <w:tcPr>
            <w:tcW w:w="280" w:type="dxa"/>
            <w:vAlign w:val="bottom"/>
            <w:shd w:val="clear" w:color="auto" w:fill="D5EEEE"/>
          </w:tcPr>
          <w:p>
            <w:pPr>
              <w:spacing w:after="0"/>
              <w:rPr>
                <w:sz w:val="19"/>
                <w:szCs w:val="19"/>
                <w:color w:val="auto"/>
              </w:rPr>
            </w:pPr>
          </w:p>
        </w:tc>
        <w:tc>
          <w:tcPr>
            <w:tcW w:w="3840" w:type="dxa"/>
            <w:vAlign w:val="bottom"/>
            <w:shd w:val="clear" w:color="auto" w:fill="D5EEEE"/>
          </w:tcPr>
          <w:p>
            <w:pPr>
              <w:jc w:val="center"/>
              <w:spacing w:after="0" w:line="225" w:lineRule="exact"/>
              <w:rPr>
                <w:sz w:val="20"/>
                <w:szCs w:val="20"/>
                <w:color w:val="auto"/>
              </w:rPr>
            </w:pPr>
            <w:r>
              <w:rPr>
                <w:rFonts w:ascii="Times New Roman" w:cs="Times New Roman" w:eastAsia="Times New Roman" w:hAnsi="Times New Roman"/>
                <w:sz w:val="20"/>
                <w:szCs w:val="20"/>
                <w:color w:val="auto"/>
              </w:rPr>
              <w:t>12/12</w:t>
            </w:r>
          </w:p>
        </w:tc>
        <w:tc>
          <w:tcPr>
            <w:tcW w:w="20" w:type="dxa"/>
            <w:vAlign w:val="bottom"/>
          </w:tcPr>
          <w:p>
            <w:pPr>
              <w:spacing w:after="0"/>
              <w:rPr>
                <w:sz w:val="19"/>
                <w:szCs w:val="19"/>
                <w:color w:val="auto"/>
              </w:rPr>
            </w:pPr>
          </w:p>
        </w:tc>
      </w:tr>
      <w:tr>
        <w:trPr>
          <w:trHeight w:val="245"/>
        </w:trPr>
        <w:tc>
          <w:tcPr>
            <w:tcW w:w="342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Jan Stern Reed</w:t>
            </w:r>
          </w:p>
        </w:tc>
        <w:tc>
          <w:tcPr>
            <w:tcW w:w="280" w:type="dxa"/>
            <w:vAlign w:val="bottom"/>
            <w:tcBorders>
              <w:bottom w:val="single" w:sz="8" w:color="D5EEEE"/>
            </w:tcBorders>
          </w:tcPr>
          <w:p>
            <w:pPr>
              <w:spacing w:after="0"/>
              <w:rPr>
                <w:sz w:val="21"/>
                <w:szCs w:val="21"/>
                <w:color w:val="auto"/>
              </w:rPr>
            </w:pPr>
          </w:p>
        </w:tc>
        <w:tc>
          <w:tcPr>
            <w:tcW w:w="3840" w:type="dxa"/>
            <w:vAlign w:val="bottom"/>
            <w:tcBorders>
              <w:bottom w:val="single" w:sz="8" w:color="D5EEEE"/>
            </w:tcBorders>
          </w:tcPr>
          <w:p>
            <w:pPr>
              <w:jc w:val="center"/>
              <w:spacing w:after="0"/>
              <w:rPr>
                <w:sz w:val="20"/>
                <w:szCs w:val="20"/>
                <w:color w:val="auto"/>
              </w:rPr>
            </w:pPr>
            <w:r>
              <w:rPr>
                <w:rFonts w:ascii="Times New Roman" w:cs="Times New Roman" w:eastAsia="Times New Roman" w:hAnsi="Times New Roman"/>
                <w:sz w:val="20"/>
                <w:szCs w:val="20"/>
                <w:color w:val="auto"/>
              </w:rPr>
              <w:t>12/12</w:t>
            </w:r>
          </w:p>
        </w:tc>
        <w:tc>
          <w:tcPr>
            <w:tcW w:w="20" w:type="dxa"/>
            <w:vAlign w:val="bottom"/>
            <w:tcBorders>
              <w:bottom w:val="single" w:sz="8" w:color="D5EEEE"/>
            </w:tcBorders>
          </w:tcPr>
          <w:p>
            <w:pPr>
              <w:spacing w:after="0"/>
              <w:rPr>
                <w:sz w:val="21"/>
                <w:szCs w:val="21"/>
                <w:color w:val="auto"/>
              </w:rPr>
            </w:pPr>
          </w:p>
        </w:tc>
      </w:tr>
      <w:tr>
        <w:trPr>
          <w:trHeight w:val="225"/>
        </w:trPr>
        <w:tc>
          <w:tcPr>
            <w:tcW w:w="342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James Corbett</w:t>
            </w:r>
          </w:p>
        </w:tc>
        <w:tc>
          <w:tcPr>
            <w:tcW w:w="280" w:type="dxa"/>
            <w:vAlign w:val="bottom"/>
            <w:shd w:val="clear" w:color="auto" w:fill="D5EEEE"/>
          </w:tcPr>
          <w:p>
            <w:pPr>
              <w:spacing w:after="0"/>
              <w:rPr>
                <w:sz w:val="19"/>
                <w:szCs w:val="19"/>
                <w:color w:val="auto"/>
              </w:rPr>
            </w:pPr>
          </w:p>
        </w:tc>
        <w:tc>
          <w:tcPr>
            <w:tcW w:w="3840" w:type="dxa"/>
            <w:vAlign w:val="bottom"/>
            <w:shd w:val="clear" w:color="auto" w:fill="D5EEEE"/>
          </w:tcPr>
          <w:p>
            <w:pPr>
              <w:jc w:val="center"/>
              <w:spacing w:after="0" w:line="225" w:lineRule="exact"/>
              <w:rPr>
                <w:sz w:val="20"/>
                <w:szCs w:val="20"/>
                <w:color w:val="auto"/>
              </w:rPr>
            </w:pPr>
            <w:r>
              <w:rPr>
                <w:rFonts w:ascii="Times New Roman" w:cs="Times New Roman" w:eastAsia="Times New Roman" w:hAnsi="Times New Roman"/>
                <w:sz w:val="20"/>
                <w:szCs w:val="20"/>
                <w:color w:val="auto"/>
              </w:rPr>
              <w:t>12/12</w:t>
            </w:r>
          </w:p>
        </w:tc>
        <w:tc>
          <w:tcPr>
            <w:tcW w:w="20" w:type="dxa"/>
            <w:vAlign w:val="bottom"/>
          </w:tcPr>
          <w:p>
            <w:pPr>
              <w:spacing w:after="0"/>
              <w:rPr>
                <w:sz w:val="19"/>
                <w:szCs w:val="19"/>
                <w:color w:val="auto"/>
              </w:rPr>
            </w:pPr>
          </w:p>
        </w:tc>
      </w:tr>
      <w:tr>
        <w:trPr>
          <w:trHeight w:val="245"/>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Dr. Michael Perry</w:t>
            </w:r>
          </w:p>
        </w:tc>
        <w:tc>
          <w:tcPr>
            <w:tcW w:w="280" w:type="dxa"/>
            <w:vAlign w:val="bottom"/>
          </w:tcPr>
          <w:p>
            <w:pPr>
              <w:spacing w:after="0"/>
              <w:rPr>
                <w:sz w:val="21"/>
                <w:szCs w:val="21"/>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9/12</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1028700</wp:posOffset>
            </wp:positionH>
            <wp:positionV relativeFrom="paragraph">
              <wp:posOffset>-1090295</wp:posOffset>
            </wp:positionV>
            <wp:extent cx="48018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801870" cy="8890"/>
                    </a:xfrm>
                    <a:prstGeom prst="rect">
                      <a:avLst/>
                    </a:prstGeom>
                    <a:noFill/>
                  </pic:spPr>
                </pic:pic>
              </a:graphicData>
            </a:graphic>
          </wp:anchor>
        </w:drawing>
        <w:drawing>
          <wp:anchor simplePos="0" relativeHeight="251657728" behindDoc="1" locked="0" layoutInCell="0" allowOverlap="1">
            <wp:simplePos x="0" y="0"/>
            <wp:positionH relativeFrom="column">
              <wp:posOffset>1016000</wp:posOffset>
            </wp:positionH>
            <wp:positionV relativeFrom="paragraph">
              <wp:posOffset>-948055</wp:posOffset>
            </wp:positionV>
            <wp:extent cx="4827270" cy="9613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827270" cy="961390"/>
                    </a:xfrm>
                    <a:prstGeom prst="rect">
                      <a:avLst/>
                    </a:prstGeom>
                    <a:noFill/>
                  </pic:spPr>
                </pic:pic>
              </a:graphicData>
            </a:graphic>
          </wp:anchor>
        </w:drawing>
      </w:r>
    </w:p>
    <w:p>
      <w:pPr>
        <w:sectPr>
          <w:pgSz w:w="11880" w:h="15480" w:orient="portrait"/>
          <w:cols w:equalWidth="0" w:num="1">
            <w:col w:w="10800"/>
          </w:cols>
          <w:pgMar w:left="540" w:top="887" w:right="540" w:bottom="0" w:gutter="0" w:footer="0" w:header="0"/>
        </w:sectPr>
      </w:pP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10800"/>
          </w:cols>
          <w:pgMar w:left="540" w:top="887" w:right="540" w:bottom="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24"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20"/>
          <w:szCs w:val="20"/>
          <w:color w:val="auto"/>
        </w:rPr>
        <w:t>The particulars of the compensation paid to the below listed “named executive officers” of our company are set out in the summary compensation below.</w:t>
      </w:r>
    </w:p>
    <w:p>
      <w:pPr>
        <w:spacing w:after="0" w:line="44" w:lineRule="exact"/>
        <w:rPr>
          <w:sz w:val="20"/>
          <w:szCs w:val="20"/>
          <w:color w:val="auto"/>
        </w:rPr>
      </w:pPr>
    </w:p>
    <w:p>
      <w:pPr>
        <w:ind w:left="1080" w:hanging="360"/>
        <w:spacing w:after="0"/>
        <w:tabs>
          <w:tab w:leader="none" w:pos="10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James Corbett, </w:t>
      </w:r>
      <w:r>
        <w:rPr>
          <w:rFonts w:ascii="Times New Roman" w:cs="Times New Roman" w:eastAsia="Times New Roman" w:hAnsi="Times New Roman"/>
          <w:sz w:val="20"/>
          <w:szCs w:val="20"/>
          <w:i w:val="1"/>
          <w:iCs w:val="1"/>
          <w:color w:val="auto"/>
        </w:rPr>
        <w:t>Chief Executive Officer</w:t>
      </w:r>
    </w:p>
    <w:p>
      <w:pPr>
        <w:spacing w:after="0" w:line="12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Michael Holder, </w:t>
      </w:r>
      <w:r>
        <w:rPr>
          <w:rFonts w:ascii="Times New Roman" w:cs="Times New Roman" w:eastAsia="Times New Roman" w:hAnsi="Times New Roman"/>
          <w:sz w:val="20"/>
          <w:szCs w:val="20"/>
          <w:i w:val="1"/>
          <w:iCs w:val="1"/>
          <w:color w:val="auto"/>
        </w:rPr>
        <w:t>Chief Financial Officer*</w:t>
      </w:r>
    </w:p>
    <w:p>
      <w:pPr>
        <w:spacing w:after="0" w:line="12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Erin Liberto, </w:t>
      </w:r>
      <w:r>
        <w:rPr>
          <w:rFonts w:ascii="Times New Roman" w:cs="Times New Roman" w:eastAsia="Times New Roman" w:hAnsi="Times New Roman"/>
          <w:sz w:val="20"/>
          <w:szCs w:val="20"/>
          <w:i w:val="1"/>
          <w:iCs w:val="1"/>
          <w:color w:val="auto"/>
        </w:rPr>
        <w:t>Chief Commercial Officer</w:t>
      </w:r>
    </w:p>
    <w:p>
      <w:pPr>
        <w:spacing w:after="0" w:line="12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Michael Perry, </w:t>
      </w:r>
      <w:r>
        <w:rPr>
          <w:rFonts w:ascii="Times New Roman" w:cs="Times New Roman" w:eastAsia="Times New Roman" w:hAnsi="Times New Roman"/>
          <w:sz w:val="20"/>
          <w:szCs w:val="20"/>
          <w:i w:val="1"/>
          <w:iCs w:val="1"/>
          <w:color w:val="auto"/>
        </w:rPr>
        <w:t>Former Chief Executive Officer</w:t>
      </w:r>
    </w:p>
    <w:p>
      <w:pPr>
        <w:spacing w:after="0" w:line="120" w:lineRule="exact"/>
        <w:rPr>
          <w:sz w:val="20"/>
          <w:szCs w:val="20"/>
          <w:color w:val="auto"/>
        </w:rPr>
      </w:pPr>
    </w:p>
    <w:p>
      <w:pPr>
        <w:ind w:right="160" w:firstLine="720"/>
        <w:spacing w:after="0" w:line="279" w:lineRule="auto"/>
        <w:rPr>
          <w:sz w:val="20"/>
          <w:szCs w:val="20"/>
          <w:color w:val="auto"/>
        </w:rPr>
      </w:pPr>
      <w:r>
        <w:rPr>
          <w:rFonts w:ascii="Times New Roman" w:cs="Times New Roman" w:eastAsia="Times New Roman" w:hAnsi="Times New Roman"/>
          <w:sz w:val="20"/>
          <w:szCs w:val="20"/>
          <w:color w:val="auto"/>
        </w:rPr>
        <w:t>Pursuant to the listing requirements of ASX, we are also providing the particulars of the compensation paid to the following executive officers of the Company.</w:t>
      </w:r>
    </w:p>
    <w:p>
      <w:pPr>
        <w:spacing w:after="0" w:line="44" w:lineRule="exact"/>
        <w:rPr>
          <w:sz w:val="20"/>
          <w:szCs w:val="20"/>
          <w:color w:val="auto"/>
        </w:rPr>
      </w:pPr>
    </w:p>
    <w:p>
      <w:pPr>
        <w:ind w:left="1080" w:hanging="360"/>
        <w:spacing w:after="0"/>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Andrew Quick, </w:t>
      </w:r>
      <w:r>
        <w:rPr>
          <w:rFonts w:ascii="Times New Roman" w:cs="Times New Roman" w:eastAsia="Times New Roman" w:hAnsi="Times New Roman"/>
          <w:sz w:val="20"/>
          <w:szCs w:val="20"/>
          <w:i w:val="1"/>
          <w:iCs w:val="1"/>
          <w:color w:val="auto"/>
        </w:rPr>
        <w:t>Chief Technology Officer</w:t>
      </w:r>
    </w:p>
    <w:p>
      <w:pPr>
        <w:spacing w:after="0" w:line="12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Donna Shiroma, </w:t>
      </w:r>
      <w:r>
        <w:rPr>
          <w:rFonts w:ascii="Times New Roman" w:cs="Times New Roman" w:eastAsia="Times New Roman" w:hAnsi="Times New Roman"/>
          <w:sz w:val="20"/>
          <w:szCs w:val="20"/>
          <w:i w:val="1"/>
          <w:iCs w:val="1"/>
          <w:color w:val="auto"/>
        </w:rPr>
        <w:t>General Counsel</w:t>
      </w:r>
    </w:p>
    <w:p>
      <w:pPr>
        <w:spacing w:after="0" w:line="120" w:lineRule="exact"/>
        <w:rPr>
          <w:rFonts w:ascii="Times New Roman" w:cs="Times New Roman" w:eastAsia="Times New Roman" w:hAnsi="Times New Roman"/>
          <w:sz w:val="20"/>
          <w:szCs w:val="20"/>
          <w:color w:val="auto"/>
        </w:rPr>
      </w:pPr>
    </w:p>
    <w:p>
      <w:pPr>
        <w:ind w:left="720" w:right="5740"/>
        <w:spacing w:after="0" w:line="395" w:lineRule="auto"/>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Kathy McGee, </w:t>
      </w:r>
      <w:r>
        <w:rPr>
          <w:rFonts w:ascii="Times New Roman" w:cs="Times New Roman" w:eastAsia="Times New Roman" w:hAnsi="Times New Roman"/>
          <w:sz w:val="20"/>
          <w:szCs w:val="20"/>
          <w:i w:val="1"/>
          <w:iCs w:val="1"/>
          <w:color w:val="auto"/>
        </w:rPr>
        <w:t>Chief Operating Officer</w:t>
      </w:r>
      <w:r>
        <w:rPr>
          <w:rFonts w:ascii="Times New Roman" w:cs="Times New Roman" w:eastAsia="Times New Roman" w:hAnsi="Times New Roman"/>
          <w:sz w:val="20"/>
          <w:szCs w:val="20"/>
          <w:color w:val="auto"/>
        </w:rPr>
        <w:t>* *Ceased to be Executive Officers on January 19, 2023</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SUMMARY COMPENSATION TABLE</w:t>
      </w:r>
    </w:p>
    <w:p>
      <w:pPr>
        <w:spacing w:after="0" w:line="184" w:lineRule="exact"/>
        <w:rPr>
          <w:sz w:val="20"/>
          <w:szCs w:val="20"/>
          <w:color w:val="auto"/>
        </w:rPr>
      </w:pPr>
    </w:p>
    <w:p>
      <w:pPr>
        <w:ind w:right="680" w:firstLine="720"/>
        <w:spacing w:after="0" w:line="276" w:lineRule="auto"/>
        <w:rPr>
          <w:sz w:val="20"/>
          <w:szCs w:val="20"/>
          <w:color w:val="auto"/>
        </w:rPr>
      </w:pPr>
      <w:r>
        <w:rPr>
          <w:rFonts w:ascii="Times New Roman" w:cs="Times New Roman" w:eastAsia="Times New Roman" w:hAnsi="Times New Roman"/>
          <w:sz w:val="20"/>
          <w:szCs w:val="20"/>
          <w:color w:val="auto"/>
        </w:rPr>
        <w:t>The following table sets forth for our named executive officers the following information for the annual period ended December 31, 2022 and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7"/>
              </w:rPr>
              <w:t>All Other</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Year</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Bonus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Awards (1)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Awards (2)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Compensation (3)</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2"/>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280" w:type="dxa"/>
            <w:vAlign w:val="bottom"/>
            <w:tcBorders>
              <w:top w:val="single" w:sz="8" w:color="D5EEEE"/>
              <w:bottom w:val="single" w:sz="8" w:color="D5EEEE"/>
            </w:tcBorders>
            <w:shd w:val="clear" w:color="auto" w:fill="D5EEEE"/>
          </w:tcPr>
          <w:p>
            <w:pPr>
              <w:spacing w:after="0"/>
              <w:rPr>
                <w:sz w:val="19"/>
                <w:szCs w:val="19"/>
                <w:color w:val="auto"/>
              </w:rPr>
            </w:pPr>
          </w:p>
        </w:tc>
        <w:tc>
          <w:tcPr>
            <w:tcW w:w="20" w:type="dxa"/>
            <w:vAlign w:val="bottom"/>
            <w:tcBorders>
              <w:top w:val="single" w:sz="8" w:color="D5EEEE"/>
              <w:bottom w:val="single" w:sz="8" w:color="D5EEEE"/>
            </w:tcBorders>
            <w:shd w:val="clear" w:color="auto" w:fill="D5EEEE"/>
          </w:tcPr>
          <w:p>
            <w:pPr>
              <w:spacing w:after="0"/>
              <w:rPr>
                <w:sz w:val="19"/>
                <w:szCs w:val="19"/>
                <w:color w:val="auto"/>
              </w:rPr>
            </w:pPr>
          </w:p>
        </w:tc>
        <w:tc>
          <w:tcPr>
            <w:tcW w:w="240" w:type="dxa"/>
            <w:vAlign w:val="bottom"/>
            <w:tcBorders>
              <w:top w:val="single" w:sz="8" w:color="D5EEEE"/>
              <w:bottom w:val="single" w:sz="8" w:color="D5EEEE"/>
            </w:tcBorders>
            <w:shd w:val="clear" w:color="auto" w:fill="D5EEEE"/>
          </w:tcPr>
          <w:p>
            <w:pPr>
              <w:spacing w:after="0"/>
              <w:rPr>
                <w:sz w:val="19"/>
                <w:szCs w:val="19"/>
                <w:color w:val="auto"/>
              </w:rPr>
            </w:pPr>
          </w:p>
        </w:tc>
        <w:tc>
          <w:tcPr>
            <w:tcW w:w="460" w:type="dxa"/>
            <w:vAlign w:val="bottom"/>
            <w:tcBorders>
              <w:bottom w:val="single" w:sz="8" w:color="D5EEEE"/>
            </w:tcBorders>
            <w:shd w:val="clear" w:color="auto" w:fill="D5EEEE"/>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shd w:val="clear" w:color="auto" w:fill="D5EEEE"/>
              </w:rPr>
              <w:t>2022</w:t>
            </w:r>
          </w:p>
        </w:tc>
        <w:tc>
          <w:tcPr>
            <w:tcW w:w="140" w:type="dxa"/>
            <w:vAlign w:val="bottom"/>
            <w:tcBorders>
              <w:top w:val="single" w:sz="8" w:color="D5EEEE"/>
              <w:bottom w:val="single" w:sz="8" w:color="D5EEEE"/>
            </w:tcBorders>
            <w:shd w:val="clear" w:color="auto" w:fill="D5EEE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bottom w:val="single" w:sz="8" w:color="D5EEEE"/>
            </w:tcBorders>
            <w:shd w:val="clear" w:color="auto" w:fill="D5EEEE"/>
          </w:tcPr>
          <w:p>
            <w:pPr>
              <w:jc w:val="right"/>
              <w:spacing w:after="0" w:line="219" w:lineRule="exact"/>
              <w:rPr>
                <w:sz w:val="20"/>
                <w:szCs w:val="20"/>
                <w:color w:val="auto"/>
              </w:rPr>
            </w:pPr>
            <w:r>
              <w:rPr>
                <w:rFonts w:ascii="Times New Roman" w:cs="Times New Roman" w:eastAsia="Times New Roman" w:hAnsi="Times New Roman"/>
                <w:sz w:val="20"/>
                <w:szCs w:val="20"/>
                <w:color w:val="auto"/>
              </w:rPr>
              <w:t>156,992</w:t>
            </w:r>
          </w:p>
        </w:tc>
        <w:tc>
          <w:tcPr>
            <w:tcW w:w="20" w:type="dxa"/>
            <w:vAlign w:val="bottom"/>
          </w:tcPr>
          <w:p>
            <w:pPr>
              <w:spacing w:after="0"/>
              <w:rPr>
                <w:sz w:val="19"/>
                <w:szCs w:val="19"/>
                <w:color w:val="auto"/>
              </w:rPr>
            </w:pPr>
          </w:p>
        </w:tc>
        <w:tc>
          <w:tcPr>
            <w:tcW w:w="100" w:type="dxa"/>
            <w:vAlign w:val="bottom"/>
            <w:tcBorders>
              <w:top w:val="single" w:sz="8" w:color="D5EEEE"/>
              <w:bottom w:val="single" w:sz="8" w:color="D5EEEE"/>
            </w:tcBorders>
            <w:shd w:val="clear" w:color="auto" w:fill="D5EEE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D5EEEE"/>
              <w:bottom w:val="single" w:sz="8" w:color="D5EEEE"/>
            </w:tcBorders>
          </w:tcPr>
          <w:p>
            <w:pPr>
              <w:spacing w:after="0"/>
              <w:rPr>
                <w:sz w:val="19"/>
                <w:szCs w:val="19"/>
                <w:color w:val="auto"/>
              </w:rPr>
            </w:pPr>
          </w:p>
        </w:tc>
        <w:tc>
          <w:tcPr>
            <w:tcW w:w="760" w:type="dxa"/>
            <w:vAlign w:val="bottom"/>
            <w:tcBorders>
              <w:top w:val="single" w:sz="8" w:color="D5EEEE"/>
              <w:bottom w:val="single" w:sz="8" w:color="D5EEEE"/>
            </w:tcBorders>
            <w:shd w:val="clear" w:color="auto" w:fill="D5EEEE"/>
          </w:tcPr>
          <w:p>
            <w:pPr>
              <w:jc w:val="right"/>
              <w:spacing w:after="0" w:line="219" w:lineRule="exact"/>
              <w:rPr>
                <w:sz w:val="20"/>
                <w:szCs w:val="20"/>
                <w:color w:val="auto"/>
              </w:rPr>
            </w:pPr>
            <w:r>
              <w:rPr>
                <w:rFonts w:ascii="Times New Roman" w:cs="Times New Roman" w:eastAsia="Times New Roman" w:hAnsi="Times New Roman"/>
                <w:sz w:val="20"/>
                <w:szCs w:val="20"/>
                <w:color w:val="auto"/>
              </w:rPr>
              <w:t>100,726</w:t>
            </w:r>
          </w:p>
        </w:tc>
        <w:tc>
          <w:tcPr>
            <w:tcW w:w="20" w:type="dxa"/>
            <w:vAlign w:val="bottom"/>
            <w:tcBorders>
              <w:top w:val="single" w:sz="8" w:color="D5EEEE"/>
              <w:bottom w:val="single" w:sz="8" w:color="D5EEEE"/>
            </w:tcBorders>
          </w:tcPr>
          <w:p>
            <w:pPr>
              <w:spacing w:after="0"/>
              <w:rPr>
                <w:sz w:val="19"/>
                <w:szCs w:val="19"/>
                <w:color w:val="auto"/>
              </w:rPr>
            </w:pPr>
          </w:p>
        </w:tc>
        <w:tc>
          <w:tcPr>
            <w:tcW w:w="100" w:type="dxa"/>
            <w:vAlign w:val="bottom"/>
            <w:tcBorders>
              <w:top w:val="single" w:sz="8" w:color="D5EEEE"/>
              <w:bottom w:val="single" w:sz="8" w:color="D5EEEE"/>
            </w:tcBorders>
            <w:shd w:val="clear" w:color="auto" w:fill="D5EEEE"/>
          </w:tcPr>
          <w:p>
            <w:pPr>
              <w:spacing w:after="0"/>
              <w:rPr>
                <w:sz w:val="19"/>
                <w:szCs w:val="19"/>
                <w:color w:val="auto"/>
              </w:rPr>
            </w:pPr>
          </w:p>
        </w:tc>
        <w:tc>
          <w:tcPr>
            <w:tcW w:w="240" w:type="dxa"/>
            <w:vAlign w:val="bottom"/>
            <w:tcBorders>
              <w:top w:val="single" w:sz="8" w:color="D5EEEE"/>
              <w:bottom w:val="single" w:sz="8" w:color="D5EEEE"/>
            </w:tcBorders>
            <w:gridSpan w:val="2"/>
          </w:tcPr>
          <w:p>
            <w:pPr>
              <w:spacing w:after="0"/>
              <w:rPr>
                <w:sz w:val="19"/>
                <w:szCs w:val="19"/>
                <w:color w:val="auto"/>
              </w:rPr>
            </w:pPr>
          </w:p>
        </w:tc>
        <w:tc>
          <w:tcPr>
            <w:tcW w:w="780" w:type="dxa"/>
            <w:vAlign w:val="bottom"/>
            <w:tcBorders>
              <w:top w:val="single" w:sz="8" w:color="D5EEEE"/>
              <w:bottom w:val="single" w:sz="8" w:color="D5EEEE"/>
              <w:right w:val="single" w:sz="8" w:color="D5EEEE"/>
            </w:tcBorders>
            <w:shd w:val="clear" w:color="auto" w:fill="D5EEEE"/>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top w:val="single" w:sz="8" w:color="D5EEEE"/>
              <w:bottom w:val="single" w:sz="8" w:color="D5EEEE"/>
            </w:tcBorders>
            <w:shd w:val="clear" w:color="auto" w:fill="D5EEEE"/>
          </w:tcPr>
          <w:p>
            <w:pPr>
              <w:spacing w:after="0"/>
              <w:rPr>
                <w:sz w:val="19"/>
                <w:szCs w:val="19"/>
                <w:color w:val="auto"/>
              </w:rPr>
            </w:pPr>
          </w:p>
        </w:tc>
        <w:tc>
          <w:tcPr>
            <w:tcW w:w="220" w:type="dxa"/>
            <w:vAlign w:val="bottom"/>
            <w:gridSpan w:val="2"/>
          </w:tcPr>
          <w:p>
            <w:pPr>
              <w:spacing w:after="0"/>
              <w:rPr>
                <w:sz w:val="19"/>
                <w:szCs w:val="19"/>
                <w:color w:val="auto"/>
              </w:rPr>
            </w:pPr>
          </w:p>
        </w:tc>
        <w:tc>
          <w:tcPr>
            <w:tcW w:w="900" w:type="dxa"/>
            <w:vAlign w:val="bottom"/>
            <w:tcBorders>
              <w:top w:val="single" w:sz="8" w:color="D5EEEE"/>
              <w:bottom w:val="single" w:sz="8" w:color="D5EEEE"/>
            </w:tcBorders>
            <w:shd w:val="clear" w:color="auto" w:fill="D5EEEE"/>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D5EEEE"/>
              </w:rPr>
              <w:t>1,232,747</w:t>
            </w:r>
          </w:p>
        </w:tc>
        <w:tc>
          <w:tcPr>
            <w:tcW w:w="20" w:type="dxa"/>
            <w:vAlign w:val="bottom"/>
            <w:tcBorders>
              <w:top w:val="single" w:sz="8" w:color="D5EEEE"/>
              <w:bottom w:val="single" w:sz="8" w:color="D5EEEE"/>
            </w:tcBorders>
          </w:tcPr>
          <w:p>
            <w:pPr>
              <w:spacing w:after="0"/>
              <w:rPr>
                <w:sz w:val="19"/>
                <w:szCs w:val="19"/>
                <w:color w:val="auto"/>
              </w:rPr>
            </w:pPr>
          </w:p>
        </w:tc>
        <w:tc>
          <w:tcPr>
            <w:tcW w:w="100" w:type="dxa"/>
            <w:vAlign w:val="bottom"/>
            <w:tcBorders>
              <w:top w:val="single" w:sz="8" w:color="D5EEEE"/>
              <w:bottom w:val="single" w:sz="8" w:color="D5EEEE"/>
            </w:tcBorders>
            <w:shd w:val="clear" w:color="auto" w:fill="D5EEEE"/>
          </w:tcPr>
          <w:p>
            <w:pPr>
              <w:spacing w:after="0"/>
              <w:rPr>
                <w:sz w:val="19"/>
                <w:szCs w:val="19"/>
                <w:color w:val="auto"/>
              </w:rPr>
            </w:pPr>
          </w:p>
        </w:tc>
        <w:tc>
          <w:tcPr>
            <w:tcW w:w="240" w:type="dxa"/>
            <w:vAlign w:val="bottom"/>
            <w:tcBorders>
              <w:top w:val="single" w:sz="8" w:color="D5EEEE"/>
              <w:bottom w:val="single" w:sz="8" w:color="D5EEEE"/>
            </w:tcBorders>
            <w:gridSpan w:val="2"/>
          </w:tcPr>
          <w:p>
            <w:pPr>
              <w:spacing w:after="0"/>
              <w:rPr>
                <w:sz w:val="19"/>
                <w:szCs w:val="19"/>
                <w:color w:val="auto"/>
              </w:rPr>
            </w:pPr>
          </w:p>
        </w:tc>
        <w:tc>
          <w:tcPr>
            <w:tcW w:w="1200" w:type="dxa"/>
            <w:vAlign w:val="bottom"/>
            <w:tcBorders>
              <w:bottom w:val="single" w:sz="8" w:color="D5EEEE"/>
            </w:tcBorders>
            <w:shd w:val="clear" w:color="auto" w:fill="D5EEEE"/>
          </w:tcPr>
          <w:p>
            <w:pPr>
              <w:jc w:val="right"/>
              <w:spacing w:after="0" w:line="219" w:lineRule="exact"/>
              <w:rPr>
                <w:sz w:val="20"/>
                <w:szCs w:val="20"/>
                <w:color w:val="auto"/>
              </w:rPr>
            </w:pPr>
            <w:r>
              <w:rPr>
                <w:rFonts w:ascii="Times New Roman" w:cs="Times New Roman" w:eastAsia="Times New Roman" w:hAnsi="Times New Roman"/>
                <w:sz w:val="20"/>
                <w:szCs w:val="20"/>
                <w:color w:val="auto"/>
              </w:rPr>
              <w:t>5,119</w:t>
            </w:r>
          </w:p>
        </w:tc>
        <w:tc>
          <w:tcPr>
            <w:tcW w:w="120" w:type="dxa"/>
            <w:vAlign w:val="bottom"/>
            <w:tcBorders>
              <w:top w:val="single" w:sz="8" w:color="D5EEEE"/>
              <w:bottom w:val="single" w:sz="8" w:color="D5EEEE"/>
            </w:tcBorders>
            <w:shd w:val="clear" w:color="auto" w:fill="D5EEEE"/>
          </w:tcPr>
          <w:p>
            <w:pPr>
              <w:spacing w:after="0"/>
              <w:rPr>
                <w:sz w:val="19"/>
                <w:szCs w:val="19"/>
                <w:color w:val="auto"/>
              </w:rPr>
            </w:pPr>
          </w:p>
        </w:tc>
        <w:tc>
          <w:tcPr>
            <w:tcW w:w="520" w:type="dxa"/>
            <w:vAlign w:val="bottom"/>
            <w:tcBorders>
              <w:top w:val="single" w:sz="8" w:color="D5EEEE"/>
              <w:bottom w:val="single" w:sz="8" w:color="D5EEEE"/>
            </w:tcBorders>
            <w:shd w:val="clear" w:color="auto" w:fill="D5EEEE"/>
          </w:tcPr>
          <w:p>
            <w:pPr>
              <w:ind w:left="40"/>
              <w:spacing w:after="0" w:line="219" w:lineRule="exact"/>
              <w:rPr>
                <w:sz w:val="20"/>
                <w:szCs w:val="20"/>
                <w:color w:val="auto"/>
              </w:rPr>
            </w:pPr>
            <w:r>
              <w:rPr>
                <w:rFonts w:ascii="Times New Roman" w:cs="Times New Roman" w:eastAsia="Times New Roman" w:hAnsi="Times New Roman"/>
                <w:sz w:val="20"/>
                <w:szCs w:val="20"/>
                <w:color w:val="auto"/>
              </w:rPr>
              <w:t>(4)</w:t>
            </w:r>
          </w:p>
        </w:tc>
        <w:tc>
          <w:tcPr>
            <w:tcW w:w="20" w:type="dxa"/>
            <w:vAlign w:val="bottom"/>
            <w:tcBorders>
              <w:top w:val="single" w:sz="8" w:color="D5EEEE"/>
              <w:bottom w:val="single" w:sz="8" w:color="D5EEEE"/>
            </w:tcBorders>
          </w:tcPr>
          <w:p>
            <w:pPr>
              <w:spacing w:after="0"/>
              <w:rPr>
                <w:sz w:val="19"/>
                <w:szCs w:val="19"/>
                <w:color w:val="auto"/>
              </w:rPr>
            </w:pPr>
          </w:p>
        </w:tc>
        <w:tc>
          <w:tcPr>
            <w:tcW w:w="100" w:type="dxa"/>
            <w:vAlign w:val="bottom"/>
            <w:tcBorders>
              <w:top w:val="single" w:sz="8" w:color="D5EEEE"/>
              <w:bottom w:val="single" w:sz="8" w:color="D5EEEE"/>
            </w:tcBorders>
            <w:shd w:val="clear" w:color="auto" w:fill="D5EEEE"/>
          </w:tcPr>
          <w:p>
            <w:pPr>
              <w:spacing w:after="0"/>
              <w:rPr>
                <w:sz w:val="19"/>
                <w:szCs w:val="19"/>
                <w:color w:val="auto"/>
              </w:rPr>
            </w:pPr>
          </w:p>
        </w:tc>
        <w:tc>
          <w:tcPr>
            <w:tcW w:w="880" w:type="dxa"/>
            <w:vAlign w:val="bottom"/>
            <w:tcBorders>
              <w:top w:val="single" w:sz="8" w:color="D5EEEE"/>
              <w:bottom w:val="single" w:sz="8" w:color="D5EEEE"/>
            </w:tcBorders>
            <w:shd w:val="clear" w:color="auto" w:fill="D5EEEE"/>
          </w:tcPr>
          <w:p>
            <w:pPr>
              <w:jc w:val="right"/>
              <w:spacing w:after="0" w:line="219" w:lineRule="exact"/>
              <w:rPr>
                <w:sz w:val="20"/>
                <w:szCs w:val="20"/>
                <w:color w:val="auto"/>
              </w:rPr>
            </w:pPr>
            <w:r>
              <w:rPr>
                <w:rFonts w:ascii="Times New Roman" w:cs="Times New Roman" w:eastAsia="Times New Roman" w:hAnsi="Times New Roman"/>
                <w:sz w:val="20"/>
                <w:szCs w:val="20"/>
                <w:color w:val="auto"/>
                <w:shd w:val="clear" w:color="auto" w:fill="D5EEEE"/>
              </w:rPr>
              <w:t>1,495,584</w:t>
            </w:r>
          </w:p>
        </w:tc>
        <w:tc>
          <w:tcPr>
            <w:tcW w:w="20" w:type="dxa"/>
            <w:vAlign w:val="bottom"/>
            <w:tcBorders>
              <w:top w:val="single" w:sz="8" w:color="D5EEEE"/>
              <w:bottom w:val="single" w:sz="8" w:color="D5EEEE"/>
            </w:tcBorders>
          </w:tcPr>
          <w:p>
            <w:pPr>
              <w:spacing w:after="0"/>
              <w:rPr>
                <w:sz w:val="19"/>
                <w:szCs w:val="19"/>
                <w:color w:val="auto"/>
              </w:rPr>
            </w:pPr>
          </w:p>
        </w:tc>
        <w:tc>
          <w:tcPr>
            <w:tcW w:w="100" w:type="dxa"/>
            <w:vAlign w:val="bottom"/>
            <w:tcBorders>
              <w:top w:val="single" w:sz="8" w:color="D5EEEE"/>
              <w:bottom w:val="single" w:sz="8" w:color="D5EEEE"/>
            </w:tcBorders>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Borders>
              <w:bottom w:val="single" w:sz="8" w:color="D5EEEE"/>
            </w:tcBorders>
            <w:shd w:val="clear" w:color="auto" w:fill="D5EEEE"/>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D5EEEE"/>
            </w:tcBorders>
            <w:shd w:val="clear" w:color="auto" w:fill="D5EEEE"/>
          </w:tcPr>
          <w:p>
            <w:pPr>
              <w:spacing w:after="0"/>
              <w:rPr>
                <w:sz w:val="20"/>
                <w:szCs w:val="20"/>
                <w:color w:val="auto"/>
              </w:rPr>
            </w:pPr>
          </w:p>
        </w:tc>
        <w:tc>
          <w:tcPr>
            <w:tcW w:w="460" w:type="dxa"/>
            <w:vAlign w:val="bottom"/>
            <w:tcBorders>
              <w:bottom w:val="single" w:sz="8" w:color="D5EEEE"/>
            </w:tcBorders>
            <w:shd w:val="clear" w:color="auto" w:fill="D5EEEE"/>
          </w:tcPr>
          <w:p>
            <w:pPr>
              <w:jc w:val="center"/>
              <w:spacing w:after="0"/>
              <w:rPr>
                <w:sz w:val="20"/>
                <w:szCs w:val="20"/>
                <w:color w:val="auto"/>
              </w:rPr>
            </w:pPr>
            <w:r>
              <w:rPr>
                <w:rFonts w:ascii="Times New Roman" w:cs="Times New Roman" w:eastAsia="Times New Roman" w:hAnsi="Times New Roman"/>
                <w:sz w:val="20"/>
                <w:szCs w:val="20"/>
                <w:color w:val="auto"/>
                <w:w w:val="99"/>
                <w:shd w:val="clear" w:color="auto" w:fill="D5EEEE"/>
              </w:rPr>
              <w:t>2021</w:t>
            </w:r>
          </w:p>
        </w:tc>
        <w:tc>
          <w:tcPr>
            <w:tcW w:w="140" w:type="dxa"/>
            <w:vAlign w:val="bottom"/>
            <w:tcBorders>
              <w:bottom w:val="single" w:sz="8" w:color="D5EEEE"/>
            </w:tcBorders>
            <w:shd w:val="clear" w:color="auto" w:fill="D5EEEE"/>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00" w:type="dxa"/>
            <w:vAlign w:val="bottom"/>
            <w:tcBorders>
              <w:bottom w:val="single" w:sz="8" w:color="D5EEEE"/>
            </w:tcBorders>
            <w:shd w:val="clear" w:color="auto" w:fill="D5EEE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00" w:type="dxa"/>
            <w:vAlign w:val="bottom"/>
            <w:tcBorders>
              <w:bottom w:val="single" w:sz="8" w:color="D5EEEE"/>
            </w:tcBorders>
            <w:shd w:val="clear" w:color="auto" w:fill="D5EEE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bottom w:val="single" w:sz="8" w:color="D5EEEE"/>
              <w:right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D5EEEE"/>
            </w:tcBorders>
            <w:shd w:val="clear" w:color="auto" w:fill="D5EEE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00" w:type="dxa"/>
            <w:vAlign w:val="bottom"/>
            <w:tcBorders>
              <w:bottom w:val="single" w:sz="8" w:color="D5EEEE"/>
            </w:tcBorders>
            <w:shd w:val="clear" w:color="auto" w:fill="D5EEE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D5EEEE"/>
            </w:tcBorders>
            <w:shd w:val="clear" w:color="auto" w:fill="D5EEEE"/>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00" w:type="dxa"/>
            <w:vAlign w:val="bottom"/>
            <w:tcBorders>
              <w:bottom w:val="single" w:sz="8" w:color="D5EEEE"/>
            </w:tcBorders>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highlight w:val="white"/>
                <w:w w:val="99"/>
              </w:rPr>
              <w:t>2022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430,128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184,900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178,672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82,524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48,988</w:t>
            </w:r>
          </w:p>
        </w:tc>
        <w:tc>
          <w:tcPr>
            <w:tcW w:w="120" w:type="dxa"/>
            <w:vAlign w:val="bottom"/>
          </w:tcPr>
          <w:p>
            <w:pPr>
              <w:spacing w:after="0"/>
              <w:rPr>
                <w:sz w:val="21"/>
                <w:szCs w:val="21"/>
                <w:color w:val="auto"/>
              </w:rPr>
            </w:pPr>
          </w:p>
        </w:tc>
        <w:tc>
          <w:tcPr>
            <w:tcW w:w="520" w:type="dxa"/>
            <w:vAlign w:val="bottom"/>
          </w:tcPr>
          <w:p>
            <w:pPr>
              <w:ind w:left="40"/>
              <w:spacing w:after="0" w:line="228" w:lineRule="exact"/>
              <w:rPr>
                <w:sz w:val="20"/>
                <w:szCs w:val="20"/>
                <w:color w:val="auto"/>
              </w:rPr>
            </w:pPr>
            <w:r>
              <w:rPr>
                <w:rFonts w:ascii="Times New Roman" w:cs="Times New Roman" w:eastAsia="Times New Roman" w:hAnsi="Times New Roman"/>
                <w:sz w:val="20"/>
                <w:szCs w:val="20"/>
                <w:color w:val="auto"/>
              </w:rPr>
              <w:t>(5)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925,212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28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240" w:type="dxa"/>
            <w:vAlign w:val="bottom"/>
            <w:tcBorders>
              <w:bottom w:val="single" w:sz="8" w:color="D5EEEE"/>
            </w:tcBorders>
          </w:tcPr>
          <w:p>
            <w:pPr>
              <w:spacing w:after="0"/>
              <w:rPr>
                <w:sz w:val="19"/>
                <w:szCs w:val="19"/>
                <w:color w:val="auto"/>
              </w:rPr>
            </w:pPr>
          </w:p>
        </w:tc>
        <w:tc>
          <w:tcPr>
            <w:tcW w:w="46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color w:val="auto"/>
                <w:highlight w:val="white"/>
                <w:w w:val="99"/>
              </w:rPr>
              <w:t>2021</w:t>
            </w:r>
          </w:p>
        </w:tc>
        <w:tc>
          <w:tcPr>
            <w:tcW w:w="140" w:type="dxa"/>
            <w:vAlign w:val="bottom"/>
            <w:tcBorders>
              <w:bottom w:val="single" w:sz="8" w:color="D5EEEE"/>
            </w:tcBorders>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335,064</w:t>
            </w:r>
          </w:p>
        </w:tc>
        <w:tc>
          <w:tcPr>
            <w:tcW w:w="20" w:type="dxa"/>
            <w:vAlign w:val="bottom"/>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760" w:type="dxa"/>
            <w:vAlign w:val="bottom"/>
            <w:tcBorders>
              <w:bottom w:val="single" w:sz="8" w:color="D5EEEE"/>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148,668</w:t>
            </w: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120" w:type="dxa"/>
            <w:vAlign w:val="bottom"/>
            <w:tcBorders>
              <w:bottom w:val="single" w:sz="8" w:color="D5EEEE"/>
            </w:tcBorders>
          </w:tcPr>
          <w:p>
            <w:pPr>
              <w:spacing w:after="0"/>
              <w:rPr>
                <w:sz w:val="19"/>
                <w:szCs w:val="19"/>
                <w:color w:val="auto"/>
              </w:rPr>
            </w:pPr>
          </w:p>
        </w:tc>
        <w:tc>
          <w:tcPr>
            <w:tcW w:w="120" w:type="dxa"/>
            <w:vAlign w:val="bottom"/>
            <w:tcBorders>
              <w:bottom w:val="single" w:sz="8" w:color="D5EEEE"/>
            </w:tcBorders>
          </w:tcPr>
          <w:p>
            <w:pPr>
              <w:spacing w:after="0"/>
              <w:rPr>
                <w:sz w:val="19"/>
                <w:szCs w:val="19"/>
                <w:color w:val="auto"/>
              </w:rPr>
            </w:pPr>
          </w:p>
        </w:tc>
        <w:tc>
          <w:tcPr>
            <w:tcW w:w="780" w:type="dxa"/>
            <w:vAlign w:val="bottom"/>
            <w:tcBorders>
              <w:bottom w:val="single" w:sz="8" w:color="D5EEEE"/>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97,020</w:t>
            </w:r>
          </w:p>
        </w:tc>
        <w:tc>
          <w:tcPr>
            <w:tcW w:w="100" w:type="dxa"/>
            <w:vAlign w:val="bottom"/>
            <w:tcBorders>
              <w:bottom w:val="single" w:sz="8" w:color="D5EEEE"/>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D5EEEE"/>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highlight w:val="white"/>
              </w:rPr>
              <w:t>2,056,809</w:t>
            </w: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120" w:type="dxa"/>
            <w:vAlign w:val="bottom"/>
            <w:tcBorders>
              <w:bottom w:val="single" w:sz="8" w:color="D5EEEE"/>
            </w:tcBorders>
          </w:tcPr>
          <w:p>
            <w:pPr>
              <w:spacing w:after="0"/>
              <w:rPr>
                <w:sz w:val="19"/>
                <w:szCs w:val="19"/>
                <w:color w:val="auto"/>
              </w:rPr>
            </w:pPr>
          </w:p>
        </w:tc>
        <w:tc>
          <w:tcPr>
            <w:tcW w:w="120" w:type="dxa"/>
            <w:vAlign w:val="bottom"/>
            <w:tcBorders>
              <w:bottom w:val="single" w:sz="8" w:color="D5EEEE"/>
            </w:tcBorders>
          </w:tcPr>
          <w:p>
            <w:pPr>
              <w:spacing w:after="0"/>
              <w:rPr>
                <w:sz w:val="19"/>
                <w:szCs w:val="19"/>
                <w:color w:val="auto"/>
              </w:rPr>
            </w:pPr>
          </w:p>
        </w:tc>
        <w:tc>
          <w:tcPr>
            <w:tcW w:w="12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65,333</w:t>
            </w:r>
          </w:p>
        </w:tc>
        <w:tc>
          <w:tcPr>
            <w:tcW w:w="120" w:type="dxa"/>
            <w:vAlign w:val="bottom"/>
            <w:tcBorders>
              <w:bottom w:val="single" w:sz="8" w:color="D5EEEE"/>
            </w:tcBorders>
          </w:tcPr>
          <w:p>
            <w:pPr>
              <w:spacing w:after="0"/>
              <w:rPr>
                <w:sz w:val="19"/>
                <w:szCs w:val="19"/>
                <w:color w:val="auto"/>
              </w:rPr>
            </w:pPr>
          </w:p>
        </w:tc>
        <w:tc>
          <w:tcPr>
            <w:tcW w:w="52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880" w:type="dxa"/>
            <w:vAlign w:val="bottom"/>
            <w:tcBorders>
              <w:bottom w:val="single" w:sz="8" w:color="D5EEEE"/>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highlight w:val="white"/>
              </w:rPr>
              <w:t>2,702,894</w:t>
            </w: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280" w:type="dxa"/>
            <w:vAlign w:val="bottom"/>
            <w:tcBorders>
              <w:bottom w:val="single" w:sz="8" w:color="D5EEEE"/>
            </w:tcBorders>
            <w:shd w:val="clear" w:color="auto" w:fill="D5EEEE"/>
          </w:tcPr>
          <w:p>
            <w:pPr>
              <w:spacing w:after="0"/>
              <w:rPr>
                <w:sz w:val="19"/>
                <w:szCs w:val="19"/>
                <w:color w:val="auto"/>
              </w:rPr>
            </w:pPr>
          </w:p>
        </w:tc>
        <w:tc>
          <w:tcPr>
            <w:tcW w:w="20" w:type="dxa"/>
            <w:vAlign w:val="bottom"/>
            <w:tcBorders>
              <w:bottom w:val="single" w:sz="8" w:color="D5EEEE"/>
            </w:tcBorders>
            <w:shd w:val="clear" w:color="auto" w:fill="D5EEEE"/>
          </w:tcPr>
          <w:p>
            <w:pPr>
              <w:spacing w:after="0"/>
              <w:rPr>
                <w:sz w:val="19"/>
                <w:szCs w:val="19"/>
                <w:color w:val="auto"/>
              </w:rPr>
            </w:pPr>
          </w:p>
        </w:tc>
        <w:tc>
          <w:tcPr>
            <w:tcW w:w="240" w:type="dxa"/>
            <w:vAlign w:val="bottom"/>
            <w:tcBorders>
              <w:bottom w:val="single" w:sz="8" w:color="D5EEEE"/>
            </w:tcBorders>
            <w:shd w:val="clear" w:color="auto" w:fill="D5EEEE"/>
          </w:tcPr>
          <w:p>
            <w:pPr>
              <w:spacing w:after="0"/>
              <w:rPr>
                <w:sz w:val="19"/>
                <w:szCs w:val="19"/>
                <w:color w:val="auto"/>
              </w:rPr>
            </w:pPr>
          </w:p>
        </w:tc>
        <w:tc>
          <w:tcPr>
            <w:tcW w:w="460" w:type="dxa"/>
            <w:vAlign w:val="bottom"/>
            <w:tcBorders>
              <w:bottom w:val="single" w:sz="8" w:color="D5EEEE"/>
            </w:tcBorders>
            <w:shd w:val="clear" w:color="auto" w:fill="D5EEEE"/>
          </w:tcPr>
          <w:p>
            <w:pPr>
              <w:jc w:val="center"/>
              <w:spacing w:after="0" w:line="222" w:lineRule="exact"/>
              <w:rPr>
                <w:sz w:val="20"/>
                <w:szCs w:val="20"/>
                <w:color w:val="auto"/>
              </w:rPr>
            </w:pPr>
            <w:r>
              <w:rPr>
                <w:rFonts w:ascii="Times New Roman" w:cs="Times New Roman" w:eastAsia="Times New Roman" w:hAnsi="Times New Roman"/>
                <w:sz w:val="20"/>
                <w:szCs w:val="20"/>
                <w:color w:val="auto"/>
                <w:w w:val="99"/>
                <w:shd w:val="clear" w:color="auto" w:fill="D5EEEE"/>
              </w:rPr>
              <w:t>2022</w:t>
            </w:r>
          </w:p>
        </w:tc>
        <w:tc>
          <w:tcPr>
            <w:tcW w:w="140" w:type="dxa"/>
            <w:vAlign w:val="bottom"/>
            <w:tcBorders>
              <w:bottom w:val="single" w:sz="8" w:color="D5EEEE"/>
            </w:tcBorders>
            <w:shd w:val="clear" w:color="auto" w:fill="D5EEE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bottom w:val="single" w:sz="8" w:color="D5EEEE"/>
            </w:tcBorders>
            <w:shd w:val="clear" w:color="auto" w:fill="D5EEEE"/>
          </w:tcPr>
          <w:p>
            <w:pPr>
              <w:jc w:val="right"/>
              <w:spacing w:after="0" w:line="222" w:lineRule="exact"/>
              <w:rPr>
                <w:sz w:val="20"/>
                <w:szCs w:val="20"/>
                <w:color w:val="auto"/>
              </w:rPr>
            </w:pPr>
            <w:r>
              <w:rPr>
                <w:rFonts w:ascii="Times New Roman" w:cs="Times New Roman" w:eastAsia="Times New Roman" w:hAnsi="Times New Roman"/>
                <w:sz w:val="20"/>
                <w:szCs w:val="20"/>
                <w:color w:val="auto"/>
              </w:rPr>
              <w:t>411,434</w:t>
            </w:r>
          </w:p>
        </w:tc>
        <w:tc>
          <w:tcPr>
            <w:tcW w:w="20" w:type="dxa"/>
            <w:vAlign w:val="bottom"/>
          </w:tcPr>
          <w:p>
            <w:pPr>
              <w:spacing w:after="0"/>
              <w:rPr>
                <w:sz w:val="19"/>
                <w:szCs w:val="19"/>
                <w:color w:val="auto"/>
              </w:rPr>
            </w:pPr>
          </w:p>
        </w:tc>
        <w:tc>
          <w:tcPr>
            <w:tcW w:w="100" w:type="dxa"/>
            <w:vAlign w:val="bottom"/>
            <w:tcBorders>
              <w:bottom w:val="single" w:sz="8" w:color="D5EEEE"/>
            </w:tcBorders>
            <w:shd w:val="clear" w:color="auto" w:fill="D5EEE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760" w:type="dxa"/>
            <w:vAlign w:val="bottom"/>
            <w:tcBorders>
              <w:bottom w:val="single" w:sz="8" w:color="D5EEEE"/>
            </w:tcBorders>
            <w:shd w:val="clear" w:color="auto" w:fill="D5EEEE"/>
          </w:tcPr>
          <w:p>
            <w:pPr>
              <w:jc w:val="right"/>
              <w:spacing w:after="0" w:line="222" w:lineRule="exact"/>
              <w:rPr>
                <w:sz w:val="20"/>
                <w:szCs w:val="20"/>
                <w:color w:val="auto"/>
              </w:rPr>
            </w:pPr>
            <w:r>
              <w:rPr>
                <w:rFonts w:ascii="Times New Roman" w:cs="Times New Roman" w:eastAsia="Times New Roman" w:hAnsi="Times New Roman"/>
                <w:sz w:val="20"/>
                <w:szCs w:val="20"/>
                <w:color w:val="auto"/>
              </w:rPr>
              <w:t>176,451</w:t>
            </w: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shd w:val="clear" w:color="auto" w:fill="D5EEEE"/>
          </w:tcPr>
          <w:p>
            <w:pPr>
              <w:spacing w:after="0"/>
              <w:rPr>
                <w:sz w:val="19"/>
                <w:szCs w:val="19"/>
                <w:color w:val="auto"/>
              </w:rPr>
            </w:pPr>
          </w:p>
        </w:tc>
        <w:tc>
          <w:tcPr>
            <w:tcW w:w="120" w:type="dxa"/>
            <w:vAlign w:val="bottom"/>
            <w:tcBorders>
              <w:bottom w:val="single" w:sz="8" w:color="D5EEEE"/>
            </w:tcBorders>
          </w:tcPr>
          <w:p>
            <w:pPr>
              <w:spacing w:after="0"/>
              <w:rPr>
                <w:sz w:val="19"/>
                <w:szCs w:val="19"/>
                <w:color w:val="auto"/>
              </w:rPr>
            </w:pPr>
          </w:p>
        </w:tc>
        <w:tc>
          <w:tcPr>
            <w:tcW w:w="120" w:type="dxa"/>
            <w:vAlign w:val="bottom"/>
            <w:tcBorders>
              <w:bottom w:val="single" w:sz="8" w:color="D5EEEE"/>
            </w:tcBorders>
          </w:tcPr>
          <w:p>
            <w:pPr>
              <w:spacing w:after="0"/>
              <w:rPr>
                <w:sz w:val="19"/>
                <w:szCs w:val="19"/>
                <w:color w:val="auto"/>
              </w:rPr>
            </w:pPr>
          </w:p>
        </w:tc>
        <w:tc>
          <w:tcPr>
            <w:tcW w:w="780" w:type="dxa"/>
            <w:vAlign w:val="bottom"/>
            <w:tcBorders>
              <w:bottom w:val="single" w:sz="8" w:color="D5EEEE"/>
              <w:right w:val="single" w:sz="8" w:color="D5EEEE"/>
            </w:tcBorders>
            <w:shd w:val="clear" w:color="auto" w:fill="D5EEEE"/>
          </w:tcPr>
          <w:p>
            <w:pPr>
              <w:jc w:val="right"/>
              <w:spacing w:after="0" w:line="222" w:lineRule="exact"/>
              <w:rPr>
                <w:sz w:val="20"/>
                <w:szCs w:val="20"/>
                <w:color w:val="auto"/>
              </w:rPr>
            </w:pPr>
            <w:r>
              <w:rPr>
                <w:rFonts w:ascii="Times New Roman" w:cs="Times New Roman" w:eastAsia="Times New Roman" w:hAnsi="Times New Roman"/>
                <w:sz w:val="20"/>
                <w:szCs w:val="20"/>
                <w:color w:val="auto"/>
              </w:rPr>
              <w:t>178,672</w:t>
            </w:r>
          </w:p>
        </w:tc>
        <w:tc>
          <w:tcPr>
            <w:tcW w:w="100" w:type="dxa"/>
            <w:vAlign w:val="bottom"/>
            <w:tcBorders>
              <w:bottom w:val="single" w:sz="8" w:color="D5EEEE"/>
            </w:tcBorders>
            <w:shd w:val="clear" w:color="auto" w:fill="D5EEE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D5EEEE"/>
            </w:tcBorders>
            <w:shd w:val="clear" w:color="auto" w:fill="D5EEEE"/>
          </w:tcPr>
          <w:p>
            <w:pPr>
              <w:jc w:val="right"/>
              <w:spacing w:after="0" w:line="222" w:lineRule="exact"/>
              <w:rPr>
                <w:sz w:val="20"/>
                <w:szCs w:val="20"/>
                <w:color w:val="auto"/>
              </w:rPr>
            </w:pPr>
            <w:r>
              <w:rPr>
                <w:rFonts w:ascii="Times New Roman" w:cs="Times New Roman" w:eastAsia="Times New Roman" w:hAnsi="Times New Roman"/>
                <w:sz w:val="20"/>
                <w:szCs w:val="20"/>
                <w:color w:val="auto"/>
              </w:rPr>
              <w:t>82,524</w:t>
            </w: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shd w:val="clear" w:color="auto" w:fill="D5EEEE"/>
          </w:tcPr>
          <w:p>
            <w:pPr>
              <w:spacing w:after="0"/>
              <w:rPr>
                <w:sz w:val="19"/>
                <w:szCs w:val="19"/>
                <w:color w:val="auto"/>
              </w:rPr>
            </w:pPr>
          </w:p>
        </w:tc>
        <w:tc>
          <w:tcPr>
            <w:tcW w:w="120" w:type="dxa"/>
            <w:vAlign w:val="bottom"/>
            <w:tcBorders>
              <w:bottom w:val="single" w:sz="8" w:color="D5EEEE"/>
            </w:tcBorders>
          </w:tcPr>
          <w:p>
            <w:pPr>
              <w:spacing w:after="0"/>
              <w:rPr>
                <w:sz w:val="19"/>
                <w:szCs w:val="19"/>
                <w:color w:val="auto"/>
              </w:rPr>
            </w:pPr>
          </w:p>
        </w:tc>
        <w:tc>
          <w:tcPr>
            <w:tcW w:w="120" w:type="dxa"/>
            <w:vAlign w:val="bottom"/>
            <w:tcBorders>
              <w:bottom w:val="single" w:sz="8" w:color="D5EEEE"/>
            </w:tcBorders>
          </w:tcPr>
          <w:p>
            <w:pPr>
              <w:spacing w:after="0"/>
              <w:rPr>
                <w:sz w:val="19"/>
                <w:szCs w:val="19"/>
                <w:color w:val="auto"/>
              </w:rPr>
            </w:pPr>
          </w:p>
        </w:tc>
        <w:tc>
          <w:tcPr>
            <w:tcW w:w="1200" w:type="dxa"/>
            <w:vAlign w:val="bottom"/>
            <w:tcBorders>
              <w:bottom w:val="single" w:sz="8" w:color="D5EEEE"/>
            </w:tcBorders>
            <w:shd w:val="clear" w:color="auto" w:fill="D5EEEE"/>
          </w:tcPr>
          <w:p>
            <w:pPr>
              <w:jc w:val="right"/>
              <w:spacing w:after="0" w:line="222" w:lineRule="exact"/>
              <w:rPr>
                <w:sz w:val="20"/>
                <w:szCs w:val="20"/>
                <w:color w:val="auto"/>
              </w:rPr>
            </w:pPr>
            <w:r>
              <w:rPr>
                <w:rFonts w:ascii="Times New Roman" w:cs="Times New Roman" w:eastAsia="Times New Roman" w:hAnsi="Times New Roman"/>
                <w:sz w:val="20"/>
                <w:szCs w:val="20"/>
                <w:color w:val="auto"/>
              </w:rPr>
              <w:t>46,946</w:t>
            </w:r>
          </w:p>
        </w:tc>
        <w:tc>
          <w:tcPr>
            <w:tcW w:w="120" w:type="dxa"/>
            <w:vAlign w:val="bottom"/>
            <w:tcBorders>
              <w:bottom w:val="single" w:sz="8" w:color="D5EEEE"/>
            </w:tcBorders>
            <w:shd w:val="clear" w:color="auto" w:fill="D5EEEE"/>
          </w:tcPr>
          <w:p>
            <w:pPr>
              <w:spacing w:after="0"/>
              <w:rPr>
                <w:sz w:val="19"/>
                <w:szCs w:val="19"/>
                <w:color w:val="auto"/>
              </w:rPr>
            </w:pPr>
          </w:p>
        </w:tc>
        <w:tc>
          <w:tcPr>
            <w:tcW w:w="520" w:type="dxa"/>
            <w:vAlign w:val="bottom"/>
            <w:tcBorders>
              <w:bottom w:val="single" w:sz="8" w:color="D5EEEE"/>
            </w:tcBorders>
            <w:shd w:val="clear" w:color="auto" w:fill="D5EEEE"/>
          </w:tcPr>
          <w:p>
            <w:pPr>
              <w:ind w:left="40"/>
              <w:spacing w:after="0" w:line="222" w:lineRule="exact"/>
              <w:rPr>
                <w:sz w:val="20"/>
                <w:szCs w:val="20"/>
                <w:color w:val="auto"/>
              </w:rPr>
            </w:pPr>
            <w:r>
              <w:rPr>
                <w:rFonts w:ascii="Times New Roman" w:cs="Times New Roman" w:eastAsia="Times New Roman" w:hAnsi="Times New Roman"/>
                <w:sz w:val="20"/>
                <w:szCs w:val="20"/>
                <w:color w:val="auto"/>
              </w:rPr>
              <w:t>(6)</w:t>
            </w: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shd w:val="clear" w:color="auto" w:fill="D5EEEE"/>
          </w:tcPr>
          <w:p>
            <w:pPr>
              <w:spacing w:after="0"/>
              <w:rPr>
                <w:sz w:val="19"/>
                <w:szCs w:val="19"/>
                <w:color w:val="auto"/>
              </w:rPr>
            </w:pPr>
          </w:p>
        </w:tc>
        <w:tc>
          <w:tcPr>
            <w:tcW w:w="880" w:type="dxa"/>
            <w:vAlign w:val="bottom"/>
            <w:tcBorders>
              <w:bottom w:val="single" w:sz="8" w:color="D5EEEE"/>
            </w:tcBorders>
            <w:shd w:val="clear" w:color="auto" w:fill="D5EEEE"/>
          </w:tcPr>
          <w:p>
            <w:pPr>
              <w:jc w:val="right"/>
              <w:spacing w:after="0" w:line="222" w:lineRule="exact"/>
              <w:rPr>
                <w:sz w:val="20"/>
                <w:szCs w:val="20"/>
                <w:color w:val="auto"/>
              </w:rPr>
            </w:pPr>
            <w:r>
              <w:rPr>
                <w:rFonts w:ascii="Times New Roman" w:cs="Times New Roman" w:eastAsia="Times New Roman" w:hAnsi="Times New Roman"/>
                <w:sz w:val="20"/>
                <w:szCs w:val="20"/>
                <w:color w:val="auto"/>
              </w:rPr>
              <w:t>896,027</w:t>
            </w: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Borders>
              <w:bottom w:val="single" w:sz="8" w:color="D5EEEE"/>
            </w:tcBorders>
            <w:shd w:val="clear" w:color="auto" w:fill="D5EEEE"/>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D5EEEE"/>
            </w:tcBorders>
            <w:shd w:val="clear" w:color="auto" w:fill="D5EEEE"/>
          </w:tcPr>
          <w:p>
            <w:pPr>
              <w:spacing w:after="0"/>
              <w:rPr>
                <w:sz w:val="20"/>
                <w:szCs w:val="20"/>
                <w:color w:val="auto"/>
              </w:rPr>
            </w:pPr>
          </w:p>
        </w:tc>
        <w:tc>
          <w:tcPr>
            <w:tcW w:w="460" w:type="dxa"/>
            <w:vAlign w:val="bottom"/>
            <w:tcBorders>
              <w:bottom w:val="single" w:sz="8" w:color="D5EEEE"/>
            </w:tcBorders>
            <w:shd w:val="clear" w:color="auto" w:fill="D5EEEE"/>
          </w:tcPr>
          <w:p>
            <w:pPr>
              <w:jc w:val="center"/>
              <w:spacing w:after="0"/>
              <w:rPr>
                <w:sz w:val="20"/>
                <w:szCs w:val="20"/>
                <w:color w:val="auto"/>
              </w:rPr>
            </w:pPr>
            <w:r>
              <w:rPr>
                <w:rFonts w:ascii="Times New Roman" w:cs="Times New Roman" w:eastAsia="Times New Roman" w:hAnsi="Times New Roman"/>
                <w:sz w:val="20"/>
                <w:szCs w:val="20"/>
                <w:color w:val="auto"/>
                <w:w w:val="99"/>
                <w:shd w:val="clear" w:color="auto" w:fill="D5EEEE"/>
              </w:rPr>
              <w:t>2021</w:t>
            </w:r>
          </w:p>
        </w:tc>
        <w:tc>
          <w:tcPr>
            <w:tcW w:w="140" w:type="dxa"/>
            <w:vAlign w:val="bottom"/>
            <w:tcBorders>
              <w:bottom w:val="single" w:sz="8" w:color="D5EEEE"/>
            </w:tcBorders>
            <w:shd w:val="clear" w:color="auto" w:fill="D5EEEE"/>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353,872</w:t>
            </w:r>
          </w:p>
        </w:tc>
        <w:tc>
          <w:tcPr>
            <w:tcW w:w="20" w:type="dxa"/>
            <w:vAlign w:val="bottom"/>
          </w:tcPr>
          <w:p>
            <w:pPr>
              <w:spacing w:after="0"/>
              <w:rPr>
                <w:sz w:val="20"/>
                <w:szCs w:val="20"/>
                <w:color w:val="auto"/>
              </w:rPr>
            </w:pPr>
          </w:p>
        </w:tc>
        <w:tc>
          <w:tcPr>
            <w:tcW w:w="100" w:type="dxa"/>
            <w:vAlign w:val="bottom"/>
            <w:tcBorders>
              <w:bottom w:val="single" w:sz="8" w:color="D5EEEE"/>
            </w:tcBorders>
            <w:shd w:val="clear" w:color="auto" w:fill="D5EEE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119,398</w:t>
            </w:r>
          </w:p>
        </w:tc>
        <w:tc>
          <w:tcPr>
            <w:tcW w:w="20" w:type="dxa"/>
            <w:vAlign w:val="bottom"/>
          </w:tcPr>
          <w:p>
            <w:pPr>
              <w:spacing w:after="0"/>
              <w:rPr>
                <w:sz w:val="20"/>
                <w:szCs w:val="20"/>
                <w:color w:val="auto"/>
              </w:rPr>
            </w:pPr>
          </w:p>
        </w:tc>
        <w:tc>
          <w:tcPr>
            <w:tcW w:w="100" w:type="dxa"/>
            <w:vAlign w:val="bottom"/>
            <w:tcBorders>
              <w:bottom w:val="single" w:sz="8" w:color="D5EEEE"/>
            </w:tcBorders>
            <w:shd w:val="clear" w:color="auto" w:fill="D5EEE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bottom w:val="single" w:sz="8" w:color="D5EEEE"/>
              <w:right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97,020</w:t>
            </w:r>
          </w:p>
        </w:tc>
        <w:tc>
          <w:tcPr>
            <w:tcW w:w="100" w:type="dxa"/>
            <w:vAlign w:val="bottom"/>
            <w:tcBorders>
              <w:bottom w:val="single" w:sz="8" w:color="D5EEEE"/>
            </w:tcBorders>
            <w:shd w:val="clear" w:color="auto" w:fill="D5EEE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1,983,811</w:t>
            </w:r>
          </w:p>
        </w:tc>
        <w:tc>
          <w:tcPr>
            <w:tcW w:w="20" w:type="dxa"/>
            <w:vAlign w:val="bottom"/>
          </w:tcPr>
          <w:p>
            <w:pPr>
              <w:spacing w:after="0"/>
              <w:rPr>
                <w:sz w:val="20"/>
                <w:szCs w:val="20"/>
                <w:color w:val="auto"/>
              </w:rPr>
            </w:pPr>
          </w:p>
        </w:tc>
        <w:tc>
          <w:tcPr>
            <w:tcW w:w="100" w:type="dxa"/>
            <w:vAlign w:val="bottom"/>
            <w:tcBorders>
              <w:bottom w:val="single" w:sz="8" w:color="D5EEEE"/>
            </w:tcBorders>
            <w:shd w:val="clear" w:color="auto" w:fill="D5EEE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52,490</w:t>
            </w:r>
          </w:p>
        </w:tc>
        <w:tc>
          <w:tcPr>
            <w:tcW w:w="120" w:type="dxa"/>
            <w:vAlign w:val="bottom"/>
            <w:tcBorders>
              <w:bottom w:val="single" w:sz="8" w:color="D5EEEE"/>
            </w:tcBorders>
            <w:shd w:val="clear" w:color="auto" w:fill="D5EEEE"/>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2,606,591</w:t>
            </w:r>
          </w:p>
        </w:tc>
        <w:tc>
          <w:tcPr>
            <w:tcW w:w="20" w:type="dxa"/>
            <w:vAlign w:val="bottom"/>
          </w:tcPr>
          <w:p>
            <w:pPr>
              <w:spacing w:after="0"/>
              <w:rPr>
                <w:sz w:val="20"/>
                <w:szCs w:val="20"/>
                <w:color w:val="auto"/>
              </w:rPr>
            </w:pPr>
          </w:p>
        </w:tc>
        <w:tc>
          <w:tcPr>
            <w:tcW w:w="100" w:type="dxa"/>
            <w:vAlign w:val="bottom"/>
            <w:tcBorders>
              <w:bottom w:val="single" w:sz="8" w:color="D5EEEE"/>
            </w:tcBorders>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0"/>
                <w:szCs w:val="20"/>
                <w:color w:val="auto"/>
                <w:highlight w:val="white"/>
                <w:w w:val="99"/>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421,999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180,812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178,672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82,524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42,286</w:t>
            </w:r>
          </w:p>
        </w:tc>
        <w:tc>
          <w:tcPr>
            <w:tcW w:w="120" w:type="dxa"/>
            <w:vAlign w:val="bottom"/>
          </w:tcPr>
          <w:p>
            <w:pPr>
              <w:spacing w:after="0"/>
              <w:rPr>
                <w:sz w:val="20"/>
                <w:szCs w:val="20"/>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906,293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8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240" w:type="dxa"/>
            <w:vAlign w:val="bottom"/>
            <w:tcBorders>
              <w:bottom w:val="single" w:sz="8" w:color="D5EEEE"/>
            </w:tcBorders>
          </w:tcPr>
          <w:p>
            <w:pPr>
              <w:spacing w:after="0"/>
              <w:rPr>
                <w:sz w:val="20"/>
                <w:szCs w:val="2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0"/>
                <w:szCs w:val="20"/>
                <w:color w:val="auto"/>
                <w:highlight w:val="white"/>
                <w:w w:val="99"/>
              </w:rPr>
              <w:t>2021</w:t>
            </w:r>
          </w:p>
        </w:tc>
        <w:tc>
          <w:tcPr>
            <w:tcW w:w="140" w:type="dxa"/>
            <w:vAlign w:val="bottom"/>
            <w:tcBorders>
              <w:bottom w:val="single" w:sz="8" w:color="D5EEEE"/>
            </w:tcBorders>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342,063</w:t>
            </w:r>
          </w:p>
        </w:tc>
        <w:tc>
          <w:tcPr>
            <w:tcW w:w="20" w:type="dxa"/>
            <w:vAlign w:val="bottom"/>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76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115,413</w:t>
            </w:r>
          </w:p>
        </w:tc>
        <w:tc>
          <w:tcPr>
            <w:tcW w:w="2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120" w:type="dxa"/>
            <w:vAlign w:val="bottom"/>
            <w:tcBorders>
              <w:bottom w:val="single" w:sz="8" w:color="D5EEEE"/>
            </w:tcBorders>
          </w:tcPr>
          <w:p>
            <w:pPr>
              <w:spacing w:after="0"/>
              <w:rPr>
                <w:sz w:val="20"/>
                <w:szCs w:val="20"/>
                <w:color w:val="auto"/>
              </w:rPr>
            </w:pPr>
          </w:p>
        </w:tc>
        <w:tc>
          <w:tcPr>
            <w:tcW w:w="120" w:type="dxa"/>
            <w:vAlign w:val="bottom"/>
            <w:tcBorders>
              <w:bottom w:val="single" w:sz="8" w:color="D5EEEE"/>
            </w:tcBorders>
          </w:tcPr>
          <w:p>
            <w:pPr>
              <w:spacing w:after="0"/>
              <w:rPr>
                <w:sz w:val="20"/>
                <w:szCs w:val="20"/>
                <w:color w:val="auto"/>
              </w:rPr>
            </w:pPr>
          </w:p>
        </w:tc>
        <w:tc>
          <w:tcPr>
            <w:tcW w:w="78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97,020</w:t>
            </w:r>
          </w:p>
        </w:tc>
        <w:tc>
          <w:tcPr>
            <w:tcW w:w="100" w:type="dxa"/>
            <w:vAlign w:val="bottom"/>
            <w:tcBorders>
              <w:bottom w:val="single" w:sz="8" w:color="D5EEEE"/>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90,337</w:t>
            </w:r>
          </w:p>
        </w:tc>
        <w:tc>
          <w:tcPr>
            <w:tcW w:w="2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120" w:type="dxa"/>
            <w:vAlign w:val="bottom"/>
            <w:tcBorders>
              <w:bottom w:val="single" w:sz="8" w:color="D5EEEE"/>
            </w:tcBorders>
          </w:tcPr>
          <w:p>
            <w:pPr>
              <w:spacing w:after="0"/>
              <w:rPr>
                <w:sz w:val="20"/>
                <w:szCs w:val="20"/>
                <w:color w:val="auto"/>
              </w:rPr>
            </w:pPr>
          </w:p>
        </w:tc>
        <w:tc>
          <w:tcPr>
            <w:tcW w:w="120" w:type="dxa"/>
            <w:vAlign w:val="bottom"/>
            <w:tcBorders>
              <w:bottom w:val="single" w:sz="8" w:color="D5EEEE"/>
            </w:tcBorders>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33,088</w:t>
            </w:r>
          </w:p>
        </w:tc>
        <w:tc>
          <w:tcPr>
            <w:tcW w:w="120" w:type="dxa"/>
            <w:vAlign w:val="bottom"/>
            <w:tcBorders>
              <w:bottom w:val="single" w:sz="8" w:color="D5EEEE"/>
            </w:tcBorders>
          </w:tcPr>
          <w:p>
            <w:pPr>
              <w:spacing w:after="0"/>
              <w:rPr>
                <w:sz w:val="20"/>
                <w:szCs w:val="20"/>
                <w:color w:val="auto"/>
              </w:rPr>
            </w:pPr>
          </w:p>
        </w:tc>
        <w:tc>
          <w:tcPr>
            <w:tcW w:w="52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88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677,921</w:t>
            </w:r>
          </w:p>
        </w:tc>
        <w:tc>
          <w:tcPr>
            <w:tcW w:w="2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280" w:type="dxa"/>
            <w:vAlign w:val="bottom"/>
            <w:tcBorders>
              <w:bottom w:val="single" w:sz="8" w:color="D5EEEE"/>
            </w:tcBorders>
            <w:shd w:val="clear" w:color="auto" w:fill="D5EEEE"/>
          </w:tcPr>
          <w:p>
            <w:pPr>
              <w:spacing w:after="0"/>
              <w:rPr>
                <w:sz w:val="19"/>
                <w:szCs w:val="19"/>
                <w:color w:val="auto"/>
              </w:rPr>
            </w:pPr>
          </w:p>
        </w:tc>
        <w:tc>
          <w:tcPr>
            <w:tcW w:w="20" w:type="dxa"/>
            <w:vAlign w:val="bottom"/>
            <w:tcBorders>
              <w:bottom w:val="single" w:sz="8" w:color="D5EEEE"/>
            </w:tcBorders>
            <w:shd w:val="clear" w:color="auto" w:fill="D5EEEE"/>
          </w:tcPr>
          <w:p>
            <w:pPr>
              <w:spacing w:after="0"/>
              <w:rPr>
                <w:sz w:val="19"/>
                <w:szCs w:val="19"/>
                <w:color w:val="auto"/>
              </w:rPr>
            </w:pPr>
          </w:p>
        </w:tc>
        <w:tc>
          <w:tcPr>
            <w:tcW w:w="240" w:type="dxa"/>
            <w:vAlign w:val="bottom"/>
            <w:tcBorders>
              <w:bottom w:val="single" w:sz="8" w:color="D5EEEE"/>
            </w:tcBorders>
            <w:shd w:val="clear" w:color="auto" w:fill="D5EEEE"/>
          </w:tcPr>
          <w:p>
            <w:pPr>
              <w:spacing w:after="0"/>
              <w:rPr>
                <w:sz w:val="19"/>
                <w:szCs w:val="19"/>
                <w:color w:val="auto"/>
              </w:rPr>
            </w:pPr>
          </w:p>
        </w:tc>
        <w:tc>
          <w:tcPr>
            <w:tcW w:w="460" w:type="dxa"/>
            <w:vAlign w:val="bottom"/>
            <w:tcBorders>
              <w:bottom w:val="single" w:sz="8" w:color="D5EEEE"/>
            </w:tcBorders>
            <w:shd w:val="clear" w:color="auto" w:fill="D5EEEE"/>
          </w:tcPr>
          <w:p>
            <w:pPr>
              <w:jc w:val="center"/>
              <w:spacing w:after="0" w:line="219" w:lineRule="exact"/>
              <w:rPr>
                <w:sz w:val="20"/>
                <w:szCs w:val="20"/>
                <w:color w:val="auto"/>
              </w:rPr>
            </w:pPr>
            <w:r>
              <w:rPr>
                <w:rFonts w:ascii="Times New Roman" w:cs="Times New Roman" w:eastAsia="Times New Roman" w:hAnsi="Times New Roman"/>
                <w:sz w:val="20"/>
                <w:szCs w:val="20"/>
                <w:color w:val="auto"/>
                <w:w w:val="99"/>
                <w:shd w:val="clear" w:color="auto" w:fill="D5EEEE"/>
              </w:rPr>
              <w:t>2022</w:t>
            </w:r>
          </w:p>
        </w:tc>
        <w:tc>
          <w:tcPr>
            <w:tcW w:w="140" w:type="dxa"/>
            <w:vAlign w:val="bottom"/>
            <w:tcBorders>
              <w:bottom w:val="single" w:sz="8" w:color="D5EEEE"/>
            </w:tcBorders>
            <w:shd w:val="clear" w:color="auto" w:fill="D5EEE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bottom w:val="single" w:sz="8" w:color="D5EEEE"/>
            </w:tcBorders>
            <w:shd w:val="clear" w:color="auto" w:fill="D5EEEE"/>
          </w:tcPr>
          <w:p>
            <w:pPr>
              <w:jc w:val="right"/>
              <w:spacing w:after="0" w:line="219" w:lineRule="exact"/>
              <w:rPr>
                <w:sz w:val="20"/>
                <w:szCs w:val="20"/>
                <w:color w:val="auto"/>
              </w:rPr>
            </w:pPr>
            <w:r>
              <w:rPr>
                <w:rFonts w:ascii="Times New Roman" w:cs="Times New Roman" w:eastAsia="Times New Roman" w:hAnsi="Times New Roman"/>
                <w:sz w:val="20"/>
                <w:szCs w:val="20"/>
                <w:color w:val="auto"/>
              </w:rPr>
              <w:t>411,857</w:t>
            </w:r>
          </w:p>
        </w:tc>
        <w:tc>
          <w:tcPr>
            <w:tcW w:w="20" w:type="dxa"/>
            <w:vAlign w:val="bottom"/>
          </w:tcPr>
          <w:p>
            <w:pPr>
              <w:spacing w:after="0"/>
              <w:rPr>
                <w:sz w:val="19"/>
                <w:szCs w:val="19"/>
                <w:color w:val="auto"/>
              </w:rPr>
            </w:pPr>
          </w:p>
        </w:tc>
        <w:tc>
          <w:tcPr>
            <w:tcW w:w="100" w:type="dxa"/>
            <w:vAlign w:val="bottom"/>
            <w:tcBorders>
              <w:bottom w:val="single" w:sz="8" w:color="D5EEEE"/>
            </w:tcBorders>
            <w:shd w:val="clear" w:color="auto" w:fill="D5EEE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760" w:type="dxa"/>
            <w:vAlign w:val="bottom"/>
            <w:tcBorders>
              <w:bottom w:val="single" w:sz="8" w:color="D5EEEE"/>
            </w:tcBorders>
            <w:shd w:val="clear" w:color="auto" w:fill="D5EEEE"/>
          </w:tcPr>
          <w:p>
            <w:pPr>
              <w:jc w:val="right"/>
              <w:spacing w:after="0" w:line="219" w:lineRule="exact"/>
              <w:rPr>
                <w:sz w:val="20"/>
                <w:szCs w:val="20"/>
                <w:color w:val="auto"/>
              </w:rPr>
            </w:pPr>
            <w:r>
              <w:rPr>
                <w:rFonts w:ascii="Times New Roman" w:cs="Times New Roman" w:eastAsia="Times New Roman" w:hAnsi="Times New Roman"/>
                <w:sz w:val="20"/>
                <w:szCs w:val="20"/>
                <w:color w:val="auto"/>
              </w:rPr>
              <w:t>176,484</w:t>
            </w: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shd w:val="clear" w:color="auto" w:fill="D5EEEE"/>
          </w:tcPr>
          <w:p>
            <w:pPr>
              <w:spacing w:after="0"/>
              <w:rPr>
                <w:sz w:val="19"/>
                <w:szCs w:val="19"/>
                <w:color w:val="auto"/>
              </w:rPr>
            </w:pPr>
          </w:p>
        </w:tc>
        <w:tc>
          <w:tcPr>
            <w:tcW w:w="120" w:type="dxa"/>
            <w:vAlign w:val="bottom"/>
            <w:tcBorders>
              <w:bottom w:val="single" w:sz="8" w:color="D5EEEE"/>
            </w:tcBorders>
          </w:tcPr>
          <w:p>
            <w:pPr>
              <w:spacing w:after="0"/>
              <w:rPr>
                <w:sz w:val="19"/>
                <w:szCs w:val="19"/>
                <w:color w:val="auto"/>
              </w:rPr>
            </w:pPr>
          </w:p>
        </w:tc>
        <w:tc>
          <w:tcPr>
            <w:tcW w:w="120" w:type="dxa"/>
            <w:vAlign w:val="bottom"/>
            <w:tcBorders>
              <w:bottom w:val="single" w:sz="8" w:color="D5EEEE"/>
            </w:tcBorders>
          </w:tcPr>
          <w:p>
            <w:pPr>
              <w:spacing w:after="0"/>
              <w:rPr>
                <w:sz w:val="19"/>
                <w:szCs w:val="19"/>
                <w:color w:val="auto"/>
              </w:rPr>
            </w:pPr>
          </w:p>
        </w:tc>
        <w:tc>
          <w:tcPr>
            <w:tcW w:w="780" w:type="dxa"/>
            <w:vAlign w:val="bottom"/>
            <w:tcBorders>
              <w:bottom w:val="single" w:sz="8" w:color="D5EEEE"/>
              <w:right w:val="single" w:sz="8" w:color="D5EEEE"/>
            </w:tcBorders>
            <w:shd w:val="clear" w:color="auto" w:fill="D5EEEE"/>
          </w:tcPr>
          <w:p>
            <w:pPr>
              <w:jc w:val="right"/>
              <w:spacing w:after="0" w:line="219" w:lineRule="exact"/>
              <w:rPr>
                <w:sz w:val="20"/>
                <w:szCs w:val="20"/>
                <w:color w:val="auto"/>
              </w:rPr>
            </w:pPr>
            <w:r>
              <w:rPr>
                <w:rFonts w:ascii="Times New Roman" w:cs="Times New Roman" w:eastAsia="Times New Roman" w:hAnsi="Times New Roman"/>
                <w:sz w:val="20"/>
                <w:szCs w:val="20"/>
                <w:color w:val="auto"/>
              </w:rPr>
              <w:t>178,672</w:t>
            </w:r>
          </w:p>
        </w:tc>
        <w:tc>
          <w:tcPr>
            <w:tcW w:w="100" w:type="dxa"/>
            <w:vAlign w:val="bottom"/>
            <w:tcBorders>
              <w:bottom w:val="single" w:sz="8" w:color="D5EEEE"/>
            </w:tcBorders>
            <w:shd w:val="clear" w:color="auto" w:fill="D5EEE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D5EEEE"/>
            </w:tcBorders>
            <w:shd w:val="clear" w:color="auto" w:fill="D5EEEE"/>
          </w:tcPr>
          <w:p>
            <w:pPr>
              <w:jc w:val="right"/>
              <w:spacing w:after="0" w:line="219" w:lineRule="exact"/>
              <w:rPr>
                <w:sz w:val="20"/>
                <w:szCs w:val="20"/>
                <w:color w:val="auto"/>
              </w:rPr>
            </w:pPr>
            <w:r>
              <w:rPr>
                <w:rFonts w:ascii="Times New Roman" w:cs="Times New Roman" w:eastAsia="Times New Roman" w:hAnsi="Times New Roman"/>
                <w:sz w:val="20"/>
                <w:szCs w:val="20"/>
                <w:color w:val="auto"/>
              </w:rPr>
              <w:t>82,524</w:t>
            </w: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shd w:val="clear" w:color="auto" w:fill="D5EEEE"/>
          </w:tcPr>
          <w:p>
            <w:pPr>
              <w:spacing w:after="0"/>
              <w:rPr>
                <w:sz w:val="19"/>
                <w:szCs w:val="19"/>
                <w:color w:val="auto"/>
              </w:rPr>
            </w:pPr>
          </w:p>
        </w:tc>
        <w:tc>
          <w:tcPr>
            <w:tcW w:w="120" w:type="dxa"/>
            <w:vAlign w:val="bottom"/>
            <w:tcBorders>
              <w:bottom w:val="single" w:sz="8" w:color="D5EEEE"/>
            </w:tcBorders>
          </w:tcPr>
          <w:p>
            <w:pPr>
              <w:spacing w:after="0"/>
              <w:rPr>
                <w:sz w:val="19"/>
                <w:szCs w:val="19"/>
                <w:color w:val="auto"/>
              </w:rPr>
            </w:pPr>
          </w:p>
        </w:tc>
        <w:tc>
          <w:tcPr>
            <w:tcW w:w="120" w:type="dxa"/>
            <w:vAlign w:val="bottom"/>
            <w:tcBorders>
              <w:bottom w:val="single" w:sz="8" w:color="D5EEEE"/>
            </w:tcBorders>
          </w:tcPr>
          <w:p>
            <w:pPr>
              <w:spacing w:after="0"/>
              <w:rPr>
                <w:sz w:val="19"/>
                <w:szCs w:val="19"/>
                <w:color w:val="auto"/>
              </w:rPr>
            </w:pPr>
          </w:p>
        </w:tc>
        <w:tc>
          <w:tcPr>
            <w:tcW w:w="1200" w:type="dxa"/>
            <w:vAlign w:val="bottom"/>
            <w:tcBorders>
              <w:bottom w:val="single" w:sz="8" w:color="D5EEEE"/>
            </w:tcBorders>
            <w:shd w:val="clear" w:color="auto" w:fill="D5EEEE"/>
          </w:tcPr>
          <w:p>
            <w:pPr>
              <w:jc w:val="right"/>
              <w:spacing w:after="0" w:line="219" w:lineRule="exact"/>
              <w:rPr>
                <w:sz w:val="20"/>
                <w:szCs w:val="20"/>
                <w:color w:val="auto"/>
              </w:rPr>
            </w:pPr>
            <w:r>
              <w:rPr>
                <w:rFonts w:ascii="Times New Roman" w:cs="Times New Roman" w:eastAsia="Times New Roman" w:hAnsi="Times New Roman"/>
                <w:sz w:val="20"/>
                <w:szCs w:val="20"/>
                <w:color w:val="auto"/>
              </w:rPr>
              <w:t>27,518</w:t>
            </w:r>
          </w:p>
        </w:tc>
        <w:tc>
          <w:tcPr>
            <w:tcW w:w="120" w:type="dxa"/>
            <w:vAlign w:val="bottom"/>
            <w:tcBorders>
              <w:bottom w:val="single" w:sz="8" w:color="D5EEEE"/>
            </w:tcBorders>
            <w:shd w:val="clear" w:color="auto" w:fill="D5EEEE"/>
          </w:tcPr>
          <w:p>
            <w:pPr>
              <w:spacing w:after="0"/>
              <w:rPr>
                <w:sz w:val="19"/>
                <w:szCs w:val="19"/>
                <w:color w:val="auto"/>
              </w:rPr>
            </w:pPr>
          </w:p>
        </w:tc>
        <w:tc>
          <w:tcPr>
            <w:tcW w:w="520" w:type="dxa"/>
            <w:vAlign w:val="bottom"/>
            <w:tcBorders>
              <w:bottom w:val="single" w:sz="8" w:color="D5EEEE"/>
            </w:tcBorders>
            <w:shd w:val="clear" w:color="auto" w:fill="D5EEEE"/>
          </w:tcPr>
          <w:p>
            <w:pPr>
              <w:ind w:left="40"/>
              <w:spacing w:after="0" w:line="219" w:lineRule="exact"/>
              <w:rPr>
                <w:sz w:val="20"/>
                <w:szCs w:val="20"/>
                <w:color w:val="auto"/>
              </w:rPr>
            </w:pPr>
            <w:r>
              <w:rPr>
                <w:rFonts w:ascii="Times New Roman" w:cs="Times New Roman" w:eastAsia="Times New Roman" w:hAnsi="Times New Roman"/>
                <w:sz w:val="20"/>
                <w:szCs w:val="20"/>
                <w:color w:val="auto"/>
              </w:rPr>
              <w:t>(8)</w:t>
            </w: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shd w:val="clear" w:color="auto" w:fill="D5EEEE"/>
          </w:tcPr>
          <w:p>
            <w:pPr>
              <w:spacing w:after="0"/>
              <w:rPr>
                <w:sz w:val="19"/>
                <w:szCs w:val="19"/>
                <w:color w:val="auto"/>
              </w:rPr>
            </w:pPr>
          </w:p>
        </w:tc>
        <w:tc>
          <w:tcPr>
            <w:tcW w:w="880" w:type="dxa"/>
            <w:vAlign w:val="bottom"/>
            <w:tcBorders>
              <w:bottom w:val="single" w:sz="8" w:color="D5EEEE"/>
            </w:tcBorders>
            <w:shd w:val="clear" w:color="auto" w:fill="D5EEEE"/>
          </w:tcPr>
          <w:p>
            <w:pPr>
              <w:jc w:val="right"/>
              <w:spacing w:after="0" w:line="219" w:lineRule="exact"/>
              <w:rPr>
                <w:sz w:val="20"/>
                <w:szCs w:val="20"/>
                <w:color w:val="auto"/>
              </w:rPr>
            </w:pPr>
            <w:r>
              <w:rPr>
                <w:rFonts w:ascii="Times New Roman" w:cs="Times New Roman" w:eastAsia="Times New Roman" w:hAnsi="Times New Roman"/>
                <w:sz w:val="20"/>
                <w:szCs w:val="20"/>
                <w:color w:val="auto"/>
              </w:rPr>
              <w:t>877,055</w:t>
            </w: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Borders>
              <w:bottom w:val="single" w:sz="8" w:color="D5EEEE"/>
            </w:tcBorders>
            <w:shd w:val="clear" w:color="auto" w:fill="D5EEEE"/>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D5EEEE"/>
            </w:tcBorders>
            <w:shd w:val="clear" w:color="auto" w:fill="D5EEEE"/>
          </w:tcPr>
          <w:p>
            <w:pPr>
              <w:spacing w:after="0"/>
              <w:rPr>
                <w:sz w:val="20"/>
                <w:szCs w:val="20"/>
                <w:color w:val="auto"/>
              </w:rPr>
            </w:pPr>
          </w:p>
        </w:tc>
        <w:tc>
          <w:tcPr>
            <w:tcW w:w="460" w:type="dxa"/>
            <w:vAlign w:val="bottom"/>
            <w:tcBorders>
              <w:bottom w:val="single" w:sz="8" w:color="D5EEEE"/>
            </w:tcBorders>
            <w:shd w:val="clear" w:color="auto" w:fill="D5EEEE"/>
          </w:tcPr>
          <w:p>
            <w:pPr>
              <w:jc w:val="center"/>
              <w:spacing w:after="0"/>
              <w:rPr>
                <w:sz w:val="20"/>
                <w:szCs w:val="20"/>
                <w:color w:val="auto"/>
              </w:rPr>
            </w:pPr>
            <w:r>
              <w:rPr>
                <w:rFonts w:ascii="Times New Roman" w:cs="Times New Roman" w:eastAsia="Times New Roman" w:hAnsi="Times New Roman"/>
                <w:sz w:val="20"/>
                <w:szCs w:val="20"/>
                <w:color w:val="auto"/>
                <w:w w:val="99"/>
                <w:shd w:val="clear" w:color="auto" w:fill="D5EEEE"/>
              </w:rPr>
              <w:t>2021</w:t>
            </w:r>
          </w:p>
        </w:tc>
        <w:tc>
          <w:tcPr>
            <w:tcW w:w="140" w:type="dxa"/>
            <w:vAlign w:val="bottom"/>
            <w:tcBorders>
              <w:bottom w:val="single" w:sz="8" w:color="D5EEEE"/>
            </w:tcBorders>
            <w:shd w:val="clear" w:color="auto" w:fill="D5EEEE"/>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336,024</w:t>
            </w:r>
          </w:p>
        </w:tc>
        <w:tc>
          <w:tcPr>
            <w:tcW w:w="20" w:type="dxa"/>
            <w:vAlign w:val="bottom"/>
          </w:tcPr>
          <w:p>
            <w:pPr>
              <w:spacing w:after="0"/>
              <w:rPr>
                <w:sz w:val="20"/>
                <w:szCs w:val="20"/>
                <w:color w:val="auto"/>
              </w:rPr>
            </w:pPr>
          </w:p>
        </w:tc>
        <w:tc>
          <w:tcPr>
            <w:tcW w:w="100" w:type="dxa"/>
            <w:vAlign w:val="bottom"/>
            <w:tcBorders>
              <w:bottom w:val="single" w:sz="8" w:color="D5EEEE"/>
            </w:tcBorders>
            <w:shd w:val="clear" w:color="auto" w:fill="D5EEE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113,376</w:t>
            </w:r>
          </w:p>
        </w:tc>
        <w:tc>
          <w:tcPr>
            <w:tcW w:w="20" w:type="dxa"/>
            <w:vAlign w:val="bottom"/>
          </w:tcPr>
          <w:p>
            <w:pPr>
              <w:spacing w:after="0"/>
              <w:rPr>
                <w:sz w:val="20"/>
                <w:szCs w:val="20"/>
                <w:color w:val="auto"/>
              </w:rPr>
            </w:pPr>
          </w:p>
        </w:tc>
        <w:tc>
          <w:tcPr>
            <w:tcW w:w="100" w:type="dxa"/>
            <w:vAlign w:val="bottom"/>
            <w:tcBorders>
              <w:bottom w:val="single" w:sz="8" w:color="D5EEEE"/>
            </w:tcBorders>
            <w:shd w:val="clear" w:color="auto" w:fill="D5EEE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bottom w:val="single" w:sz="8" w:color="D5EEEE"/>
              <w:right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97,020</w:t>
            </w:r>
          </w:p>
        </w:tc>
        <w:tc>
          <w:tcPr>
            <w:tcW w:w="100" w:type="dxa"/>
            <w:vAlign w:val="bottom"/>
            <w:tcBorders>
              <w:bottom w:val="single" w:sz="8" w:color="D5EEEE"/>
            </w:tcBorders>
            <w:shd w:val="clear" w:color="auto" w:fill="D5EEE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90,337</w:t>
            </w:r>
          </w:p>
        </w:tc>
        <w:tc>
          <w:tcPr>
            <w:tcW w:w="20" w:type="dxa"/>
            <w:vAlign w:val="bottom"/>
          </w:tcPr>
          <w:p>
            <w:pPr>
              <w:spacing w:after="0"/>
              <w:rPr>
                <w:sz w:val="20"/>
                <w:szCs w:val="20"/>
                <w:color w:val="auto"/>
              </w:rPr>
            </w:pPr>
          </w:p>
        </w:tc>
        <w:tc>
          <w:tcPr>
            <w:tcW w:w="100" w:type="dxa"/>
            <w:vAlign w:val="bottom"/>
            <w:tcBorders>
              <w:bottom w:val="single" w:sz="8" w:color="D5EEEE"/>
            </w:tcBorders>
            <w:shd w:val="clear" w:color="auto" w:fill="D5EEE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18,665</w:t>
            </w:r>
          </w:p>
        </w:tc>
        <w:tc>
          <w:tcPr>
            <w:tcW w:w="120" w:type="dxa"/>
            <w:vAlign w:val="bottom"/>
            <w:tcBorders>
              <w:bottom w:val="single" w:sz="8" w:color="D5EEEE"/>
            </w:tcBorders>
            <w:shd w:val="clear" w:color="auto" w:fill="D5EEEE"/>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655,422</w:t>
            </w:r>
          </w:p>
        </w:tc>
        <w:tc>
          <w:tcPr>
            <w:tcW w:w="20" w:type="dxa"/>
            <w:vAlign w:val="bottom"/>
          </w:tcPr>
          <w:p>
            <w:pPr>
              <w:spacing w:after="0"/>
              <w:rPr>
                <w:sz w:val="20"/>
                <w:szCs w:val="20"/>
                <w:color w:val="auto"/>
              </w:rPr>
            </w:pPr>
          </w:p>
        </w:tc>
        <w:tc>
          <w:tcPr>
            <w:tcW w:w="100" w:type="dxa"/>
            <w:vAlign w:val="bottom"/>
            <w:tcBorders>
              <w:bottom w:val="single" w:sz="8" w:color="D5EEEE"/>
            </w:tcBorders>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0"/>
                <w:szCs w:val="20"/>
                <w:color w:val="auto"/>
                <w:highlight w:val="white"/>
                <w:w w:val="99"/>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416,902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178,662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178,672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82,524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47,155</w:t>
            </w:r>
          </w:p>
        </w:tc>
        <w:tc>
          <w:tcPr>
            <w:tcW w:w="120" w:type="dxa"/>
            <w:vAlign w:val="bottom"/>
          </w:tcPr>
          <w:p>
            <w:pPr>
              <w:spacing w:after="0"/>
              <w:rPr>
                <w:sz w:val="20"/>
                <w:szCs w:val="20"/>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903,915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8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240" w:type="dxa"/>
            <w:vAlign w:val="bottom"/>
            <w:tcBorders>
              <w:bottom w:val="single" w:sz="8" w:color="D5EEEE"/>
            </w:tcBorders>
          </w:tcPr>
          <w:p>
            <w:pPr>
              <w:spacing w:after="0"/>
              <w:rPr>
                <w:sz w:val="20"/>
                <w:szCs w:val="2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20"/>
                <w:szCs w:val="20"/>
                <w:color w:val="auto"/>
                <w:highlight w:val="white"/>
                <w:w w:val="99"/>
              </w:rPr>
              <w:t>2021</w:t>
            </w:r>
          </w:p>
        </w:tc>
        <w:tc>
          <w:tcPr>
            <w:tcW w:w="140" w:type="dxa"/>
            <w:vAlign w:val="bottom"/>
            <w:tcBorders>
              <w:bottom w:val="single" w:sz="8" w:color="D5EEEE"/>
            </w:tcBorders>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342,063</w:t>
            </w:r>
          </w:p>
        </w:tc>
        <w:tc>
          <w:tcPr>
            <w:tcW w:w="20" w:type="dxa"/>
            <w:vAlign w:val="bottom"/>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76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115,413</w:t>
            </w:r>
          </w:p>
        </w:tc>
        <w:tc>
          <w:tcPr>
            <w:tcW w:w="2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120" w:type="dxa"/>
            <w:vAlign w:val="bottom"/>
            <w:tcBorders>
              <w:bottom w:val="single" w:sz="8" w:color="D5EEEE"/>
            </w:tcBorders>
          </w:tcPr>
          <w:p>
            <w:pPr>
              <w:spacing w:after="0"/>
              <w:rPr>
                <w:sz w:val="20"/>
                <w:szCs w:val="20"/>
                <w:color w:val="auto"/>
              </w:rPr>
            </w:pPr>
          </w:p>
        </w:tc>
        <w:tc>
          <w:tcPr>
            <w:tcW w:w="120" w:type="dxa"/>
            <w:vAlign w:val="bottom"/>
            <w:tcBorders>
              <w:bottom w:val="single" w:sz="8" w:color="D5EEEE"/>
            </w:tcBorders>
          </w:tcPr>
          <w:p>
            <w:pPr>
              <w:spacing w:after="0"/>
              <w:rPr>
                <w:sz w:val="20"/>
                <w:szCs w:val="20"/>
                <w:color w:val="auto"/>
              </w:rPr>
            </w:pPr>
          </w:p>
        </w:tc>
        <w:tc>
          <w:tcPr>
            <w:tcW w:w="78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97,020</w:t>
            </w:r>
          </w:p>
        </w:tc>
        <w:tc>
          <w:tcPr>
            <w:tcW w:w="100" w:type="dxa"/>
            <w:vAlign w:val="bottom"/>
            <w:tcBorders>
              <w:bottom w:val="single" w:sz="8" w:color="D5EEEE"/>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90,337</w:t>
            </w:r>
          </w:p>
        </w:tc>
        <w:tc>
          <w:tcPr>
            <w:tcW w:w="2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120" w:type="dxa"/>
            <w:vAlign w:val="bottom"/>
            <w:tcBorders>
              <w:bottom w:val="single" w:sz="8" w:color="D5EEEE"/>
            </w:tcBorders>
          </w:tcPr>
          <w:p>
            <w:pPr>
              <w:spacing w:after="0"/>
              <w:rPr>
                <w:sz w:val="20"/>
                <w:szCs w:val="20"/>
                <w:color w:val="auto"/>
              </w:rPr>
            </w:pPr>
          </w:p>
        </w:tc>
        <w:tc>
          <w:tcPr>
            <w:tcW w:w="120" w:type="dxa"/>
            <w:vAlign w:val="bottom"/>
            <w:tcBorders>
              <w:bottom w:val="single" w:sz="8" w:color="D5EEEE"/>
            </w:tcBorders>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18,688</w:t>
            </w:r>
          </w:p>
        </w:tc>
        <w:tc>
          <w:tcPr>
            <w:tcW w:w="120" w:type="dxa"/>
            <w:vAlign w:val="bottom"/>
            <w:tcBorders>
              <w:bottom w:val="single" w:sz="8" w:color="D5EEEE"/>
            </w:tcBorders>
          </w:tcPr>
          <w:p>
            <w:pPr>
              <w:spacing w:after="0"/>
              <w:rPr>
                <w:sz w:val="20"/>
                <w:szCs w:val="20"/>
                <w:color w:val="auto"/>
              </w:rPr>
            </w:pPr>
          </w:p>
        </w:tc>
        <w:tc>
          <w:tcPr>
            <w:tcW w:w="52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88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663,521</w:t>
            </w:r>
          </w:p>
        </w:tc>
        <w:tc>
          <w:tcPr>
            <w:tcW w:w="2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28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40" w:type="dxa"/>
            <w:vAlign w:val="bottom"/>
            <w:tcBorders>
              <w:bottom w:val="single" w:sz="8" w:color="D5EEEE"/>
            </w:tcBorders>
            <w:shd w:val="clear" w:color="auto" w:fill="D5EEEE"/>
          </w:tcPr>
          <w:p>
            <w:pPr>
              <w:spacing w:after="0"/>
              <w:rPr>
                <w:sz w:val="19"/>
                <w:szCs w:val="19"/>
                <w:color w:val="auto"/>
              </w:rPr>
            </w:pPr>
          </w:p>
        </w:tc>
        <w:tc>
          <w:tcPr>
            <w:tcW w:w="460" w:type="dxa"/>
            <w:vAlign w:val="bottom"/>
            <w:shd w:val="clear" w:color="auto" w:fill="D5EEEE"/>
          </w:tcPr>
          <w:p>
            <w:pPr>
              <w:jc w:val="center"/>
              <w:spacing w:after="0" w:line="225" w:lineRule="exact"/>
              <w:rPr>
                <w:sz w:val="20"/>
                <w:szCs w:val="20"/>
                <w:color w:val="auto"/>
              </w:rPr>
            </w:pPr>
            <w:r>
              <w:rPr>
                <w:rFonts w:ascii="Times New Roman" w:cs="Times New Roman" w:eastAsia="Times New Roman" w:hAnsi="Times New Roman"/>
                <w:sz w:val="20"/>
                <w:szCs w:val="20"/>
                <w:color w:val="auto"/>
                <w:w w:val="99"/>
                <w:shd w:val="clear" w:color="auto" w:fill="D5EEEE"/>
              </w:rPr>
              <w:t>2022</w:t>
            </w:r>
          </w:p>
        </w:tc>
        <w:tc>
          <w:tcPr>
            <w:tcW w:w="140" w:type="dxa"/>
            <w:vAlign w:val="bottom"/>
            <w:tcBorders>
              <w:bottom w:val="single" w:sz="8" w:color="D5EEEE"/>
            </w:tcBorders>
            <w:shd w:val="clear" w:color="auto" w:fill="D5EEE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461,512</w:t>
            </w:r>
          </w:p>
        </w:tc>
        <w:tc>
          <w:tcPr>
            <w:tcW w:w="20" w:type="dxa"/>
            <w:vAlign w:val="bottom"/>
          </w:tcPr>
          <w:p>
            <w:pPr>
              <w:spacing w:after="0"/>
              <w:rPr>
                <w:sz w:val="19"/>
                <w:szCs w:val="19"/>
                <w:color w:val="auto"/>
              </w:rPr>
            </w:pPr>
          </w:p>
        </w:tc>
        <w:tc>
          <w:tcPr>
            <w:tcW w:w="100" w:type="dxa"/>
            <w:vAlign w:val="bottom"/>
            <w:tcBorders>
              <w:bottom w:val="single" w:sz="8" w:color="D5EEEE"/>
            </w:tcBorders>
            <w:shd w:val="clear" w:color="auto" w:fill="D5EEE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760" w:type="dxa"/>
            <w:vAlign w:val="bottom"/>
            <w:tcBorders>
              <w:bottom w:val="single" w:sz="8" w:color="D5EEEE"/>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shd w:val="clear" w:color="auto" w:fill="D5EEEE"/>
          </w:tcPr>
          <w:p>
            <w:pPr>
              <w:spacing w:after="0"/>
              <w:rPr>
                <w:sz w:val="19"/>
                <w:szCs w:val="19"/>
                <w:color w:val="auto"/>
              </w:rPr>
            </w:pPr>
          </w:p>
        </w:tc>
        <w:tc>
          <w:tcPr>
            <w:tcW w:w="120" w:type="dxa"/>
            <w:vAlign w:val="bottom"/>
            <w:tcBorders>
              <w:bottom w:val="single" w:sz="8" w:color="D5EEEE"/>
            </w:tcBorders>
          </w:tcPr>
          <w:p>
            <w:pPr>
              <w:spacing w:after="0"/>
              <w:rPr>
                <w:sz w:val="19"/>
                <w:szCs w:val="19"/>
                <w:color w:val="auto"/>
              </w:rPr>
            </w:pPr>
          </w:p>
        </w:tc>
        <w:tc>
          <w:tcPr>
            <w:tcW w:w="120" w:type="dxa"/>
            <w:vAlign w:val="bottom"/>
            <w:tcBorders>
              <w:bottom w:val="single" w:sz="8" w:color="D5EEEE"/>
            </w:tcBorders>
          </w:tcPr>
          <w:p>
            <w:pPr>
              <w:spacing w:after="0"/>
              <w:rPr>
                <w:sz w:val="19"/>
                <w:szCs w:val="19"/>
                <w:color w:val="auto"/>
              </w:rPr>
            </w:pPr>
          </w:p>
        </w:tc>
        <w:tc>
          <w:tcPr>
            <w:tcW w:w="780" w:type="dxa"/>
            <w:vAlign w:val="bottom"/>
            <w:tcBorders>
              <w:bottom w:val="single" w:sz="8" w:color="D5EEEE"/>
              <w:right w:val="single" w:sz="8" w:color="D5EEEE"/>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D5EEEE"/>
            </w:tcBorders>
            <w:shd w:val="clear" w:color="auto" w:fill="D5EEE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D5EEEE"/>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shd w:val="clear" w:color="auto" w:fill="D5EEEE"/>
          </w:tcPr>
          <w:p>
            <w:pPr>
              <w:spacing w:after="0"/>
              <w:rPr>
                <w:sz w:val="19"/>
                <w:szCs w:val="19"/>
                <w:color w:val="auto"/>
              </w:rPr>
            </w:pPr>
          </w:p>
        </w:tc>
        <w:tc>
          <w:tcPr>
            <w:tcW w:w="120" w:type="dxa"/>
            <w:vAlign w:val="bottom"/>
            <w:tcBorders>
              <w:bottom w:val="single" w:sz="8" w:color="D5EEEE"/>
            </w:tcBorders>
          </w:tcPr>
          <w:p>
            <w:pPr>
              <w:spacing w:after="0"/>
              <w:rPr>
                <w:sz w:val="19"/>
                <w:szCs w:val="19"/>
                <w:color w:val="auto"/>
              </w:rPr>
            </w:pPr>
          </w:p>
        </w:tc>
        <w:tc>
          <w:tcPr>
            <w:tcW w:w="120" w:type="dxa"/>
            <w:vAlign w:val="bottom"/>
            <w:tcBorders>
              <w:bottom w:val="single" w:sz="8" w:color="D5EEEE"/>
            </w:tcBorders>
          </w:tcPr>
          <w:p>
            <w:pPr>
              <w:spacing w:after="0"/>
              <w:rPr>
                <w:sz w:val="19"/>
                <w:szCs w:val="19"/>
                <w:color w:val="auto"/>
              </w:rPr>
            </w:pPr>
          </w:p>
        </w:tc>
        <w:tc>
          <w:tcPr>
            <w:tcW w:w="120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342,986</w:t>
            </w:r>
          </w:p>
        </w:tc>
        <w:tc>
          <w:tcPr>
            <w:tcW w:w="120" w:type="dxa"/>
            <w:vAlign w:val="bottom"/>
            <w:tcBorders>
              <w:bottom w:val="single" w:sz="8" w:color="D5EEEE"/>
            </w:tcBorders>
            <w:shd w:val="clear" w:color="auto" w:fill="D5EEEE"/>
          </w:tcPr>
          <w:p>
            <w:pPr>
              <w:spacing w:after="0"/>
              <w:rPr>
                <w:sz w:val="19"/>
                <w:szCs w:val="19"/>
                <w:color w:val="auto"/>
              </w:rPr>
            </w:pPr>
          </w:p>
        </w:tc>
        <w:tc>
          <w:tcPr>
            <w:tcW w:w="520" w:type="dxa"/>
            <w:vAlign w:val="bottom"/>
            <w:tcBorders>
              <w:bottom w:val="single" w:sz="8" w:color="D5EEEE"/>
            </w:tcBorders>
            <w:shd w:val="clear" w:color="auto" w:fill="D5EEEE"/>
          </w:tcPr>
          <w:p>
            <w:pPr>
              <w:ind w:left="40"/>
              <w:spacing w:after="0" w:line="225" w:lineRule="exact"/>
              <w:rPr>
                <w:sz w:val="20"/>
                <w:szCs w:val="20"/>
                <w:color w:val="auto"/>
              </w:rPr>
            </w:pPr>
            <w:r>
              <w:rPr>
                <w:rFonts w:ascii="Times New Roman" w:cs="Times New Roman" w:eastAsia="Times New Roman" w:hAnsi="Times New Roman"/>
                <w:sz w:val="20"/>
                <w:szCs w:val="20"/>
                <w:color w:val="auto"/>
              </w:rPr>
              <w:t>(10)</w:t>
            </w: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shd w:val="clear" w:color="auto" w:fill="D5EEEE"/>
          </w:tcPr>
          <w:p>
            <w:pPr>
              <w:spacing w:after="0"/>
              <w:rPr>
                <w:sz w:val="19"/>
                <w:szCs w:val="19"/>
                <w:color w:val="auto"/>
              </w:rPr>
            </w:pPr>
          </w:p>
        </w:tc>
        <w:tc>
          <w:tcPr>
            <w:tcW w:w="880" w:type="dxa"/>
            <w:vAlign w:val="bottom"/>
            <w:tcBorders>
              <w:bottom w:val="single" w:sz="8" w:color="D5EEEE"/>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804,498</w:t>
            </w: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280" w:type="dxa"/>
            <w:vAlign w:val="bottom"/>
            <w:vMerge w:val="restart"/>
            <w:shd w:val="clear" w:color="auto" w:fill="D5EEEE"/>
          </w:tcPr>
          <w:p>
            <w:pPr>
              <w:spacing w:after="0"/>
              <w:rPr>
                <w:sz w:val="20"/>
                <w:szCs w:val="20"/>
                <w:color w:val="auto"/>
              </w:rPr>
            </w:pPr>
            <w:r>
              <w:rPr>
                <w:rFonts w:ascii="Times New Roman" w:cs="Times New Roman" w:eastAsia="Times New Roman" w:hAnsi="Times New Roman"/>
                <w:sz w:val="20"/>
                <w:szCs w:val="20"/>
                <w:color w:val="auto"/>
              </w:rPr>
              <w:t>Officer</w:t>
            </w:r>
          </w:p>
        </w:tc>
        <w:tc>
          <w:tcPr>
            <w:tcW w:w="20" w:type="dxa"/>
            <w:vAlign w:val="bottom"/>
          </w:tcPr>
          <w:p>
            <w:pPr>
              <w:spacing w:after="0"/>
              <w:rPr>
                <w:sz w:val="19"/>
                <w:szCs w:val="19"/>
                <w:color w:val="auto"/>
              </w:rPr>
            </w:pPr>
          </w:p>
        </w:tc>
        <w:tc>
          <w:tcPr>
            <w:tcW w:w="240" w:type="dxa"/>
            <w:vAlign w:val="bottom"/>
            <w:shd w:val="clear" w:color="auto" w:fill="D5EEEE"/>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vMerge w:val="restart"/>
            <w:shd w:val="clear" w:color="auto" w:fill="D5EEEE"/>
          </w:tcPr>
          <w:p>
            <w:pPr>
              <w:spacing w:after="0"/>
              <w:rPr>
                <w:sz w:val="19"/>
                <w:szCs w:val="19"/>
                <w:color w:val="auto"/>
              </w:rPr>
            </w:pPr>
          </w:p>
        </w:tc>
        <w:tc>
          <w:tcPr>
            <w:tcW w:w="100" w:type="dxa"/>
            <w:vAlign w:val="bottom"/>
            <w:vMerge w:val="restart"/>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vMerge w:val="restart"/>
            <w:shd w:val="clear" w:color="auto" w:fill="D5EEEE"/>
          </w:tcPr>
          <w:p>
            <w:pPr>
              <w:spacing w:after="0"/>
              <w:rPr>
                <w:sz w:val="19"/>
                <w:szCs w:val="19"/>
                <w:color w:val="auto"/>
              </w:rPr>
            </w:pPr>
          </w:p>
        </w:tc>
        <w:tc>
          <w:tcPr>
            <w:tcW w:w="240" w:type="dxa"/>
            <w:vAlign w:val="bottom"/>
            <w:gridSpan w:val="2"/>
            <w:vMerge w:val="restart"/>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100" w:type="dxa"/>
            <w:vAlign w:val="bottom"/>
            <w:vMerge w:val="restart"/>
            <w:shd w:val="clear" w:color="auto" w:fill="D5EEEE"/>
          </w:tcPr>
          <w:p>
            <w:pPr>
              <w:spacing w:after="0"/>
              <w:rPr>
                <w:sz w:val="19"/>
                <w:szCs w:val="19"/>
                <w:color w:val="auto"/>
              </w:rPr>
            </w:pPr>
          </w:p>
        </w:tc>
        <w:tc>
          <w:tcPr>
            <w:tcW w:w="240" w:type="dxa"/>
            <w:vAlign w:val="bottom"/>
            <w:gridSpan w:val="2"/>
            <w:vMerge w:val="restart"/>
          </w:tcPr>
          <w:p>
            <w:pPr>
              <w:spacing w:after="0"/>
              <w:rPr>
                <w:sz w:val="19"/>
                <w:szCs w:val="19"/>
                <w:color w:val="auto"/>
              </w:rPr>
            </w:pPr>
          </w:p>
        </w:tc>
        <w:tc>
          <w:tcPr>
            <w:tcW w:w="780" w:type="dxa"/>
            <w:vAlign w:val="bottom"/>
            <w:tcBorders>
              <w:right w:val="single" w:sz="8" w:color="D5EEEE"/>
            </w:tcBorders>
          </w:tcPr>
          <w:p>
            <w:pPr>
              <w:spacing w:after="0"/>
              <w:rPr>
                <w:sz w:val="19"/>
                <w:szCs w:val="19"/>
                <w:color w:val="auto"/>
              </w:rPr>
            </w:pPr>
          </w:p>
        </w:tc>
        <w:tc>
          <w:tcPr>
            <w:tcW w:w="100" w:type="dxa"/>
            <w:vAlign w:val="bottom"/>
            <w:vMerge w:val="restart"/>
            <w:shd w:val="clear" w:color="auto" w:fill="D5EEEE"/>
          </w:tcPr>
          <w:p>
            <w:pPr>
              <w:spacing w:after="0"/>
              <w:rPr>
                <w:sz w:val="19"/>
                <w:szCs w:val="19"/>
                <w:color w:val="auto"/>
              </w:rPr>
            </w:pPr>
          </w:p>
        </w:tc>
        <w:tc>
          <w:tcPr>
            <w:tcW w:w="220" w:type="dxa"/>
            <w:vAlign w:val="bottom"/>
            <w:gridSpan w:val="2"/>
            <w:vMerge w:val="restart"/>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100" w:type="dxa"/>
            <w:vAlign w:val="bottom"/>
            <w:vMerge w:val="restart"/>
            <w:shd w:val="clear" w:color="auto" w:fill="D5EEEE"/>
          </w:tcPr>
          <w:p>
            <w:pPr>
              <w:spacing w:after="0"/>
              <w:rPr>
                <w:sz w:val="19"/>
                <w:szCs w:val="19"/>
                <w:color w:val="auto"/>
              </w:rPr>
            </w:pPr>
          </w:p>
        </w:tc>
        <w:tc>
          <w:tcPr>
            <w:tcW w:w="240" w:type="dxa"/>
            <w:vAlign w:val="bottom"/>
            <w:gridSpan w:val="2"/>
            <w:vMerge w:val="restart"/>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shd w:val="clear" w:color="auto" w:fill="D5EEEE"/>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vMerge w:val="restart"/>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vMerge w:val="continue"/>
            <w:shd w:val="clear" w:color="auto" w:fill="D5EEEE"/>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shd w:val="clear" w:color="auto" w:fill="D5EEEE"/>
          </w:tcPr>
          <w:p>
            <w:pPr>
              <w:spacing w:after="0"/>
              <w:rPr>
                <w:sz w:val="20"/>
                <w:szCs w:val="20"/>
                <w:color w:val="auto"/>
              </w:rPr>
            </w:pPr>
          </w:p>
        </w:tc>
        <w:tc>
          <w:tcPr>
            <w:tcW w:w="460" w:type="dxa"/>
            <w:vAlign w:val="bottom"/>
            <w:shd w:val="clear" w:color="auto" w:fill="D5EEEE"/>
          </w:tcPr>
          <w:p>
            <w:pPr>
              <w:jc w:val="center"/>
              <w:spacing w:after="0"/>
              <w:rPr>
                <w:sz w:val="20"/>
                <w:szCs w:val="20"/>
                <w:color w:val="auto"/>
              </w:rPr>
            </w:pPr>
            <w:r>
              <w:rPr>
                <w:rFonts w:ascii="Times New Roman" w:cs="Times New Roman" w:eastAsia="Times New Roman" w:hAnsi="Times New Roman"/>
                <w:sz w:val="20"/>
                <w:szCs w:val="20"/>
                <w:color w:val="auto"/>
                <w:w w:val="99"/>
                <w:shd w:val="clear" w:color="auto" w:fill="D5EEEE"/>
              </w:rPr>
              <w:t>2021</w:t>
            </w:r>
          </w:p>
        </w:tc>
        <w:tc>
          <w:tcPr>
            <w:tcW w:w="140" w:type="dxa"/>
            <w:vAlign w:val="bottom"/>
            <w:vMerge w:val="continue"/>
            <w:shd w:val="clear" w:color="auto" w:fill="D5EEEE"/>
          </w:tcPr>
          <w:p>
            <w:pPr>
              <w:spacing w:after="0"/>
              <w:rPr>
                <w:sz w:val="20"/>
                <w:szCs w:val="20"/>
                <w:color w:val="auto"/>
              </w:rPr>
            </w:pPr>
          </w:p>
        </w:tc>
        <w:tc>
          <w:tcPr>
            <w:tcW w:w="100" w:type="dxa"/>
            <w:vAlign w:val="bottom"/>
            <w:vMerge w:val="continue"/>
          </w:tcPr>
          <w:p>
            <w:pPr>
              <w:spacing w:after="0"/>
              <w:rPr>
                <w:sz w:val="20"/>
                <w:szCs w:val="20"/>
                <w:color w:val="auto"/>
              </w:rPr>
            </w:pP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537,006</w:t>
            </w:r>
          </w:p>
        </w:tc>
        <w:tc>
          <w:tcPr>
            <w:tcW w:w="20" w:type="dxa"/>
            <w:vAlign w:val="bottom"/>
          </w:tcPr>
          <w:p>
            <w:pPr>
              <w:spacing w:after="0"/>
              <w:rPr>
                <w:sz w:val="20"/>
                <w:szCs w:val="20"/>
                <w:color w:val="auto"/>
              </w:rPr>
            </w:pPr>
          </w:p>
        </w:tc>
        <w:tc>
          <w:tcPr>
            <w:tcW w:w="100" w:type="dxa"/>
            <w:vAlign w:val="bottom"/>
            <w:vMerge w:val="continue"/>
            <w:shd w:val="clear" w:color="auto" w:fill="D5EEE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424,637</w:t>
            </w:r>
          </w:p>
        </w:tc>
        <w:tc>
          <w:tcPr>
            <w:tcW w:w="20" w:type="dxa"/>
            <w:vAlign w:val="bottom"/>
            <w:vMerge w:val="continue"/>
          </w:tcPr>
          <w:p>
            <w:pPr>
              <w:spacing w:after="0"/>
              <w:rPr>
                <w:sz w:val="20"/>
                <w:szCs w:val="20"/>
                <w:color w:val="auto"/>
              </w:rPr>
            </w:pPr>
          </w:p>
        </w:tc>
        <w:tc>
          <w:tcPr>
            <w:tcW w:w="100" w:type="dxa"/>
            <w:vAlign w:val="bottom"/>
            <w:vMerge w:val="continue"/>
            <w:shd w:val="clear" w:color="auto" w:fill="D5EEE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780" w:type="dxa"/>
            <w:vAlign w:val="bottom"/>
            <w:tcBorders>
              <w:right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772,244</w:t>
            </w:r>
          </w:p>
        </w:tc>
        <w:tc>
          <w:tcPr>
            <w:tcW w:w="100" w:type="dxa"/>
            <w:vAlign w:val="bottom"/>
            <w:vMerge w:val="continue"/>
            <w:shd w:val="clear" w:color="auto" w:fill="D5EEE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9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323,137</w:t>
            </w:r>
          </w:p>
        </w:tc>
        <w:tc>
          <w:tcPr>
            <w:tcW w:w="20" w:type="dxa"/>
            <w:vAlign w:val="bottom"/>
            <w:vMerge w:val="continue"/>
          </w:tcPr>
          <w:p>
            <w:pPr>
              <w:spacing w:after="0"/>
              <w:rPr>
                <w:sz w:val="20"/>
                <w:szCs w:val="20"/>
                <w:color w:val="auto"/>
              </w:rPr>
            </w:pPr>
          </w:p>
        </w:tc>
        <w:tc>
          <w:tcPr>
            <w:tcW w:w="100" w:type="dxa"/>
            <w:vAlign w:val="bottom"/>
            <w:vMerge w:val="continue"/>
            <w:shd w:val="clear" w:color="auto" w:fill="D5EEE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12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183,365</w:t>
            </w:r>
          </w:p>
        </w:tc>
        <w:tc>
          <w:tcPr>
            <w:tcW w:w="120" w:type="dxa"/>
            <w:vAlign w:val="bottom"/>
            <w:shd w:val="clear" w:color="auto" w:fill="D5EEEE"/>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2,240,389</w:t>
            </w:r>
          </w:p>
        </w:tc>
        <w:tc>
          <w:tcPr>
            <w:tcW w:w="20" w:type="dxa"/>
            <w:vAlign w:val="bottom"/>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-2466340</wp:posOffset>
            </wp:positionV>
            <wp:extent cx="6884670" cy="24796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84670" cy="2479675"/>
                    </a:xfrm>
                    <a:prstGeom prst="rect">
                      <a:avLst/>
                    </a:prstGeom>
                    <a:noFill/>
                  </pic:spPr>
                </pic:pic>
              </a:graphicData>
            </a:graphic>
          </wp:anchor>
        </w:drawing>
      </w:r>
    </w:p>
    <w:p>
      <w:pPr>
        <w:spacing w:after="0" w:line="97" w:lineRule="exact"/>
        <w:rPr>
          <w:sz w:val="20"/>
          <w:szCs w:val="20"/>
          <w:color w:val="auto"/>
        </w:rPr>
      </w:pPr>
    </w:p>
    <w:p>
      <w:pPr>
        <w:ind w:left="860" w:right="20" w:hanging="500"/>
        <w:spacing w:after="0"/>
        <w:tabs>
          <w:tab w:leader="none" w:pos="8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in this column represent awards of restricted stock units with the aggregate grant date fair value computed in accordance with FASB ASC Topic 718. The fair value determined at the date of grant in accordance with U.S. GAAP based on the closing price of our common stock on the applicable grant date. The vesting of these stock awards are subject to various performance or related criteria, including continuation of employment over the relevant vesting period.</w:t>
      </w:r>
    </w:p>
    <w:p>
      <w:pPr>
        <w:spacing w:after="0" w:line="1" w:lineRule="exact"/>
        <w:rPr>
          <w:rFonts w:ascii="Times New Roman" w:cs="Times New Roman" w:eastAsia="Times New Roman" w:hAnsi="Times New Roman"/>
          <w:sz w:val="20"/>
          <w:szCs w:val="20"/>
          <w:color w:val="auto"/>
        </w:rPr>
      </w:pPr>
    </w:p>
    <w:p>
      <w:pPr>
        <w:ind w:left="860" w:right="140" w:hanging="500"/>
        <w:spacing w:after="0"/>
        <w:tabs>
          <w:tab w:leader="none" w:pos="8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in this column represent awards of stock options with the aggregate grant date fair value computed in accordance with FASB ASC Topic 718. Amounts in this column represent option awards issued to the individuals noted, based on the fair value determined at the date of grant in accordance with U.S. GAAP. See Note 13- Share-Based Payment Plans to our Consolidated Financial Statements included in Part II, Item 8. “Financial Statements and Supplementary Data” for the assumptions used in determining the grant date fair value of option awards. The vesting of these option awards are subject to various performance or tenure related criteria.</w:t>
      </w:r>
    </w:p>
    <w:p>
      <w:pPr>
        <w:ind w:left="860" w:right="400" w:hanging="500"/>
        <w:spacing w:after="0" w:line="252" w:lineRule="auto"/>
        <w:tabs>
          <w:tab w:leader="none" w:pos="8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in this column represent all other compensation for the covered fiscal year that the smaller reporting company could not properly report in any other column of the Summary Compensation Table. This includes the non-qualified deferred compensation, employer match, 401(k) match, and fringe benefits such as relocation costs, car allowance, accommodations and medical benefits, along with related taxes on grossed up fringe benefits.</w:t>
      </w:r>
    </w:p>
    <w:p>
      <w:pPr>
        <w:sectPr>
          <w:pgSz w:w="11880" w:h="15480" w:orient="portrait"/>
          <w:cols w:equalWidth="0" w:num="1">
            <w:col w:w="10800"/>
          </w:cols>
          <w:pgMar w:left="540" w:top="1114" w:right="540" w:bottom="0" w:gutter="0" w:footer="0" w:header="0"/>
        </w:sect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10800"/>
          </w:cols>
          <w:pgMar w:left="540" w:top="1114" w:right="540" w:bottom="0" w:gutter="0" w:footer="0" w:header="0"/>
          <w:type w:val="continuous"/>
        </w:sectPr>
      </w:pPr>
    </w:p>
    <w:bookmarkStart w:id="51" w:name="page52"/>
    <w:bookmarkEnd w:id="51"/>
    <w:p>
      <w:pPr>
        <w:ind w:left="860" w:right="100" w:hanging="500"/>
        <w:spacing w:after="0"/>
        <w:tabs>
          <w:tab w:leader="none" w:pos="8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Relates to accommodation costs associated with the executive commuting from his home to our offices in Valencia, California (including an amount necessary to gross up these cost for income tax purposes under U.S. federal and California State laws).</w:t>
      </w:r>
    </w:p>
    <w:p>
      <w:pPr>
        <w:spacing w:after="0" w:line="1" w:lineRule="exact"/>
        <w:rPr>
          <w:rFonts w:ascii="Times New Roman" w:cs="Times New Roman" w:eastAsia="Times New Roman" w:hAnsi="Times New Roman"/>
          <w:sz w:val="20"/>
          <w:szCs w:val="20"/>
          <w:color w:val="auto"/>
        </w:rPr>
      </w:pPr>
    </w:p>
    <w:p>
      <w:pPr>
        <w:ind w:left="860" w:right="420" w:hanging="500"/>
        <w:spacing w:after="0" w:line="239" w:lineRule="auto"/>
        <w:tabs>
          <w:tab w:leader="none" w:pos="8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Comprised of (a) $30,688 in non-qualified deferred compensation employer match and (b) $18,300 in 401(k) employer match contribution.</w:t>
      </w:r>
    </w:p>
    <w:p>
      <w:pPr>
        <w:ind w:left="860" w:right="420" w:hanging="500"/>
        <w:spacing w:after="0"/>
        <w:tabs>
          <w:tab w:leader="none" w:pos="8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Comprised of (a) $28,646 in non-qualified deferred compensation employer match and (b) $18,300 in 401(k) employer match contribution.</w:t>
      </w:r>
    </w:p>
    <w:p>
      <w:pPr>
        <w:ind w:left="860" w:right="420" w:hanging="500"/>
        <w:spacing w:after="0"/>
        <w:tabs>
          <w:tab w:leader="none" w:pos="8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Comprised of (a) $14,400 in car allowance, (b) $9,586 in non-qualified deferred compensation employer match and (c) $18,300 in 401(k) employer match.</w:t>
      </w:r>
    </w:p>
    <w:p>
      <w:pPr>
        <w:ind w:left="860" w:right="300" w:hanging="500"/>
        <w:spacing w:after="0" w:line="239" w:lineRule="auto"/>
        <w:tabs>
          <w:tab w:leader="none" w:pos="8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Comprised of (a) $18,300 in 401(k) employer match contribution and (b) $9,218 in non-qualified deferred compensation employer match.</w:t>
      </w:r>
    </w:p>
    <w:p>
      <w:pPr>
        <w:ind w:left="860" w:right="420" w:hanging="500"/>
        <w:spacing w:after="0"/>
        <w:tabs>
          <w:tab w:leader="none" w:pos="8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Comprised of (a) $28,855 in non-qualified deferred compensation employer match and (b) $18,300 in 401(k) employer match contribution.</w:t>
      </w:r>
    </w:p>
    <w:p>
      <w:pPr>
        <w:spacing w:after="0" w:line="1" w:lineRule="exact"/>
        <w:rPr>
          <w:rFonts w:ascii="Times New Roman" w:cs="Times New Roman" w:eastAsia="Times New Roman" w:hAnsi="Times New Roman"/>
          <w:sz w:val="20"/>
          <w:szCs w:val="20"/>
          <w:color w:val="auto"/>
        </w:rPr>
      </w:pPr>
    </w:p>
    <w:p>
      <w:pPr>
        <w:ind w:left="860" w:right="120" w:hanging="500"/>
        <w:spacing w:after="0" w:line="247" w:lineRule="auto"/>
        <w:tabs>
          <w:tab w:leader="none" w:pos="8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Comprised of (a) $145,585 in relation to the travel, flight and accommodation costs associated with the executive commuting from his home to our offices in Valencia, California (including an amount necessary to gross up these cost for income tax purposes under U.S. federal, California and Colorado State laws); (b) $47,359 associated with medical benefits (including an amount necessary to gross up these cost for income tax purposes under U.S. federal, California and Colorado State laws), (c) $96,154 in vacation buy-out (d) $35,588 associated with deferred compensation employer matching contributions and (e) $18,300 in employer 401(k) match contribution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Employment Contracts</w:t>
      </w:r>
    </w:p>
    <w:p>
      <w:pPr>
        <w:spacing w:after="0" w:line="121" w:lineRule="exact"/>
        <w:rPr>
          <w:sz w:val="20"/>
          <w:szCs w:val="20"/>
          <w:color w:val="auto"/>
        </w:rPr>
      </w:pPr>
    </w:p>
    <w:p>
      <w:pPr>
        <w:ind w:right="80" w:firstLine="720"/>
        <w:spacing w:after="0" w:line="279" w:lineRule="auto"/>
        <w:rPr>
          <w:sz w:val="20"/>
          <w:szCs w:val="20"/>
          <w:color w:val="auto"/>
        </w:rPr>
      </w:pPr>
      <w:r>
        <w:rPr>
          <w:rFonts w:ascii="Times New Roman" w:cs="Times New Roman" w:eastAsia="Times New Roman" w:hAnsi="Times New Roman"/>
          <w:sz w:val="20"/>
          <w:szCs w:val="20"/>
          <w:color w:val="auto"/>
        </w:rPr>
        <w:t>The following table outlines the specified terms of the relevant employment contracts for the named executive officers of the Company. For compensation information of named executives refer to the table above.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Termination payments</w:t>
            </w:r>
          </w:p>
        </w:tc>
      </w:tr>
      <w:tr>
        <w:trPr>
          <w:trHeight w:val="222"/>
        </w:trPr>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Role</w:t>
            </w:r>
          </w:p>
        </w:tc>
        <w:tc>
          <w:tcPr>
            <w:tcW w:w="160" w:type="dxa"/>
            <w:vAlign w:val="bottom"/>
          </w:tcPr>
          <w:p>
            <w:pPr>
              <w:spacing w:after="0"/>
              <w:rPr>
                <w:sz w:val="19"/>
                <w:szCs w:val="19"/>
                <w:color w:val="auto"/>
              </w:rPr>
            </w:pPr>
          </w:p>
        </w:tc>
        <w:tc>
          <w:tcPr>
            <w:tcW w:w="17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40" w:type="dxa"/>
            <w:vAlign w:val="bottom"/>
          </w:tcPr>
          <w:p>
            <w:pPr>
              <w:spacing w:after="0"/>
              <w:rPr>
                <w:sz w:val="19"/>
                <w:szCs w:val="19"/>
                <w:color w:val="auto"/>
              </w:rPr>
            </w:pPr>
          </w:p>
        </w:tc>
        <w:tc>
          <w:tcPr>
            <w:tcW w:w="17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Contract Duration</w:t>
            </w:r>
          </w:p>
        </w:tc>
        <w:tc>
          <w:tcPr>
            <w:tcW w:w="120" w:type="dxa"/>
            <w:vAlign w:val="bottom"/>
          </w:tcPr>
          <w:p>
            <w:pPr>
              <w:spacing w:after="0"/>
              <w:rPr>
                <w:sz w:val="19"/>
                <w:szCs w:val="19"/>
                <w:color w:val="auto"/>
              </w:rPr>
            </w:pPr>
          </w:p>
        </w:tc>
        <w:tc>
          <w:tcPr>
            <w:tcW w:w="22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 xml:space="preserve">Period of Notice </w:t>
            </w:r>
            <w:r>
              <w:rPr>
                <w:rFonts w:ascii="Times New Roman" w:cs="Times New Roman" w:eastAsia="Times New Roman" w:hAnsi="Times New Roman"/>
                <w:sz w:val="16"/>
                <w:szCs w:val="16"/>
                <w:color w:val="auto"/>
              </w:rPr>
              <w:t>(2) (3)</w:t>
            </w:r>
          </w:p>
        </w:tc>
        <w:tc>
          <w:tcPr>
            <w:tcW w:w="140" w:type="dxa"/>
            <w:vAlign w:val="bottom"/>
          </w:tcPr>
          <w:p>
            <w:pPr>
              <w:spacing w:after="0"/>
              <w:rPr>
                <w:sz w:val="19"/>
                <w:szCs w:val="19"/>
                <w:color w:val="auto"/>
              </w:rPr>
            </w:pP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xml:space="preserve">provided for by contract </w:t>
            </w:r>
            <w:r>
              <w:rPr>
                <w:rFonts w:ascii="Times New Roman" w:cs="Times New Roman" w:eastAsia="Times New Roman" w:hAnsi="Times New Roman"/>
                <w:sz w:val="16"/>
                <w:szCs w:val="16"/>
                <w:color w:val="auto"/>
                <w:w w:val="99"/>
              </w:rPr>
              <w:t>(1)</w:t>
            </w:r>
          </w:p>
        </w:tc>
      </w:tr>
    </w:tbl>
    <w:p>
      <w:pPr>
        <w:spacing w:after="0" w:line="19" w:lineRule="exact"/>
        <w:rPr>
          <w:sz w:val="20"/>
          <w:szCs w:val="20"/>
          <w:color w:val="auto"/>
        </w:rPr>
      </w:pPr>
    </w:p>
    <w:p>
      <w:pPr>
        <w:sectPr>
          <w:pgSz w:w="11880" w:h="15480" w:orient="portrait"/>
          <w:cols w:equalWidth="0" w:num="1">
            <w:col w:w="10800"/>
          </w:cols>
          <w:pgMar w:left="540" w:top="887" w:right="540" w:bottom="0" w:gutter="0" w:footer="0" w:header="0"/>
        </w:sectPr>
      </w:pPr>
    </w:p>
    <w:tbl>
      <w:tblPr>
        <w:tblLayout w:type="fixed"/>
        <w:tblInd w:w="0" w:type="dxa"/>
        <w:tblCellMar>
          <w:top w:w="0" w:type="dxa"/>
          <w:left w:w="0" w:type="dxa"/>
          <w:bottom w:w="0" w:type="dxa"/>
          <w:right w:w="0" w:type="dxa"/>
        </w:tblCellMar>
      </w:tblPr>
      <w:tr>
        <w:trPr>
          <w:trHeight w:val="22"/>
        </w:trPr>
        <w:tc>
          <w:tcPr>
            <w:tcW w:w="16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640" w:type="dxa"/>
            <w:vAlign w:val="bottom"/>
            <w:shd w:val="clear" w:color="auto" w:fill="D5EEEE"/>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Chief Executive</w:t>
            </w:r>
          </w:p>
        </w:tc>
        <w:tc>
          <w:tcPr>
            <w:tcW w:w="1920" w:type="dxa"/>
            <w:vAlign w:val="bottom"/>
            <w:shd w:val="clear" w:color="auto" w:fill="D5EEEE"/>
          </w:tcPr>
          <w:p>
            <w:pPr>
              <w:jc w:val="right"/>
              <w:spacing w:after="0" w:line="184" w:lineRule="exact"/>
              <w:rPr>
                <w:sz w:val="20"/>
                <w:szCs w:val="20"/>
                <w:color w:val="auto"/>
              </w:rPr>
            </w:pPr>
            <w:r>
              <w:rPr>
                <w:rFonts w:ascii="Times New Roman" w:cs="Times New Roman" w:eastAsia="Times New Roman" w:hAnsi="Times New Roman"/>
                <w:sz w:val="18"/>
                <w:szCs w:val="18"/>
                <w:color w:val="auto"/>
              </w:rPr>
              <w:t>James Corbett</w:t>
            </w:r>
          </w:p>
        </w:tc>
        <w:tc>
          <w:tcPr>
            <w:tcW w:w="20" w:type="dxa"/>
            <w:vAlign w:val="bottom"/>
            <w:vMerge w:val="continue"/>
          </w:tcPr>
          <w:p>
            <w:pPr>
              <w:spacing w:after="0"/>
              <w:rPr>
                <w:sz w:val="16"/>
                <w:szCs w:val="16"/>
                <w:color w:val="auto"/>
              </w:rPr>
            </w:pPr>
          </w:p>
        </w:tc>
        <w:tc>
          <w:tcPr>
            <w:tcW w:w="1900" w:type="dxa"/>
            <w:vAlign w:val="bottom"/>
            <w:shd w:val="clear" w:color="auto" w:fill="D5EEEE"/>
          </w:tcPr>
          <w:p>
            <w:pPr>
              <w:ind w:left="280"/>
              <w:spacing w:after="0" w:line="184" w:lineRule="exact"/>
              <w:rPr>
                <w:sz w:val="20"/>
                <w:szCs w:val="20"/>
                <w:color w:val="auto"/>
              </w:rPr>
            </w:pPr>
            <w:r>
              <w:rPr>
                <w:rFonts w:ascii="Times New Roman" w:cs="Times New Roman" w:eastAsia="Times New Roman" w:hAnsi="Times New Roman"/>
                <w:sz w:val="18"/>
                <w:szCs w:val="18"/>
                <w:color w:val="auto"/>
              </w:rPr>
              <w:t>Three years with</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64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b w:val="1"/>
                <w:bCs w:val="1"/>
                <w:color w:val="auto"/>
              </w:rPr>
              <w:t>Officer(CEO)</w:t>
            </w:r>
          </w:p>
        </w:tc>
        <w:tc>
          <w:tcPr>
            <w:tcW w:w="1920" w:type="dxa"/>
            <w:vAlign w:val="bottom"/>
            <w:shd w:val="clear" w:color="auto" w:fill="D5EEEE"/>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shd w:val="clear" w:color="auto" w:fill="D5EEEE"/>
          </w:tcPr>
          <w:p>
            <w:pPr>
              <w:ind w:left="280"/>
              <w:spacing w:after="0"/>
              <w:rPr>
                <w:sz w:val="20"/>
                <w:szCs w:val="20"/>
                <w:color w:val="auto"/>
              </w:rPr>
            </w:pPr>
            <w:r>
              <w:rPr>
                <w:rFonts w:ascii="Times New Roman" w:cs="Times New Roman" w:eastAsia="Times New Roman" w:hAnsi="Times New Roman"/>
                <w:sz w:val="18"/>
                <w:szCs w:val="18"/>
                <w:color w:val="auto"/>
              </w:rPr>
              <w:t>automatic one-year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640" w:type="dxa"/>
            <w:vAlign w:val="bottom"/>
            <w:shd w:val="clear" w:color="auto" w:fill="D5EEEE"/>
          </w:tcPr>
          <w:p>
            <w:pPr>
              <w:spacing w:after="0"/>
              <w:rPr>
                <w:sz w:val="18"/>
                <w:szCs w:val="18"/>
                <w:color w:val="auto"/>
              </w:rPr>
            </w:pPr>
          </w:p>
        </w:tc>
        <w:tc>
          <w:tcPr>
            <w:tcW w:w="1920" w:type="dxa"/>
            <w:vAlign w:val="bottom"/>
            <w:shd w:val="clear" w:color="auto" w:fill="D5EEEE"/>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shd w:val="clear" w:color="auto" w:fill="D5EEEE"/>
          </w:tcPr>
          <w:p>
            <w:pPr>
              <w:ind w:left="280"/>
              <w:spacing w:after="0"/>
              <w:rPr>
                <w:sz w:val="20"/>
                <w:szCs w:val="20"/>
                <w:color w:val="auto"/>
              </w:rPr>
            </w:pPr>
            <w:r>
              <w:rPr>
                <w:rFonts w:ascii="Times New Roman" w:cs="Times New Roman" w:eastAsia="Times New Roman" w:hAnsi="Times New Roman"/>
                <w:sz w:val="18"/>
                <w:szCs w:val="18"/>
                <w:color w:val="auto"/>
              </w:rPr>
              <w:t>extensions on each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640" w:type="dxa"/>
            <w:vAlign w:val="bottom"/>
            <w:shd w:val="clear" w:color="auto" w:fill="D5EEEE"/>
          </w:tcPr>
          <w:p>
            <w:pPr>
              <w:spacing w:after="0"/>
              <w:rPr>
                <w:sz w:val="21"/>
                <w:szCs w:val="21"/>
                <w:color w:val="auto"/>
              </w:rPr>
            </w:pPr>
          </w:p>
        </w:tc>
        <w:tc>
          <w:tcPr>
            <w:tcW w:w="1920" w:type="dxa"/>
            <w:vAlign w:val="bottom"/>
            <w:shd w:val="clear" w:color="auto" w:fill="D5EEEE"/>
          </w:tcPr>
          <w:p>
            <w:pPr>
              <w:spacing w:after="0"/>
              <w:rPr>
                <w:sz w:val="21"/>
                <w:szCs w:val="21"/>
                <w:color w:val="auto"/>
              </w:rPr>
            </w:pPr>
          </w:p>
        </w:tc>
        <w:tc>
          <w:tcPr>
            <w:tcW w:w="20" w:type="dxa"/>
            <w:vAlign w:val="bottom"/>
          </w:tcPr>
          <w:p>
            <w:pPr>
              <w:spacing w:after="0"/>
              <w:rPr>
                <w:sz w:val="21"/>
                <w:szCs w:val="21"/>
                <w:color w:val="auto"/>
              </w:rPr>
            </w:pPr>
          </w:p>
        </w:tc>
        <w:tc>
          <w:tcPr>
            <w:tcW w:w="1900" w:type="dxa"/>
            <w:vAlign w:val="bottom"/>
            <w:shd w:val="clear" w:color="auto" w:fill="D5EEEE"/>
          </w:tcPr>
          <w:p>
            <w:pPr>
              <w:ind w:left="280"/>
              <w:spacing w:after="0"/>
              <w:rPr>
                <w:sz w:val="20"/>
                <w:szCs w:val="20"/>
                <w:color w:val="auto"/>
              </w:rPr>
            </w:pPr>
            <w:r>
              <w:rPr>
                <w:rFonts w:ascii="Times New Roman" w:cs="Times New Roman" w:eastAsia="Times New Roman" w:hAnsi="Times New Roman"/>
                <w:sz w:val="18"/>
                <w:szCs w:val="18"/>
                <w:color w:val="auto"/>
              </w:rPr>
              <w:t>anniversary.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1"/>
        </w:trPr>
        <w:tc>
          <w:tcPr>
            <w:tcW w:w="1640" w:type="dxa"/>
            <w:vAlign w:val="bottom"/>
            <w:shd w:val="clear" w:color="auto" w:fill="D5EEEE"/>
          </w:tcPr>
          <w:p>
            <w:pPr>
              <w:spacing w:after="0"/>
              <w:rPr>
                <w:sz w:val="24"/>
                <w:szCs w:val="24"/>
                <w:color w:val="auto"/>
              </w:rPr>
            </w:pPr>
          </w:p>
        </w:tc>
        <w:tc>
          <w:tcPr>
            <w:tcW w:w="1920" w:type="dxa"/>
            <w:vAlign w:val="bottom"/>
            <w:shd w:val="clear" w:color="auto" w:fill="D5EEEE"/>
          </w:tcPr>
          <w:p>
            <w:pPr>
              <w:spacing w:after="0"/>
              <w:rPr>
                <w:sz w:val="24"/>
                <w:szCs w:val="24"/>
                <w:color w:val="auto"/>
              </w:rPr>
            </w:pPr>
          </w:p>
        </w:tc>
        <w:tc>
          <w:tcPr>
            <w:tcW w:w="20" w:type="dxa"/>
            <w:vAlign w:val="bottom"/>
            <w:vMerge w:val="restart"/>
          </w:tcPr>
          <w:p>
            <w:pPr>
              <w:spacing w:after="0"/>
              <w:rPr>
                <w:sz w:val="24"/>
                <w:szCs w:val="24"/>
                <w:color w:val="auto"/>
              </w:rPr>
            </w:pPr>
          </w:p>
        </w:tc>
        <w:tc>
          <w:tcPr>
            <w:tcW w:w="19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Open ended contract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640" w:type="dxa"/>
            <w:vAlign w:val="bottom"/>
          </w:tcPr>
          <w:p>
            <w:pPr>
              <w:spacing w:after="0" w:line="187" w:lineRule="exact"/>
              <w:rPr>
                <w:sz w:val="20"/>
                <w:szCs w:val="20"/>
                <w:color w:val="auto"/>
              </w:rPr>
            </w:pPr>
            <w:r>
              <w:rPr>
                <w:rFonts w:ascii="Times New Roman" w:cs="Times New Roman" w:eastAsia="Times New Roman" w:hAnsi="Times New Roman"/>
                <w:sz w:val="18"/>
                <w:szCs w:val="18"/>
                <w:b w:val="1"/>
                <w:bCs w:val="1"/>
                <w:color w:val="auto"/>
              </w:rPr>
              <w:t>Chief Financial</w:t>
            </w:r>
          </w:p>
        </w:tc>
        <w:tc>
          <w:tcPr>
            <w:tcW w:w="192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Michael Holder</w:t>
            </w:r>
          </w:p>
        </w:tc>
        <w:tc>
          <w:tcPr>
            <w:tcW w:w="20" w:type="dxa"/>
            <w:vAlign w:val="bottom"/>
            <w:vMerge w:val="continue"/>
          </w:tcPr>
          <w:p>
            <w:pPr>
              <w:spacing w:after="0"/>
              <w:rPr>
                <w:sz w:val="16"/>
                <w:szCs w:val="16"/>
                <w:color w:val="auto"/>
              </w:rPr>
            </w:pPr>
          </w:p>
        </w:tc>
        <w:tc>
          <w:tcPr>
            <w:tcW w:w="1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1"/>
        </w:trPr>
        <w:tc>
          <w:tcPr>
            <w:tcW w:w="16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640" w:type="dxa"/>
            <w:vAlign w:val="bottom"/>
            <w:tcBorders>
              <w:bottom w:val="single" w:sz="8" w:color="D5EEEE"/>
            </w:tcBorders>
            <w:shd w:val="clear" w:color="auto" w:fill="D5EEEE"/>
          </w:tcPr>
          <w:p>
            <w:pPr>
              <w:spacing w:after="0" w:line="185" w:lineRule="exact"/>
              <w:rPr>
                <w:sz w:val="20"/>
                <w:szCs w:val="20"/>
                <w:color w:val="auto"/>
              </w:rPr>
            </w:pPr>
            <w:r>
              <w:rPr>
                <w:rFonts w:ascii="Times New Roman" w:cs="Times New Roman" w:eastAsia="Times New Roman" w:hAnsi="Times New Roman"/>
                <w:sz w:val="18"/>
                <w:szCs w:val="18"/>
                <w:b w:val="1"/>
                <w:bCs w:val="1"/>
                <w:color w:val="auto"/>
              </w:rPr>
              <w:t>Chief Operating</w:t>
            </w:r>
          </w:p>
        </w:tc>
        <w:tc>
          <w:tcPr>
            <w:tcW w:w="1920" w:type="dxa"/>
            <w:vAlign w:val="bottom"/>
            <w:tcBorders>
              <w:bottom w:val="single" w:sz="8" w:color="D5EEEE"/>
            </w:tcBorders>
            <w:shd w:val="clear" w:color="auto" w:fill="D5EEEE"/>
          </w:tcPr>
          <w:p>
            <w:pPr>
              <w:jc w:val="right"/>
              <w:spacing w:after="0" w:line="185" w:lineRule="exact"/>
              <w:rPr>
                <w:sz w:val="20"/>
                <w:szCs w:val="20"/>
                <w:color w:val="auto"/>
              </w:rPr>
            </w:pPr>
            <w:r>
              <w:rPr>
                <w:rFonts w:ascii="Times New Roman" w:cs="Times New Roman" w:eastAsia="Times New Roman" w:hAnsi="Times New Roman"/>
                <w:sz w:val="18"/>
                <w:szCs w:val="18"/>
                <w:color w:val="auto"/>
              </w:rPr>
              <w:t>Kathy McGee</w:t>
            </w:r>
          </w:p>
        </w:tc>
        <w:tc>
          <w:tcPr>
            <w:tcW w:w="20" w:type="dxa"/>
            <w:vAlign w:val="bottom"/>
          </w:tcPr>
          <w:p>
            <w:pPr>
              <w:spacing w:after="0"/>
              <w:rPr>
                <w:sz w:val="17"/>
                <w:szCs w:val="17"/>
                <w:color w:val="auto"/>
              </w:rPr>
            </w:pPr>
          </w:p>
        </w:tc>
        <w:tc>
          <w:tcPr>
            <w:tcW w:w="1900" w:type="dxa"/>
            <w:vAlign w:val="bottom"/>
            <w:tcBorders>
              <w:bottom w:val="single" w:sz="8" w:color="D5EEEE"/>
            </w:tcBorders>
            <w:shd w:val="clear" w:color="auto" w:fill="D5EEEE"/>
          </w:tcPr>
          <w:p>
            <w:pPr>
              <w:ind w:left="280"/>
              <w:spacing w:after="0" w:line="185" w:lineRule="exact"/>
              <w:rPr>
                <w:sz w:val="20"/>
                <w:szCs w:val="20"/>
                <w:color w:val="auto"/>
              </w:rPr>
            </w:pPr>
            <w:r>
              <w:rPr>
                <w:rFonts w:ascii="Times New Roman" w:cs="Times New Roman" w:eastAsia="Times New Roman" w:hAnsi="Times New Roman"/>
                <w:sz w:val="18"/>
                <w:szCs w:val="18"/>
                <w:color w:val="auto"/>
              </w:rPr>
              <w:t>Open ended contract</w:t>
            </w:r>
          </w:p>
        </w:tc>
        <w:tc>
          <w:tcPr>
            <w:tcW w:w="20" w:type="dxa"/>
            <w:vAlign w:val="bottom"/>
            <w:tcBorders>
              <w:bottom w:val="single" w:sz="8" w:color="D5EEEE"/>
            </w:tcBorders>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164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b w:val="1"/>
                <w:bCs w:val="1"/>
                <w:color w:val="auto"/>
              </w:rPr>
              <w:t>Officer (COO)</w:t>
            </w:r>
          </w:p>
        </w:tc>
        <w:tc>
          <w:tcPr>
            <w:tcW w:w="1920" w:type="dxa"/>
            <w:vAlign w:val="bottom"/>
            <w:shd w:val="clear" w:color="auto" w:fill="D5EEEE"/>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Open ended contract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1640" w:type="dxa"/>
            <w:vAlign w:val="bottom"/>
            <w:shd w:val="clear" w:color="auto" w:fill="D5EEEE"/>
          </w:tcPr>
          <w:p>
            <w:pPr>
              <w:spacing w:after="0"/>
              <w:rPr>
                <w:sz w:val="24"/>
                <w:szCs w:val="24"/>
                <w:color w:val="auto"/>
              </w:rPr>
            </w:pPr>
          </w:p>
        </w:tc>
        <w:tc>
          <w:tcPr>
            <w:tcW w:w="1920" w:type="dxa"/>
            <w:vAlign w:val="bottom"/>
            <w:shd w:val="clear" w:color="auto" w:fill="D5EEEE"/>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640" w:type="dxa"/>
            <w:vAlign w:val="bottom"/>
          </w:tcPr>
          <w:p>
            <w:pPr>
              <w:spacing w:after="0" w:line="187" w:lineRule="exact"/>
              <w:rPr>
                <w:sz w:val="20"/>
                <w:szCs w:val="20"/>
                <w:color w:val="auto"/>
              </w:rPr>
            </w:pPr>
            <w:r>
              <w:rPr>
                <w:rFonts w:ascii="Times New Roman" w:cs="Times New Roman" w:eastAsia="Times New Roman" w:hAnsi="Times New Roman"/>
                <w:sz w:val="18"/>
                <w:szCs w:val="18"/>
                <w:b w:val="1"/>
                <w:bCs w:val="1"/>
                <w:color w:val="auto"/>
              </w:rPr>
              <w:t>Chief Commercial</w:t>
            </w:r>
          </w:p>
        </w:tc>
        <w:tc>
          <w:tcPr>
            <w:tcW w:w="192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Erin Liberto</w:t>
            </w:r>
          </w:p>
        </w:tc>
        <w:tc>
          <w:tcPr>
            <w:tcW w:w="2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Officer (CCO)</w:t>
            </w: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1"/>
        </w:trPr>
        <w:tc>
          <w:tcPr>
            <w:tcW w:w="16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40" w:type="dxa"/>
            <w:vAlign w:val="bottom"/>
            <w:vMerge w:val="restart"/>
            <w:shd w:val="clear" w:color="auto" w:fill="D5EEEE"/>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Chief Technology</w:t>
            </w:r>
          </w:p>
        </w:tc>
        <w:tc>
          <w:tcPr>
            <w:tcW w:w="1920" w:type="dxa"/>
            <w:vAlign w:val="bottom"/>
            <w:vMerge w:val="restart"/>
            <w:shd w:val="clear" w:color="auto" w:fill="D5EEEE"/>
          </w:tcPr>
          <w:p>
            <w:pPr>
              <w:jc w:val="right"/>
              <w:spacing w:after="0" w:line="184" w:lineRule="exact"/>
              <w:rPr>
                <w:sz w:val="20"/>
                <w:szCs w:val="20"/>
                <w:color w:val="auto"/>
              </w:rPr>
            </w:pPr>
            <w:r>
              <w:rPr>
                <w:rFonts w:ascii="Times New Roman" w:cs="Times New Roman" w:eastAsia="Times New Roman" w:hAnsi="Times New Roman"/>
                <w:sz w:val="18"/>
                <w:szCs w:val="18"/>
                <w:color w:val="auto"/>
              </w:rPr>
              <w:t>Andrew Quick</w:t>
            </w:r>
          </w:p>
        </w:tc>
        <w:tc>
          <w:tcPr>
            <w:tcW w:w="20" w:type="dxa"/>
            <w:vAlign w:val="bottom"/>
          </w:tcPr>
          <w:p>
            <w:pPr>
              <w:spacing w:after="0" w:line="20" w:lineRule="exact"/>
              <w:rPr>
                <w:sz w:val="1"/>
                <w:szCs w:val="1"/>
                <w:color w:val="auto"/>
              </w:rPr>
            </w:pPr>
          </w:p>
        </w:tc>
        <w:tc>
          <w:tcPr>
            <w:tcW w:w="190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640" w:type="dxa"/>
            <w:vAlign w:val="bottom"/>
            <w:tcBorders>
              <w:bottom w:val="single" w:sz="8" w:color="D5EEEE"/>
            </w:tcBorders>
            <w:vMerge w:val="continue"/>
            <w:shd w:val="clear" w:color="auto" w:fill="D5EEEE"/>
          </w:tcPr>
          <w:p>
            <w:pPr>
              <w:spacing w:after="0"/>
              <w:rPr>
                <w:sz w:val="16"/>
                <w:szCs w:val="16"/>
                <w:color w:val="auto"/>
              </w:rPr>
            </w:pPr>
          </w:p>
        </w:tc>
        <w:tc>
          <w:tcPr>
            <w:tcW w:w="1920" w:type="dxa"/>
            <w:vAlign w:val="bottom"/>
            <w:tcBorders>
              <w:bottom w:val="single" w:sz="8" w:color="D5EEEE"/>
            </w:tcBorders>
            <w:vMerge w:val="continue"/>
            <w:shd w:val="clear" w:color="auto" w:fill="D5EEEE"/>
          </w:tcPr>
          <w:p>
            <w:pPr>
              <w:spacing w:after="0"/>
              <w:rPr>
                <w:sz w:val="16"/>
                <w:szCs w:val="16"/>
                <w:color w:val="auto"/>
              </w:rPr>
            </w:pPr>
          </w:p>
        </w:tc>
        <w:tc>
          <w:tcPr>
            <w:tcW w:w="20" w:type="dxa"/>
            <w:vAlign w:val="bottom"/>
          </w:tcPr>
          <w:p>
            <w:pPr>
              <w:spacing w:after="0"/>
              <w:rPr>
                <w:sz w:val="16"/>
                <w:szCs w:val="16"/>
                <w:color w:val="auto"/>
              </w:rPr>
            </w:pPr>
          </w:p>
        </w:tc>
        <w:tc>
          <w:tcPr>
            <w:tcW w:w="1900" w:type="dxa"/>
            <w:vAlign w:val="bottom"/>
            <w:tcBorders>
              <w:bottom w:val="single" w:sz="8" w:color="D5EEEE"/>
            </w:tcBorders>
            <w:shd w:val="clear" w:color="auto" w:fill="D5EEEE"/>
          </w:tcPr>
          <w:p>
            <w:pPr>
              <w:ind w:left="280"/>
              <w:spacing w:after="0" w:line="164" w:lineRule="exact"/>
              <w:rPr>
                <w:sz w:val="20"/>
                <w:szCs w:val="20"/>
                <w:color w:val="auto"/>
              </w:rPr>
            </w:pPr>
            <w:r>
              <w:rPr>
                <w:rFonts w:ascii="Times New Roman" w:cs="Times New Roman" w:eastAsia="Times New Roman" w:hAnsi="Times New Roman"/>
                <w:sz w:val="18"/>
                <w:szCs w:val="18"/>
                <w:color w:val="auto"/>
              </w:rPr>
              <w:t>Open ended contract</w:t>
            </w:r>
          </w:p>
        </w:tc>
        <w:tc>
          <w:tcPr>
            <w:tcW w:w="20" w:type="dxa"/>
            <w:vAlign w:val="bottom"/>
            <w:tcBorders>
              <w:bottom w:val="single" w:sz="8" w:color="D5EEEE"/>
            </w:tcBorders>
            <w:shd w:val="clear" w:color="auto" w:fill="D5EEE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640" w:type="dxa"/>
            <w:vAlign w:val="bottom"/>
            <w:shd w:val="clear" w:color="auto" w:fill="D5EEEE"/>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Officer (CTO)</w:t>
            </w:r>
          </w:p>
        </w:tc>
        <w:tc>
          <w:tcPr>
            <w:tcW w:w="1920" w:type="dxa"/>
            <w:vAlign w:val="bottom"/>
            <w:shd w:val="clear" w:color="auto" w:fill="D5EEEE"/>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Open ended contract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2"/>
        </w:trPr>
        <w:tc>
          <w:tcPr>
            <w:tcW w:w="1640" w:type="dxa"/>
            <w:vAlign w:val="bottom"/>
            <w:shd w:val="clear" w:color="auto" w:fill="D5EEEE"/>
          </w:tcPr>
          <w:p>
            <w:pPr>
              <w:spacing w:after="0"/>
              <w:rPr>
                <w:sz w:val="24"/>
                <w:szCs w:val="24"/>
                <w:color w:val="auto"/>
              </w:rPr>
            </w:pPr>
          </w:p>
        </w:tc>
        <w:tc>
          <w:tcPr>
            <w:tcW w:w="1920" w:type="dxa"/>
            <w:vAlign w:val="bottom"/>
            <w:shd w:val="clear" w:color="auto" w:fill="D5EEEE"/>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640" w:type="dxa"/>
            <w:vAlign w:val="bottom"/>
          </w:tcPr>
          <w:p>
            <w:pPr>
              <w:spacing w:after="0" w:line="187" w:lineRule="exact"/>
              <w:rPr>
                <w:sz w:val="20"/>
                <w:szCs w:val="20"/>
                <w:color w:val="auto"/>
              </w:rPr>
            </w:pPr>
            <w:r>
              <w:rPr>
                <w:rFonts w:ascii="Times New Roman" w:cs="Times New Roman" w:eastAsia="Times New Roman" w:hAnsi="Times New Roman"/>
                <w:sz w:val="18"/>
                <w:szCs w:val="18"/>
                <w:b w:val="1"/>
                <w:bCs w:val="1"/>
                <w:color w:val="auto"/>
              </w:rPr>
              <w:t>General Counsel</w:t>
            </w:r>
          </w:p>
        </w:tc>
        <w:tc>
          <w:tcPr>
            <w:tcW w:w="192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Donna Shiroma</w:t>
            </w:r>
          </w:p>
        </w:tc>
        <w:tc>
          <w:tcPr>
            <w:tcW w:w="2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(GC)</w:t>
            </w: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Termination by the</w:t>
            </w:r>
          </w:p>
        </w:tc>
        <w:tc>
          <w:tcPr>
            <w:tcW w:w="3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12 months</w:t>
            </w:r>
          </w:p>
        </w:tc>
      </w:tr>
      <w:tr>
        <w:trPr>
          <w:trHeight w:val="209"/>
        </w:trPr>
        <w:tc>
          <w:tcPr>
            <w:tcW w:w="2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Company with or without</w:t>
            </w:r>
          </w:p>
        </w:tc>
        <w:tc>
          <w:tcPr>
            <w:tcW w:w="3000" w:type="dxa"/>
            <w:vAlign w:val="bottom"/>
            <w:shd w:val="clear" w:color="auto" w:fill="D5EEEE"/>
          </w:tcPr>
          <w:p>
            <w:pPr>
              <w:spacing w:after="0"/>
              <w:rPr>
                <w:sz w:val="18"/>
                <w:szCs w:val="18"/>
                <w:color w:val="auto"/>
              </w:rPr>
            </w:pPr>
          </w:p>
        </w:tc>
      </w:tr>
      <w:tr>
        <w:trPr>
          <w:trHeight w:val="226"/>
        </w:trPr>
        <w:tc>
          <w:tcPr>
            <w:tcW w:w="2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Cause– No notice period.</w:t>
            </w:r>
          </w:p>
        </w:tc>
        <w:tc>
          <w:tcPr>
            <w:tcW w:w="3000" w:type="dxa"/>
            <w:vAlign w:val="bottom"/>
            <w:shd w:val="clear" w:color="auto" w:fill="D5EEEE"/>
          </w:tcPr>
          <w:p>
            <w:pPr>
              <w:spacing w:after="0"/>
              <w:rPr>
                <w:sz w:val="19"/>
                <w:szCs w:val="19"/>
                <w:color w:val="auto"/>
              </w:rPr>
            </w:pPr>
          </w:p>
        </w:tc>
      </w:tr>
      <w:tr>
        <w:trPr>
          <w:trHeight w:val="206"/>
        </w:trPr>
        <w:tc>
          <w:tcPr>
            <w:tcW w:w="2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Termination by executive-</w:t>
            </w:r>
          </w:p>
        </w:tc>
        <w:tc>
          <w:tcPr>
            <w:tcW w:w="3000" w:type="dxa"/>
            <w:vAlign w:val="bottom"/>
            <w:shd w:val="clear" w:color="auto" w:fill="D5EEEE"/>
          </w:tcPr>
          <w:p>
            <w:pPr>
              <w:spacing w:after="0"/>
              <w:rPr>
                <w:sz w:val="17"/>
                <w:szCs w:val="17"/>
                <w:color w:val="auto"/>
              </w:rPr>
            </w:pPr>
          </w:p>
        </w:tc>
      </w:tr>
      <w:tr>
        <w:trPr>
          <w:trHeight w:val="206"/>
        </w:trPr>
        <w:tc>
          <w:tcPr>
            <w:tcW w:w="2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with or without Good</w:t>
            </w:r>
          </w:p>
        </w:tc>
        <w:tc>
          <w:tcPr>
            <w:tcW w:w="3000" w:type="dxa"/>
            <w:vAlign w:val="bottom"/>
            <w:shd w:val="clear" w:color="auto" w:fill="D5EEEE"/>
          </w:tcPr>
          <w:p>
            <w:pPr>
              <w:spacing w:after="0"/>
              <w:rPr>
                <w:sz w:val="17"/>
                <w:szCs w:val="17"/>
                <w:color w:val="auto"/>
              </w:rPr>
            </w:pPr>
          </w:p>
        </w:tc>
      </w:tr>
      <w:tr>
        <w:trPr>
          <w:trHeight w:val="211"/>
        </w:trPr>
        <w:tc>
          <w:tcPr>
            <w:tcW w:w="2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Reason - 90 days prior</w:t>
            </w:r>
          </w:p>
        </w:tc>
        <w:tc>
          <w:tcPr>
            <w:tcW w:w="3000" w:type="dxa"/>
            <w:vAlign w:val="bottom"/>
            <w:shd w:val="clear" w:color="auto" w:fill="D5EEEE"/>
          </w:tcPr>
          <w:p>
            <w:pPr>
              <w:spacing w:after="0"/>
              <w:rPr>
                <w:sz w:val="18"/>
                <w:szCs w:val="18"/>
                <w:color w:val="auto"/>
              </w:rPr>
            </w:pPr>
          </w:p>
        </w:tc>
      </w:tr>
      <w:tr>
        <w:trPr>
          <w:trHeight w:val="242"/>
        </w:trPr>
        <w:tc>
          <w:tcPr>
            <w:tcW w:w="2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written notice.</w:t>
            </w:r>
          </w:p>
        </w:tc>
        <w:tc>
          <w:tcPr>
            <w:tcW w:w="3000" w:type="dxa"/>
            <w:vAlign w:val="bottom"/>
            <w:shd w:val="clear" w:color="auto" w:fill="D5EEEE"/>
          </w:tcPr>
          <w:p>
            <w:pPr>
              <w:spacing w:after="0"/>
              <w:rPr>
                <w:sz w:val="21"/>
                <w:szCs w:val="21"/>
                <w:color w:val="auto"/>
              </w:rPr>
            </w:pPr>
          </w:p>
        </w:tc>
      </w:tr>
      <w:tr>
        <w:trPr>
          <w:trHeight w:val="190"/>
        </w:trPr>
        <w:tc>
          <w:tcPr>
            <w:tcW w:w="230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Involuntary termination</w:t>
            </w:r>
          </w:p>
        </w:tc>
        <w:tc>
          <w:tcPr>
            <w:tcW w:w="3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 months</w:t>
            </w:r>
          </w:p>
        </w:tc>
      </w:tr>
      <w:tr>
        <w:trPr>
          <w:trHeight w:val="206"/>
        </w:trPr>
        <w:tc>
          <w:tcPr>
            <w:tcW w:w="2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without Cause or</w:t>
            </w:r>
          </w:p>
        </w:tc>
        <w:tc>
          <w:tcPr>
            <w:tcW w:w="3000" w:type="dxa"/>
            <w:vAlign w:val="bottom"/>
          </w:tcPr>
          <w:p>
            <w:pPr>
              <w:spacing w:after="0"/>
              <w:rPr>
                <w:sz w:val="17"/>
                <w:szCs w:val="17"/>
                <w:color w:val="auto"/>
              </w:rPr>
            </w:pPr>
          </w:p>
        </w:tc>
      </w:tr>
      <w:tr>
        <w:trPr>
          <w:trHeight w:val="206"/>
        </w:trPr>
        <w:tc>
          <w:tcPr>
            <w:tcW w:w="2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resignation with Good</w:t>
            </w:r>
          </w:p>
        </w:tc>
        <w:tc>
          <w:tcPr>
            <w:tcW w:w="3000" w:type="dxa"/>
            <w:vAlign w:val="bottom"/>
          </w:tcPr>
          <w:p>
            <w:pPr>
              <w:spacing w:after="0"/>
              <w:rPr>
                <w:sz w:val="17"/>
                <w:szCs w:val="17"/>
                <w:color w:val="auto"/>
              </w:rPr>
            </w:pPr>
          </w:p>
        </w:tc>
      </w:tr>
      <w:tr>
        <w:trPr>
          <w:trHeight w:val="209"/>
        </w:trPr>
        <w:tc>
          <w:tcPr>
            <w:tcW w:w="2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Reason: 3-month notice</w:t>
            </w:r>
          </w:p>
        </w:tc>
        <w:tc>
          <w:tcPr>
            <w:tcW w:w="3000" w:type="dxa"/>
            <w:vAlign w:val="bottom"/>
          </w:tcPr>
          <w:p>
            <w:pPr>
              <w:spacing w:after="0"/>
              <w:rPr>
                <w:sz w:val="18"/>
                <w:szCs w:val="18"/>
                <w:color w:val="auto"/>
              </w:rPr>
            </w:pPr>
          </w:p>
        </w:tc>
      </w:tr>
      <w:tr>
        <w:trPr>
          <w:trHeight w:val="241"/>
        </w:trPr>
        <w:tc>
          <w:tcPr>
            <w:tcW w:w="2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period</w:t>
            </w:r>
          </w:p>
        </w:tc>
        <w:tc>
          <w:tcPr>
            <w:tcW w:w="3000" w:type="dxa"/>
            <w:vAlign w:val="bottom"/>
          </w:tcPr>
          <w:p>
            <w:pPr>
              <w:spacing w:after="0"/>
              <w:rPr>
                <w:sz w:val="20"/>
                <w:szCs w:val="20"/>
                <w:color w:val="auto"/>
              </w:rPr>
            </w:pPr>
          </w:p>
        </w:tc>
      </w:tr>
      <w:tr>
        <w:trPr>
          <w:trHeight w:val="191"/>
        </w:trPr>
        <w:tc>
          <w:tcPr>
            <w:tcW w:w="2300" w:type="dxa"/>
            <w:vAlign w:val="bottom"/>
            <w:shd w:val="clear" w:color="auto" w:fill="D5EEEE"/>
          </w:tcPr>
          <w:p>
            <w:pPr>
              <w:ind w:left="260"/>
              <w:spacing w:after="0" w:line="191" w:lineRule="exact"/>
              <w:rPr>
                <w:sz w:val="20"/>
                <w:szCs w:val="20"/>
                <w:color w:val="auto"/>
              </w:rPr>
            </w:pPr>
            <w:r>
              <w:rPr>
                <w:rFonts w:ascii="Times New Roman" w:cs="Times New Roman" w:eastAsia="Times New Roman" w:hAnsi="Times New Roman"/>
                <w:sz w:val="18"/>
                <w:szCs w:val="18"/>
                <w:color w:val="auto"/>
              </w:rPr>
              <w:t>Involuntary termination</w:t>
            </w:r>
          </w:p>
        </w:tc>
        <w:tc>
          <w:tcPr>
            <w:tcW w:w="3000" w:type="dxa"/>
            <w:vAlign w:val="bottom"/>
            <w:shd w:val="clear" w:color="auto" w:fill="D5EEEE"/>
          </w:tcPr>
          <w:p>
            <w:pPr>
              <w:jc w:val="right"/>
              <w:spacing w:after="0" w:line="191" w:lineRule="exact"/>
              <w:rPr>
                <w:sz w:val="20"/>
                <w:szCs w:val="20"/>
                <w:color w:val="auto"/>
              </w:rPr>
            </w:pPr>
            <w:r>
              <w:rPr>
                <w:rFonts w:ascii="Times New Roman" w:cs="Times New Roman" w:eastAsia="Times New Roman" w:hAnsi="Times New Roman"/>
                <w:sz w:val="18"/>
                <w:szCs w:val="18"/>
                <w:color w:val="auto"/>
              </w:rPr>
              <w:t>9 months</w:t>
            </w:r>
          </w:p>
        </w:tc>
      </w:tr>
      <w:tr>
        <w:trPr>
          <w:trHeight w:val="206"/>
        </w:trPr>
        <w:tc>
          <w:tcPr>
            <w:tcW w:w="2300" w:type="dxa"/>
            <w:vAlign w:val="bottom"/>
            <w:shd w:val="clear" w:color="auto" w:fill="D5EEEE"/>
          </w:tcPr>
          <w:p>
            <w:pPr>
              <w:ind w:left="260"/>
              <w:spacing w:after="0"/>
              <w:rPr>
                <w:sz w:val="20"/>
                <w:szCs w:val="20"/>
                <w:color w:val="auto"/>
              </w:rPr>
            </w:pPr>
            <w:r>
              <w:rPr>
                <w:rFonts w:ascii="Times New Roman" w:cs="Times New Roman" w:eastAsia="Times New Roman" w:hAnsi="Times New Roman"/>
                <w:sz w:val="18"/>
                <w:szCs w:val="18"/>
                <w:color w:val="auto"/>
              </w:rPr>
              <w:t>without Cause or</w:t>
            </w:r>
          </w:p>
        </w:tc>
        <w:tc>
          <w:tcPr>
            <w:tcW w:w="3000" w:type="dxa"/>
            <w:vAlign w:val="bottom"/>
            <w:shd w:val="clear" w:color="auto" w:fill="D5EEEE"/>
          </w:tcPr>
          <w:p>
            <w:pPr>
              <w:spacing w:after="0"/>
              <w:rPr>
                <w:sz w:val="17"/>
                <w:szCs w:val="17"/>
                <w:color w:val="auto"/>
              </w:rPr>
            </w:pPr>
          </w:p>
        </w:tc>
      </w:tr>
      <w:tr>
        <w:trPr>
          <w:trHeight w:val="209"/>
        </w:trPr>
        <w:tc>
          <w:tcPr>
            <w:tcW w:w="2300" w:type="dxa"/>
            <w:vAlign w:val="bottom"/>
            <w:shd w:val="clear" w:color="auto" w:fill="D5EEEE"/>
          </w:tcPr>
          <w:p>
            <w:pPr>
              <w:ind w:left="260"/>
              <w:spacing w:after="0"/>
              <w:rPr>
                <w:sz w:val="20"/>
                <w:szCs w:val="20"/>
                <w:color w:val="auto"/>
              </w:rPr>
            </w:pPr>
            <w:r>
              <w:rPr>
                <w:rFonts w:ascii="Times New Roman" w:cs="Times New Roman" w:eastAsia="Times New Roman" w:hAnsi="Times New Roman"/>
                <w:sz w:val="18"/>
                <w:szCs w:val="18"/>
                <w:color w:val="auto"/>
              </w:rPr>
              <w:t>resignation with Good</w:t>
            </w:r>
          </w:p>
        </w:tc>
        <w:tc>
          <w:tcPr>
            <w:tcW w:w="3000" w:type="dxa"/>
            <w:vAlign w:val="bottom"/>
            <w:shd w:val="clear" w:color="auto" w:fill="D5EEEE"/>
          </w:tcPr>
          <w:p>
            <w:pPr>
              <w:spacing w:after="0"/>
              <w:rPr>
                <w:sz w:val="18"/>
                <w:szCs w:val="18"/>
                <w:color w:val="auto"/>
              </w:rPr>
            </w:pPr>
          </w:p>
        </w:tc>
      </w:tr>
      <w:tr>
        <w:trPr>
          <w:trHeight w:val="209"/>
        </w:trPr>
        <w:tc>
          <w:tcPr>
            <w:tcW w:w="2300" w:type="dxa"/>
            <w:vAlign w:val="bottom"/>
            <w:shd w:val="clear" w:color="auto" w:fill="D5EEEE"/>
          </w:tcPr>
          <w:p>
            <w:pPr>
              <w:ind w:left="260"/>
              <w:spacing w:after="0"/>
              <w:rPr>
                <w:sz w:val="20"/>
                <w:szCs w:val="20"/>
                <w:color w:val="auto"/>
              </w:rPr>
            </w:pPr>
            <w:r>
              <w:rPr>
                <w:rFonts w:ascii="Times New Roman" w:cs="Times New Roman" w:eastAsia="Times New Roman" w:hAnsi="Times New Roman"/>
                <w:sz w:val="18"/>
                <w:szCs w:val="18"/>
                <w:color w:val="auto"/>
              </w:rPr>
              <w:t>Reason: 3-month notice</w:t>
            </w:r>
          </w:p>
        </w:tc>
        <w:tc>
          <w:tcPr>
            <w:tcW w:w="3000" w:type="dxa"/>
            <w:vAlign w:val="bottom"/>
            <w:shd w:val="clear" w:color="auto" w:fill="D5EEEE"/>
          </w:tcPr>
          <w:p>
            <w:pPr>
              <w:spacing w:after="0"/>
              <w:rPr>
                <w:sz w:val="18"/>
                <w:szCs w:val="18"/>
                <w:color w:val="auto"/>
              </w:rPr>
            </w:pPr>
          </w:p>
        </w:tc>
      </w:tr>
      <w:tr>
        <w:trPr>
          <w:trHeight w:val="242"/>
        </w:trPr>
        <w:tc>
          <w:tcPr>
            <w:tcW w:w="2300" w:type="dxa"/>
            <w:vAlign w:val="bottom"/>
            <w:shd w:val="clear" w:color="auto" w:fill="D5EEEE"/>
          </w:tcPr>
          <w:p>
            <w:pPr>
              <w:ind w:left="260"/>
              <w:spacing w:after="0"/>
              <w:rPr>
                <w:sz w:val="20"/>
                <w:szCs w:val="20"/>
                <w:color w:val="auto"/>
              </w:rPr>
            </w:pPr>
            <w:r>
              <w:rPr>
                <w:rFonts w:ascii="Times New Roman" w:cs="Times New Roman" w:eastAsia="Times New Roman" w:hAnsi="Times New Roman"/>
                <w:sz w:val="18"/>
                <w:szCs w:val="18"/>
                <w:color w:val="auto"/>
              </w:rPr>
              <w:t>period</w:t>
            </w:r>
          </w:p>
        </w:tc>
        <w:tc>
          <w:tcPr>
            <w:tcW w:w="3000" w:type="dxa"/>
            <w:vAlign w:val="bottom"/>
            <w:shd w:val="clear" w:color="auto" w:fill="D5EEEE"/>
          </w:tcPr>
          <w:p>
            <w:pPr>
              <w:spacing w:after="0"/>
              <w:rPr>
                <w:sz w:val="21"/>
                <w:szCs w:val="21"/>
                <w:color w:val="auto"/>
              </w:rPr>
            </w:pPr>
          </w:p>
        </w:tc>
      </w:tr>
      <w:tr>
        <w:trPr>
          <w:trHeight w:val="190"/>
        </w:trPr>
        <w:tc>
          <w:tcPr>
            <w:tcW w:w="230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Involuntary termination</w:t>
            </w:r>
          </w:p>
        </w:tc>
        <w:tc>
          <w:tcPr>
            <w:tcW w:w="3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 months</w:t>
            </w:r>
          </w:p>
        </w:tc>
      </w:tr>
      <w:tr>
        <w:trPr>
          <w:trHeight w:val="206"/>
        </w:trPr>
        <w:tc>
          <w:tcPr>
            <w:tcW w:w="2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without Cause or</w:t>
            </w:r>
          </w:p>
        </w:tc>
        <w:tc>
          <w:tcPr>
            <w:tcW w:w="3000" w:type="dxa"/>
            <w:vAlign w:val="bottom"/>
          </w:tcPr>
          <w:p>
            <w:pPr>
              <w:spacing w:after="0"/>
              <w:rPr>
                <w:sz w:val="17"/>
                <w:szCs w:val="17"/>
                <w:color w:val="auto"/>
              </w:rPr>
            </w:pPr>
          </w:p>
        </w:tc>
      </w:tr>
      <w:tr>
        <w:trPr>
          <w:trHeight w:val="206"/>
        </w:trPr>
        <w:tc>
          <w:tcPr>
            <w:tcW w:w="2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resignation with Good</w:t>
            </w:r>
          </w:p>
        </w:tc>
        <w:tc>
          <w:tcPr>
            <w:tcW w:w="3000" w:type="dxa"/>
            <w:vAlign w:val="bottom"/>
          </w:tcPr>
          <w:p>
            <w:pPr>
              <w:spacing w:after="0"/>
              <w:rPr>
                <w:sz w:val="17"/>
                <w:szCs w:val="17"/>
                <w:color w:val="auto"/>
              </w:rPr>
            </w:pPr>
          </w:p>
        </w:tc>
      </w:tr>
      <w:tr>
        <w:trPr>
          <w:trHeight w:val="209"/>
        </w:trPr>
        <w:tc>
          <w:tcPr>
            <w:tcW w:w="2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Reason: 3-month notice</w:t>
            </w:r>
          </w:p>
        </w:tc>
        <w:tc>
          <w:tcPr>
            <w:tcW w:w="3000" w:type="dxa"/>
            <w:vAlign w:val="bottom"/>
          </w:tcPr>
          <w:p>
            <w:pPr>
              <w:spacing w:after="0"/>
              <w:rPr>
                <w:sz w:val="18"/>
                <w:szCs w:val="18"/>
                <w:color w:val="auto"/>
              </w:rPr>
            </w:pPr>
          </w:p>
        </w:tc>
      </w:tr>
      <w:tr>
        <w:trPr>
          <w:trHeight w:val="226"/>
        </w:trPr>
        <w:tc>
          <w:tcPr>
            <w:tcW w:w="2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period</w:t>
            </w:r>
          </w:p>
        </w:tc>
        <w:tc>
          <w:tcPr>
            <w:tcW w:w="3000" w:type="dxa"/>
            <w:vAlign w:val="bottom"/>
          </w:tcPr>
          <w:p>
            <w:pPr>
              <w:spacing w:after="0"/>
              <w:rPr>
                <w:sz w:val="19"/>
                <w:szCs w:val="19"/>
                <w:color w:val="auto"/>
              </w:rPr>
            </w:pPr>
          </w:p>
        </w:tc>
      </w:tr>
      <w:tr>
        <w:trPr>
          <w:trHeight w:val="206"/>
        </w:trPr>
        <w:tc>
          <w:tcPr>
            <w:tcW w:w="2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Involuntary termination</w:t>
            </w:r>
          </w:p>
        </w:tc>
        <w:tc>
          <w:tcPr>
            <w:tcW w:w="30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9 months</w:t>
            </w:r>
          </w:p>
        </w:tc>
      </w:tr>
      <w:tr>
        <w:trPr>
          <w:trHeight w:val="206"/>
        </w:trPr>
        <w:tc>
          <w:tcPr>
            <w:tcW w:w="2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without Cause or</w:t>
            </w:r>
          </w:p>
        </w:tc>
        <w:tc>
          <w:tcPr>
            <w:tcW w:w="3000" w:type="dxa"/>
            <w:vAlign w:val="bottom"/>
            <w:shd w:val="clear" w:color="auto" w:fill="D5EEEE"/>
          </w:tcPr>
          <w:p>
            <w:pPr>
              <w:spacing w:after="0"/>
              <w:rPr>
                <w:sz w:val="17"/>
                <w:szCs w:val="17"/>
                <w:color w:val="auto"/>
              </w:rPr>
            </w:pPr>
          </w:p>
        </w:tc>
      </w:tr>
      <w:tr>
        <w:trPr>
          <w:trHeight w:val="209"/>
        </w:trPr>
        <w:tc>
          <w:tcPr>
            <w:tcW w:w="2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resignation with Good</w:t>
            </w:r>
          </w:p>
        </w:tc>
        <w:tc>
          <w:tcPr>
            <w:tcW w:w="3000" w:type="dxa"/>
            <w:vAlign w:val="bottom"/>
            <w:shd w:val="clear" w:color="auto" w:fill="D5EEEE"/>
          </w:tcPr>
          <w:p>
            <w:pPr>
              <w:spacing w:after="0"/>
              <w:rPr>
                <w:sz w:val="18"/>
                <w:szCs w:val="18"/>
                <w:color w:val="auto"/>
              </w:rPr>
            </w:pPr>
          </w:p>
        </w:tc>
      </w:tr>
      <w:tr>
        <w:trPr>
          <w:trHeight w:val="209"/>
        </w:trPr>
        <w:tc>
          <w:tcPr>
            <w:tcW w:w="2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Reason: 3-month notice</w:t>
            </w:r>
          </w:p>
        </w:tc>
        <w:tc>
          <w:tcPr>
            <w:tcW w:w="3000" w:type="dxa"/>
            <w:vAlign w:val="bottom"/>
            <w:shd w:val="clear" w:color="auto" w:fill="D5EEEE"/>
          </w:tcPr>
          <w:p>
            <w:pPr>
              <w:spacing w:after="0"/>
              <w:rPr>
                <w:sz w:val="18"/>
                <w:szCs w:val="18"/>
                <w:color w:val="auto"/>
              </w:rPr>
            </w:pPr>
          </w:p>
        </w:tc>
      </w:tr>
      <w:tr>
        <w:trPr>
          <w:trHeight w:val="243"/>
        </w:trPr>
        <w:tc>
          <w:tcPr>
            <w:tcW w:w="2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period</w:t>
            </w:r>
          </w:p>
        </w:tc>
        <w:tc>
          <w:tcPr>
            <w:tcW w:w="3000" w:type="dxa"/>
            <w:vAlign w:val="bottom"/>
            <w:shd w:val="clear" w:color="auto" w:fill="D5EEEE"/>
          </w:tcPr>
          <w:p>
            <w:pPr>
              <w:spacing w:after="0"/>
              <w:rPr>
                <w:sz w:val="21"/>
                <w:szCs w:val="21"/>
                <w:color w:val="auto"/>
              </w:rPr>
            </w:pPr>
          </w:p>
        </w:tc>
      </w:tr>
      <w:tr>
        <w:trPr>
          <w:trHeight w:val="190"/>
        </w:trPr>
        <w:tc>
          <w:tcPr>
            <w:tcW w:w="230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Involuntary termination</w:t>
            </w:r>
          </w:p>
        </w:tc>
        <w:tc>
          <w:tcPr>
            <w:tcW w:w="3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 months</w:t>
            </w:r>
          </w:p>
        </w:tc>
      </w:tr>
      <w:tr>
        <w:trPr>
          <w:trHeight w:val="206"/>
        </w:trPr>
        <w:tc>
          <w:tcPr>
            <w:tcW w:w="2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without Cause or</w:t>
            </w:r>
          </w:p>
        </w:tc>
        <w:tc>
          <w:tcPr>
            <w:tcW w:w="30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-1226820</wp:posOffset>
            </wp:positionH>
            <wp:positionV relativeFrom="paragraph">
              <wp:posOffset>-3875405</wp:posOffset>
            </wp:positionV>
            <wp:extent cx="2691765" cy="944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91765" cy="944880"/>
                    </a:xfrm>
                    <a:prstGeom prst="rect">
                      <a:avLst/>
                    </a:prstGeom>
                    <a:noFill/>
                  </pic:spPr>
                </pic:pic>
              </a:graphicData>
            </a:graphic>
          </wp:anchor>
        </w:drawing>
        <w:drawing>
          <wp:anchor simplePos="0" relativeHeight="251657728" behindDoc="1" locked="0" layoutInCell="0" allowOverlap="1">
            <wp:simplePos x="0" y="0"/>
            <wp:positionH relativeFrom="column">
              <wp:posOffset>-1226820</wp:posOffset>
            </wp:positionH>
            <wp:positionV relativeFrom="paragraph">
              <wp:posOffset>-2259965</wp:posOffset>
            </wp:positionV>
            <wp:extent cx="2708275" cy="669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08275" cy="669290"/>
                    </a:xfrm>
                    <a:prstGeom prst="rect">
                      <a:avLst/>
                    </a:prstGeom>
                    <a:noFill/>
                  </pic:spPr>
                </pic:pic>
              </a:graphicData>
            </a:graphic>
          </wp:anchor>
        </w:drawing>
        <w:drawing>
          <wp:anchor simplePos="0" relativeHeight="251657728" behindDoc="1" locked="0" layoutInCell="0" allowOverlap="1">
            <wp:simplePos x="0" y="0"/>
            <wp:positionH relativeFrom="column">
              <wp:posOffset>-1226820</wp:posOffset>
            </wp:positionH>
            <wp:positionV relativeFrom="paragraph">
              <wp:posOffset>-920115</wp:posOffset>
            </wp:positionV>
            <wp:extent cx="2691765" cy="669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91765" cy="66929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resignation with Good</w:t>
      </w:r>
    </w:p>
    <w:p>
      <w:pPr>
        <w:ind w:left="260"/>
        <w:spacing w:after="0"/>
        <w:rPr>
          <w:sz w:val="20"/>
          <w:szCs w:val="20"/>
          <w:color w:val="auto"/>
        </w:rPr>
      </w:pPr>
      <w:r>
        <w:rPr>
          <w:rFonts w:ascii="Times New Roman" w:cs="Times New Roman" w:eastAsia="Times New Roman" w:hAnsi="Times New Roman"/>
          <w:sz w:val="18"/>
          <w:szCs w:val="18"/>
          <w:color w:val="auto"/>
        </w:rPr>
        <w:t>Reason: 3-month notice</w:t>
      </w:r>
    </w:p>
    <w:p>
      <w:pPr>
        <w:spacing w:after="0" w:line="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period</w:t>
      </w:r>
    </w:p>
    <w:p>
      <w:pPr>
        <w:spacing w:after="0" w:line="200" w:lineRule="exact"/>
        <w:rPr>
          <w:sz w:val="20"/>
          <w:szCs w:val="20"/>
          <w:color w:val="auto"/>
        </w:rPr>
      </w:pPr>
    </w:p>
    <w:p>
      <w:pPr>
        <w:sectPr>
          <w:pgSz w:w="11880" w:h="15480" w:orient="portrait"/>
          <w:cols w:equalWidth="0" w:num="2">
            <w:col w:w="5500" w:space="0"/>
            <w:col w:w="5300"/>
          </w:cols>
          <w:pgMar w:left="540" w:top="887" w:right="540" w:bottom="0" w:gutter="0" w:footer="0" w:header="0"/>
          <w:type w:val="continuous"/>
        </w:sectPr>
      </w:pPr>
    </w:p>
    <w:p>
      <w:pPr>
        <w:spacing w:after="0" w:line="7" w:lineRule="exact"/>
        <w:rPr>
          <w:sz w:val="20"/>
          <w:szCs w:val="20"/>
          <w:color w:val="auto"/>
        </w:rPr>
      </w:pPr>
    </w:p>
    <w:p>
      <w:pPr>
        <w:ind w:left="860" w:right="920" w:hanging="500"/>
        <w:spacing w:after="0" w:line="294" w:lineRule="auto"/>
        <w:tabs>
          <w:tab w:leader="none" w:pos="8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 payments only in the event of employment termination for involuntary termination without cause or termination for “good reason.”</w:t>
      </w:r>
    </w:p>
    <w:p>
      <w:pPr>
        <w:sectPr>
          <w:pgSz w:w="11880" w:h="15480" w:orient="portrait"/>
          <w:cols w:equalWidth="0" w:num="1">
            <w:col w:w="10800"/>
          </w:cols>
          <w:pgMar w:left="540" w:top="887" w:right="540" w:bottom="0" w:gutter="0" w:footer="0" w:header="0"/>
          <w:type w:val="continuous"/>
        </w:sectPr>
      </w:pP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10800"/>
          </w:cols>
          <w:pgMar w:left="540" w:top="887" w:right="540" w:bottom="0" w:gutter="0" w:footer="0" w:header="0"/>
          <w:type w:val="continuous"/>
        </w:sectPr>
      </w:pPr>
    </w:p>
    <w:bookmarkStart w:id="52" w:name="page53"/>
    <w:bookmarkEnd w:id="52"/>
    <w:p>
      <w:pPr>
        <w:ind w:left="860" w:hanging="500"/>
        <w:spacing w:after="0" w:line="260" w:lineRule="auto"/>
        <w:tabs>
          <w:tab w:leader="none" w:pos="8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 For the Former CFO, Former COO, CCO, CTO and GC, Cause is defined as: conviction of, or a plea of guilty or nolo contendere to, a felony or crime involving moral turpitude; participation in an act of fraud or theft; willful and material breach of any contractual, statutory, fiduciary or common law duty owed to the Company; intentional and repeated failure of Executive to perform Executive's job duties after receiving notice of the stated deficiencies and Executive willfully falling to address the deficiencies and deliberately continuing to not perform stated job duties; or any willful, deliberate, premeditated act by Executive that materially and demonstrably injures the reputation, business or a business relationship of the Company. For the CEO, •Cause• shall mean the occurrence of any of the following events: (i) Executive's unauthorized misuse of the Company's trade secrets or proprietary information, (ii) Executive's conviction or plea of nolo contendere to a felony or a crime involving moral turpitude, (iii) Executive's committing an act of fraud against the Company, or (iv) Executive's gross negligence or willful misconduct in the performance of his duties that has had or is likely to have a material adverse effect on the Company. Except for a failure, breach or refusal which, by its nature, cannot reasonably be expected to be cured, Executive shall have ten (10) business days from the delivery date of the Company's written notice of termination within which to cure any acts constituting Cause.</w:t>
      </w:r>
    </w:p>
    <w:p>
      <w:pPr>
        <w:spacing w:after="0" w:line="124" w:lineRule="exact"/>
        <w:rPr>
          <w:rFonts w:ascii="Times New Roman" w:cs="Times New Roman" w:eastAsia="Times New Roman" w:hAnsi="Times New Roman"/>
          <w:sz w:val="20"/>
          <w:szCs w:val="20"/>
          <w:color w:val="auto"/>
        </w:rPr>
      </w:pPr>
    </w:p>
    <w:p>
      <w:pPr>
        <w:ind w:left="860" w:right="20" w:hanging="500"/>
        <w:spacing w:after="0" w:line="270" w:lineRule="auto"/>
        <w:tabs>
          <w:tab w:leader="none" w:pos="86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“Good Reason” - For the Former CFO, Former COO, CCO, CTO and GC, Good Reason is defined as (i) a material diminution in executive’s authority, duties or responsibilities in effect at the time of this agreement; (ii) any reduction in the executive’s then-current base salary, (iii) relocation of executive’s principal place of work by a distance of fifty miles or more from the executive’s then current principal place of work without the executive’s consent; (iv) material breach by the company of any provision of the executive’s employment agreement or (v) the occurrence of a change in control provided</w:t>
      </w:r>
    </w:p>
    <w:p>
      <w:pPr>
        <w:spacing w:after="0" w:line="2" w:lineRule="exact"/>
        <w:rPr>
          <w:rFonts w:ascii="Times New Roman" w:cs="Times New Roman" w:eastAsia="Times New Roman" w:hAnsi="Times New Roman"/>
          <w:sz w:val="19"/>
          <w:szCs w:val="19"/>
          <w:color w:val="auto"/>
        </w:rPr>
      </w:pPr>
    </w:p>
    <w:p>
      <w:pPr>
        <w:ind w:left="860" w:right="200"/>
        <w:spacing w:after="0" w:line="28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through (iv) if such conduct is not cured within thirty days of receipt of written notice by the executive. For the CEO, Good Reason is defined as (i) a material reduction in Executive's Base Salary unless a proportionate reduction is made to the Base Salary of all members of the Company's senior management, (ii) a permanent relocation of Executive's principal place of employment by more than 50 miles from the location in effect immediately prior to such relocation, (iii) any material by the Company of any material provision of this Agreement, or (iv) a material diminution in the nature or scope of Executive's authority or responsibilities from those applicable to Executive as of the Effective Date (date of hire).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Principles</w:t>
      </w:r>
    </w:p>
    <w:p>
      <w:pPr>
        <w:spacing w:after="0" w:line="234" w:lineRule="exact"/>
        <w:rPr>
          <w:sz w:val="20"/>
          <w:szCs w:val="20"/>
          <w:color w:val="auto"/>
        </w:rPr>
      </w:pPr>
    </w:p>
    <w:p>
      <w:pPr>
        <w:ind w:right="60" w:firstLine="721"/>
        <w:spacing w:after="0" w:line="249" w:lineRule="auto"/>
        <w:rPr>
          <w:sz w:val="20"/>
          <w:szCs w:val="20"/>
          <w:color w:val="auto"/>
        </w:rPr>
      </w:pPr>
      <w:r>
        <w:rPr>
          <w:rFonts w:ascii="Times New Roman" w:cs="Times New Roman" w:eastAsia="Times New Roman" w:hAnsi="Times New Roman"/>
          <w:sz w:val="20"/>
          <w:szCs w:val="20"/>
          <w:color w:val="auto"/>
        </w:rPr>
        <w:t>The Compensation Committee has a formal Compensation Governance Framework which, at the core, consists of a Compensation Committee Charter (the “Charter”). The Charter outlines responsibilities and duties of the members, sets forth the frequency of meetings, establishes and reviews the overall compensation policies and practices of the Company and also sets forth the process to review and approve the executive compensation program for the Chief Executive Officer and other executive officers, and make appropriate recommendations to the Board of Directors.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Committee</w:t>
      </w:r>
    </w:p>
    <w:p>
      <w:pPr>
        <w:spacing w:after="0" w:line="234" w:lineRule="exact"/>
        <w:rPr>
          <w:sz w:val="20"/>
          <w:szCs w:val="20"/>
          <w:color w:val="auto"/>
        </w:rPr>
      </w:pPr>
    </w:p>
    <w:p>
      <w:pPr>
        <w:ind w:right="40" w:firstLine="721"/>
        <w:spacing w:after="0" w:line="249" w:lineRule="auto"/>
        <w:rPr>
          <w:sz w:val="20"/>
          <w:szCs w:val="20"/>
          <w:color w:val="auto"/>
        </w:rPr>
      </w:pPr>
      <w:r>
        <w:rPr>
          <w:rFonts w:ascii="Times New Roman" w:cs="Times New Roman" w:eastAsia="Times New Roman" w:hAnsi="Times New Roman"/>
          <w:sz w:val="20"/>
          <w:szCs w:val="20"/>
          <w:color w:val="auto"/>
        </w:rPr>
        <w:t>The Compensation Committee approves or makes recommendations to our Board of Directors on decisions concerning compensation of the executive management team and Board of Directors on a periodic basis to ensure that it is consistent with our short-term and long-term goals. The Compensation Committee assess the appropriateness of the nature and amount of compensation of our executives by reference to relevant employment market conditions with the overall objective of ensuring maximum stakeholder benefit from the recruitment and retention of a high-quality board and executive team.</w:t>
      </w:r>
    </w:p>
    <w:p>
      <w:pPr>
        <w:spacing w:after="0" w:line="188" w:lineRule="exact"/>
        <w:rPr>
          <w:sz w:val="20"/>
          <w:szCs w:val="20"/>
          <w:color w:val="auto"/>
        </w:rPr>
      </w:pPr>
    </w:p>
    <w:p>
      <w:pPr>
        <w:ind w:right="140" w:firstLine="721"/>
        <w:spacing w:after="0" w:line="247" w:lineRule="auto"/>
        <w:rPr>
          <w:sz w:val="20"/>
          <w:szCs w:val="20"/>
          <w:color w:val="auto"/>
        </w:rPr>
      </w:pPr>
      <w:r>
        <w:rPr>
          <w:rFonts w:ascii="Times New Roman" w:cs="Times New Roman" w:eastAsia="Times New Roman" w:hAnsi="Times New Roman"/>
          <w:sz w:val="20"/>
          <w:szCs w:val="20"/>
          <w:color w:val="auto"/>
        </w:rPr>
        <w:t>Additionally, the Compensation Committee is responsible for evaluating the performance of the Company’s key senior executives. The Company’s Chief Executive Officer and other members of management regularly discuss the Company’s compensation issues with Compensation Committee members. The Compensation Committee reviews and recommends to the Board of Directors the overall bonus and equity incentive awards for employees of the Company Additionally, the Company’s Chief Executive Officer makes recommendations to the Compensation Committee for review, modification (if applicable) and approval in relation to bonuses and equity incentive awards for members of the executive management team.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Resignation, Retirement, Termination for Cause, or Resignation without Good Reason Arrangements</w:t>
      </w:r>
    </w:p>
    <w:p>
      <w:pPr>
        <w:spacing w:after="0" w:line="124" w:lineRule="exact"/>
        <w:rPr>
          <w:sz w:val="20"/>
          <w:szCs w:val="20"/>
          <w:color w:val="auto"/>
        </w:rPr>
      </w:pPr>
    </w:p>
    <w:p>
      <w:pPr>
        <w:ind w:right="360" w:firstLine="721"/>
        <w:spacing w:after="0" w:line="279" w:lineRule="auto"/>
        <w:rPr>
          <w:sz w:val="20"/>
          <w:szCs w:val="20"/>
          <w:color w:val="auto"/>
        </w:rPr>
      </w:pPr>
      <w:r>
        <w:rPr>
          <w:rFonts w:ascii="Times New Roman" w:cs="Times New Roman" w:eastAsia="Times New Roman" w:hAnsi="Times New Roman"/>
          <w:sz w:val="20"/>
          <w:szCs w:val="20"/>
          <w:color w:val="auto"/>
        </w:rPr>
        <w:t>The Company does not have any agreements or plans other than the current employment contracts in place for the named executive officers that would provide additional compensation in connection with a retirement.</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Potential Payments upon Involuntary Termination, Resignation without Good Reason or Change-In-Control</w:t>
      </w:r>
    </w:p>
    <w:p>
      <w:pPr>
        <w:spacing w:after="0" w:line="234" w:lineRule="exact"/>
        <w:rPr>
          <w:sz w:val="20"/>
          <w:szCs w:val="20"/>
          <w:color w:val="auto"/>
        </w:rPr>
      </w:pPr>
    </w:p>
    <w:p>
      <w:pPr>
        <w:ind w:right="400" w:firstLine="721"/>
        <w:spacing w:after="0" w:line="306" w:lineRule="auto"/>
        <w:rPr>
          <w:sz w:val="20"/>
          <w:szCs w:val="20"/>
          <w:color w:val="auto"/>
        </w:rPr>
      </w:pPr>
      <w:r>
        <w:rPr>
          <w:rFonts w:ascii="Times New Roman" w:cs="Times New Roman" w:eastAsia="Times New Roman" w:hAnsi="Times New Roman"/>
          <w:sz w:val="19"/>
          <w:szCs w:val="19"/>
          <w:color w:val="auto"/>
        </w:rPr>
        <w:t>The employment contract provides for the following severance payments upon termination by us without cause or by the employee for good reason (as defined in the particular employment agreement): (i) payment of the employee’s then-current base</w:t>
      </w:r>
    </w:p>
    <w:p>
      <w:pPr>
        <w:sectPr>
          <w:pgSz w:w="11880" w:h="15480" w:orient="portrait"/>
          <w:cols w:equalWidth="0" w:num="1">
            <w:col w:w="10780"/>
          </w:cols>
          <w:pgMar w:left="540" w:top="887" w:right="560" w:bottom="0" w:gutter="0" w:footer="0" w:header="0"/>
        </w:sectPr>
      </w:pP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10780"/>
          </w:cols>
          <w:pgMar w:left="540" w:top="887" w:right="560" w:bottom="0" w:gutter="0" w:footer="0" w:header="0"/>
          <w:type w:val="continuous"/>
        </w:sectPr>
      </w:pPr>
    </w:p>
    <w:bookmarkStart w:id="53" w:name="page54"/>
    <w:bookmarkEnd w:id="53"/>
    <w:p>
      <w:pPr>
        <w:ind w:right="60"/>
        <w:spacing w:after="0" w:line="247" w:lineRule="auto"/>
        <w:rPr>
          <w:sz w:val="20"/>
          <w:szCs w:val="20"/>
          <w:color w:val="auto"/>
        </w:rPr>
      </w:pPr>
      <w:r>
        <w:rPr>
          <w:rFonts w:ascii="Times New Roman" w:cs="Times New Roman" w:eastAsia="Times New Roman" w:hAnsi="Times New Roman"/>
          <w:sz w:val="20"/>
          <w:szCs w:val="20"/>
          <w:color w:val="auto"/>
        </w:rPr>
        <w:t>salary for a period of nine months or twelve months (in the case of the CEO), following termination; (ii) a pro-rated target bonus for the period during which the employee was employed in the year of termination; and (iii) continued coverage under our group health and benefits plan consistent with the term of the base salary; and (iv) immediate acceleration of unvested stock options. Further, in the case of the Chief Executive Officer, if his employment terminates as a result of disability or death, he or his representative will be entitled to receive: (i) a lump sum payment equal to 12 months of the employee’s then-current base salary, (ii) unpaid annual bonus, and (iii) any unpaid vacation. Payment in each case is subject to the employee’s, or representative’s execution of a release.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Outstanding Equity Awards at Fiscal Year-End</w:t>
      </w:r>
    </w:p>
    <w:p>
      <w:pPr>
        <w:spacing w:after="0" w:line="124" w:lineRule="exact"/>
        <w:rPr>
          <w:sz w:val="20"/>
          <w:szCs w:val="20"/>
          <w:color w:val="auto"/>
        </w:rPr>
      </w:pPr>
    </w:p>
    <w:p>
      <w:pPr>
        <w:ind w:right="380" w:firstLine="720"/>
        <w:spacing w:after="0" w:line="276" w:lineRule="auto"/>
        <w:rPr>
          <w:sz w:val="20"/>
          <w:szCs w:val="20"/>
          <w:color w:val="auto"/>
        </w:rPr>
      </w:pPr>
      <w:r>
        <w:rPr>
          <w:rFonts w:ascii="Times New Roman" w:cs="Times New Roman" w:eastAsia="Times New Roman" w:hAnsi="Times New Roman"/>
          <w:sz w:val="20"/>
          <w:szCs w:val="20"/>
          <w:color w:val="auto"/>
        </w:rPr>
        <w:t>The following table presents information regarding outstanding equity awards held by our named executive officers as of December 31, 2022 (in US dollars).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5"/>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1380" w:type="dxa"/>
            <w:vAlign w:val="bottom"/>
            <w:tcBorders>
              <w:top w:val="single" w:sz="8" w:color="auto"/>
            </w:tcBorders>
            <w:vMerge w:val="restart"/>
          </w:tcPr>
          <w:p>
            <w:pPr>
              <w:jc w:val="center"/>
              <w:ind w:right="40"/>
              <w:spacing w:after="0" w:line="171" w:lineRule="exact"/>
              <w:rPr>
                <w:sz w:val="20"/>
                <w:szCs w:val="20"/>
                <w:color w:val="auto"/>
              </w:rPr>
            </w:pPr>
            <w:r>
              <w:rPr>
                <w:rFonts w:ascii="Times New Roman" w:cs="Times New Roman" w:eastAsia="Times New Roman" w:hAnsi="Times New Roman"/>
                <w:sz w:val="16"/>
                <w:szCs w:val="16"/>
                <w:b w:val="1"/>
                <w:bCs w:val="1"/>
                <w:color w:val="auto"/>
                <w:w w:val="99"/>
              </w:rPr>
              <w:t>Market or</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payout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5"/>
                <w:szCs w:val="15"/>
                <w:color w:val="auto"/>
              </w:rPr>
            </w:pPr>
          </w:p>
        </w:tc>
        <w:tc>
          <w:tcPr>
            <w:tcW w:w="1080" w:type="dxa"/>
            <w:vAlign w:val="bottom"/>
            <w:gridSpan w:val="2"/>
          </w:tcPr>
          <w:p>
            <w:pPr>
              <w:jc w:val="center"/>
              <w:ind w:right="120"/>
              <w:spacing w:after="0" w:line="182"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center"/>
              <w:ind w:right="40"/>
              <w:spacing w:after="0" w:line="182" w:lineRule="exact"/>
              <w:rPr>
                <w:sz w:val="20"/>
                <w:szCs w:val="20"/>
                <w:color w:val="auto"/>
              </w:rPr>
            </w:pPr>
            <w:r>
              <w:rPr>
                <w:rFonts w:ascii="Times New Roman" w:cs="Times New Roman" w:eastAsia="Times New Roman" w:hAnsi="Times New Roman"/>
                <w:sz w:val="16"/>
                <w:szCs w:val="16"/>
                <w:b w:val="1"/>
                <w:bCs w:val="1"/>
                <w:color w:val="auto"/>
                <w:w w:val="98"/>
              </w:rPr>
              <w:t>unearned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Pr>
          <w:p>
            <w:pPr>
              <w:jc w:val="center"/>
              <w:ind w:right="40"/>
              <w:spacing w:after="0" w:line="182" w:lineRule="exact"/>
              <w:rPr>
                <w:sz w:val="20"/>
                <w:szCs w:val="20"/>
                <w:color w:val="auto"/>
              </w:rPr>
            </w:pPr>
            <w:r>
              <w:rPr>
                <w:rFonts w:ascii="Times New Roman" w:cs="Times New Roman" w:eastAsia="Times New Roman" w:hAnsi="Times New Roman"/>
                <w:sz w:val="16"/>
                <w:szCs w:val="16"/>
                <w:b w:val="1"/>
                <w:bCs w:val="1"/>
                <w:color w:val="auto"/>
                <w:w w:val="99"/>
              </w:rPr>
              <w:t>of unearned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00" w:type="dxa"/>
            <w:vAlign w:val="bottom"/>
          </w:tcPr>
          <w:p>
            <w:pPr>
              <w:spacing w:after="0"/>
              <w:rPr>
                <w:sz w:val="16"/>
                <w:szCs w:val="16"/>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securities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shares, units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shares, units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underlying</w:t>
            </w:r>
          </w:p>
        </w:tc>
        <w:tc>
          <w:tcPr>
            <w:tcW w:w="100" w:type="dxa"/>
            <w:vAlign w:val="bottom"/>
          </w:tcPr>
          <w:p>
            <w:pPr>
              <w:spacing w:after="0"/>
              <w:rPr>
                <w:sz w:val="16"/>
                <w:szCs w:val="16"/>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or other rights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or other rights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720" w:type="dxa"/>
            <w:vAlign w:val="bottom"/>
          </w:tcPr>
          <w:p>
            <w:pPr>
              <w:spacing w:after="0"/>
              <w:rPr>
                <w:sz w:val="15"/>
                <w:szCs w:val="15"/>
                <w:color w:val="auto"/>
              </w:rPr>
            </w:pPr>
          </w:p>
        </w:tc>
        <w:tc>
          <w:tcPr>
            <w:tcW w:w="1140" w:type="dxa"/>
            <w:vAlign w:val="bottom"/>
            <w:gridSpan w:val="3"/>
          </w:tcPr>
          <w:p>
            <w:pPr>
              <w:jc w:val="center"/>
              <w:ind w:right="120"/>
              <w:spacing w:after="0" w:line="182" w:lineRule="exact"/>
              <w:rPr>
                <w:sz w:val="20"/>
                <w:szCs w:val="20"/>
                <w:color w:val="auto"/>
              </w:rPr>
            </w:pPr>
            <w:r>
              <w:rPr>
                <w:rFonts w:ascii="Times New Roman" w:cs="Times New Roman" w:eastAsia="Times New Roman" w:hAnsi="Times New Roman"/>
                <w:sz w:val="16"/>
                <w:szCs w:val="16"/>
                <w:b w:val="1"/>
                <w:bCs w:val="1"/>
                <w:color w:val="auto"/>
              </w:rPr>
              <w:t>unexercised</w:t>
            </w:r>
          </w:p>
        </w:tc>
        <w:tc>
          <w:tcPr>
            <w:tcW w:w="100" w:type="dxa"/>
            <w:vAlign w:val="bottom"/>
          </w:tcPr>
          <w:p>
            <w:pPr>
              <w:spacing w:after="0"/>
              <w:rPr>
                <w:sz w:val="15"/>
                <w:szCs w:val="15"/>
                <w:color w:val="auto"/>
              </w:rPr>
            </w:pPr>
          </w:p>
        </w:tc>
        <w:tc>
          <w:tcPr>
            <w:tcW w:w="1080" w:type="dxa"/>
            <w:vAlign w:val="bottom"/>
            <w:gridSpan w:val="2"/>
          </w:tcPr>
          <w:p>
            <w:pPr>
              <w:jc w:val="center"/>
              <w:ind w:right="120"/>
              <w:spacing w:after="0" w:line="182" w:lineRule="exact"/>
              <w:rPr>
                <w:sz w:val="20"/>
                <w:szCs w:val="20"/>
                <w:color w:val="auto"/>
              </w:rPr>
            </w:pPr>
            <w:r>
              <w:rPr>
                <w:rFonts w:ascii="Times New Roman" w:cs="Times New Roman" w:eastAsia="Times New Roman" w:hAnsi="Times New Roman"/>
                <w:sz w:val="16"/>
                <w:szCs w:val="16"/>
                <w:b w:val="1"/>
                <w:bCs w:val="1"/>
                <w:color w:val="auto"/>
                <w:w w:val="98"/>
              </w:rPr>
              <w:t>unexercised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20"/>
              <w:spacing w:after="0" w:line="182" w:lineRule="exact"/>
              <w:rPr>
                <w:sz w:val="20"/>
                <w:szCs w:val="20"/>
                <w:color w:val="auto"/>
              </w:rPr>
            </w:pPr>
            <w:r>
              <w:rPr>
                <w:rFonts w:ascii="Times New Roman" w:cs="Times New Roman" w:eastAsia="Times New Roman" w:hAnsi="Times New Roman"/>
                <w:sz w:val="16"/>
                <w:szCs w:val="16"/>
                <w:b w:val="1"/>
                <w:bCs w:val="1"/>
                <w:color w:val="auto"/>
                <w:w w:val="99"/>
              </w:rPr>
              <w:t>exercise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20"/>
              <w:spacing w:after="0" w:line="182" w:lineRule="exact"/>
              <w:rPr>
                <w:sz w:val="20"/>
                <w:szCs w:val="20"/>
                <w:color w:val="auto"/>
              </w:rPr>
            </w:pPr>
            <w:r>
              <w:rPr>
                <w:rFonts w:ascii="Times New Roman" w:cs="Times New Roman" w:eastAsia="Times New Roman" w:hAnsi="Times New Roman"/>
                <w:sz w:val="16"/>
                <w:szCs w:val="16"/>
                <w:b w:val="1"/>
                <w:bCs w:val="1"/>
                <w:color w:val="auto"/>
              </w:rPr>
              <w:t>expiration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center"/>
              <w:ind w:right="40"/>
              <w:spacing w:after="0" w:line="182" w:lineRule="exact"/>
              <w:rPr>
                <w:sz w:val="20"/>
                <w:szCs w:val="20"/>
                <w:color w:val="auto"/>
              </w:rPr>
            </w:pPr>
            <w:r>
              <w:rPr>
                <w:rFonts w:ascii="Times New Roman" w:cs="Times New Roman" w:eastAsia="Times New Roman" w:hAnsi="Times New Roman"/>
                <w:sz w:val="16"/>
                <w:szCs w:val="16"/>
                <w:b w:val="1"/>
                <w:bCs w:val="1"/>
                <w:color w:val="auto"/>
              </w:rPr>
              <w:t>have not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Pr>
          <w:p>
            <w:pPr>
              <w:jc w:val="center"/>
              <w:ind w:right="40"/>
              <w:spacing w:after="0" w:line="182" w:lineRule="exact"/>
              <w:rPr>
                <w:sz w:val="20"/>
                <w:szCs w:val="20"/>
                <w:color w:val="auto"/>
              </w:rPr>
            </w:pPr>
            <w:r>
              <w:rPr>
                <w:rFonts w:ascii="Times New Roman" w:cs="Times New Roman" w:eastAsia="Times New Roman" w:hAnsi="Times New Roman"/>
                <w:sz w:val="16"/>
                <w:szCs w:val="16"/>
                <w:b w:val="1"/>
                <w:bCs w:val="1"/>
                <w:color w:val="auto"/>
                <w:w w:val="99"/>
              </w:rPr>
              <w:t>have not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options (#)</w:t>
            </w:r>
          </w:p>
        </w:tc>
        <w:tc>
          <w:tcPr>
            <w:tcW w:w="100" w:type="dxa"/>
            <w:vAlign w:val="bottom"/>
          </w:tcPr>
          <w:p>
            <w:pPr>
              <w:spacing w:after="0"/>
              <w:rPr>
                <w:sz w:val="16"/>
                <w:szCs w:val="16"/>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unearned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price ($)</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5"/>
              </w:rPr>
              <w:t>date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vested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vested ($)</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exercisable</w:t>
            </w:r>
          </w:p>
        </w:tc>
        <w:tc>
          <w:tcPr>
            <w:tcW w:w="10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options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6"/>
              </w:rPr>
              <w:t>(2)</w:t>
            </w:r>
          </w:p>
        </w:tc>
        <w:tc>
          <w:tcPr>
            <w:tcW w:w="1340" w:type="dxa"/>
            <w:vAlign w:val="bottom"/>
            <w:gridSpan w:val="3"/>
          </w:tcPr>
          <w:p>
            <w:pPr>
              <w:jc w:val="center"/>
              <w:ind w:left="220"/>
              <w:spacing w:after="0"/>
              <w:rPr>
                <w:sz w:val="20"/>
                <w:szCs w:val="20"/>
                <w:color w:val="auto"/>
              </w:rPr>
            </w:pPr>
            <w:r>
              <w:rPr>
                <w:rFonts w:ascii="Times New Roman" w:cs="Times New Roman" w:eastAsia="Times New Roman" w:hAnsi="Times New Roman"/>
                <w:sz w:val="16"/>
                <w:szCs w:val="16"/>
                <w:b w:val="1"/>
                <w:bCs w:val="1"/>
                <w:color w:val="auto"/>
              </w:rPr>
              <w:t>(2)</w:t>
            </w:r>
          </w:p>
        </w:tc>
        <w:tc>
          <w:tcPr>
            <w:tcW w:w="20" w:type="dxa"/>
            <w:vAlign w:val="bottom"/>
          </w:tcPr>
          <w:p>
            <w:pPr>
              <w:spacing w:after="0"/>
              <w:rPr>
                <w:sz w:val="17"/>
                <w:szCs w:val="17"/>
                <w:color w:val="auto"/>
              </w:rPr>
            </w:pPr>
          </w:p>
        </w:tc>
        <w:tc>
          <w:tcPr>
            <w:tcW w:w="1580" w:type="dxa"/>
            <w:vAlign w:val="bottom"/>
            <w:gridSpan w:val="3"/>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6"/>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720" w:type="dxa"/>
            <w:vAlign w:val="bottom"/>
            <w:tcBorders>
              <w:top w:val="single" w:sz="8" w:color="D5EEEE"/>
              <w:bottom w:val="single" w:sz="8" w:color="D5EEEE"/>
            </w:tcBorders>
            <w:shd w:val="clear" w:color="auto" w:fill="D5EEEE"/>
          </w:tcPr>
          <w:p>
            <w:pPr>
              <w:spacing w:after="0" w:line="179" w:lineRule="exact"/>
              <w:rPr>
                <w:sz w:val="20"/>
                <w:szCs w:val="20"/>
                <w:color w:val="auto"/>
              </w:rPr>
            </w:pPr>
            <w:r>
              <w:rPr>
                <w:rFonts w:ascii="Times New Roman" w:cs="Times New Roman" w:eastAsia="Times New Roman" w:hAnsi="Times New Roman"/>
                <w:sz w:val="16"/>
                <w:szCs w:val="16"/>
                <w:color w:val="auto"/>
              </w:rPr>
              <w:t>James Corbett, Chief Executive Officer</w:t>
            </w:r>
          </w:p>
        </w:tc>
        <w:tc>
          <w:tcPr>
            <w:tcW w:w="120" w:type="dxa"/>
            <w:vAlign w:val="bottom"/>
            <w:tcBorders>
              <w:top w:val="single" w:sz="8" w:color="D5EEEE"/>
              <w:bottom w:val="single" w:sz="8" w:color="D5EEEE"/>
            </w:tcBorders>
            <w:shd w:val="clear" w:color="auto" w:fill="D5EEEE"/>
          </w:tcPr>
          <w:p>
            <w:pPr>
              <w:spacing w:after="0"/>
              <w:rPr>
                <w:sz w:val="15"/>
                <w:szCs w:val="15"/>
                <w:color w:val="auto"/>
              </w:rPr>
            </w:pPr>
          </w:p>
        </w:tc>
        <w:tc>
          <w:tcPr>
            <w:tcW w:w="900" w:type="dxa"/>
            <w:vAlign w:val="bottom"/>
            <w:tcBorders>
              <w:bottom w:val="single" w:sz="8" w:color="D5EEEE"/>
            </w:tcBorders>
            <w:shd w:val="clear" w:color="auto" w:fill="D5EEEE"/>
          </w:tcPr>
          <w:p>
            <w:pPr>
              <w:jc w:val="right"/>
              <w:spacing w:after="0" w:line="179" w:lineRule="exact"/>
              <w:rPr>
                <w:sz w:val="20"/>
                <w:szCs w:val="20"/>
                <w:color w:val="auto"/>
              </w:rPr>
            </w:pPr>
            <w:r>
              <w:rPr>
                <w:rFonts w:ascii="Times New Roman" w:cs="Times New Roman" w:eastAsia="Times New Roman" w:hAnsi="Times New Roman"/>
                <w:sz w:val="16"/>
                <w:szCs w:val="16"/>
                <w:color w:val="auto"/>
              </w:rPr>
              <w:t>4,192</w:t>
            </w:r>
          </w:p>
        </w:tc>
        <w:tc>
          <w:tcPr>
            <w:tcW w:w="120" w:type="dxa"/>
            <w:vAlign w:val="bottom"/>
            <w:tcBorders>
              <w:top w:val="single" w:sz="8" w:color="D5EEEE"/>
              <w:bottom w:val="single" w:sz="8" w:color="D5EEEE"/>
            </w:tcBorders>
            <w:shd w:val="clear" w:color="auto" w:fill="D5EEEE"/>
          </w:tcPr>
          <w:p>
            <w:pPr>
              <w:spacing w:after="0"/>
              <w:rPr>
                <w:sz w:val="15"/>
                <w:szCs w:val="15"/>
                <w:color w:val="auto"/>
              </w:rPr>
            </w:pPr>
          </w:p>
        </w:tc>
        <w:tc>
          <w:tcPr>
            <w:tcW w:w="100" w:type="dxa"/>
            <w:vAlign w:val="bottom"/>
            <w:tcBorders>
              <w:top w:val="single" w:sz="8" w:color="D5EEEE"/>
              <w:bottom w:val="single" w:sz="8" w:color="D5EEEE"/>
            </w:tcBorders>
          </w:tcPr>
          <w:p>
            <w:pPr>
              <w:spacing w:after="0"/>
              <w:rPr>
                <w:sz w:val="15"/>
                <w:szCs w:val="15"/>
                <w:color w:val="auto"/>
              </w:rPr>
            </w:pPr>
          </w:p>
        </w:tc>
        <w:tc>
          <w:tcPr>
            <w:tcW w:w="1060" w:type="dxa"/>
            <w:vAlign w:val="bottom"/>
            <w:tcBorders>
              <w:top w:val="single" w:sz="8" w:color="D5EEEE"/>
              <w:bottom w:val="single" w:sz="8" w:color="D5EEEE"/>
            </w:tcBorders>
            <w:shd w:val="clear" w:color="auto" w:fill="D5EEEE"/>
          </w:tcPr>
          <w:p>
            <w:pPr>
              <w:jc w:val="right"/>
              <w:spacing w:after="0" w:line="179" w:lineRule="exact"/>
              <w:rPr>
                <w:sz w:val="20"/>
                <w:szCs w:val="20"/>
                <w:color w:val="auto"/>
              </w:rPr>
            </w:pPr>
            <w:r>
              <w:rPr>
                <w:rFonts w:ascii="Times New Roman" w:cs="Times New Roman" w:eastAsia="Times New Roman" w:hAnsi="Times New Roman"/>
                <w:sz w:val="16"/>
                <w:szCs w:val="16"/>
                <w:color w:val="auto"/>
              </w:rPr>
              <w:t>3,283</w:t>
            </w:r>
          </w:p>
        </w:tc>
        <w:tc>
          <w:tcPr>
            <w:tcW w:w="20" w:type="dxa"/>
            <w:vAlign w:val="bottom"/>
            <w:tcBorders>
              <w:top w:val="single" w:sz="8" w:color="D5EEEE"/>
              <w:bottom w:val="single" w:sz="8" w:color="D5EEEE"/>
            </w:tcBorders>
          </w:tcPr>
          <w:p>
            <w:pPr>
              <w:spacing w:after="0"/>
              <w:rPr>
                <w:sz w:val="15"/>
                <w:szCs w:val="15"/>
                <w:color w:val="auto"/>
              </w:rPr>
            </w:pPr>
          </w:p>
        </w:tc>
        <w:tc>
          <w:tcPr>
            <w:tcW w:w="100" w:type="dxa"/>
            <w:vAlign w:val="bottom"/>
            <w:tcBorders>
              <w:top w:val="single" w:sz="8" w:color="D5EEEE"/>
              <w:bottom w:val="single" w:sz="8" w:color="D5EEEE"/>
            </w:tcBorders>
            <w:shd w:val="clear" w:color="auto" w:fill="D5EEEE"/>
          </w:tcPr>
          <w:p>
            <w:pPr>
              <w:spacing w:after="0"/>
              <w:rPr>
                <w:sz w:val="15"/>
                <w:szCs w:val="15"/>
                <w:color w:val="auto"/>
              </w:rPr>
            </w:pPr>
          </w:p>
        </w:tc>
        <w:tc>
          <w:tcPr>
            <w:tcW w:w="100" w:type="dxa"/>
            <w:vAlign w:val="bottom"/>
            <w:tcBorders>
              <w:top w:val="single" w:sz="8" w:color="D5EEEE"/>
              <w:bottom w:val="single" w:sz="8" w:color="D5EEEE"/>
            </w:tcBorders>
            <w:shd w:val="clear" w:color="auto" w:fill="D5EEEE"/>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shd w:val="clear" w:color="auto" w:fill="D5EEEE"/>
              </w:rPr>
              <w:t>$</w:t>
            </w:r>
          </w:p>
        </w:tc>
        <w:tc>
          <w:tcPr>
            <w:tcW w:w="920" w:type="dxa"/>
            <w:vAlign w:val="bottom"/>
            <w:tcBorders>
              <w:top w:val="single" w:sz="8" w:color="D5EEEE"/>
              <w:bottom w:val="single" w:sz="8" w:color="D5EEEE"/>
            </w:tcBorders>
            <w:shd w:val="clear" w:color="auto" w:fill="D5EEEE"/>
          </w:tcPr>
          <w:p>
            <w:pPr>
              <w:jc w:val="right"/>
              <w:spacing w:after="0" w:line="179" w:lineRule="exact"/>
              <w:rPr>
                <w:sz w:val="20"/>
                <w:szCs w:val="20"/>
                <w:color w:val="auto"/>
              </w:rPr>
            </w:pPr>
            <w:r>
              <w:rPr>
                <w:rFonts w:ascii="Times New Roman" w:cs="Times New Roman" w:eastAsia="Times New Roman" w:hAnsi="Times New Roman"/>
                <w:sz w:val="16"/>
                <w:szCs w:val="16"/>
                <w:color w:val="auto"/>
              </w:rPr>
              <w:t>12.18</w:t>
            </w:r>
          </w:p>
        </w:tc>
        <w:tc>
          <w:tcPr>
            <w:tcW w:w="120" w:type="dxa"/>
            <w:vAlign w:val="bottom"/>
            <w:tcBorders>
              <w:top w:val="single" w:sz="8" w:color="D5EEEE"/>
              <w:bottom w:val="single" w:sz="8" w:color="D5EEEE"/>
            </w:tcBorders>
            <w:shd w:val="clear" w:color="auto" w:fill="D5EEEE"/>
          </w:tcPr>
          <w:p>
            <w:pPr>
              <w:spacing w:after="0"/>
              <w:rPr>
                <w:sz w:val="15"/>
                <w:szCs w:val="15"/>
                <w:color w:val="auto"/>
              </w:rPr>
            </w:pPr>
          </w:p>
        </w:tc>
        <w:tc>
          <w:tcPr>
            <w:tcW w:w="180" w:type="dxa"/>
            <w:vAlign w:val="bottom"/>
            <w:tcBorders>
              <w:top w:val="single" w:sz="8" w:color="D5EEEE"/>
              <w:bottom w:val="single" w:sz="8" w:color="D5EEEE"/>
            </w:tcBorders>
          </w:tcPr>
          <w:p>
            <w:pPr>
              <w:spacing w:after="0"/>
              <w:rPr>
                <w:sz w:val="15"/>
                <w:szCs w:val="15"/>
                <w:color w:val="auto"/>
              </w:rPr>
            </w:pPr>
          </w:p>
        </w:tc>
        <w:tc>
          <w:tcPr>
            <w:tcW w:w="1040" w:type="dxa"/>
            <w:vAlign w:val="bottom"/>
            <w:tcBorders>
              <w:top w:val="single" w:sz="8" w:color="D5EEEE"/>
              <w:bottom w:val="single" w:sz="8" w:color="D5EEEE"/>
            </w:tcBorders>
            <w:shd w:val="clear" w:color="auto" w:fill="D5EEEE"/>
          </w:tcPr>
          <w:p>
            <w:pPr>
              <w:jc w:val="right"/>
              <w:spacing w:after="0" w:line="179" w:lineRule="exact"/>
              <w:rPr>
                <w:sz w:val="20"/>
                <w:szCs w:val="20"/>
                <w:color w:val="auto"/>
              </w:rPr>
            </w:pPr>
            <w:r>
              <w:rPr>
                <w:rFonts w:ascii="Times New Roman" w:cs="Times New Roman" w:eastAsia="Times New Roman" w:hAnsi="Times New Roman"/>
                <w:sz w:val="16"/>
                <w:szCs w:val="16"/>
                <w:color w:val="auto"/>
              </w:rPr>
              <w:t>12/12/2031</w:t>
            </w:r>
          </w:p>
        </w:tc>
        <w:tc>
          <w:tcPr>
            <w:tcW w:w="20" w:type="dxa"/>
            <w:vAlign w:val="bottom"/>
            <w:tcBorders>
              <w:top w:val="single" w:sz="8" w:color="D5EEEE"/>
              <w:bottom w:val="single" w:sz="8" w:color="D5EEEE"/>
            </w:tcBorders>
          </w:tcPr>
          <w:p>
            <w:pPr>
              <w:spacing w:after="0"/>
              <w:rPr>
                <w:sz w:val="15"/>
                <w:szCs w:val="15"/>
                <w:color w:val="auto"/>
              </w:rPr>
            </w:pPr>
          </w:p>
        </w:tc>
        <w:tc>
          <w:tcPr>
            <w:tcW w:w="100" w:type="dxa"/>
            <w:vAlign w:val="bottom"/>
            <w:tcBorders>
              <w:top w:val="single" w:sz="8" w:color="D5EEEE"/>
              <w:bottom w:val="single" w:sz="8" w:color="D5EEEE"/>
            </w:tcBorders>
            <w:shd w:val="clear" w:color="auto" w:fill="D5EEEE"/>
          </w:tcPr>
          <w:p>
            <w:pPr>
              <w:spacing w:after="0"/>
              <w:rPr>
                <w:sz w:val="15"/>
                <w:szCs w:val="15"/>
                <w:color w:val="auto"/>
              </w:rPr>
            </w:pPr>
          </w:p>
        </w:tc>
        <w:tc>
          <w:tcPr>
            <w:tcW w:w="120" w:type="dxa"/>
            <w:vAlign w:val="bottom"/>
            <w:tcBorders>
              <w:top w:val="single" w:sz="8" w:color="D5EEEE"/>
              <w:bottom w:val="single" w:sz="8" w:color="D5EEEE"/>
            </w:tcBorders>
          </w:tcPr>
          <w:p>
            <w:pPr>
              <w:spacing w:after="0"/>
              <w:rPr>
                <w:sz w:val="15"/>
                <w:szCs w:val="15"/>
                <w:color w:val="auto"/>
              </w:rPr>
            </w:pPr>
          </w:p>
        </w:tc>
        <w:tc>
          <w:tcPr>
            <w:tcW w:w="1360" w:type="dxa"/>
            <w:vAlign w:val="bottom"/>
            <w:tcBorders>
              <w:bottom w:val="single" w:sz="8" w:color="D5EEEE"/>
            </w:tcBorders>
            <w:shd w:val="clear" w:color="auto" w:fill="D5EEEE"/>
          </w:tcPr>
          <w:p>
            <w:pPr>
              <w:jc w:val="right"/>
              <w:spacing w:after="0" w:line="179" w:lineRule="exact"/>
              <w:rPr>
                <w:sz w:val="20"/>
                <w:szCs w:val="20"/>
                <w:color w:val="auto"/>
              </w:rPr>
            </w:pPr>
            <w:r>
              <w:rPr>
                <w:rFonts w:ascii="Times New Roman" w:cs="Times New Roman" w:eastAsia="Times New Roman" w:hAnsi="Times New Roman"/>
                <w:sz w:val="16"/>
                <w:szCs w:val="16"/>
                <w:color w:val="auto"/>
              </w:rPr>
              <w:t>5,783</w:t>
            </w:r>
          </w:p>
        </w:tc>
        <w:tc>
          <w:tcPr>
            <w:tcW w:w="120" w:type="dxa"/>
            <w:vAlign w:val="bottom"/>
            <w:tcBorders>
              <w:top w:val="single" w:sz="8" w:color="D5EEEE"/>
              <w:bottom w:val="single" w:sz="8" w:color="D5EEEE"/>
            </w:tcBorders>
            <w:shd w:val="clear" w:color="auto" w:fill="D5EEEE"/>
          </w:tcPr>
          <w:p>
            <w:pPr>
              <w:spacing w:after="0"/>
              <w:rPr>
                <w:sz w:val="15"/>
                <w:szCs w:val="15"/>
                <w:color w:val="auto"/>
              </w:rPr>
            </w:pPr>
          </w:p>
        </w:tc>
        <w:tc>
          <w:tcPr>
            <w:tcW w:w="80" w:type="dxa"/>
            <w:vAlign w:val="bottom"/>
            <w:tcBorders>
              <w:top w:val="single" w:sz="8" w:color="D5EEEE"/>
              <w:bottom w:val="single" w:sz="8" w:color="D5EEEE"/>
            </w:tcBorders>
            <w:shd w:val="clear" w:color="auto" w:fill="D5EEEE"/>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shd w:val="clear" w:color="auto" w:fill="D5EEEE"/>
              </w:rPr>
              <w:t>$</w:t>
            </w:r>
          </w:p>
        </w:tc>
        <w:tc>
          <w:tcPr>
            <w:tcW w:w="20" w:type="dxa"/>
            <w:vAlign w:val="bottom"/>
            <w:tcBorders>
              <w:top w:val="single" w:sz="8" w:color="D5EEEE"/>
              <w:bottom w:val="single" w:sz="8" w:color="D5EEEE"/>
            </w:tcBorders>
          </w:tcPr>
          <w:p>
            <w:pPr>
              <w:spacing w:after="0"/>
              <w:rPr>
                <w:sz w:val="15"/>
                <w:szCs w:val="15"/>
                <w:color w:val="auto"/>
              </w:rPr>
            </w:pPr>
          </w:p>
        </w:tc>
        <w:tc>
          <w:tcPr>
            <w:tcW w:w="1380" w:type="dxa"/>
            <w:vAlign w:val="bottom"/>
            <w:tcBorders>
              <w:top w:val="single" w:sz="8" w:color="D5EEEE"/>
              <w:bottom w:val="single" w:sz="8" w:color="D5EEEE"/>
            </w:tcBorders>
            <w:shd w:val="clear" w:color="auto" w:fill="D5EEEE"/>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rPr>
              <w:t>38,16</w:t>
            </w:r>
          </w:p>
        </w:tc>
        <w:tc>
          <w:tcPr>
            <w:tcW w:w="100" w:type="dxa"/>
            <w:vAlign w:val="bottom"/>
            <w:tcBorders>
              <w:top w:val="single" w:sz="8" w:color="D5EEEE"/>
              <w:bottom w:val="single" w:sz="8" w:color="D5EEEE"/>
            </w:tcBorders>
            <w:shd w:val="clear" w:color="auto" w:fill="D5EEEE"/>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vMerge w:val="restart"/>
            <w:shd w:val="clear" w:color="auto" w:fill="D5EEEE"/>
          </w:tcPr>
          <w:p>
            <w:pPr>
              <w:spacing w:after="0"/>
              <w:rPr>
                <w:sz w:val="8"/>
                <w:szCs w:val="8"/>
                <w:color w:val="auto"/>
              </w:rPr>
            </w:pPr>
          </w:p>
        </w:tc>
        <w:tc>
          <w:tcPr>
            <w:tcW w:w="100" w:type="dxa"/>
            <w:vAlign w:val="bottom"/>
            <w:vMerge w:val="restart"/>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100" w:type="dxa"/>
            <w:vAlign w:val="bottom"/>
            <w:vMerge w:val="restart"/>
            <w:shd w:val="clear" w:color="auto" w:fill="D5EEEE"/>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vMerge w:val="restart"/>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20" w:type="dxa"/>
            <w:vAlign w:val="bottom"/>
            <w:vMerge w:val="restart"/>
            <w:shd w:val="clear" w:color="auto" w:fill="D5EEEE"/>
          </w:tcPr>
          <w:p>
            <w:pPr>
              <w:spacing w:after="0"/>
              <w:rPr>
                <w:sz w:val="8"/>
                <w:szCs w:val="8"/>
                <w:color w:val="auto"/>
              </w:rPr>
            </w:pPr>
          </w:p>
        </w:tc>
        <w:tc>
          <w:tcPr>
            <w:tcW w:w="18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100" w:type="dxa"/>
            <w:vAlign w:val="bottom"/>
            <w:shd w:val="clear" w:color="auto" w:fill="D5EEEE"/>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continue"/>
            <w:shd w:val="clear" w:color="auto" w:fill="D5EEEE"/>
          </w:tcPr>
          <w:p>
            <w:pPr>
              <w:spacing w:after="0"/>
              <w:rPr>
                <w:sz w:val="16"/>
                <w:szCs w:val="16"/>
                <w:color w:val="auto"/>
              </w:rPr>
            </w:pPr>
          </w:p>
        </w:tc>
        <w:tc>
          <w:tcPr>
            <w:tcW w:w="100" w:type="dxa"/>
            <w:vAlign w:val="bottom"/>
            <w:vMerge w:val="continue"/>
          </w:tcPr>
          <w:p>
            <w:pPr>
              <w:spacing w:after="0"/>
              <w:rPr>
                <w:sz w:val="16"/>
                <w:szCs w:val="16"/>
                <w:color w:val="auto"/>
              </w:rPr>
            </w:pPr>
          </w:p>
        </w:tc>
        <w:tc>
          <w:tcPr>
            <w:tcW w:w="10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226,296</w:t>
            </w:r>
          </w:p>
        </w:tc>
        <w:tc>
          <w:tcPr>
            <w:tcW w:w="20" w:type="dxa"/>
            <w:vAlign w:val="bottom"/>
            <w:vMerge w:val="continue"/>
          </w:tcPr>
          <w:p>
            <w:pPr>
              <w:spacing w:after="0"/>
              <w:rPr>
                <w:sz w:val="16"/>
                <w:szCs w:val="16"/>
                <w:color w:val="auto"/>
              </w:rPr>
            </w:pPr>
          </w:p>
        </w:tc>
        <w:tc>
          <w:tcPr>
            <w:tcW w:w="100" w:type="dxa"/>
            <w:vAlign w:val="bottom"/>
            <w:vMerge w:val="continue"/>
            <w:shd w:val="clear" w:color="auto" w:fill="D5EEEE"/>
          </w:tcPr>
          <w:p>
            <w:pPr>
              <w:spacing w:after="0"/>
              <w:rPr>
                <w:sz w:val="16"/>
                <w:szCs w:val="16"/>
                <w:color w:val="auto"/>
              </w:rPr>
            </w:pPr>
          </w:p>
        </w:tc>
        <w:tc>
          <w:tcPr>
            <w:tcW w:w="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5EEEE"/>
              </w:rPr>
              <w:t>$</w:t>
            </w:r>
          </w:p>
        </w:tc>
        <w:tc>
          <w:tcPr>
            <w:tcW w:w="920" w:type="dxa"/>
            <w:vAlign w:val="bottom"/>
            <w:vMerge w:val="continue"/>
            <w:shd w:val="clear" w:color="auto" w:fill="D5EEEE"/>
          </w:tcPr>
          <w:p>
            <w:pPr>
              <w:spacing w:after="0"/>
              <w:rPr>
                <w:sz w:val="16"/>
                <w:szCs w:val="16"/>
                <w:color w:val="auto"/>
              </w:rPr>
            </w:pPr>
          </w:p>
        </w:tc>
        <w:tc>
          <w:tcPr>
            <w:tcW w:w="120" w:type="dxa"/>
            <w:vAlign w:val="bottom"/>
            <w:vMerge w:val="continue"/>
            <w:shd w:val="clear" w:color="auto" w:fill="D5EEEE"/>
          </w:tcPr>
          <w:p>
            <w:pPr>
              <w:spacing w:after="0"/>
              <w:rPr>
                <w:sz w:val="16"/>
                <w:szCs w:val="16"/>
                <w:color w:val="auto"/>
              </w:rPr>
            </w:pPr>
          </w:p>
        </w:tc>
        <w:tc>
          <w:tcPr>
            <w:tcW w:w="180" w:type="dxa"/>
            <w:vAlign w:val="bottom"/>
            <w:vMerge w:val="continue"/>
          </w:tcPr>
          <w:p>
            <w:pPr>
              <w:spacing w:after="0"/>
              <w:rPr>
                <w:sz w:val="16"/>
                <w:szCs w:val="16"/>
                <w:color w:val="auto"/>
              </w:rPr>
            </w:pP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9/28/2032</w:t>
            </w:r>
          </w:p>
        </w:tc>
        <w:tc>
          <w:tcPr>
            <w:tcW w:w="20" w:type="dxa"/>
            <w:vAlign w:val="bottom"/>
            <w:vMerge w:val="continue"/>
          </w:tcPr>
          <w:p>
            <w:pPr>
              <w:spacing w:after="0"/>
              <w:rPr>
                <w:sz w:val="16"/>
                <w:szCs w:val="16"/>
                <w:color w:val="auto"/>
              </w:rPr>
            </w:pPr>
          </w:p>
        </w:tc>
        <w:tc>
          <w:tcPr>
            <w:tcW w:w="100" w:type="dxa"/>
            <w:vAlign w:val="bottom"/>
            <w:shd w:val="clear" w:color="auto" w:fill="D5EEE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3/22/2031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43,825</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20" w:type="dxa"/>
            <w:vAlign w:val="bottom"/>
          </w:tcPr>
          <w:p>
            <w:pPr>
              <w:spacing w:after="0"/>
              <w:rPr>
                <w:sz w:val="17"/>
                <w:szCs w:val="17"/>
                <w:color w:val="auto"/>
              </w:rPr>
            </w:pPr>
          </w:p>
        </w:tc>
        <w:tc>
          <w:tcPr>
            <w:tcW w:w="13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289,24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72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vMerge w:val="restart"/>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19.91</w:t>
            </w:r>
          </w:p>
        </w:tc>
        <w:tc>
          <w:tcPr>
            <w:tcW w:w="120" w:type="dxa"/>
            <w:vAlign w:val="bottom"/>
            <w:vMerge w:val="restart"/>
          </w:tcPr>
          <w:p>
            <w:pPr>
              <w:spacing w:after="0"/>
              <w:rPr>
                <w:sz w:val="10"/>
                <w:szCs w:val="10"/>
                <w:color w:val="auto"/>
              </w:rPr>
            </w:pPr>
          </w:p>
        </w:tc>
        <w:tc>
          <w:tcPr>
            <w:tcW w:w="180" w:type="dxa"/>
            <w:vAlign w:val="bottom"/>
            <w:vMerge w:val="restart"/>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72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22,500</w:t>
            </w:r>
          </w:p>
        </w:tc>
        <w:tc>
          <w:tcPr>
            <w:tcW w:w="1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0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90,000</w:t>
            </w:r>
          </w:p>
        </w:tc>
        <w:tc>
          <w:tcPr>
            <w:tcW w:w="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highlight w:val="white"/>
                <w:w w:val="74"/>
              </w:rPr>
              <w:t>$</w:t>
            </w:r>
          </w:p>
        </w:tc>
        <w:tc>
          <w:tcPr>
            <w:tcW w:w="92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5/11/2031</w:t>
            </w:r>
          </w:p>
        </w:tc>
        <w:tc>
          <w:tcPr>
            <w:tcW w:w="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72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vMerge w:val="restart"/>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vMerge w:val="restart"/>
          </w:tcPr>
          <w:p>
            <w:pPr>
              <w:spacing w:after="0"/>
              <w:rPr>
                <w:sz w:val="10"/>
                <w:szCs w:val="10"/>
                <w:color w:val="auto"/>
              </w:rPr>
            </w:pPr>
          </w:p>
        </w:tc>
        <w:tc>
          <w:tcPr>
            <w:tcW w:w="180" w:type="dxa"/>
            <w:vAlign w:val="bottom"/>
            <w:vMerge w:val="restart"/>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7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5,194</w:t>
            </w:r>
          </w:p>
        </w:tc>
        <w:tc>
          <w:tcPr>
            <w:tcW w:w="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9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7/6/2031</w:t>
            </w:r>
          </w:p>
        </w:tc>
        <w:tc>
          <w:tcPr>
            <w:tcW w:w="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20" w:type="dxa"/>
            <w:vAlign w:val="bottom"/>
            <w:vMerge w:val="restart"/>
          </w:tcPr>
          <w:p>
            <w:pPr>
              <w:spacing w:after="0"/>
              <w:rPr>
                <w:sz w:val="10"/>
                <w:szCs w:val="10"/>
                <w:color w:val="auto"/>
              </w:rPr>
            </w:pPr>
          </w:p>
        </w:tc>
        <w:tc>
          <w:tcPr>
            <w:tcW w:w="180" w:type="dxa"/>
            <w:vAlign w:val="bottom"/>
            <w:vMerge w:val="restart"/>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720" w:type="dxa"/>
            <w:vAlign w:val="bottom"/>
            <w:tcBorders>
              <w:bottom w:val="single" w:sz="8" w:color="D5EEEE"/>
            </w:tcBorders>
          </w:tcPr>
          <w:p>
            <w:pPr>
              <w:spacing w:after="0"/>
              <w:rPr>
                <w:sz w:val="16"/>
                <w:szCs w:val="16"/>
                <w:color w:val="auto"/>
              </w:rPr>
            </w:pPr>
          </w:p>
        </w:tc>
        <w:tc>
          <w:tcPr>
            <w:tcW w:w="120" w:type="dxa"/>
            <w:vAlign w:val="bottom"/>
            <w:tcBorders>
              <w:bottom w:val="single" w:sz="8" w:color="D5EEEE"/>
            </w:tcBorders>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D5EEEE"/>
            </w:tcBorders>
            <w:vMerge w:val="continue"/>
          </w:tcPr>
          <w:p>
            <w:pPr>
              <w:spacing w:after="0"/>
              <w:rPr>
                <w:sz w:val="16"/>
                <w:szCs w:val="16"/>
                <w:color w:val="auto"/>
              </w:rPr>
            </w:pPr>
          </w:p>
        </w:tc>
        <w:tc>
          <w:tcPr>
            <w:tcW w:w="100" w:type="dxa"/>
            <w:vAlign w:val="bottom"/>
            <w:tcBorders>
              <w:bottom w:val="single" w:sz="8" w:color="D5EEEE"/>
            </w:tcBorders>
            <w:vMerge w:val="continue"/>
          </w:tcPr>
          <w:p>
            <w:pPr>
              <w:spacing w:after="0"/>
              <w:rPr>
                <w:sz w:val="16"/>
                <w:szCs w:val="16"/>
                <w:color w:val="auto"/>
              </w:rPr>
            </w:pPr>
          </w:p>
        </w:tc>
        <w:tc>
          <w:tcPr>
            <w:tcW w:w="106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6"/>
                <w:szCs w:val="16"/>
                <w:color w:val="auto"/>
              </w:rPr>
              <w:t>20,650</w:t>
            </w:r>
          </w:p>
        </w:tc>
        <w:tc>
          <w:tcPr>
            <w:tcW w:w="20" w:type="dxa"/>
            <w:vAlign w:val="bottom"/>
            <w:tcBorders>
              <w:bottom w:val="single" w:sz="8" w:color="D5EEEE"/>
            </w:tcBorders>
            <w:vMerge w:val="continue"/>
          </w:tcPr>
          <w:p>
            <w:pPr>
              <w:spacing w:after="0"/>
              <w:rPr>
                <w:sz w:val="16"/>
                <w:szCs w:val="16"/>
                <w:color w:val="auto"/>
              </w:rPr>
            </w:pPr>
          </w:p>
        </w:tc>
        <w:tc>
          <w:tcPr>
            <w:tcW w:w="100" w:type="dxa"/>
            <w:vAlign w:val="bottom"/>
            <w:tcBorders>
              <w:bottom w:val="single" w:sz="8" w:color="D5EEEE"/>
            </w:tcBorders>
            <w:vMerge w:val="continue"/>
          </w:tcPr>
          <w:p>
            <w:pPr>
              <w:spacing w:after="0"/>
              <w:rPr>
                <w:sz w:val="16"/>
                <w:szCs w:val="16"/>
                <w:color w:val="auto"/>
              </w:rPr>
            </w:pPr>
          </w:p>
        </w:tc>
        <w:tc>
          <w:tcPr>
            <w:tcW w:w="10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920" w:type="dxa"/>
            <w:vAlign w:val="bottom"/>
            <w:tcBorders>
              <w:bottom w:val="single" w:sz="8" w:color="D5EEEE"/>
            </w:tcBorders>
            <w:vMerge w:val="continue"/>
          </w:tcPr>
          <w:p>
            <w:pPr>
              <w:spacing w:after="0"/>
              <w:rPr>
                <w:sz w:val="16"/>
                <w:szCs w:val="16"/>
                <w:color w:val="auto"/>
              </w:rPr>
            </w:pPr>
          </w:p>
        </w:tc>
        <w:tc>
          <w:tcPr>
            <w:tcW w:w="120" w:type="dxa"/>
            <w:vAlign w:val="bottom"/>
            <w:tcBorders>
              <w:bottom w:val="single" w:sz="8" w:color="D5EEEE"/>
            </w:tcBorders>
            <w:vMerge w:val="continue"/>
          </w:tcPr>
          <w:p>
            <w:pPr>
              <w:spacing w:after="0"/>
              <w:rPr>
                <w:sz w:val="16"/>
                <w:szCs w:val="16"/>
                <w:color w:val="auto"/>
              </w:rPr>
            </w:pPr>
          </w:p>
        </w:tc>
        <w:tc>
          <w:tcPr>
            <w:tcW w:w="180" w:type="dxa"/>
            <w:vAlign w:val="bottom"/>
            <w:tcBorders>
              <w:bottom w:val="single" w:sz="8" w:color="D5EEEE"/>
            </w:tcBorders>
            <w:vMerge w:val="continue"/>
          </w:tcPr>
          <w:p>
            <w:pPr>
              <w:spacing w:after="0"/>
              <w:rPr>
                <w:sz w:val="16"/>
                <w:szCs w:val="16"/>
                <w:color w:val="auto"/>
              </w:rPr>
            </w:pPr>
          </w:p>
        </w:tc>
        <w:tc>
          <w:tcPr>
            <w:tcW w:w="10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6"/>
                <w:szCs w:val="16"/>
                <w:color w:val="auto"/>
              </w:rPr>
              <w:t>7/1/2032</w:t>
            </w:r>
          </w:p>
        </w:tc>
        <w:tc>
          <w:tcPr>
            <w:tcW w:w="20" w:type="dxa"/>
            <w:vAlign w:val="bottom"/>
            <w:tcBorders>
              <w:bottom w:val="single" w:sz="8" w:color="D5EEEE"/>
            </w:tcBorders>
            <w:vMerge w:val="continue"/>
          </w:tcPr>
          <w:p>
            <w:pPr>
              <w:spacing w:after="0"/>
              <w:rPr>
                <w:sz w:val="16"/>
                <w:szCs w:val="16"/>
                <w:color w:val="auto"/>
              </w:rPr>
            </w:pPr>
          </w:p>
        </w:tc>
        <w:tc>
          <w:tcPr>
            <w:tcW w:w="100" w:type="dxa"/>
            <w:vAlign w:val="bottom"/>
            <w:tcBorders>
              <w:bottom w:val="single" w:sz="8" w:color="D5EEEE"/>
            </w:tcBorders>
          </w:tcPr>
          <w:p>
            <w:pPr>
              <w:spacing w:after="0"/>
              <w:rPr>
                <w:sz w:val="16"/>
                <w:szCs w:val="16"/>
                <w:color w:val="auto"/>
              </w:rPr>
            </w:pPr>
          </w:p>
        </w:tc>
        <w:tc>
          <w:tcPr>
            <w:tcW w:w="120" w:type="dxa"/>
            <w:vAlign w:val="bottom"/>
            <w:tcBorders>
              <w:bottom w:val="single" w:sz="8" w:color="D5EEEE"/>
            </w:tcBorders>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Borders>
              <w:bottom w:val="single" w:sz="8" w:color="D5EEEE"/>
            </w:tcBorders>
          </w:tcPr>
          <w:p>
            <w:pPr>
              <w:spacing w:after="0"/>
              <w:rPr>
                <w:sz w:val="16"/>
                <w:szCs w:val="16"/>
                <w:color w:val="auto"/>
              </w:rPr>
            </w:pPr>
          </w:p>
        </w:tc>
        <w:tc>
          <w:tcPr>
            <w:tcW w:w="80" w:type="dxa"/>
            <w:vAlign w:val="bottom"/>
            <w:tcBorders>
              <w:bottom w:val="single" w:sz="8" w:color="D5EEEE"/>
            </w:tcBorders>
          </w:tcPr>
          <w:p>
            <w:pPr>
              <w:spacing w:after="0"/>
              <w:rPr>
                <w:sz w:val="16"/>
                <w:szCs w:val="16"/>
                <w:color w:val="auto"/>
              </w:rPr>
            </w:pPr>
          </w:p>
        </w:tc>
        <w:tc>
          <w:tcPr>
            <w:tcW w:w="20" w:type="dxa"/>
            <w:vAlign w:val="bottom"/>
            <w:tcBorders>
              <w:bottom w:val="single" w:sz="8" w:color="D5EEEE"/>
            </w:tcBorders>
          </w:tcPr>
          <w:p>
            <w:pPr>
              <w:spacing w:after="0"/>
              <w:rPr>
                <w:sz w:val="16"/>
                <w:szCs w:val="16"/>
                <w:color w:val="auto"/>
              </w:rPr>
            </w:pPr>
          </w:p>
        </w:tc>
        <w:tc>
          <w:tcPr>
            <w:tcW w:w="1380" w:type="dxa"/>
            <w:vAlign w:val="bottom"/>
            <w:tcBorders>
              <w:bottom w:val="single" w:sz="8" w:color="D5EEEE"/>
            </w:tcBorders>
          </w:tcPr>
          <w:p>
            <w:pPr>
              <w:spacing w:after="0"/>
              <w:rPr>
                <w:sz w:val="16"/>
                <w:szCs w:val="16"/>
                <w:color w:val="auto"/>
              </w:rPr>
            </w:pPr>
          </w:p>
        </w:tc>
        <w:tc>
          <w:tcPr>
            <w:tcW w:w="100" w:type="dxa"/>
            <w:vAlign w:val="bottom"/>
            <w:tcBorders>
              <w:bottom w:val="single" w:sz="8" w:color="D5EEEE"/>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720" w:type="dxa"/>
            <w:vAlign w:val="bottom"/>
            <w:tcBorders>
              <w:bottom w:val="single" w:sz="8" w:color="D5EEEE"/>
            </w:tcBorders>
            <w:shd w:val="clear" w:color="auto" w:fill="D5EEEE"/>
          </w:tcPr>
          <w:p>
            <w:pPr>
              <w:spacing w:after="0"/>
              <w:rPr>
                <w:sz w:val="15"/>
                <w:szCs w:val="15"/>
                <w:color w:val="auto"/>
              </w:rPr>
            </w:pPr>
          </w:p>
        </w:tc>
        <w:tc>
          <w:tcPr>
            <w:tcW w:w="120" w:type="dxa"/>
            <w:vAlign w:val="bottom"/>
            <w:tcBorders>
              <w:bottom w:val="single" w:sz="8" w:color="D5EEEE"/>
            </w:tcBorders>
            <w:shd w:val="clear" w:color="auto" w:fill="D5EEEE"/>
          </w:tcPr>
          <w:p>
            <w:pPr>
              <w:spacing w:after="0"/>
              <w:rPr>
                <w:sz w:val="15"/>
                <w:szCs w:val="15"/>
                <w:color w:val="auto"/>
              </w:rPr>
            </w:pPr>
          </w:p>
        </w:tc>
        <w:tc>
          <w:tcPr>
            <w:tcW w:w="900" w:type="dxa"/>
            <w:vAlign w:val="bottom"/>
            <w:tcBorders>
              <w:bottom w:val="single" w:sz="8" w:color="D5EEEE"/>
            </w:tcBorders>
            <w:shd w:val="clear" w:color="auto" w:fill="D5EEEE"/>
          </w:tcPr>
          <w:p>
            <w:pPr>
              <w:jc w:val="right"/>
              <w:spacing w:after="0" w:line="179" w:lineRule="exact"/>
              <w:rPr>
                <w:sz w:val="20"/>
                <w:szCs w:val="20"/>
                <w:color w:val="auto"/>
              </w:rPr>
            </w:pPr>
            <w:r>
              <w:rPr>
                <w:rFonts w:ascii="Times New Roman" w:cs="Times New Roman" w:eastAsia="Times New Roman" w:hAnsi="Times New Roman"/>
                <w:sz w:val="16"/>
                <w:szCs w:val="16"/>
                <w:color w:val="auto"/>
              </w:rPr>
              <w:t>65,250</w:t>
            </w:r>
          </w:p>
        </w:tc>
        <w:tc>
          <w:tcPr>
            <w:tcW w:w="120" w:type="dxa"/>
            <w:vAlign w:val="bottom"/>
            <w:tcBorders>
              <w:bottom w:val="single" w:sz="8" w:color="D5EEEE"/>
            </w:tcBorders>
            <w:shd w:val="clear" w:color="auto" w:fill="D5EEEE"/>
          </w:tcPr>
          <w:p>
            <w:pPr>
              <w:spacing w:after="0"/>
              <w:rPr>
                <w:sz w:val="15"/>
                <w:szCs w:val="15"/>
                <w:color w:val="auto"/>
              </w:rPr>
            </w:pPr>
          </w:p>
        </w:tc>
        <w:tc>
          <w:tcPr>
            <w:tcW w:w="100" w:type="dxa"/>
            <w:vAlign w:val="bottom"/>
            <w:tcBorders>
              <w:bottom w:val="single" w:sz="8" w:color="D5EEEE"/>
            </w:tcBorders>
          </w:tcPr>
          <w:p>
            <w:pPr>
              <w:spacing w:after="0"/>
              <w:rPr>
                <w:sz w:val="15"/>
                <w:szCs w:val="15"/>
                <w:color w:val="auto"/>
              </w:rPr>
            </w:pPr>
          </w:p>
        </w:tc>
        <w:tc>
          <w:tcPr>
            <w:tcW w:w="1060" w:type="dxa"/>
            <w:vAlign w:val="bottom"/>
            <w:tcBorders>
              <w:bottom w:val="single" w:sz="8" w:color="D5EEEE"/>
            </w:tcBorders>
            <w:shd w:val="clear" w:color="auto" w:fill="D5EEEE"/>
          </w:tcPr>
          <w:p>
            <w:pPr>
              <w:jc w:val="right"/>
              <w:spacing w:after="0" w:line="179" w:lineRule="exact"/>
              <w:rPr>
                <w:sz w:val="20"/>
                <w:szCs w:val="20"/>
                <w:color w:val="auto"/>
              </w:rPr>
            </w:pPr>
            <w:r>
              <w:rPr>
                <w:rFonts w:ascii="Times New Roman" w:cs="Times New Roman" w:eastAsia="Times New Roman" w:hAnsi="Times New Roman"/>
                <w:sz w:val="16"/>
                <w:szCs w:val="16"/>
                <w:color w:val="auto"/>
              </w:rPr>
              <w:t>62,750</w:t>
            </w:r>
          </w:p>
        </w:tc>
        <w:tc>
          <w:tcPr>
            <w:tcW w:w="20" w:type="dxa"/>
            <w:vAlign w:val="bottom"/>
            <w:tcBorders>
              <w:bottom w:val="single" w:sz="8" w:color="D5EEEE"/>
            </w:tcBorders>
          </w:tcPr>
          <w:p>
            <w:pPr>
              <w:spacing w:after="0"/>
              <w:rPr>
                <w:sz w:val="15"/>
                <w:szCs w:val="15"/>
                <w:color w:val="auto"/>
              </w:rPr>
            </w:pPr>
          </w:p>
        </w:tc>
        <w:tc>
          <w:tcPr>
            <w:tcW w:w="100" w:type="dxa"/>
            <w:vAlign w:val="bottom"/>
            <w:tcBorders>
              <w:bottom w:val="single" w:sz="8" w:color="D5EEEE"/>
            </w:tcBorders>
            <w:shd w:val="clear" w:color="auto" w:fill="D5EEEE"/>
          </w:tcPr>
          <w:p>
            <w:pPr>
              <w:spacing w:after="0"/>
              <w:rPr>
                <w:sz w:val="15"/>
                <w:szCs w:val="15"/>
                <w:color w:val="auto"/>
              </w:rPr>
            </w:pPr>
          </w:p>
        </w:tc>
        <w:tc>
          <w:tcPr>
            <w:tcW w:w="100" w:type="dxa"/>
            <w:vAlign w:val="bottom"/>
            <w:tcBorders>
              <w:bottom w:val="single" w:sz="8" w:color="D5EEEE"/>
            </w:tcBorders>
            <w:shd w:val="clear" w:color="auto" w:fill="D5EEEE"/>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shd w:val="clear" w:color="auto" w:fill="D5EEEE"/>
              </w:rPr>
              <w:t>$</w:t>
            </w:r>
          </w:p>
        </w:tc>
        <w:tc>
          <w:tcPr>
            <w:tcW w:w="920" w:type="dxa"/>
            <w:vAlign w:val="bottom"/>
            <w:tcBorders>
              <w:bottom w:val="single" w:sz="8" w:color="D5EEEE"/>
            </w:tcBorders>
            <w:shd w:val="clear" w:color="auto" w:fill="D5EEEE"/>
          </w:tcPr>
          <w:p>
            <w:pPr>
              <w:jc w:val="right"/>
              <w:spacing w:after="0" w:line="179" w:lineRule="exact"/>
              <w:rPr>
                <w:sz w:val="20"/>
                <w:szCs w:val="20"/>
                <w:color w:val="auto"/>
              </w:rPr>
            </w:pPr>
            <w:r>
              <w:rPr>
                <w:rFonts w:ascii="Times New Roman" w:cs="Times New Roman" w:eastAsia="Times New Roman" w:hAnsi="Times New Roman"/>
                <w:sz w:val="16"/>
                <w:szCs w:val="16"/>
                <w:color w:val="auto"/>
              </w:rPr>
              <w:t>21.88</w:t>
            </w:r>
          </w:p>
        </w:tc>
        <w:tc>
          <w:tcPr>
            <w:tcW w:w="120" w:type="dxa"/>
            <w:vAlign w:val="bottom"/>
            <w:tcBorders>
              <w:bottom w:val="single" w:sz="8" w:color="D5EEEE"/>
            </w:tcBorders>
            <w:shd w:val="clear" w:color="auto" w:fill="D5EEEE"/>
          </w:tcPr>
          <w:p>
            <w:pPr>
              <w:spacing w:after="0"/>
              <w:rPr>
                <w:sz w:val="15"/>
                <w:szCs w:val="15"/>
                <w:color w:val="auto"/>
              </w:rPr>
            </w:pPr>
          </w:p>
        </w:tc>
        <w:tc>
          <w:tcPr>
            <w:tcW w:w="180" w:type="dxa"/>
            <w:vAlign w:val="bottom"/>
            <w:tcBorders>
              <w:bottom w:val="single" w:sz="8" w:color="D5EEEE"/>
            </w:tcBorders>
          </w:tcPr>
          <w:p>
            <w:pPr>
              <w:spacing w:after="0"/>
              <w:rPr>
                <w:sz w:val="15"/>
                <w:szCs w:val="15"/>
                <w:color w:val="auto"/>
              </w:rPr>
            </w:pPr>
          </w:p>
        </w:tc>
        <w:tc>
          <w:tcPr>
            <w:tcW w:w="1040" w:type="dxa"/>
            <w:vAlign w:val="bottom"/>
            <w:tcBorders>
              <w:bottom w:val="single" w:sz="8" w:color="D5EEEE"/>
            </w:tcBorders>
            <w:shd w:val="clear" w:color="auto" w:fill="D5EEEE"/>
          </w:tcPr>
          <w:p>
            <w:pPr>
              <w:jc w:val="right"/>
              <w:spacing w:after="0" w:line="179" w:lineRule="exact"/>
              <w:rPr>
                <w:sz w:val="20"/>
                <w:szCs w:val="20"/>
                <w:color w:val="auto"/>
              </w:rPr>
            </w:pPr>
            <w:r>
              <w:rPr>
                <w:rFonts w:ascii="Times New Roman" w:cs="Times New Roman" w:eastAsia="Times New Roman" w:hAnsi="Times New Roman"/>
                <w:sz w:val="16"/>
                <w:szCs w:val="16"/>
                <w:color w:val="auto"/>
              </w:rPr>
              <w:t>3/4/2031</w:t>
            </w:r>
          </w:p>
        </w:tc>
        <w:tc>
          <w:tcPr>
            <w:tcW w:w="20" w:type="dxa"/>
            <w:vAlign w:val="bottom"/>
            <w:tcBorders>
              <w:bottom w:val="single" w:sz="8" w:color="D5EEEE"/>
            </w:tcBorders>
          </w:tcPr>
          <w:p>
            <w:pPr>
              <w:spacing w:after="0"/>
              <w:rPr>
                <w:sz w:val="15"/>
                <w:szCs w:val="15"/>
                <w:color w:val="auto"/>
              </w:rPr>
            </w:pPr>
          </w:p>
        </w:tc>
        <w:tc>
          <w:tcPr>
            <w:tcW w:w="100" w:type="dxa"/>
            <w:vAlign w:val="bottom"/>
            <w:tcBorders>
              <w:bottom w:val="single" w:sz="8" w:color="D5EEEE"/>
            </w:tcBorders>
            <w:shd w:val="clear" w:color="auto" w:fill="D5EEEE"/>
          </w:tcPr>
          <w:p>
            <w:pPr>
              <w:spacing w:after="0"/>
              <w:rPr>
                <w:sz w:val="15"/>
                <w:szCs w:val="15"/>
                <w:color w:val="auto"/>
              </w:rPr>
            </w:pPr>
          </w:p>
        </w:tc>
        <w:tc>
          <w:tcPr>
            <w:tcW w:w="120" w:type="dxa"/>
            <w:vAlign w:val="bottom"/>
            <w:tcBorders>
              <w:bottom w:val="single" w:sz="8" w:color="D5EEEE"/>
            </w:tcBorders>
          </w:tcPr>
          <w:p>
            <w:pPr>
              <w:spacing w:after="0"/>
              <w:rPr>
                <w:sz w:val="15"/>
                <w:szCs w:val="15"/>
                <w:color w:val="auto"/>
              </w:rPr>
            </w:pPr>
          </w:p>
        </w:tc>
        <w:tc>
          <w:tcPr>
            <w:tcW w:w="1360" w:type="dxa"/>
            <w:vAlign w:val="bottom"/>
            <w:tcBorders>
              <w:bottom w:val="single" w:sz="8" w:color="D5EEEE"/>
            </w:tcBorders>
            <w:shd w:val="clear" w:color="auto" w:fill="D5EEEE"/>
          </w:tcPr>
          <w:p>
            <w:pPr>
              <w:jc w:val="right"/>
              <w:spacing w:after="0" w:line="179" w:lineRule="exact"/>
              <w:rPr>
                <w:sz w:val="20"/>
                <w:szCs w:val="20"/>
                <w:color w:val="auto"/>
              </w:rPr>
            </w:pPr>
            <w:r>
              <w:rPr>
                <w:rFonts w:ascii="Times New Roman" w:cs="Times New Roman" w:eastAsia="Times New Roman" w:hAnsi="Times New Roman"/>
                <w:sz w:val="16"/>
                <w:szCs w:val="16"/>
                <w:color w:val="auto"/>
              </w:rPr>
              <w:t>43,825</w:t>
            </w:r>
          </w:p>
        </w:tc>
        <w:tc>
          <w:tcPr>
            <w:tcW w:w="120" w:type="dxa"/>
            <w:vAlign w:val="bottom"/>
            <w:tcBorders>
              <w:bottom w:val="single" w:sz="8" w:color="D5EEEE"/>
            </w:tcBorders>
            <w:shd w:val="clear" w:color="auto" w:fill="D5EEEE"/>
          </w:tcPr>
          <w:p>
            <w:pPr>
              <w:spacing w:after="0"/>
              <w:rPr>
                <w:sz w:val="15"/>
                <w:szCs w:val="15"/>
                <w:color w:val="auto"/>
              </w:rPr>
            </w:pPr>
          </w:p>
        </w:tc>
        <w:tc>
          <w:tcPr>
            <w:tcW w:w="80" w:type="dxa"/>
            <w:vAlign w:val="bottom"/>
            <w:tcBorders>
              <w:bottom w:val="single" w:sz="8" w:color="D5EEEE"/>
            </w:tcBorders>
            <w:shd w:val="clear" w:color="auto" w:fill="D5EEEE"/>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shd w:val="clear" w:color="auto" w:fill="D5EEEE"/>
              </w:rPr>
              <w:t>$</w:t>
            </w:r>
          </w:p>
        </w:tc>
        <w:tc>
          <w:tcPr>
            <w:tcW w:w="20" w:type="dxa"/>
            <w:vAlign w:val="bottom"/>
            <w:tcBorders>
              <w:bottom w:val="single" w:sz="8" w:color="D5EEEE"/>
            </w:tcBorders>
          </w:tcPr>
          <w:p>
            <w:pPr>
              <w:spacing w:after="0"/>
              <w:rPr>
                <w:sz w:val="15"/>
                <w:szCs w:val="15"/>
                <w:color w:val="auto"/>
              </w:rPr>
            </w:pPr>
          </w:p>
        </w:tc>
        <w:tc>
          <w:tcPr>
            <w:tcW w:w="1380" w:type="dxa"/>
            <w:vAlign w:val="bottom"/>
            <w:tcBorders>
              <w:bottom w:val="single" w:sz="8" w:color="D5EEEE"/>
            </w:tcBorders>
            <w:shd w:val="clear" w:color="auto" w:fill="D5EEEE"/>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rPr>
              <w:t>289,24</w:t>
            </w:r>
          </w:p>
        </w:tc>
        <w:tc>
          <w:tcPr>
            <w:tcW w:w="100" w:type="dxa"/>
            <w:vAlign w:val="bottom"/>
            <w:tcBorders>
              <w:bottom w:val="single" w:sz="8" w:color="D5EEEE"/>
            </w:tcBorders>
            <w:shd w:val="clear" w:color="auto" w:fill="D5EEEE"/>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72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shd w:val="clear" w:color="auto" w:fill="D5EEEE"/>
          </w:tcPr>
          <w:p>
            <w:pPr>
              <w:spacing w:after="0"/>
              <w:rPr>
                <w:sz w:val="9"/>
                <w:szCs w:val="9"/>
                <w:color w:val="auto"/>
              </w:rPr>
            </w:pPr>
          </w:p>
        </w:tc>
        <w:tc>
          <w:tcPr>
            <w:tcW w:w="100" w:type="dxa"/>
            <w:vAlign w:val="bottom"/>
            <w:vMerge w:val="restart"/>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100" w:type="dxa"/>
            <w:vAlign w:val="bottom"/>
            <w:vMerge w:val="restart"/>
            <w:shd w:val="clear" w:color="auto" w:fill="D5EEE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vMerge w:val="restart"/>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vMerge w:val="restart"/>
            <w:shd w:val="clear" w:color="auto" w:fill="D5EEEE"/>
          </w:tcPr>
          <w:p>
            <w:pPr>
              <w:spacing w:after="0"/>
              <w:rPr>
                <w:sz w:val="9"/>
                <w:szCs w:val="9"/>
                <w:color w:val="auto"/>
              </w:rPr>
            </w:pPr>
          </w:p>
        </w:tc>
        <w:tc>
          <w:tcPr>
            <w:tcW w:w="180" w:type="dxa"/>
            <w:vAlign w:val="bottom"/>
            <w:vMerge w:val="restart"/>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100" w:type="dxa"/>
            <w:vAlign w:val="bottom"/>
            <w:shd w:val="clear" w:color="auto" w:fill="D5EEEE"/>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72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900" w:type="dxa"/>
            <w:vAlign w:val="bottom"/>
            <w:tcBorders>
              <w:bottom w:val="single" w:sz="8" w:color="D5EEEE"/>
            </w:tcBorders>
            <w:shd w:val="clear" w:color="auto" w:fill="D5EEEE"/>
          </w:tcPr>
          <w:p>
            <w:pPr>
              <w:jc w:val="right"/>
              <w:spacing w:after="0" w:line="182" w:lineRule="exact"/>
              <w:rPr>
                <w:sz w:val="20"/>
                <w:szCs w:val="20"/>
                <w:color w:val="auto"/>
              </w:rPr>
            </w:pPr>
            <w:r>
              <w:rPr>
                <w:rFonts w:ascii="Times New Roman" w:cs="Times New Roman" w:eastAsia="Times New Roman" w:hAnsi="Times New Roman"/>
                <w:sz w:val="16"/>
                <w:szCs w:val="16"/>
                <w:color w:val="auto"/>
              </w:rPr>
              <w:t>1,731</w:t>
            </w:r>
          </w:p>
        </w:tc>
        <w:tc>
          <w:tcPr>
            <w:tcW w:w="120" w:type="dxa"/>
            <w:vAlign w:val="bottom"/>
            <w:tcBorders>
              <w:bottom w:val="single" w:sz="8" w:color="D5EEEE"/>
            </w:tcBorders>
            <w:shd w:val="clear" w:color="auto" w:fill="D5EEEE"/>
          </w:tcPr>
          <w:p>
            <w:pPr>
              <w:spacing w:after="0"/>
              <w:rPr>
                <w:sz w:val="15"/>
                <w:szCs w:val="15"/>
                <w:color w:val="auto"/>
              </w:rPr>
            </w:pPr>
          </w:p>
        </w:tc>
        <w:tc>
          <w:tcPr>
            <w:tcW w:w="100" w:type="dxa"/>
            <w:vAlign w:val="bottom"/>
            <w:tcBorders>
              <w:bottom w:val="single" w:sz="8" w:color="D5EEEE"/>
            </w:tcBorders>
            <w:vMerge w:val="continue"/>
          </w:tcPr>
          <w:p>
            <w:pPr>
              <w:spacing w:after="0"/>
              <w:rPr>
                <w:sz w:val="15"/>
                <w:szCs w:val="15"/>
                <w:color w:val="auto"/>
              </w:rPr>
            </w:pPr>
          </w:p>
        </w:tc>
        <w:tc>
          <w:tcPr>
            <w:tcW w:w="1060" w:type="dxa"/>
            <w:vAlign w:val="bottom"/>
            <w:tcBorders>
              <w:bottom w:val="single" w:sz="8" w:color="D5EEEE"/>
            </w:tcBorders>
            <w:shd w:val="clear" w:color="auto" w:fill="D5EEEE"/>
          </w:tcPr>
          <w:p>
            <w:pPr>
              <w:jc w:val="right"/>
              <w:spacing w:after="0" w:line="182" w:lineRule="exact"/>
              <w:rPr>
                <w:sz w:val="20"/>
                <w:szCs w:val="20"/>
                <w:color w:val="auto"/>
              </w:rPr>
            </w:pPr>
            <w:r>
              <w:rPr>
                <w:rFonts w:ascii="Times New Roman" w:cs="Times New Roman" w:eastAsia="Times New Roman" w:hAnsi="Times New Roman"/>
                <w:sz w:val="16"/>
                <w:szCs w:val="16"/>
                <w:color w:val="auto"/>
              </w:rPr>
              <w:t>5,194</w:t>
            </w:r>
          </w:p>
        </w:tc>
        <w:tc>
          <w:tcPr>
            <w:tcW w:w="20" w:type="dxa"/>
            <w:vAlign w:val="bottom"/>
            <w:tcBorders>
              <w:bottom w:val="single" w:sz="8" w:color="D5EEEE"/>
            </w:tcBorders>
            <w:vMerge w:val="continue"/>
          </w:tcPr>
          <w:p>
            <w:pPr>
              <w:spacing w:after="0"/>
              <w:rPr>
                <w:sz w:val="15"/>
                <w:szCs w:val="15"/>
                <w:color w:val="auto"/>
              </w:rPr>
            </w:pPr>
          </w:p>
        </w:tc>
        <w:tc>
          <w:tcPr>
            <w:tcW w:w="100" w:type="dxa"/>
            <w:vAlign w:val="bottom"/>
            <w:tcBorders>
              <w:bottom w:val="single" w:sz="8" w:color="D5EEEE"/>
            </w:tcBorders>
            <w:vMerge w:val="continue"/>
            <w:shd w:val="clear" w:color="auto" w:fill="D5EEEE"/>
          </w:tcPr>
          <w:p>
            <w:pPr>
              <w:spacing w:after="0"/>
              <w:rPr>
                <w:sz w:val="15"/>
                <w:szCs w:val="15"/>
                <w:color w:val="auto"/>
              </w:rPr>
            </w:pPr>
          </w:p>
        </w:tc>
        <w:tc>
          <w:tcPr>
            <w:tcW w:w="100" w:type="dxa"/>
            <w:vAlign w:val="bottom"/>
            <w:tcBorders>
              <w:bottom w:val="single" w:sz="8" w:color="D5EEEE"/>
            </w:tcBorders>
            <w:shd w:val="clear" w:color="auto" w:fill="D5EEEE"/>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shd w:val="clear" w:color="auto" w:fill="D5EEEE"/>
              </w:rPr>
              <w:t>$</w:t>
            </w:r>
          </w:p>
        </w:tc>
        <w:tc>
          <w:tcPr>
            <w:tcW w:w="920" w:type="dxa"/>
            <w:vAlign w:val="bottom"/>
            <w:tcBorders>
              <w:bottom w:val="single" w:sz="8" w:color="D5EEEE"/>
            </w:tcBorders>
            <w:vMerge w:val="continue"/>
            <w:shd w:val="clear" w:color="auto" w:fill="D5EEEE"/>
          </w:tcPr>
          <w:p>
            <w:pPr>
              <w:spacing w:after="0"/>
              <w:rPr>
                <w:sz w:val="15"/>
                <w:szCs w:val="15"/>
                <w:color w:val="auto"/>
              </w:rPr>
            </w:pPr>
          </w:p>
        </w:tc>
        <w:tc>
          <w:tcPr>
            <w:tcW w:w="120" w:type="dxa"/>
            <w:vAlign w:val="bottom"/>
            <w:tcBorders>
              <w:bottom w:val="single" w:sz="8" w:color="D5EEEE"/>
            </w:tcBorders>
            <w:vMerge w:val="continue"/>
            <w:shd w:val="clear" w:color="auto" w:fill="D5EEEE"/>
          </w:tcPr>
          <w:p>
            <w:pPr>
              <w:spacing w:after="0"/>
              <w:rPr>
                <w:sz w:val="15"/>
                <w:szCs w:val="15"/>
                <w:color w:val="auto"/>
              </w:rPr>
            </w:pPr>
          </w:p>
        </w:tc>
        <w:tc>
          <w:tcPr>
            <w:tcW w:w="180" w:type="dxa"/>
            <w:vAlign w:val="bottom"/>
            <w:tcBorders>
              <w:bottom w:val="single" w:sz="8" w:color="D5EEEE"/>
            </w:tcBorders>
            <w:vMerge w:val="continue"/>
          </w:tcPr>
          <w:p>
            <w:pPr>
              <w:spacing w:after="0"/>
              <w:rPr>
                <w:sz w:val="15"/>
                <w:szCs w:val="15"/>
                <w:color w:val="auto"/>
              </w:rPr>
            </w:pPr>
          </w:p>
        </w:tc>
        <w:tc>
          <w:tcPr>
            <w:tcW w:w="1040" w:type="dxa"/>
            <w:vAlign w:val="bottom"/>
            <w:tcBorders>
              <w:bottom w:val="single" w:sz="8" w:color="D5EEEE"/>
            </w:tcBorders>
            <w:shd w:val="clear" w:color="auto" w:fill="D5EEEE"/>
          </w:tcPr>
          <w:p>
            <w:pPr>
              <w:jc w:val="right"/>
              <w:spacing w:after="0" w:line="182" w:lineRule="exact"/>
              <w:rPr>
                <w:sz w:val="20"/>
                <w:szCs w:val="20"/>
                <w:color w:val="auto"/>
              </w:rPr>
            </w:pPr>
            <w:r>
              <w:rPr>
                <w:rFonts w:ascii="Times New Roman" w:cs="Times New Roman" w:eastAsia="Times New Roman" w:hAnsi="Times New Roman"/>
                <w:sz w:val="16"/>
                <w:szCs w:val="16"/>
                <w:color w:val="auto"/>
              </w:rPr>
              <w:t>7/6/2031</w:t>
            </w:r>
          </w:p>
        </w:tc>
        <w:tc>
          <w:tcPr>
            <w:tcW w:w="20" w:type="dxa"/>
            <w:vAlign w:val="bottom"/>
            <w:tcBorders>
              <w:bottom w:val="single" w:sz="8" w:color="D5EEEE"/>
            </w:tcBorders>
            <w:vMerge w:val="continue"/>
          </w:tcPr>
          <w:p>
            <w:pPr>
              <w:spacing w:after="0"/>
              <w:rPr>
                <w:sz w:val="15"/>
                <w:szCs w:val="15"/>
                <w:color w:val="auto"/>
              </w:rPr>
            </w:pPr>
          </w:p>
        </w:tc>
        <w:tc>
          <w:tcPr>
            <w:tcW w:w="100" w:type="dxa"/>
            <w:vAlign w:val="bottom"/>
            <w:tcBorders>
              <w:bottom w:val="single" w:sz="8" w:color="D5EEEE"/>
            </w:tcBorders>
            <w:shd w:val="clear" w:color="auto" w:fill="D5EEEE"/>
          </w:tcPr>
          <w:p>
            <w:pPr>
              <w:spacing w:after="0"/>
              <w:rPr>
                <w:sz w:val="15"/>
                <w:szCs w:val="15"/>
                <w:color w:val="auto"/>
              </w:rPr>
            </w:pPr>
          </w:p>
        </w:tc>
        <w:tc>
          <w:tcPr>
            <w:tcW w:w="120" w:type="dxa"/>
            <w:vAlign w:val="bottom"/>
            <w:tcBorders>
              <w:bottom w:val="single" w:sz="8" w:color="D5EEEE"/>
            </w:tcBorders>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D5EEEE"/>
            </w:tcBorders>
          </w:tcPr>
          <w:p>
            <w:pPr>
              <w:spacing w:after="0"/>
              <w:rPr>
                <w:sz w:val="15"/>
                <w:szCs w:val="15"/>
                <w:color w:val="auto"/>
              </w:rPr>
            </w:pPr>
          </w:p>
        </w:tc>
        <w:tc>
          <w:tcPr>
            <w:tcW w:w="20" w:type="dxa"/>
            <w:vAlign w:val="bottom"/>
            <w:tcBorders>
              <w:bottom w:val="single" w:sz="8" w:color="D5EEEE"/>
            </w:tcBorders>
          </w:tcPr>
          <w:p>
            <w:pPr>
              <w:spacing w:after="0"/>
              <w:rPr>
                <w:sz w:val="15"/>
                <w:szCs w:val="15"/>
                <w:color w:val="auto"/>
              </w:rPr>
            </w:pPr>
          </w:p>
        </w:tc>
        <w:tc>
          <w:tcPr>
            <w:tcW w:w="1380" w:type="dxa"/>
            <w:vAlign w:val="bottom"/>
            <w:tcBorders>
              <w:bottom w:val="single" w:sz="8" w:color="D5EEEE"/>
            </w:tcBorders>
          </w:tcPr>
          <w:p>
            <w:pPr>
              <w:spacing w:after="0"/>
              <w:rPr>
                <w:sz w:val="15"/>
                <w:szCs w:val="15"/>
                <w:color w:val="auto"/>
              </w:rPr>
            </w:pPr>
          </w:p>
        </w:tc>
        <w:tc>
          <w:tcPr>
            <w:tcW w:w="100" w:type="dxa"/>
            <w:vAlign w:val="bottom"/>
            <w:tcBorders>
              <w:bottom w:val="single" w:sz="8" w:color="D5EEEE"/>
            </w:tcBorders>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vMerge w:val="restart"/>
            <w:shd w:val="clear" w:color="auto" w:fill="D5EEEE"/>
          </w:tcPr>
          <w:p>
            <w:pPr>
              <w:spacing w:after="0"/>
              <w:rPr>
                <w:sz w:val="9"/>
                <w:szCs w:val="9"/>
                <w:color w:val="auto"/>
              </w:rPr>
            </w:pPr>
          </w:p>
        </w:tc>
        <w:tc>
          <w:tcPr>
            <w:tcW w:w="100" w:type="dxa"/>
            <w:vAlign w:val="bottom"/>
            <w:vMerge w:val="restart"/>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100" w:type="dxa"/>
            <w:vAlign w:val="bottom"/>
            <w:vMerge w:val="restart"/>
            <w:shd w:val="clear" w:color="auto" w:fill="D5EEE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vMerge w:val="restart"/>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20" w:type="dxa"/>
            <w:vAlign w:val="bottom"/>
            <w:vMerge w:val="restart"/>
            <w:shd w:val="clear" w:color="auto" w:fill="D5EEEE"/>
          </w:tcPr>
          <w:p>
            <w:pPr>
              <w:spacing w:after="0"/>
              <w:rPr>
                <w:sz w:val="9"/>
                <w:szCs w:val="9"/>
                <w:color w:val="auto"/>
              </w:rPr>
            </w:pPr>
          </w:p>
        </w:tc>
        <w:tc>
          <w:tcPr>
            <w:tcW w:w="180" w:type="dxa"/>
            <w:vAlign w:val="bottom"/>
            <w:vMerge w:val="restart"/>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100" w:type="dxa"/>
            <w:vAlign w:val="bottom"/>
            <w:shd w:val="clear" w:color="auto" w:fill="D5EEEE"/>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shd w:val="clear" w:color="auto" w:fill="D5EEEE"/>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continue"/>
            <w:shd w:val="clear" w:color="auto" w:fill="D5EEEE"/>
          </w:tcPr>
          <w:p>
            <w:pPr>
              <w:spacing w:after="0"/>
              <w:rPr>
                <w:sz w:val="16"/>
                <w:szCs w:val="16"/>
                <w:color w:val="auto"/>
              </w:rPr>
            </w:pPr>
          </w:p>
        </w:tc>
        <w:tc>
          <w:tcPr>
            <w:tcW w:w="100" w:type="dxa"/>
            <w:vAlign w:val="bottom"/>
            <w:vMerge w:val="continue"/>
          </w:tcPr>
          <w:p>
            <w:pPr>
              <w:spacing w:after="0"/>
              <w:rPr>
                <w:sz w:val="16"/>
                <w:szCs w:val="16"/>
                <w:color w:val="auto"/>
              </w:rPr>
            </w:pPr>
          </w:p>
        </w:tc>
        <w:tc>
          <w:tcPr>
            <w:tcW w:w="1060" w:type="dxa"/>
            <w:vAlign w:val="bottom"/>
            <w:shd w:val="clear" w:color="auto" w:fill="D5EEEE"/>
          </w:tcPr>
          <w:p>
            <w:pPr>
              <w:jc w:val="right"/>
              <w:spacing w:after="0" w:line="182" w:lineRule="exact"/>
              <w:rPr>
                <w:sz w:val="20"/>
                <w:szCs w:val="20"/>
                <w:color w:val="auto"/>
              </w:rPr>
            </w:pPr>
            <w:r>
              <w:rPr>
                <w:rFonts w:ascii="Times New Roman" w:cs="Times New Roman" w:eastAsia="Times New Roman" w:hAnsi="Times New Roman"/>
                <w:sz w:val="16"/>
                <w:szCs w:val="16"/>
                <w:color w:val="auto"/>
              </w:rPr>
              <w:t>20,650</w:t>
            </w:r>
          </w:p>
        </w:tc>
        <w:tc>
          <w:tcPr>
            <w:tcW w:w="20" w:type="dxa"/>
            <w:vAlign w:val="bottom"/>
            <w:vMerge w:val="continue"/>
          </w:tcPr>
          <w:p>
            <w:pPr>
              <w:spacing w:after="0"/>
              <w:rPr>
                <w:sz w:val="16"/>
                <w:szCs w:val="16"/>
                <w:color w:val="auto"/>
              </w:rPr>
            </w:pPr>
          </w:p>
        </w:tc>
        <w:tc>
          <w:tcPr>
            <w:tcW w:w="100" w:type="dxa"/>
            <w:vAlign w:val="bottom"/>
            <w:vMerge w:val="continue"/>
            <w:shd w:val="clear" w:color="auto" w:fill="D5EEEE"/>
          </w:tcPr>
          <w:p>
            <w:pPr>
              <w:spacing w:after="0"/>
              <w:rPr>
                <w:sz w:val="16"/>
                <w:szCs w:val="16"/>
                <w:color w:val="auto"/>
              </w:rPr>
            </w:pPr>
          </w:p>
        </w:tc>
        <w:tc>
          <w:tcPr>
            <w:tcW w:w="100" w:type="dxa"/>
            <w:vAlign w:val="bottom"/>
            <w:shd w:val="clear" w:color="auto" w:fill="D5EEEE"/>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shd w:val="clear" w:color="auto" w:fill="D5EEEE"/>
              </w:rPr>
              <w:t>$</w:t>
            </w:r>
          </w:p>
        </w:tc>
        <w:tc>
          <w:tcPr>
            <w:tcW w:w="920" w:type="dxa"/>
            <w:vAlign w:val="bottom"/>
            <w:vMerge w:val="continue"/>
            <w:shd w:val="clear" w:color="auto" w:fill="D5EEEE"/>
          </w:tcPr>
          <w:p>
            <w:pPr>
              <w:spacing w:after="0"/>
              <w:rPr>
                <w:sz w:val="16"/>
                <w:szCs w:val="16"/>
                <w:color w:val="auto"/>
              </w:rPr>
            </w:pPr>
          </w:p>
        </w:tc>
        <w:tc>
          <w:tcPr>
            <w:tcW w:w="120" w:type="dxa"/>
            <w:vAlign w:val="bottom"/>
            <w:vMerge w:val="continue"/>
            <w:shd w:val="clear" w:color="auto" w:fill="D5EEEE"/>
          </w:tcPr>
          <w:p>
            <w:pPr>
              <w:spacing w:after="0"/>
              <w:rPr>
                <w:sz w:val="16"/>
                <w:szCs w:val="16"/>
                <w:color w:val="auto"/>
              </w:rPr>
            </w:pPr>
          </w:p>
        </w:tc>
        <w:tc>
          <w:tcPr>
            <w:tcW w:w="180" w:type="dxa"/>
            <w:vAlign w:val="bottom"/>
            <w:vMerge w:val="continue"/>
          </w:tcPr>
          <w:p>
            <w:pPr>
              <w:spacing w:after="0"/>
              <w:rPr>
                <w:sz w:val="16"/>
                <w:szCs w:val="16"/>
                <w:color w:val="auto"/>
              </w:rPr>
            </w:pPr>
          </w:p>
        </w:tc>
        <w:tc>
          <w:tcPr>
            <w:tcW w:w="1040" w:type="dxa"/>
            <w:vAlign w:val="bottom"/>
            <w:shd w:val="clear" w:color="auto" w:fill="D5EEEE"/>
          </w:tcPr>
          <w:p>
            <w:pPr>
              <w:jc w:val="right"/>
              <w:spacing w:after="0" w:line="182" w:lineRule="exact"/>
              <w:rPr>
                <w:sz w:val="20"/>
                <w:szCs w:val="20"/>
                <w:color w:val="auto"/>
              </w:rPr>
            </w:pPr>
            <w:r>
              <w:rPr>
                <w:rFonts w:ascii="Times New Roman" w:cs="Times New Roman" w:eastAsia="Times New Roman" w:hAnsi="Times New Roman"/>
                <w:sz w:val="16"/>
                <w:szCs w:val="16"/>
                <w:color w:val="auto"/>
              </w:rPr>
              <w:t>7/1/2032</w:t>
            </w:r>
          </w:p>
        </w:tc>
        <w:tc>
          <w:tcPr>
            <w:tcW w:w="20" w:type="dxa"/>
            <w:vAlign w:val="bottom"/>
            <w:vMerge w:val="continue"/>
          </w:tcPr>
          <w:p>
            <w:pPr>
              <w:spacing w:after="0"/>
              <w:rPr>
                <w:sz w:val="16"/>
                <w:szCs w:val="16"/>
                <w:color w:val="auto"/>
              </w:rPr>
            </w:pPr>
          </w:p>
        </w:tc>
        <w:tc>
          <w:tcPr>
            <w:tcW w:w="100" w:type="dxa"/>
            <w:vAlign w:val="bottom"/>
            <w:shd w:val="clear" w:color="auto" w:fill="D5EEE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9/6/2027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43,825</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20" w:type="dxa"/>
            <w:vAlign w:val="bottom"/>
          </w:tcPr>
          <w:p>
            <w:pPr>
              <w:spacing w:after="0"/>
              <w:rPr>
                <w:sz w:val="17"/>
                <w:szCs w:val="17"/>
                <w:color w:val="auto"/>
              </w:rPr>
            </w:pPr>
          </w:p>
        </w:tc>
        <w:tc>
          <w:tcPr>
            <w:tcW w:w="13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289,24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72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20" w:type="dxa"/>
            <w:vAlign w:val="bottom"/>
            <w:vMerge w:val="restart"/>
          </w:tcPr>
          <w:p>
            <w:pPr>
              <w:spacing w:after="0"/>
              <w:rPr>
                <w:sz w:val="10"/>
                <w:szCs w:val="10"/>
                <w:color w:val="auto"/>
              </w:rPr>
            </w:pPr>
          </w:p>
        </w:tc>
        <w:tc>
          <w:tcPr>
            <w:tcW w:w="180" w:type="dxa"/>
            <w:vAlign w:val="bottom"/>
            <w:vMerge w:val="restart"/>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7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9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11/1/2028</w:t>
            </w:r>
          </w:p>
        </w:tc>
        <w:tc>
          <w:tcPr>
            <w:tcW w:w="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72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20" w:type="dxa"/>
            <w:vAlign w:val="bottom"/>
            <w:vMerge w:val="restart"/>
          </w:tcPr>
          <w:p>
            <w:pPr>
              <w:spacing w:after="0"/>
              <w:rPr>
                <w:sz w:val="10"/>
                <w:szCs w:val="10"/>
                <w:color w:val="auto"/>
              </w:rPr>
            </w:pPr>
          </w:p>
        </w:tc>
        <w:tc>
          <w:tcPr>
            <w:tcW w:w="180" w:type="dxa"/>
            <w:vAlign w:val="bottom"/>
            <w:vMerge w:val="restart"/>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7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9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11/30/2028</w:t>
            </w:r>
          </w:p>
        </w:tc>
        <w:tc>
          <w:tcPr>
            <w:tcW w:w="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72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vMerge w:val="restart"/>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vMerge w:val="restart"/>
          </w:tcPr>
          <w:p>
            <w:pPr>
              <w:spacing w:after="0"/>
              <w:rPr>
                <w:sz w:val="10"/>
                <w:szCs w:val="10"/>
                <w:color w:val="auto"/>
              </w:rPr>
            </w:pPr>
          </w:p>
        </w:tc>
        <w:tc>
          <w:tcPr>
            <w:tcW w:w="180" w:type="dxa"/>
            <w:vAlign w:val="bottom"/>
            <w:vMerge w:val="restart"/>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72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1,731</w:t>
            </w:r>
          </w:p>
        </w:tc>
        <w:tc>
          <w:tcPr>
            <w:tcW w:w="1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0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5,194</w:t>
            </w:r>
          </w:p>
        </w:tc>
        <w:tc>
          <w:tcPr>
            <w:tcW w:w="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highlight w:val="white"/>
                <w:w w:val="74"/>
              </w:rPr>
              <w:t>$</w:t>
            </w:r>
          </w:p>
        </w:tc>
        <w:tc>
          <w:tcPr>
            <w:tcW w:w="92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7/6/2031</w:t>
            </w:r>
          </w:p>
        </w:tc>
        <w:tc>
          <w:tcPr>
            <w:tcW w:w="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20" w:type="dxa"/>
            <w:vAlign w:val="bottom"/>
            <w:vMerge w:val="restart"/>
          </w:tcPr>
          <w:p>
            <w:pPr>
              <w:spacing w:after="0"/>
              <w:rPr>
                <w:sz w:val="10"/>
                <w:szCs w:val="10"/>
                <w:color w:val="auto"/>
              </w:rPr>
            </w:pPr>
          </w:p>
        </w:tc>
        <w:tc>
          <w:tcPr>
            <w:tcW w:w="180" w:type="dxa"/>
            <w:vAlign w:val="bottom"/>
            <w:vMerge w:val="restart"/>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720" w:type="dxa"/>
            <w:vAlign w:val="bottom"/>
            <w:tcBorders>
              <w:bottom w:val="single" w:sz="8" w:color="D5EEEE"/>
            </w:tcBorders>
          </w:tcPr>
          <w:p>
            <w:pPr>
              <w:spacing w:after="0"/>
              <w:rPr>
                <w:sz w:val="16"/>
                <w:szCs w:val="16"/>
                <w:color w:val="auto"/>
              </w:rPr>
            </w:pPr>
          </w:p>
        </w:tc>
        <w:tc>
          <w:tcPr>
            <w:tcW w:w="120" w:type="dxa"/>
            <w:vAlign w:val="bottom"/>
            <w:tcBorders>
              <w:bottom w:val="single" w:sz="8" w:color="D5EEEE"/>
            </w:tcBorders>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D5EEEE"/>
            </w:tcBorders>
            <w:vMerge w:val="continue"/>
          </w:tcPr>
          <w:p>
            <w:pPr>
              <w:spacing w:after="0"/>
              <w:rPr>
                <w:sz w:val="16"/>
                <w:szCs w:val="16"/>
                <w:color w:val="auto"/>
              </w:rPr>
            </w:pPr>
          </w:p>
        </w:tc>
        <w:tc>
          <w:tcPr>
            <w:tcW w:w="100" w:type="dxa"/>
            <w:vAlign w:val="bottom"/>
            <w:tcBorders>
              <w:bottom w:val="single" w:sz="8" w:color="D5EEEE"/>
            </w:tcBorders>
            <w:vMerge w:val="continue"/>
          </w:tcPr>
          <w:p>
            <w:pPr>
              <w:spacing w:after="0"/>
              <w:rPr>
                <w:sz w:val="16"/>
                <w:szCs w:val="16"/>
                <w:color w:val="auto"/>
              </w:rPr>
            </w:pPr>
          </w:p>
        </w:tc>
        <w:tc>
          <w:tcPr>
            <w:tcW w:w="106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6"/>
                <w:szCs w:val="16"/>
                <w:color w:val="auto"/>
              </w:rPr>
              <w:t>20,650</w:t>
            </w:r>
          </w:p>
        </w:tc>
        <w:tc>
          <w:tcPr>
            <w:tcW w:w="20" w:type="dxa"/>
            <w:vAlign w:val="bottom"/>
            <w:tcBorders>
              <w:bottom w:val="single" w:sz="8" w:color="D5EEEE"/>
            </w:tcBorders>
            <w:vMerge w:val="continue"/>
          </w:tcPr>
          <w:p>
            <w:pPr>
              <w:spacing w:after="0"/>
              <w:rPr>
                <w:sz w:val="16"/>
                <w:szCs w:val="16"/>
                <w:color w:val="auto"/>
              </w:rPr>
            </w:pPr>
          </w:p>
        </w:tc>
        <w:tc>
          <w:tcPr>
            <w:tcW w:w="100" w:type="dxa"/>
            <w:vAlign w:val="bottom"/>
            <w:tcBorders>
              <w:bottom w:val="single" w:sz="8" w:color="D5EEEE"/>
            </w:tcBorders>
            <w:vMerge w:val="continue"/>
          </w:tcPr>
          <w:p>
            <w:pPr>
              <w:spacing w:after="0"/>
              <w:rPr>
                <w:sz w:val="16"/>
                <w:szCs w:val="16"/>
                <w:color w:val="auto"/>
              </w:rPr>
            </w:pPr>
          </w:p>
        </w:tc>
        <w:tc>
          <w:tcPr>
            <w:tcW w:w="10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920" w:type="dxa"/>
            <w:vAlign w:val="bottom"/>
            <w:tcBorders>
              <w:bottom w:val="single" w:sz="8" w:color="D5EEEE"/>
            </w:tcBorders>
            <w:vMerge w:val="continue"/>
          </w:tcPr>
          <w:p>
            <w:pPr>
              <w:spacing w:after="0"/>
              <w:rPr>
                <w:sz w:val="16"/>
                <w:szCs w:val="16"/>
                <w:color w:val="auto"/>
              </w:rPr>
            </w:pPr>
          </w:p>
        </w:tc>
        <w:tc>
          <w:tcPr>
            <w:tcW w:w="120" w:type="dxa"/>
            <w:vAlign w:val="bottom"/>
            <w:tcBorders>
              <w:bottom w:val="single" w:sz="8" w:color="D5EEEE"/>
            </w:tcBorders>
            <w:vMerge w:val="continue"/>
          </w:tcPr>
          <w:p>
            <w:pPr>
              <w:spacing w:after="0"/>
              <w:rPr>
                <w:sz w:val="16"/>
                <w:szCs w:val="16"/>
                <w:color w:val="auto"/>
              </w:rPr>
            </w:pPr>
          </w:p>
        </w:tc>
        <w:tc>
          <w:tcPr>
            <w:tcW w:w="180" w:type="dxa"/>
            <w:vAlign w:val="bottom"/>
            <w:tcBorders>
              <w:bottom w:val="single" w:sz="8" w:color="D5EEEE"/>
            </w:tcBorders>
            <w:vMerge w:val="continue"/>
          </w:tcPr>
          <w:p>
            <w:pPr>
              <w:spacing w:after="0"/>
              <w:rPr>
                <w:sz w:val="16"/>
                <w:szCs w:val="16"/>
                <w:color w:val="auto"/>
              </w:rPr>
            </w:pPr>
          </w:p>
        </w:tc>
        <w:tc>
          <w:tcPr>
            <w:tcW w:w="10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6"/>
                <w:szCs w:val="16"/>
                <w:color w:val="auto"/>
              </w:rPr>
              <w:t>7/1/2032</w:t>
            </w:r>
          </w:p>
        </w:tc>
        <w:tc>
          <w:tcPr>
            <w:tcW w:w="20" w:type="dxa"/>
            <w:vAlign w:val="bottom"/>
            <w:tcBorders>
              <w:bottom w:val="single" w:sz="8" w:color="D5EEEE"/>
            </w:tcBorders>
            <w:vMerge w:val="continue"/>
          </w:tcPr>
          <w:p>
            <w:pPr>
              <w:spacing w:after="0"/>
              <w:rPr>
                <w:sz w:val="16"/>
                <w:szCs w:val="16"/>
                <w:color w:val="auto"/>
              </w:rPr>
            </w:pPr>
          </w:p>
        </w:tc>
        <w:tc>
          <w:tcPr>
            <w:tcW w:w="100" w:type="dxa"/>
            <w:vAlign w:val="bottom"/>
            <w:tcBorders>
              <w:bottom w:val="single" w:sz="8" w:color="D5EEEE"/>
            </w:tcBorders>
          </w:tcPr>
          <w:p>
            <w:pPr>
              <w:spacing w:after="0"/>
              <w:rPr>
                <w:sz w:val="16"/>
                <w:szCs w:val="16"/>
                <w:color w:val="auto"/>
              </w:rPr>
            </w:pPr>
          </w:p>
        </w:tc>
        <w:tc>
          <w:tcPr>
            <w:tcW w:w="120" w:type="dxa"/>
            <w:vAlign w:val="bottom"/>
            <w:tcBorders>
              <w:bottom w:val="single" w:sz="8" w:color="D5EEEE"/>
            </w:tcBorders>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Borders>
              <w:bottom w:val="single" w:sz="8" w:color="D5EEEE"/>
            </w:tcBorders>
          </w:tcPr>
          <w:p>
            <w:pPr>
              <w:spacing w:after="0"/>
              <w:rPr>
                <w:sz w:val="16"/>
                <w:szCs w:val="16"/>
                <w:color w:val="auto"/>
              </w:rPr>
            </w:pPr>
          </w:p>
        </w:tc>
        <w:tc>
          <w:tcPr>
            <w:tcW w:w="80" w:type="dxa"/>
            <w:vAlign w:val="bottom"/>
            <w:tcBorders>
              <w:bottom w:val="single" w:sz="8" w:color="D5EEEE"/>
            </w:tcBorders>
          </w:tcPr>
          <w:p>
            <w:pPr>
              <w:spacing w:after="0"/>
              <w:rPr>
                <w:sz w:val="16"/>
                <w:szCs w:val="16"/>
                <w:color w:val="auto"/>
              </w:rPr>
            </w:pPr>
          </w:p>
        </w:tc>
        <w:tc>
          <w:tcPr>
            <w:tcW w:w="20" w:type="dxa"/>
            <w:vAlign w:val="bottom"/>
            <w:tcBorders>
              <w:bottom w:val="single" w:sz="8" w:color="D5EEEE"/>
            </w:tcBorders>
          </w:tcPr>
          <w:p>
            <w:pPr>
              <w:spacing w:after="0"/>
              <w:rPr>
                <w:sz w:val="16"/>
                <w:szCs w:val="16"/>
                <w:color w:val="auto"/>
              </w:rPr>
            </w:pPr>
          </w:p>
        </w:tc>
        <w:tc>
          <w:tcPr>
            <w:tcW w:w="1380" w:type="dxa"/>
            <w:vAlign w:val="bottom"/>
            <w:tcBorders>
              <w:bottom w:val="single" w:sz="8" w:color="D5EEEE"/>
            </w:tcBorders>
          </w:tcPr>
          <w:p>
            <w:pPr>
              <w:spacing w:after="0"/>
              <w:rPr>
                <w:sz w:val="16"/>
                <w:szCs w:val="16"/>
                <w:color w:val="auto"/>
              </w:rPr>
            </w:pPr>
          </w:p>
        </w:tc>
        <w:tc>
          <w:tcPr>
            <w:tcW w:w="100" w:type="dxa"/>
            <w:vAlign w:val="bottom"/>
            <w:tcBorders>
              <w:bottom w:val="single" w:sz="8" w:color="D5EEEE"/>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720" w:type="dxa"/>
            <w:vAlign w:val="bottom"/>
            <w:shd w:val="clear" w:color="auto" w:fill="D5EEEE"/>
          </w:tcPr>
          <w:p>
            <w:pPr>
              <w:spacing w:after="0" w:line="179" w:lineRule="exact"/>
              <w:rPr>
                <w:sz w:val="20"/>
                <w:szCs w:val="20"/>
                <w:color w:val="auto"/>
              </w:rPr>
            </w:pPr>
            <w:r>
              <w:rPr>
                <w:rFonts w:ascii="Times New Roman" w:cs="Times New Roman" w:eastAsia="Times New Roman" w:hAnsi="Times New Roman"/>
                <w:sz w:val="16"/>
                <w:szCs w:val="16"/>
                <w:color w:val="auto"/>
                <w:shd w:val="clear" w:color="auto" w:fill="D5EEEE"/>
              </w:rPr>
              <w:t>Andrew Quick, Chief Technology Officer</w:t>
            </w:r>
          </w:p>
        </w:tc>
        <w:tc>
          <w:tcPr>
            <w:tcW w:w="120" w:type="dxa"/>
            <w:vAlign w:val="bottom"/>
            <w:shd w:val="clear" w:color="auto" w:fill="D5EEEE"/>
          </w:tcPr>
          <w:p>
            <w:pPr>
              <w:spacing w:after="0"/>
              <w:rPr>
                <w:sz w:val="15"/>
                <w:szCs w:val="15"/>
                <w:color w:val="auto"/>
              </w:rPr>
            </w:pPr>
          </w:p>
        </w:tc>
        <w:tc>
          <w:tcPr>
            <w:tcW w:w="900" w:type="dxa"/>
            <w:vAlign w:val="bottom"/>
            <w:shd w:val="clear" w:color="auto" w:fill="D5EEEE"/>
          </w:tcPr>
          <w:p>
            <w:pPr>
              <w:jc w:val="right"/>
              <w:spacing w:after="0" w:line="179" w:lineRule="exact"/>
              <w:rPr>
                <w:sz w:val="20"/>
                <w:szCs w:val="20"/>
                <w:color w:val="auto"/>
              </w:rPr>
            </w:pPr>
            <w:r>
              <w:rPr>
                <w:rFonts w:ascii="Times New Roman" w:cs="Times New Roman" w:eastAsia="Times New Roman" w:hAnsi="Times New Roman"/>
                <w:sz w:val="16"/>
                <w:szCs w:val="16"/>
                <w:color w:val="auto"/>
              </w:rPr>
              <w:t>45,187</w:t>
            </w:r>
          </w:p>
        </w:tc>
        <w:tc>
          <w:tcPr>
            <w:tcW w:w="120" w:type="dxa"/>
            <w:vAlign w:val="bottom"/>
            <w:tcBorders>
              <w:bottom w:val="single" w:sz="8" w:color="D5EEEE"/>
            </w:tcBorders>
            <w:shd w:val="clear" w:color="auto" w:fill="D5EEEE"/>
          </w:tcPr>
          <w:p>
            <w:pPr>
              <w:spacing w:after="0"/>
              <w:rPr>
                <w:sz w:val="15"/>
                <w:szCs w:val="15"/>
                <w:color w:val="auto"/>
              </w:rPr>
            </w:pPr>
          </w:p>
        </w:tc>
        <w:tc>
          <w:tcPr>
            <w:tcW w:w="100" w:type="dxa"/>
            <w:vAlign w:val="bottom"/>
            <w:tcBorders>
              <w:bottom w:val="single" w:sz="8" w:color="D5EEEE"/>
            </w:tcBorders>
          </w:tcPr>
          <w:p>
            <w:pPr>
              <w:spacing w:after="0"/>
              <w:rPr>
                <w:sz w:val="15"/>
                <w:szCs w:val="15"/>
                <w:color w:val="auto"/>
              </w:rPr>
            </w:pPr>
          </w:p>
        </w:tc>
        <w:tc>
          <w:tcPr>
            <w:tcW w:w="1060" w:type="dxa"/>
            <w:vAlign w:val="bottom"/>
            <w:tcBorders>
              <w:bottom w:val="single" w:sz="8" w:color="D5EEEE"/>
            </w:tcBorders>
            <w:shd w:val="clear" w:color="auto" w:fill="D5EEEE"/>
          </w:tcPr>
          <w:p>
            <w:pPr>
              <w:jc w:val="right"/>
              <w:spacing w:after="0" w:line="179"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D5EEEE"/>
            </w:tcBorders>
          </w:tcPr>
          <w:p>
            <w:pPr>
              <w:spacing w:after="0"/>
              <w:rPr>
                <w:sz w:val="15"/>
                <w:szCs w:val="15"/>
                <w:color w:val="auto"/>
              </w:rPr>
            </w:pPr>
          </w:p>
        </w:tc>
        <w:tc>
          <w:tcPr>
            <w:tcW w:w="100" w:type="dxa"/>
            <w:vAlign w:val="bottom"/>
            <w:tcBorders>
              <w:bottom w:val="single" w:sz="8" w:color="D5EEEE"/>
            </w:tcBorders>
            <w:shd w:val="clear" w:color="auto" w:fill="D5EEEE"/>
          </w:tcPr>
          <w:p>
            <w:pPr>
              <w:spacing w:after="0"/>
              <w:rPr>
                <w:sz w:val="15"/>
                <w:szCs w:val="15"/>
                <w:color w:val="auto"/>
              </w:rPr>
            </w:pPr>
          </w:p>
        </w:tc>
        <w:tc>
          <w:tcPr>
            <w:tcW w:w="100" w:type="dxa"/>
            <w:vAlign w:val="bottom"/>
            <w:tcBorders>
              <w:bottom w:val="single" w:sz="8" w:color="D5EEEE"/>
            </w:tcBorders>
            <w:shd w:val="clear" w:color="auto" w:fill="D5EEEE"/>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shd w:val="clear" w:color="auto" w:fill="D5EEEE"/>
              </w:rPr>
              <w:t>$</w:t>
            </w:r>
          </w:p>
        </w:tc>
        <w:tc>
          <w:tcPr>
            <w:tcW w:w="920" w:type="dxa"/>
            <w:vAlign w:val="bottom"/>
            <w:tcBorders>
              <w:bottom w:val="single" w:sz="8" w:color="D5EEEE"/>
            </w:tcBorders>
            <w:shd w:val="clear" w:color="auto" w:fill="D5EEEE"/>
          </w:tcPr>
          <w:p>
            <w:pPr>
              <w:jc w:val="right"/>
              <w:spacing w:after="0" w:line="179" w:lineRule="exact"/>
              <w:rPr>
                <w:sz w:val="20"/>
                <w:szCs w:val="20"/>
                <w:color w:val="auto"/>
              </w:rPr>
            </w:pPr>
            <w:r>
              <w:rPr>
                <w:rFonts w:ascii="Times New Roman" w:cs="Times New Roman" w:eastAsia="Times New Roman" w:hAnsi="Times New Roman"/>
                <w:sz w:val="16"/>
                <w:szCs w:val="16"/>
                <w:color w:val="auto"/>
              </w:rPr>
              <w:t>6.32</w:t>
            </w:r>
          </w:p>
        </w:tc>
        <w:tc>
          <w:tcPr>
            <w:tcW w:w="120" w:type="dxa"/>
            <w:vAlign w:val="bottom"/>
            <w:tcBorders>
              <w:bottom w:val="single" w:sz="8" w:color="D5EEEE"/>
            </w:tcBorders>
            <w:shd w:val="clear" w:color="auto" w:fill="D5EEEE"/>
          </w:tcPr>
          <w:p>
            <w:pPr>
              <w:spacing w:after="0"/>
              <w:rPr>
                <w:sz w:val="15"/>
                <w:szCs w:val="15"/>
                <w:color w:val="auto"/>
              </w:rPr>
            </w:pPr>
          </w:p>
        </w:tc>
        <w:tc>
          <w:tcPr>
            <w:tcW w:w="180" w:type="dxa"/>
            <w:vAlign w:val="bottom"/>
            <w:tcBorders>
              <w:bottom w:val="single" w:sz="8" w:color="D5EEEE"/>
            </w:tcBorders>
          </w:tcPr>
          <w:p>
            <w:pPr>
              <w:spacing w:after="0"/>
              <w:rPr>
                <w:sz w:val="15"/>
                <w:szCs w:val="15"/>
                <w:color w:val="auto"/>
              </w:rPr>
            </w:pPr>
          </w:p>
        </w:tc>
        <w:tc>
          <w:tcPr>
            <w:tcW w:w="1040" w:type="dxa"/>
            <w:vAlign w:val="bottom"/>
            <w:tcBorders>
              <w:bottom w:val="single" w:sz="8" w:color="D5EEEE"/>
            </w:tcBorders>
            <w:shd w:val="clear" w:color="auto" w:fill="D5EEEE"/>
          </w:tcPr>
          <w:p>
            <w:pPr>
              <w:jc w:val="right"/>
              <w:spacing w:after="0" w:line="179" w:lineRule="exact"/>
              <w:rPr>
                <w:sz w:val="20"/>
                <w:szCs w:val="20"/>
                <w:color w:val="auto"/>
              </w:rPr>
            </w:pPr>
            <w:r>
              <w:rPr>
                <w:rFonts w:ascii="Times New Roman" w:cs="Times New Roman" w:eastAsia="Times New Roman" w:hAnsi="Times New Roman"/>
                <w:sz w:val="16"/>
                <w:szCs w:val="16"/>
                <w:color w:val="auto"/>
              </w:rPr>
              <w:t>5/18/2027</w:t>
            </w:r>
          </w:p>
        </w:tc>
        <w:tc>
          <w:tcPr>
            <w:tcW w:w="20" w:type="dxa"/>
            <w:vAlign w:val="bottom"/>
            <w:tcBorders>
              <w:bottom w:val="single" w:sz="8" w:color="D5EEEE"/>
            </w:tcBorders>
          </w:tcPr>
          <w:p>
            <w:pPr>
              <w:spacing w:after="0"/>
              <w:rPr>
                <w:sz w:val="15"/>
                <w:szCs w:val="15"/>
                <w:color w:val="auto"/>
              </w:rPr>
            </w:pPr>
          </w:p>
        </w:tc>
        <w:tc>
          <w:tcPr>
            <w:tcW w:w="100" w:type="dxa"/>
            <w:vAlign w:val="bottom"/>
            <w:tcBorders>
              <w:bottom w:val="single" w:sz="8" w:color="D5EEEE"/>
            </w:tcBorders>
            <w:shd w:val="clear" w:color="auto" w:fill="D5EEEE"/>
          </w:tcPr>
          <w:p>
            <w:pPr>
              <w:spacing w:after="0"/>
              <w:rPr>
                <w:sz w:val="15"/>
                <w:szCs w:val="15"/>
                <w:color w:val="auto"/>
              </w:rPr>
            </w:pPr>
          </w:p>
        </w:tc>
        <w:tc>
          <w:tcPr>
            <w:tcW w:w="120" w:type="dxa"/>
            <w:vAlign w:val="bottom"/>
            <w:tcBorders>
              <w:bottom w:val="single" w:sz="8" w:color="D5EEEE"/>
            </w:tcBorders>
          </w:tcPr>
          <w:p>
            <w:pPr>
              <w:spacing w:after="0"/>
              <w:rPr>
                <w:sz w:val="15"/>
                <w:szCs w:val="15"/>
                <w:color w:val="auto"/>
              </w:rPr>
            </w:pPr>
          </w:p>
        </w:tc>
        <w:tc>
          <w:tcPr>
            <w:tcW w:w="1360" w:type="dxa"/>
            <w:vAlign w:val="bottom"/>
            <w:shd w:val="clear" w:color="auto" w:fill="D5EEEE"/>
          </w:tcPr>
          <w:p>
            <w:pPr>
              <w:jc w:val="right"/>
              <w:spacing w:after="0" w:line="179" w:lineRule="exact"/>
              <w:rPr>
                <w:sz w:val="20"/>
                <w:szCs w:val="20"/>
                <w:color w:val="auto"/>
              </w:rPr>
            </w:pPr>
            <w:r>
              <w:rPr>
                <w:rFonts w:ascii="Times New Roman" w:cs="Times New Roman" w:eastAsia="Times New Roman" w:hAnsi="Times New Roman"/>
                <w:sz w:val="16"/>
                <w:szCs w:val="16"/>
                <w:color w:val="auto"/>
              </w:rPr>
              <w:t>43,825</w:t>
            </w:r>
          </w:p>
        </w:tc>
        <w:tc>
          <w:tcPr>
            <w:tcW w:w="120" w:type="dxa"/>
            <w:vAlign w:val="bottom"/>
            <w:shd w:val="clear" w:color="auto" w:fill="D5EEEE"/>
          </w:tcPr>
          <w:p>
            <w:pPr>
              <w:spacing w:after="0"/>
              <w:rPr>
                <w:sz w:val="15"/>
                <w:szCs w:val="15"/>
                <w:color w:val="auto"/>
              </w:rPr>
            </w:pPr>
          </w:p>
        </w:tc>
        <w:tc>
          <w:tcPr>
            <w:tcW w:w="80" w:type="dxa"/>
            <w:vAlign w:val="bottom"/>
            <w:tcBorders>
              <w:bottom w:val="single" w:sz="8" w:color="D5EEEE"/>
            </w:tcBorders>
            <w:shd w:val="clear" w:color="auto" w:fill="D5EEEE"/>
          </w:tcPr>
          <w:p>
            <w:pPr>
              <w:jc w:val="right"/>
              <w:spacing w:after="0" w:line="179" w:lineRule="exact"/>
              <w:rPr>
                <w:sz w:val="20"/>
                <w:szCs w:val="20"/>
                <w:color w:val="auto"/>
              </w:rPr>
            </w:pPr>
            <w:r>
              <w:rPr>
                <w:rFonts w:ascii="Times New Roman" w:cs="Times New Roman" w:eastAsia="Times New Roman" w:hAnsi="Times New Roman"/>
                <w:sz w:val="16"/>
                <w:szCs w:val="16"/>
                <w:color w:val="auto"/>
                <w:w w:val="74"/>
                <w:shd w:val="clear" w:color="auto" w:fill="D5EEEE"/>
              </w:rPr>
              <w:t>$</w:t>
            </w:r>
          </w:p>
        </w:tc>
        <w:tc>
          <w:tcPr>
            <w:tcW w:w="20" w:type="dxa"/>
            <w:vAlign w:val="bottom"/>
            <w:tcBorders>
              <w:bottom w:val="single" w:sz="8" w:color="D5EEEE"/>
            </w:tcBorders>
          </w:tcPr>
          <w:p>
            <w:pPr>
              <w:spacing w:after="0"/>
              <w:rPr>
                <w:sz w:val="15"/>
                <w:szCs w:val="15"/>
                <w:color w:val="auto"/>
              </w:rPr>
            </w:pPr>
          </w:p>
        </w:tc>
        <w:tc>
          <w:tcPr>
            <w:tcW w:w="1380" w:type="dxa"/>
            <w:vAlign w:val="bottom"/>
            <w:tcBorders>
              <w:bottom w:val="single" w:sz="8" w:color="D5EEEE"/>
            </w:tcBorders>
            <w:shd w:val="clear" w:color="auto" w:fill="D5EEEE"/>
          </w:tcPr>
          <w:p>
            <w:pPr>
              <w:jc w:val="right"/>
              <w:ind w:right="20"/>
              <w:spacing w:after="0" w:line="179" w:lineRule="exact"/>
              <w:rPr>
                <w:sz w:val="20"/>
                <w:szCs w:val="20"/>
                <w:color w:val="auto"/>
              </w:rPr>
            </w:pPr>
            <w:r>
              <w:rPr>
                <w:rFonts w:ascii="Times New Roman" w:cs="Times New Roman" w:eastAsia="Times New Roman" w:hAnsi="Times New Roman"/>
                <w:sz w:val="16"/>
                <w:szCs w:val="16"/>
                <w:color w:val="auto"/>
              </w:rPr>
              <w:t>289,24</w:t>
            </w:r>
          </w:p>
        </w:tc>
        <w:tc>
          <w:tcPr>
            <w:tcW w:w="100" w:type="dxa"/>
            <w:vAlign w:val="bottom"/>
            <w:shd w:val="clear" w:color="auto" w:fill="D5EEEE"/>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720" w:type="dxa"/>
            <w:vAlign w:val="bottom"/>
          </w:tcPr>
          <w:p>
            <w:pPr>
              <w:spacing w:after="0"/>
              <w:rPr>
                <w:sz w:val="8"/>
                <w:szCs w:val="8"/>
                <w:color w:val="auto"/>
              </w:rPr>
            </w:pPr>
          </w:p>
        </w:tc>
        <w:tc>
          <w:tcPr>
            <w:tcW w:w="1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shd w:val="clear" w:color="auto" w:fill="D5EEEE"/>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100" w:type="dxa"/>
            <w:vAlign w:val="bottom"/>
            <w:vMerge w:val="restart"/>
            <w:shd w:val="clear" w:color="auto" w:fill="D5EEEE"/>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vMerge w:val="restart"/>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20" w:type="dxa"/>
            <w:vAlign w:val="bottom"/>
            <w:vMerge w:val="restart"/>
            <w:shd w:val="clear" w:color="auto" w:fill="D5EEEE"/>
          </w:tcPr>
          <w:p>
            <w:pPr>
              <w:spacing w:after="0"/>
              <w:rPr>
                <w:sz w:val="8"/>
                <w:szCs w:val="8"/>
                <w:color w:val="auto"/>
              </w:rPr>
            </w:pPr>
          </w:p>
        </w:tc>
        <w:tc>
          <w:tcPr>
            <w:tcW w:w="18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100" w:type="dxa"/>
            <w:vAlign w:val="bottom"/>
            <w:shd w:val="clear" w:color="auto" w:fill="D5EEEE"/>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7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Borders>
              <w:bottom w:val="single" w:sz="8" w:color="D5EEEE"/>
            </w:tcBorders>
            <w:shd w:val="clear" w:color="auto" w:fill="D5EEEE"/>
          </w:tcPr>
          <w:p>
            <w:pPr>
              <w:spacing w:after="0"/>
              <w:rPr>
                <w:sz w:val="16"/>
                <w:szCs w:val="16"/>
                <w:color w:val="auto"/>
              </w:rPr>
            </w:pPr>
          </w:p>
        </w:tc>
        <w:tc>
          <w:tcPr>
            <w:tcW w:w="100" w:type="dxa"/>
            <w:vAlign w:val="bottom"/>
            <w:tcBorders>
              <w:bottom w:val="single" w:sz="8" w:color="D5EEEE"/>
            </w:tcBorders>
          </w:tcPr>
          <w:p>
            <w:pPr>
              <w:spacing w:after="0"/>
              <w:rPr>
                <w:sz w:val="16"/>
                <w:szCs w:val="16"/>
                <w:color w:val="auto"/>
              </w:rPr>
            </w:pPr>
          </w:p>
        </w:tc>
        <w:tc>
          <w:tcPr>
            <w:tcW w:w="106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D5EEEE"/>
            </w:tcBorders>
            <w:vMerge w:val="continue"/>
          </w:tcPr>
          <w:p>
            <w:pPr>
              <w:spacing w:after="0"/>
              <w:rPr>
                <w:sz w:val="16"/>
                <w:szCs w:val="16"/>
                <w:color w:val="auto"/>
              </w:rPr>
            </w:pPr>
          </w:p>
        </w:tc>
        <w:tc>
          <w:tcPr>
            <w:tcW w:w="100" w:type="dxa"/>
            <w:vAlign w:val="bottom"/>
            <w:tcBorders>
              <w:bottom w:val="single" w:sz="8" w:color="D5EEEE"/>
            </w:tcBorders>
            <w:vMerge w:val="continue"/>
            <w:shd w:val="clear" w:color="auto" w:fill="D5EEEE"/>
          </w:tcPr>
          <w:p>
            <w:pPr>
              <w:spacing w:after="0"/>
              <w:rPr>
                <w:sz w:val="16"/>
                <w:szCs w:val="16"/>
                <w:color w:val="auto"/>
              </w:rPr>
            </w:pPr>
          </w:p>
        </w:tc>
        <w:tc>
          <w:tcPr>
            <w:tcW w:w="10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5EEEE"/>
              </w:rPr>
              <w:t>$</w:t>
            </w:r>
          </w:p>
        </w:tc>
        <w:tc>
          <w:tcPr>
            <w:tcW w:w="920" w:type="dxa"/>
            <w:vAlign w:val="bottom"/>
            <w:tcBorders>
              <w:bottom w:val="single" w:sz="8" w:color="D5EEEE"/>
            </w:tcBorders>
            <w:vMerge w:val="continue"/>
            <w:shd w:val="clear" w:color="auto" w:fill="D5EEEE"/>
          </w:tcPr>
          <w:p>
            <w:pPr>
              <w:spacing w:after="0"/>
              <w:rPr>
                <w:sz w:val="16"/>
                <w:szCs w:val="16"/>
                <w:color w:val="auto"/>
              </w:rPr>
            </w:pPr>
          </w:p>
        </w:tc>
        <w:tc>
          <w:tcPr>
            <w:tcW w:w="120" w:type="dxa"/>
            <w:vAlign w:val="bottom"/>
            <w:tcBorders>
              <w:bottom w:val="single" w:sz="8" w:color="D5EEEE"/>
            </w:tcBorders>
            <w:vMerge w:val="continue"/>
            <w:shd w:val="clear" w:color="auto" w:fill="D5EEEE"/>
          </w:tcPr>
          <w:p>
            <w:pPr>
              <w:spacing w:after="0"/>
              <w:rPr>
                <w:sz w:val="16"/>
                <w:szCs w:val="16"/>
                <w:color w:val="auto"/>
              </w:rPr>
            </w:pPr>
          </w:p>
        </w:tc>
        <w:tc>
          <w:tcPr>
            <w:tcW w:w="180" w:type="dxa"/>
            <w:vAlign w:val="bottom"/>
            <w:tcBorders>
              <w:bottom w:val="single" w:sz="8" w:color="D5EEEE"/>
            </w:tcBorders>
            <w:vMerge w:val="continue"/>
          </w:tcPr>
          <w:p>
            <w:pPr>
              <w:spacing w:after="0"/>
              <w:rPr>
                <w:sz w:val="16"/>
                <w:szCs w:val="16"/>
                <w:color w:val="auto"/>
              </w:rPr>
            </w:pPr>
          </w:p>
        </w:tc>
        <w:tc>
          <w:tcPr>
            <w:tcW w:w="104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11/1/2028</w:t>
            </w:r>
          </w:p>
        </w:tc>
        <w:tc>
          <w:tcPr>
            <w:tcW w:w="20" w:type="dxa"/>
            <w:vAlign w:val="bottom"/>
            <w:tcBorders>
              <w:bottom w:val="single" w:sz="8" w:color="D5EEEE"/>
            </w:tcBorders>
            <w:vMerge w:val="continue"/>
          </w:tcPr>
          <w:p>
            <w:pPr>
              <w:spacing w:after="0"/>
              <w:rPr>
                <w:sz w:val="16"/>
                <w:szCs w:val="16"/>
                <w:color w:val="auto"/>
              </w:rPr>
            </w:pPr>
          </w:p>
        </w:tc>
        <w:tc>
          <w:tcPr>
            <w:tcW w:w="100" w:type="dxa"/>
            <w:vAlign w:val="bottom"/>
            <w:tcBorders>
              <w:bottom w:val="single" w:sz="8" w:color="D5EEEE"/>
            </w:tcBorders>
            <w:shd w:val="clear" w:color="auto" w:fill="D5EEEE"/>
          </w:tcPr>
          <w:p>
            <w:pPr>
              <w:spacing w:after="0"/>
              <w:rPr>
                <w:sz w:val="16"/>
                <w:szCs w:val="16"/>
                <w:color w:val="auto"/>
              </w:rPr>
            </w:pPr>
          </w:p>
        </w:tc>
        <w:tc>
          <w:tcPr>
            <w:tcW w:w="120" w:type="dxa"/>
            <w:vAlign w:val="bottom"/>
            <w:tcBorders>
              <w:bottom w:val="single" w:sz="8" w:color="D5EEEE"/>
            </w:tcBorders>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D5EEEE"/>
            </w:tcBorders>
          </w:tcPr>
          <w:p>
            <w:pPr>
              <w:spacing w:after="0"/>
              <w:rPr>
                <w:sz w:val="16"/>
                <w:szCs w:val="16"/>
                <w:color w:val="auto"/>
              </w:rPr>
            </w:pPr>
          </w:p>
        </w:tc>
        <w:tc>
          <w:tcPr>
            <w:tcW w:w="20" w:type="dxa"/>
            <w:vAlign w:val="bottom"/>
            <w:tcBorders>
              <w:bottom w:val="single" w:sz="8" w:color="D5EEEE"/>
            </w:tcBorders>
          </w:tcPr>
          <w:p>
            <w:pPr>
              <w:spacing w:after="0"/>
              <w:rPr>
                <w:sz w:val="16"/>
                <w:szCs w:val="16"/>
                <w:color w:val="auto"/>
              </w:rPr>
            </w:pPr>
          </w:p>
        </w:tc>
        <w:tc>
          <w:tcPr>
            <w:tcW w:w="1380" w:type="dxa"/>
            <w:vAlign w:val="bottom"/>
            <w:tcBorders>
              <w:bottom w:val="single" w:sz="8" w:color="D5EEEE"/>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72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shd w:val="clear" w:color="auto" w:fill="D5EEEE"/>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100" w:type="dxa"/>
            <w:vAlign w:val="bottom"/>
            <w:vMerge w:val="restart"/>
            <w:shd w:val="clear" w:color="auto" w:fill="D5EEE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vMerge w:val="restart"/>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20" w:type="dxa"/>
            <w:vAlign w:val="bottom"/>
            <w:vMerge w:val="restart"/>
            <w:shd w:val="clear" w:color="auto" w:fill="D5EEEE"/>
          </w:tcPr>
          <w:p>
            <w:pPr>
              <w:spacing w:after="0"/>
              <w:rPr>
                <w:sz w:val="9"/>
                <w:szCs w:val="9"/>
                <w:color w:val="auto"/>
              </w:rPr>
            </w:pPr>
          </w:p>
        </w:tc>
        <w:tc>
          <w:tcPr>
            <w:tcW w:w="180" w:type="dxa"/>
            <w:vAlign w:val="bottom"/>
            <w:vMerge w:val="restart"/>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100" w:type="dxa"/>
            <w:vAlign w:val="bottom"/>
            <w:shd w:val="clear" w:color="auto" w:fill="D5EEEE"/>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72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900" w:type="dxa"/>
            <w:vAlign w:val="bottom"/>
            <w:tcBorders>
              <w:bottom w:val="single" w:sz="8" w:color="D5EEEE"/>
            </w:tcBorders>
            <w:shd w:val="clear" w:color="auto" w:fill="D5EEEE"/>
          </w:tcPr>
          <w:p>
            <w:pPr>
              <w:jc w:val="right"/>
              <w:spacing w:after="0" w:line="182" w:lineRule="exact"/>
              <w:rPr>
                <w:sz w:val="20"/>
                <w:szCs w:val="20"/>
                <w:color w:val="auto"/>
              </w:rPr>
            </w:pPr>
            <w:r>
              <w:rPr>
                <w:rFonts w:ascii="Times New Roman" w:cs="Times New Roman" w:eastAsia="Times New Roman" w:hAnsi="Times New Roman"/>
                <w:sz w:val="16"/>
                <w:szCs w:val="16"/>
                <w:color w:val="auto"/>
              </w:rPr>
              <w:t>30,212</w:t>
            </w:r>
          </w:p>
        </w:tc>
        <w:tc>
          <w:tcPr>
            <w:tcW w:w="120" w:type="dxa"/>
            <w:vAlign w:val="bottom"/>
            <w:tcBorders>
              <w:bottom w:val="single" w:sz="8" w:color="D5EEEE"/>
            </w:tcBorders>
            <w:shd w:val="clear" w:color="auto" w:fill="D5EEEE"/>
          </w:tcPr>
          <w:p>
            <w:pPr>
              <w:spacing w:after="0"/>
              <w:rPr>
                <w:sz w:val="15"/>
                <w:szCs w:val="15"/>
                <w:color w:val="auto"/>
              </w:rPr>
            </w:pPr>
          </w:p>
        </w:tc>
        <w:tc>
          <w:tcPr>
            <w:tcW w:w="100" w:type="dxa"/>
            <w:vAlign w:val="bottom"/>
            <w:tcBorders>
              <w:bottom w:val="single" w:sz="8" w:color="D5EEEE"/>
            </w:tcBorders>
          </w:tcPr>
          <w:p>
            <w:pPr>
              <w:spacing w:after="0"/>
              <w:rPr>
                <w:sz w:val="15"/>
                <w:szCs w:val="15"/>
                <w:color w:val="auto"/>
              </w:rPr>
            </w:pPr>
          </w:p>
        </w:tc>
        <w:tc>
          <w:tcPr>
            <w:tcW w:w="1060" w:type="dxa"/>
            <w:vAlign w:val="bottom"/>
            <w:tcBorders>
              <w:bottom w:val="single" w:sz="8" w:color="D5EEEE"/>
            </w:tcBorders>
            <w:shd w:val="clear" w:color="auto" w:fill="D5EEEE"/>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D5EEEE"/>
            </w:tcBorders>
            <w:vMerge w:val="continue"/>
          </w:tcPr>
          <w:p>
            <w:pPr>
              <w:spacing w:after="0"/>
              <w:rPr>
                <w:sz w:val="15"/>
                <w:szCs w:val="15"/>
                <w:color w:val="auto"/>
              </w:rPr>
            </w:pPr>
          </w:p>
        </w:tc>
        <w:tc>
          <w:tcPr>
            <w:tcW w:w="100" w:type="dxa"/>
            <w:vAlign w:val="bottom"/>
            <w:tcBorders>
              <w:bottom w:val="single" w:sz="8" w:color="D5EEEE"/>
            </w:tcBorders>
            <w:vMerge w:val="continue"/>
            <w:shd w:val="clear" w:color="auto" w:fill="D5EEEE"/>
          </w:tcPr>
          <w:p>
            <w:pPr>
              <w:spacing w:after="0"/>
              <w:rPr>
                <w:sz w:val="15"/>
                <w:szCs w:val="15"/>
                <w:color w:val="auto"/>
              </w:rPr>
            </w:pPr>
          </w:p>
        </w:tc>
        <w:tc>
          <w:tcPr>
            <w:tcW w:w="100" w:type="dxa"/>
            <w:vAlign w:val="bottom"/>
            <w:tcBorders>
              <w:bottom w:val="single" w:sz="8" w:color="D5EEEE"/>
            </w:tcBorders>
            <w:shd w:val="clear" w:color="auto" w:fill="D5EEEE"/>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shd w:val="clear" w:color="auto" w:fill="D5EEEE"/>
              </w:rPr>
              <w:t>$</w:t>
            </w:r>
          </w:p>
        </w:tc>
        <w:tc>
          <w:tcPr>
            <w:tcW w:w="920" w:type="dxa"/>
            <w:vAlign w:val="bottom"/>
            <w:tcBorders>
              <w:bottom w:val="single" w:sz="8" w:color="D5EEEE"/>
            </w:tcBorders>
            <w:vMerge w:val="continue"/>
            <w:shd w:val="clear" w:color="auto" w:fill="D5EEEE"/>
          </w:tcPr>
          <w:p>
            <w:pPr>
              <w:spacing w:after="0"/>
              <w:rPr>
                <w:sz w:val="15"/>
                <w:szCs w:val="15"/>
                <w:color w:val="auto"/>
              </w:rPr>
            </w:pPr>
          </w:p>
        </w:tc>
        <w:tc>
          <w:tcPr>
            <w:tcW w:w="120" w:type="dxa"/>
            <w:vAlign w:val="bottom"/>
            <w:tcBorders>
              <w:bottom w:val="single" w:sz="8" w:color="D5EEEE"/>
            </w:tcBorders>
            <w:vMerge w:val="continue"/>
            <w:shd w:val="clear" w:color="auto" w:fill="D5EEEE"/>
          </w:tcPr>
          <w:p>
            <w:pPr>
              <w:spacing w:after="0"/>
              <w:rPr>
                <w:sz w:val="15"/>
                <w:szCs w:val="15"/>
                <w:color w:val="auto"/>
              </w:rPr>
            </w:pPr>
          </w:p>
        </w:tc>
        <w:tc>
          <w:tcPr>
            <w:tcW w:w="180" w:type="dxa"/>
            <w:vAlign w:val="bottom"/>
            <w:tcBorders>
              <w:bottom w:val="single" w:sz="8" w:color="D5EEEE"/>
            </w:tcBorders>
            <w:vMerge w:val="continue"/>
          </w:tcPr>
          <w:p>
            <w:pPr>
              <w:spacing w:after="0"/>
              <w:rPr>
                <w:sz w:val="15"/>
                <w:szCs w:val="15"/>
                <w:color w:val="auto"/>
              </w:rPr>
            </w:pPr>
          </w:p>
        </w:tc>
        <w:tc>
          <w:tcPr>
            <w:tcW w:w="1040" w:type="dxa"/>
            <w:vAlign w:val="bottom"/>
            <w:tcBorders>
              <w:bottom w:val="single" w:sz="8" w:color="D5EEEE"/>
            </w:tcBorders>
            <w:shd w:val="clear" w:color="auto" w:fill="D5EEEE"/>
          </w:tcPr>
          <w:p>
            <w:pPr>
              <w:jc w:val="right"/>
              <w:spacing w:after="0" w:line="182" w:lineRule="exact"/>
              <w:rPr>
                <w:sz w:val="20"/>
                <w:szCs w:val="20"/>
                <w:color w:val="auto"/>
              </w:rPr>
            </w:pPr>
            <w:r>
              <w:rPr>
                <w:rFonts w:ascii="Times New Roman" w:cs="Times New Roman" w:eastAsia="Times New Roman" w:hAnsi="Times New Roman"/>
                <w:sz w:val="16"/>
                <w:szCs w:val="16"/>
                <w:color w:val="auto"/>
              </w:rPr>
              <w:t>11/30/2028</w:t>
            </w:r>
          </w:p>
        </w:tc>
        <w:tc>
          <w:tcPr>
            <w:tcW w:w="20" w:type="dxa"/>
            <w:vAlign w:val="bottom"/>
            <w:tcBorders>
              <w:bottom w:val="single" w:sz="8" w:color="D5EEEE"/>
            </w:tcBorders>
            <w:vMerge w:val="continue"/>
          </w:tcPr>
          <w:p>
            <w:pPr>
              <w:spacing w:after="0"/>
              <w:rPr>
                <w:sz w:val="15"/>
                <w:szCs w:val="15"/>
                <w:color w:val="auto"/>
              </w:rPr>
            </w:pPr>
          </w:p>
        </w:tc>
        <w:tc>
          <w:tcPr>
            <w:tcW w:w="100" w:type="dxa"/>
            <w:vAlign w:val="bottom"/>
            <w:tcBorders>
              <w:bottom w:val="single" w:sz="8" w:color="D5EEEE"/>
            </w:tcBorders>
            <w:shd w:val="clear" w:color="auto" w:fill="D5EEEE"/>
          </w:tcPr>
          <w:p>
            <w:pPr>
              <w:spacing w:after="0"/>
              <w:rPr>
                <w:sz w:val="15"/>
                <w:szCs w:val="15"/>
                <w:color w:val="auto"/>
              </w:rPr>
            </w:pPr>
          </w:p>
        </w:tc>
        <w:tc>
          <w:tcPr>
            <w:tcW w:w="120" w:type="dxa"/>
            <w:vAlign w:val="bottom"/>
            <w:tcBorders>
              <w:bottom w:val="single" w:sz="8" w:color="D5EEEE"/>
            </w:tcBorders>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D5EEEE"/>
            </w:tcBorders>
          </w:tcPr>
          <w:p>
            <w:pPr>
              <w:spacing w:after="0"/>
              <w:rPr>
                <w:sz w:val="15"/>
                <w:szCs w:val="15"/>
                <w:color w:val="auto"/>
              </w:rPr>
            </w:pPr>
          </w:p>
        </w:tc>
        <w:tc>
          <w:tcPr>
            <w:tcW w:w="20" w:type="dxa"/>
            <w:vAlign w:val="bottom"/>
            <w:tcBorders>
              <w:bottom w:val="single" w:sz="8" w:color="D5EEEE"/>
            </w:tcBorders>
          </w:tcPr>
          <w:p>
            <w:pPr>
              <w:spacing w:after="0"/>
              <w:rPr>
                <w:sz w:val="15"/>
                <w:szCs w:val="15"/>
                <w:color w:val="auto"/>
              </w:rPr>
            </w:pPr>
          </w:p>
        </w:tc>
        <w:tc>
          <w:tcPr>
            <w:tcW w:w="1380" w:type="dxa"/>
            <w:vAlign w:val="bottom"/>
            <w:tcBorders>
              <w:bottom w:val="single" w:sz="8" w:color="D5EEEE"/>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72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shd w:val="clear" w:color="auto" w:fill="D5EEEE"/>
          </w:tcPr>
          <w:p>
            <w:pPr>
              <w:spacing w:after="0"/>
              <w:rPr>
                <w:sz w:val="9"/>
                <w:szCs w:val="9"/>
                <w:color w:val="auto"/>
              </w:rPr>
            </w:pPr>
          </w:p>
        </w:tc>
        <w:tc>
          <w:tcPr>
            <w:tcW w:w="100" w:type="dxa"/>
            <w:vAlign w:val="bottom"/>
            <w:vMerge w:val="restart"/>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100" w:type="dxa"/>
            <w:vAlign w:val="bottom"/>
            <w:vMerge w:val="restart"/>
            <w:shd w:val="clear" w:color="auto" w:fill="D5EEE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vMerge w:val="restart"/>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21.35</w:t>
            </w:r>
          </w:p>
        </w:tc>
        <w:tc>
          <w:tcPr>
            <w:tcW w:w="120" w:type="dxa"/>
            <w:vAlign w:val="bottom"/>
            <w:vMerge w:val="restart"/>
            <w:shd w:val="clear" w:color="auto" w:fill="D5EEEE"/>
          </w:tcPr>
          <w:p>
            <w:pPr>
              <w:spacing w:after="0"/>
              <w:rPr>
                <w:sz w:val="9"/>
                <w:szCs w:val="9"/>
                <w:color w:val="auto"/>
              </w:rPr>
            </w:pPr>
          </w:p>
        </w:tc>
        <w:tc>
          <w:tcPr>
            <w:tcW w:w="180" w:type="dxa"/>
            <w:vAlign w:val="bottom"/>
            <w:vMerge w:val="restart"/>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100" w:type="dxa"/>
            <w:vAlign w:val="bottom"/>
            <w:shd w:val="clear" w:color="auto" w:fill="D5EEEE"/>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7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30,300</w:t>
            </w:r>
          </w:p>
        </w:tc>
        <w:tc>
          <w:tcPr>
            <w:tcW w:w="120" w:type="dxa"/>
            <w:vAlign w:val="bottom"/>
            <w:tcBorders>
              <w:bottom w:val="single" w:sz="8" w:color="D5EEEE"/>
            </w:tcBorders>
            <w:shd w:val="clear" w:color="auto" w:fill="D5EEEE"/>
          </w:tcPr>
          <w:p>
            <w:pPr>
              <w:spacing w:after="0"/>
              <w:rPr>
                <w:sz w:val="16"/>
                <w:szCs w:val="16"/>
                <w:color w:val="auto"/>
              </w:rPr>
            </w:pPr>
          </w:p>
        </w:tc>
        <w:tc>
          <w:tcPr>
            <w:tcW w:w="100" w:type="dxa"/>
            <w:vAlign w:val="bottom"/>
            <w:tcBorders>
              <w:bottom w:val="single" w:sz="8" w:color="D5EEEE"/>
            </w:tcBorders>
            <w:vMerge w:val="continue"/>
          </w:tcPr>
          <w:p>
            <w:pPr>
              <w:spacing w:after="0"/>
              <w:rPr>
                <w:sz w:val="16"/>
                <w:szCs w:val="16"/>
                <w:color w:val="auto"/>
              </w:rPr>
            </w:pPr>
          </w:p>
        </w:tc>
        <w:tc>
          <w:tcPr>
            <w:tcW w:w="106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10,100</w:t>
            </w:r>
          </w:p>
        </w:tc>
        <w:tc>
          <w:tcPr>
            <w:tcW w:w="20" w:type="dxa"/>
            <w:vAlign w:val="bottom"/>
            <w:tcBorders>
              <w:bottom w:val="single" w:sz="8" w:color="D5EEEE"/>
            </w:tcBorders>
            <w:vMerge w:val="continue"/>
          </w:tcPr>
          <w:p>
            <w:pPr>
              <w:spacing w:after="0"/>
              <w:rPr>
                <w:sz w:val="16"/>
                <w:szCs w:val="16"/>
                <w:color w:val="auto"/>
              </w:rPr>
            </w:pPr>
          </w:p>
        </w:tc>
        <w:tc>
          <w:tcPr>
            <w:tcW w:w="100" w:type="dxa"/>
            <w:vAlign w:val="bottom"/>
            <w:tcBorders>
              <w:bottom w:val="single" w:sz="8" w:color="D5EEEE"/>
            </w:tcBorders>
            <w:vMerge w:val="continue"/>
            <w:shd w:val="clear" w:color="auto" w:fill="D5EEEE"/>
          </w:tcPr>
          <w:p>
            <w:pPr>
              <w:spacing w:after="0"/>
              <w:rPr>
                <w:sz w:val="16"/>
                <w:szCs w:val="16"/>
                <w:color w:val="auto"/>
              </w:rPr>
            </w:pPr>
          </w:p>
        </w:tc>
        <w:tc>
          <w:tcPr>
            <w:tcW w:w="10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5EEEE"/>
              </w:rPr>
              <w:t>$</w:t>
            </w:r>
          </w:p>
        </w:tc>
        <w:tc>
          <w:tcPr>
            <w:tcW w:w="920" w:type="dxa"/>
            <w:vAlign w:val="bottom"/>
            <w:tcBorders>
              <w:bottom w:val="single" w:sz="8" w:color="D5EEEE"/>
            </w:tcBorders>
            <w:vMerge w:val="continue"/>
            <w:shd w:val="clear" w:color="auto" w:fill="D5EEEE"/>
          </w:tcPr>
          <w:p>
            <w:pPr>
              <w:spacing w:after="0"/>
              <w:rPr>
                <w:sz w:val="16"/>
                <w:szCs w:val="16"/>
                <w:color w:val="auto"/>
              </w:rPr>
            </w:pPr>
          </w:p>
        </w:tc>
        <w:tc>
          <w:tcPr>
            <w:tcW w:w="120" w:type="dxa"/>
            <w:vAlign w:val="bottom"/>
            <w:tcBorders>
              <w:bottom w:val="single" w:sz="8" w:color="D5EEEE"/>
            </w:tcBorders>
            <w:vMerge w:val="continue"/>
            <w:shd w:val="clear" w:color="auto" w:fill="D5EEEE"/>
          </w:tcPr>
          <w:p>
            <w:pPr>
              <w:spacing w:after="0"/>
              <w:rPr>
                <w:sz w:val="16"/>
                <w:szCs w:val="16"/>
                <w:color w:val="auto"/>
              </w:rPr>
            </w:pPr>
          </w:p>
        </w:tc>
        <w:tc>
          <w:tcPr>
            <w:tcW w:w="180" w:type="dxa"/>
            <w:vAlign w:val="bottom"/>
            <w:tcBorders>
              <w:bottom w:val="single" w:sz="8" w:color="D5EEEE"/>
            </w:tcBorders>
            <w:vMerge w:val="continue"/>
          </w:tcPr>
          <w:p>
            <w:pPr>
              <w:spacing w:after="0"/>
              <w:rPr>
                <w:sz w:val="16"/>
                <w:szCs w:val="16"/>
                <w:color w:val="auto"/>
              </w:rPr>
            </w:pPr>
          </w:p>
        </w:tc>
        <w:tc>
          <w:tcPr>
            <w:tcW w:w="104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4/1/2029</w:t>
            </w:r>
          </w:p>
        </w:tc>
        <w:tc>
          <w:tcPr>
            <w:tcW w:w="20" w:type="dxa"/>
            <w:vAlign w:val="bottom"/>
            <w:tcBorders>
              <w:bottom w:val="single" w:sz="8" w:color="D5EEEE"/>
            </w:tcBorders>
            <w:vMerge w:val="continue"/>
          </w:tcPr>
          <w:p>
            <w:pPr>
              <w:spacing w:after="0"/>
              <w:rPr>
                <w:sz w:val="16"/>
                <w:szCs w:val="16"/>
                <w:color w:val="auto"/>
              </w:rPr>
            </w:pPr>
          </w:p>
        </w:tc>
        <w:tc>
          <w:tcPr>
            <w:tcW w:w="100" w:type="dxa"/>
            <w:vAlign w:val="bottom"/>
            <w:tcBorders>
              <w:bottom w:val="single" w:sz="8" w:color="D5EEEE"/>
            </w:tcBorders>
            <w:shd w:val="clear" w:color="auto" w:fill="D5EEEE"/>
          </w:tcPr>
          <w:p>
            <w:pPr>
              <w:spacing w:after="0"/>
              <w:rPr>
                <w:sz w:val="16"/>
                <w:szCs w:val="16"/>
                <w:color w:val="auto"/>
              </w:rPr>
            </w:pPr>
          </w:p>
        </w:tc>
        <w:tc>
          <w:tcPr>
            <w:tcW w:w="120" w:type="dxa"/>
            <w:vAlign w:val="bottom"/>
            <w:tcBorders>
              <w:bottom w:val="single" w:sz="8" w:color="D5EEEE"/>
            </w:tcBorders>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D5EEEE"/>
            </w:tcBorders>
          </w:tcPr>
          <w:p>
            <w:pPr>
              <w:spacing w:after="0"/>
              <w:rPr>
                <w:sz w:val="16"/>
                <w:szCs w:val="16"/>
                <w:color w:val="auto"/>
              </w:rPr>
            </w:pPr>
          </w:p>
        </w:tc>
        <w:tc>
          <w:tcPr>
            <w:tcW w:w="20" w:type="dxa"/>
            <w:vAlign w:val="bottom"/>
            <w:tcBorders>
              <w:bottom w:val="single" w:sz="8" w:color="D5EEEE"/>
            </w:tcBorders>
          </w:tcPr>
          <w:p>
            <w:pPr>
              <w:spacing w:after="0"/>
              <w:rPr>
                <w:sz w:val="16"/>
                <w:szCs w:val="16"/>
                <w:color w:val="auto"/>
              </w:rPr>
            </w:pPr>
          </w:p>
        </w:tc>
        <w:tc>
          <w:tcPr>
            <w:tcW w:w="1380" w:type="dxa"/>
            <w:vAlign w:val="bottom"/>
            <w:tcBorders>
              <w:bottom w:val="single" w:sz="8" w:color="D5EEEE"/>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2720" w:type="dxa"/>
            <w:vAlign w:val="bottom"/>
          </w:tcPr>
          <w:p>
            <w:pPr>
              <w:spacing w:after="0"/>
              <w:rPr>
                <w:sz w:val="8"/>
                <w:szCs w:val="8"/>
                <w:color w:val="auto"/>
              </w:rPr>
            </w:pPr>
          </w:p>
        </w:tc>
        <w:tc>
          <w:tcPr>
            <w:tcW w:w="1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shd w:val="clear" w:color="auto" w:fill="D5EEEE"/>
          </w:tcPr>
          <w:p>
            <w:pPr>
              <w:spacing w:after="0"/>
              <w:rPr>
                <w:sz w:val="8"/>
                <w:szCs w:val="8"/>
                <w:color w:val="auto"/>
              </w:rPr>
            </w:pPr>
          </w:p>
        </w:tc>
        <w:tc>
          <w:tcPr>
            <w:tcW w:w="100" w:type="dxa"/>
            <w:vAlign w:val="bottom"/>
            <w:vMerge w:val="restart"/>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100" w:type="dxa"/>
            <w:vAlign w:val="bottom"/>
            <w:vMerge w:val="restart"/>
            <w:shd w:val="clear" w:color="auto" w:fill="D5EEEE"/>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vMerge w:val="restart"/>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vMerge w:val="restart"/>
            <w:shd w:val="clear" w:color="auto" w:fill="D5EEEE"/>
          </w:tcPr>
          <w:p>
            <w:pPr>
              <w:spacing w:after="0"/>
              <w:rPr>
                <w:sz w:val="8"/>
                <w:szCs w:val="8"/>
                <w:color w:val="auto"/>
              </w:rPr>
            </w:pPr>
          </w:p>
        </w:tc>
        <w:tc>
          <w:tcPr>
            <w:tcW w:w="18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100" w:type="dxa"/>
            <w:vAlign w:val="bottom"/>
            <w:shd w:val="clear" w:color="auto" w:fill="D5EEEE"/>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7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120" w:type="dxa"/>
            <w:vAlign w:val="bottom"/>
            <w:tcBorders>
              <w:bottom w:val="single" w:sz="8" w:color="D5EEEE"/>
            </w:tcBorders>
            <w:shd w:val="clear" w:color="auto" w:fill="D5EEEE"/>
          </w:tcPr>
          <w:p>
            <w:pPr>
              <w:spacing w:after="0"/>
              <w:rPr>
                <w:sz w:val="16"/>
                <w:szCs w:val="16"/>
                <w:color w:val="auto"/>
              </w:rPr>
            </w:pPr>
          </w:p>
        </w:tc>
        <w:tc>
          <w:tcPr>
            <w:tcW w:w="100" w:type="dxa"/>
            <w:vAlign w:val="bottom"/>
            <w:tcBorders>
              <w:bottom w:val="single" w:sz="8" w:color="D5EEEE"/>
            </w:tcBorders>
            <w:vMerge w:val="continue"/>
          </w:tcPr>
          <w:p>
            <w:pPr>
              <w:spacing w:after="0"/>
              <w:rPr>
                <w:sz w:val="16"/>
                <w:szCs w:val="16"/>
                <w:color w:val="auto"/>
              </w:rPr>
            </w:pPr>
          </w:p>
        </w:tc>
        <w:tc>
          <w:tcPr>
            <w:tcW w:w="106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5,194</w:t>
            </w:r>
          </w:p>
        </w:tc>
        <w:tc>
          <w:tcPr>
            <w:tcW w:w="20" w:type="dxa"/>
            <w:vAlign w:val="bottom"/>
            <w:tcBorders>
              <w:bottom w:val="single" w:sz="8" w:color="D5EEEE"/>
            </w:tcBorders>
            <w:vMerge w:val="continue"/>
          </w:tcPr>
          <w:p>
            <w:pPr>
              <w:spacing w:after="0"/>
              <w:rPr>
                <w:sz w:val="16"/>
                <w:szCs w:val="16"/>
                <w:color w:val="auto"/>
              </w:rPr>
            </w:pPr>
          </w:p>
        </w:tc>
        <w:tc>
          <w:tcPr>
            <w:tcW w:w="100" w:type="dxa"/>
            <w:vAlign w:val="bottom"/>
            <w:tcBorders>
              <w:bottom w:val="single" w:sz="8" w:color="D5EEEE"/>
            </w:tcBorders>
            <w:vMerge w:val="continue"/>
            <w:shd w:val="clear" w:color="auto" w:fill="D5EEEE"/>
          </w:tcPr>
          <w:p>
            <w:pPr>
              <w:spacing w:after="0"/>
              <w:rPr>
                <w:sz w:val="16"/>
                <w:szCs w:val="16"/>
                <w:color w:val="auto"/>
              </w:rPr>
            </w:pPr>
          </w:p>
        </w:tc>
        <w:tc>
          <w:tcPr>
            <w:tcW w:w="10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5EEEE"/>
              </w:rPr>
              <w:t>$</w:t>
            </w:r>
          </w:p>
        </w:tc>
        <w:tc>
          <w:tcPr>
            <w:tcW w:w="920" w:type="dxa"/>
            <w:vAlign w:val="bottom"/>
            <w:tcBorders>
              <w:bottom w:val="single" w:sz="8" w:color="D5EEEE"/>
            </w:tcBorders>
            <w:vMerge w:val="continue"/>
            <w:shd w:val="clear" w:color="auto" w:fill="D5EEEE"/>
          </w:tcPr>
          <w:p>
            <w:pPr>
              <w:spacing w:after="0"/>
              <w:rPr>
                <w:sz w:val="16"/>
                <w:szCs w:val="16"/>
                <w:color w:val="auto"/>
              </w:rPr>
            </w:pPr>
          </w:p>
        </w:tc>
        <w:tc>
          <w:tcPr>
            <w:tcW w:w="120" w:type="dxa"/>
            <w:vAlign w:val="bottom"/>
            <w:tcBorders>
              <w:bottom w:val="single" w:sz="8" w:color="D5EEEE"/>
            </w:tcBorders>
            <w:vMerge w:val="continue"/>
            <w:shd w:val="clear" w:color="auto" w:fill="D5EEEE"/>
          </w:tcPr>
          <w:p>
            <w:pPr>
              <w:spacing w:after="0"/>
              <w:rPr>
                <w:sz w:val="16"/>
                <w:szCs w:val="16"/>
                <w:color w:val="auto"/>
              </w:rPr>
            </w:pPr>
          </w:p>
        </w:tc>
        <w:tc>
          <w:tcPr>
            <w:tcW w:w="180" w:type="dxa"/>
            <w:vAlign w:val="bottom"/>
            <w:tcBorders>
              <w:bottom w:val="single" w:sz="8" w:color="D5EEEE"/>
            </w:tcBorders>
            <w:vMerge w:val="continue"/>
          </w:tcPr>
          <w:p>
            <w:pPr>
              <w:spacing w:after="0"/>
              <w:rPr>
                <w:sz w:val="16"/>
                <w:szCs w:val="16"/>
                <w:color w:val="auto"/>
              </w:rPr>
            </w:pPr>
          </w:p>
        </w:tc>
        <w:tc>
          <w:tcPr>
            <w:tcW w:w="104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7/6/2031</w:t>
            </w:r>
          </w:p>
        </w:tc>
        <w:tc>
          <w:tcPr>
            <w:tcW w:w="20" w:type="dxa"/>
            <w:vAlign w:val="bottom"/>
            <w:tcBorders>
              <w:bottom w:val="single" w:sz="8" w:color="D5EEEE"/>
            </w:tcBorders>
            <w:vMerge w:val="continue"/>
          </w:tcPr>
          <w:p>
            <w:pPr>
              <w:spacing w:after="0"/>
              <w:rPr>
                <w:sz w:val="16"/>
                <w:szCs w:val="16"/>
                <w:color w:val="auto"/>
              </w:rPr>
            </w:pPr>
          </w:p>
        </w:tc>
        <w:tc>
          <w:tcPr>
            <w:tcW w:w="100" w:type="dxa"/>
            <w:vAlign w:val="bottom"/>
            <w:tcBorders>
              <w:bottom w:val="single" w:sz="8" w:color="D5EEEE"/>
            </w:tcBorders>
            <w:shd w:val="clear" w:color="auto" w:fill="D5EEEE"/>
          </w:tcPr>
          <w:p>
            <w:pPr>
              <w:spacing w:after="0"/>
              <w:rPr>
                <w:sz w:val="16"/>
                <w:szCs w:val="16"/>
                <w:color w:val="auto"/>
              </w:rPr>
            </w:pPr>
          </w:p>
        </w:tc>
        <w:tc>
          <w:tcPr>
            <w:tcW w:w="120" w:type="dxa"/>
            <w:vAlign w:val="bottom"/>
            <w:tcBorders>
              <w:bottom w:val="single" w:sz="8" w:color="D5EEEE"/>
            </w:tcBorders>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D5EEEE"/>
            </w:tcBorders>
          </w:tcPr>
          <w:p>
            <w:pPr>
              <w:spacing w:after="0"/>
              <w:rPr>
                <w:sz w:val="16"/>
                <w:szCs w:val="16"/>
                <w:color w:val="auto"/>
              </w:rPr>
            </w:pPr>
          </w:p>
        </w:tc>
        <w:tc>
          <w:tcPr>
            <w:tcW w:w="20" w:type="dxa"/>
            <w:vAlign w:val="bottom"/>
            <w:tcBorders>
              <w:bottom w:val="single" w:sz="8" w:color="D5EEEE"/>
            </w:tcBorders>
          </w:tcPr>
          <w:p>
            <w:pPr>
              <w:spacing w:after="0"/>
              <w:rPr>
                <w:sz w:val="16"/>
                <w:szCs w:val="16"/>
                <w:color w:val="auto"/>
              </w:rPr>
            </w:pPr>
          </w:p>
        </w:tc>
        <w:tc>
          <w:tcPr>
            <w:tcW w:w="1380" w:type="dxa"/>
            <w:vAlign w:val="bottom"/>
            <w:tcBorders>
              <w:bottom w:val="single" w:sz="8" w:color="D5EEEE"/>
            </w:tcBorders>
          </w:tcPr>
          <w:p>
            <w:pPr>
              <w:spacing w:after="0"/>
              <w:rPr>
                <w:sz w:val="16"/>
                <w:szCs w:val="16"/>
                <w:color w:val="auto"/>
              </w:rPr>
            </w:pPr>
          </w:p>
        </w:tc>
        <w:tc>
          <w:tcPr>
            <w:tcW w:w="100" w:type="dxa"/>
            <w:vAlign w:val="bottom"/>
            <w:tcBorders>
              <w:bottom w:val="single" w:sz="8" w:color="D5EEEE"/>
            </w:tcBorders>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vMerge w:val="restart"/>
            <w:shd w:val="clear" w:color="auto" w:fill="D5EEEE"/>
          </w:tcPr>
          <w:p>
            <w:pPr>
              <w:spacing w:after="0"/>
              <w:rPr>
                <w:sz w:val="9"/>
                <w:szCs w:val="9"/>
                <w:color w:val="auto"/>
              </w:rPr>
            </w:pPr>
          </w:p>
        </w:tc>
        <w:tc>
          <w:tcPr>
            <w:tcW w:w="100" w:type="dxa"/>
            <w:vAlign w:val="bottom"/>
            <w:vMerge w:val="restart"/>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100" w:type="dxa"/>
            <w:vAlign w:val="bottom"/>
            <w:vMerge w:val="restart"/>
            <w:shd w:val="clear" w:color="auto" w:fill="D5EEE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vMerge w:val="restart"/>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20" w:type="dxa"/>
            <w:vAlign w:val="bottom"/>
            <w:vMerge w:val="restart"/>
            <w:shd w:val="clear" w:color="auto" w:fill="D5EEEE"/>
          </w:tcPr>
          <w:p>
            <w:pPr>
              <w:spacing w:after="0"/>
              <w:rPr>
                <w:sz w:val="9"/>
                <w:szCs w:val="9"/>
                <w:color w:val="auto"/>
              </w:rPr>
            </w:pPr>
          </w:p>
        </w:tc>
        <w:tc>
          <w:tcPr>
            <w:tcW w:w="180" w:type="dxa"/>
            <w:vAlign w:val="bottom"/>
            <w:vMerge w:val="restart"/>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100" w:type="dxa"/>
            <w:vAlign w:val="bottom"/>
            <w:shd w:val="clear" w:color="auto" w:fill="D5EEEE"/>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shd w:val="clear" w:color="auto" w:fill="D5EEEE"/>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continue"/>
            <w:shd w:val="clear" w:color="auto" w:fill="D5EEEE"/>
          </w:tcPr>
          <w:p>
            <w:pPr>
              <w:spacing w:after="0"/>
              <w:rPr>
                <w:sz w:val="15"/>
                <w:szCs w:val="15"/>
                <w:color w:val="auto"/>
              </w:rPr>
            </w:pPr>
          </w:p>
        </w:tc>
        <w:tc>
          <w:tcPr>
            <w:tcW w:w="100" w:type="dxa"/>
            <w:vAlign w:val="bottom"/>
            <w:vMerge w:val="continue"/>
          </w:tcPr>
          <w:p>
            <w:pPr>
              <w:spacing w:after="0"/>
              <w:rPr>
                <w:sz w:val="15"/>
                <w:szCs w:val="15"/>
                <w:color w:val="auto"/>
              </w:rPr>
            </w:pPr>
          </w:p>
        </w:tc>
        <w:tc>
          <w:tcPr>
            <w:tcW w:w="1060" w:type="dxa"/>
            <w:vAlign w:val="bottom"/>
            <w:shd w:val="clear" w:color="auto" w:fill="D5EEEE"/>
          </w:tcPr>
          <w:p>
            <w:pPr>
              <w:jc w:val="right"/>
              <w:spacing w:after="0" w:line="182" w:lineRule="exact"/>
              <w:rPr>
                <w:sz w:val="20"/>
                <w:szCs w:val="20"/>
                <w:color w:val="auto"/>
              </w:rPr>
            </w:pPr>
            <w:r>
              <w:rPr>
                <w:rFonts w:ascii="Times New Roman" w:cs="Times New Roman" w:eastAsia="Times New Roman" w:hAnsi="Times New Roman"/>
                <w:sz w:val="16"/>
                <w:szCs w:val="16"/>
                <w:color w:val="auto"/>
              </w:rPr>
              <w:t>20,650</w:t>
            </w:r>
          </w:p>
        </w:tc>
        <w:tc>
          <w:tcPr>
            <w:tcW w:w="20" w:type="dxa"/>
            <w:vAlign w:val="bottom"/>
            <w:vMerge w:val="continue"/>
          </w:tcPr>
          <w:p>
            <w:pPr>
              <w:spacing w:after="0"/>
              <w:rPr>
                <w:sz w:val="15"/>
                <w:szCs w:val="15"/>
                <w:color w:val="auto"/>
              </w:rPr>
            </w:pPr>
          </w:p>
        </w:tc>
        <w:tc>
          <w:tcPr>
            <w:tcW w:w="100" w:type="dxa"/>
            <w:vAlign w:val="bottom"/>
            <w:vMerge w:val="continue"/>
            <w:shd w:val="clear" w:color="auto" w:fill="D5EEEE"/>
          </w:tcPr>
          <w:p>
            <w:pPr>
              <w:spacing w:after="0"/>
              <w:rPr>
                <w:sz w:val="15"/>
                <w:szCs w:val="15"/>
                <w:color w:val="auto"/>
              </w:rPr>
            </w:pPr>
          </w:p>
        </w:tc>
        <w:tc>
          <w:tcPr>
            <w:tcW w:w="100" w:type="dxa"/>
            <w:vAlign w:val="bottom"/>
            <w:shd w:val="clear" w:color="auto" w:fill="D5EEEE"/>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shd w:val="clear" w:color="auto" w:fill="D5EEEE"/>
              </w:rPr>
              <w:t>$</w:t>
            </w:r>
          </w:p>
        </w:tc>
        <w:tc>
          <w:tcPr>
            <w:tcW w:w="920" w:type="dxa"/>
            <w:vAlign w:val="bottom"/>
            <w:vMerge w:val="continue"/>
            <w:shd w:val="clear" w:color="auto" w:fill="D5EEEE"/>
          </w:tcPr>
          <w:p>
            <w:pPr>
              <w:spacing w:after="0"/>
              <w:rPr>
                <w:sz w:val="15"/>
                <w:szCs w:val="15"/>
                <w:color w:val="auto"/>
              </w:rPr>
            </w:pPr>
          </w:p>
        </w:tc>
        <w:tc>
          <w:tcPr>
            <w:tcW w:w="120" w:type="dxa"/>
            <w:vAlign w:val="bottom"/>
            <w:vMerge w:val="continue"/>
            <w:shd w:val="clear" w:color="auto" w:fill="D5EEEE"/>
          </w:tcPr>
          <w:p>
            <w:pPr>
              <w:spacing w:after="0"/>
              <w:rPr>
                <w:sz w:val="15"/>
                <w:szCs w:val="15"/>
                <w:color w:val="auto"/>
              </w:rPr>
            </w:pPr>
          </w:p>
        </w:tc>
        <w:tc>
          <w:tcPr>
            <w:tcW w:w="180" w:type="dxa"/>
            <w:vAlign w:val="bottom"/>
            <w:vMerge w:val="continue"/>
          </w:tcPr>
          <w:p>
            <w:pPr>
              <w:spacing w:after="0"/>
              <w:rPr>
                <w:sz w:val="15"/>
                <w:szCs w:val="15"/>
                <w:color w:val="auto"/>
              </w:rPr>
            </w:pPr>
          </w:p>
        </w:tc>
        <w:tc>
          <w:tcPr>
            <w:tcW w:w="1040" w:type="dxa"/>
            <w:vAlign w:val="bottom"/>
            <w:shd w:val="clear" w:color="auto" w:fill="D5EEEE"/>
          </w:tcPr>
          <w:p>
            <w:pPr>
              <w:jc w:val="right"/>
              <w:spacing w:after="0" w:line="182" w:lineRule="exact"/>
              <w:rPr>
                <w:sz w:val="20"/>
                <w:szCs w:val="20"/>
                <w:color w:val="auto"/>
              </w:rPr>
            </w:pPr>
            <w:r>
              <w:rPr>
                <w:rFonts w:ascii="Times New Roman" w:cs="Times New Roman" w:eastAsia="Times New Roman" w:hAnsi="Times New Roman"/>
                <w:sz w:val="16"/>
                <w:szCs w:val="16"/>
                <w:color w:val="auto"/>
              </w:rPr>
              <w:t>7/1/2032</w:t>
            </w:r>
          </w:p>
        </w:tc>
        <w:tc>
          <w:tcPr>
            <w:tcW w:w="20" w:type="dxa"/>
            <w:vAlign w:val="bottom"/>
            <w:vMerge w:val="continue"/>
          </w:tcPr>
          <w:p>
            <w:pPr>
              <w:spacing w:after="0"/>
              <w:rPr>
                <w:sz w:val="15"/>
                <w:szCs w:val="15"/>
                <w:color w:val="auto"/>
              </w:rPr>
            </w:pPr>
          </w:p>
        </w:tc>
        <w:tc>
          <w:tcPr>
            <w:tcW w:w="100" w:type="dxa"/>
            <w:vAlign w:val="bottom"/>
            <w:shd w:val="clear" w:color="auto" w:fill="D5EEE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6/25/2028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43,825</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20" w:type="dxa"/>
            <w:vAlign w:val="bottom"/>
          </w:tcPr>
          <w:p>
            <w:pPr>
              <w:spacing w:after="0"/>
              <w:rPr>
                <w:sz w:val="17"/>
                <w:szCs w:val="17"/>
                <w:color w:val="auto"/>
              </w:rPr>
            </w:pPr>
          </w:p>
        </w:tc>
        <w:tc>
          <w:tcPr>
            <w:tcW w:w="13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289,24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72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20" w:type="dxa"/>
            <w:vAlign w:val="bottom"/>
            <w:vMerge w:val="restart"/>
          </w:tcPr>
          <w:p>
            <w:pPr>
              <w:spacing w:after="0"/>
              <w:rPr>
                <w:sz w:val="10"/>
                <w:szCs w:val="10"/>
                <w:color w:val="auto"/>
              </w:rPr>
            </w:pPr>
          </w:p>
        </w:tc>
        <w:tc>
          <w:tcPr>
            <w:tcW w:w="180" w:type="dxa"/>
            <w:vAlign w:val="bottom"/>
            <w:vMerge w:val="restart"/>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72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26,100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highlight w:val="white"/>
                <w:w w:val="74"/>
              </w:rPr>
              <w:t>$</w:t>
            </w:r>
          </w:p>
        </w:tc>
        <w:tc>
          <w:tcPr>
            <w:tcW w:w="92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11/1/2028</w:t>
            </w:r>
          </w:p>
        </w:tc>
        <w:tc>
          <w:tcPr>
            <w:tcW w:w="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72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20" w:type="dxa"/>
            <w:vAlign w:val="bottom"/>
            <w:vMerge w:val="restart"/>
          </w:tcPr>
          <w:p>
            <w:pPr>
              <w:spacing w:after="0"/>
              <w:rPr>
                <w:sz w:val="10"/>
                <w:szCs w:val="10"/>
                <w:color w:val="auto"/>
              </w:rPr>
            </w:pPr>
          </w:p>
        </w:tc>
        <w:tc>
          <w:tcPr>
            <w:tcW w:w="180" w:type="dxa"/>
            <w:vAlign w:val="bottom"/>
            <w:vMerge w:val="restart"/>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7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9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11/30/2028</w:t>
            </w:r>
          </w:p>
        </w:tc>
        <w:tc>
          <w:tcPr>
            <w:tcW w:w="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72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vMerge w:val="restart"/>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vMerge w:val="restart"/>
          </w:tcPr>
          <w:p>
            <w:pPr>
              <w:spacing w:after="0"/>
              <w:rPr>
                <w:sz w:val="10"/>
                <w:szCs w:val="10"/>
                <w:color w:val="auto"/>
              </w:rPr>
            </w:pPr>
          </w:p>
        </w:tc>
        <w:tc>
          <w:tcPr>
            <w:tcW w:w="180" w:type="dxa"/>
            <w:vAlign w:val="bottom"/>
            <w:vMerge w:val="restart"/>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7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5,194</w:t>
            </w:r>
          </w:p>
        </w:tc>
        <w:tc>
          <w:tcPr>
            <w:tcW w:w="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9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7/6/2031</w:t>
            </w:r>
          </w:p>
        </w:tc>
        <w:tc>
          <w:tcPr>
            <w:tcW w:w="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20" w:type="dxa"/>
            <w:vAlign w:val="bottom"/>
            <w:vMerge w:val="restart"/>
          </w:tcPr>
          <w:p>
            <w:pPr>
              <w:spacing w:after="0"/>
              <w:rPr>
                <w:sz w:val="10"/>
                <w:szCs w:val="10"/>
                <w:color w:val="auto"/>
              </w:rPr>
            </w:pPr>
          </w:p>
        </w:tc>
        <w:tc>
          <w:tcPr>
            <w:tcW w:w="180" w:type="dxa"/>
            <w:vAlign w:val="bottom"/>
            <w:vMerge w:val="restart"/>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20,650</w:t>
            </w:r>
          </w:p>
        </w:tc>
        <w:tc>
          <w:tcPr>
            <w:tcW w:w="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highlight w:val="white"/>
                <w:w w:val="74"/>
              </w:rPr>
              <w:t>$</w:t>
            </w:r>
          </w:p>
        </w:tc>
        <w:tc>
          <w:tcPr>
            <w:tcW w:w="92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7/1/2032</w:t>
            </w:r>
          </w:p>
        </w:tc>
        <w:tc>
          <w:tcPr>
            <w:tcW w:w="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4106545</wp:posOffset>
            </wp:positionH>
            <wp:positionV relativeFrom="paragraph">
              <wp:posOffset>-5436870</wp:posOffset>
            </wp:positionV>
            <wp:extent cx="2687320" cy="317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87320" cy="317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-4485640</wp:posOffset>
            </wp:positionV>
            <wp:extent cx="6884670" cy="44989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84670" cy="4498975"/>
                    </a:xfrm>
                    <a:prstGeom prst="rect">
                      <a:avLst/>
                    </a:prstGeom>
                    <a:noFill/>
                  </pic:spPr>
                </pic:pic>
              </a:graphicData>
            </a:graphic>
          </wp:anchor>
        </w:drawing>
      </w:r>
    </w:p>
    <w:p>
      <w:pPr>
        <w:spacing w:after="0" w:line="138" w:lineRule="exact"/>
        <w:rPr>
          <w:sz w:val="20"/>
          <w:szCs w:val="20"/>
          <w:color w:val="auto"/>
        </w:rPr>
      </w:pPr>
    </w:p>
    <w:p>
      <w:pPr>
        <w:ind w:left="860" w:right="100" w:hanging="500"/>
        <w:spacing w:after="0"/>
        <w:tabs>
          <w:tab w:leader="none" w:pos="8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in this column are calculated by multiplying the closing market price of the Company’s stock as of December 31, 2022 by the number of shares or units of stock awards.</w:t>
      </w:r>
    </w:p>
    <w:p>
      <w:pPr>
        <w:ind w:left="860" w:hanging="500"/>
        <w:spacing w:after="0"/>
        <w:tabs>
          <w:tab w:leader="none" w:pos="8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range of exercise price and expiration dates as options were granted on different dates throughout their tenure.</w:t>
      </w:r>
    </w:p>
    <w:p>
      <w:pPr>
        <w:sectPr>
          <w:pgSz w:w="11880" w:h="15480" w:orient="portrait"/>
          <w:cols w:equalWidth="0" w:num="1">
            <w:col w:w="10800"/>
          </w:cols>
          <w:pgMar w:left="540" w:top="88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10800"/>
          </w:cols>
          <w:pgMar w:left="540" w:top="887" w:right="540" w:bottom="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color w:val="auto"/>
        </w:rPr>
        <w:t>Director Compensation</w:t>
      </w:r>
    </w:p>
    <w:p>
      <w:pPr>
        <w:spacing w:after="0" w:line="234"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The following table sets forth certain information regarding the compensation earned by or awarded to each non-employee Director who served on our Board during the fiscal year-ended December 31, 2022 (in US dollars). We do not provide separate compensation to our executive Directors, such as Dr. Michael Perry, who served as our Chief Executive Officer during the fiscal year-ended December 31, 2022 until September 28, 2022, except in the case of Mr. James Corbett who served as a non-executive director only until his appointment as Chief Executive Officer effective as at September 28, 2022.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4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Fees earned in cash</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00" w:type="dxa"/>
            <w:vAlign w:val="bottom"/>
            <w:tcBorders>
              <w:bottom w:val="single" w:sz="8" w:color="D5EEEE"/>
            </w:tcBorders>
          </w:tcPr>
          <w:p>
            <w:pPr>
              <w:spacing w:after="0"/>
              <w:rPr>
                <w:sz w:val="17"/>
                <w:szCs w:val="17"/>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w w:val="92"/>
              </w:rPr>
              <w:t>) (1)</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 (2)</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16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 (3)</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000" w:type="dxa"/>
            <w:vAlign w:val="bottom"/>
            <w:shd w:val="clear" w:color="auto" w:fill="D5EEEE"/>
          </w:tcPr>
          <w:p>
            <w:pPr>
              <w:spacing w:after="0"/>
              <w:rPr>
                <w:sz w:val="16"/>
                <w:szCs w:val="16"/>
                <w:color w:val="auto"/>
              </w:rPr>
            </w:pPr>
          </w:p>
        </w:tc>
        <w:tc>
          <w:tcPr>
            <w:tcW w:w="8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L Panaccio - Chairman</w:t>
            </w: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126,250</w:t>
            </w: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87,494</w:t>
            </w: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31,248</w:t>
            </w:r>
          </w:p>
        </w:tc>
        <w:tc>
          <w:tcPr>
            <w:tcW w:w="20" w:type="dxa"/>
            <w:vAlign w:val="bottom"/>
            <w:vMerge w:val="restart"/>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244,99</w:t>
            </w: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00" w:type="dxa"/>
            <w:vAlign w:val="bottom"/>
            <w:tcBorders>
              <w:bottom w:val="single" w:sz="8" w:color="D5EEEE"/>
            </w:tcBorders>
            <w:vMerge w:val="continue"/>
          </w:tcPr>
          <w:p>
            <w:pPr>
              <w:spacing w:after="0"/>
              <w:rPr>
                <w:sz w:val="15"/>
                <w:szCs w:val="15"/>
                <w:color w:val="auto"/>
              </w:rPr>
            </w:pPr>
          </w:p>
        </w:tc>
        <w:tc>
          <w:tcPr>
            <w:tcW w:w="80" w:type="dxa"/>
            <w:vAlign w:val="bottom"/>
            <w:tcBorders>
              <w:bottom w:val="single" w:sz="8" w:color="D5EEEE"/>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highlight w:val="white"/>
                <w:w w:val="74"/>
              </w:rPr>
              <w:t>$</w:t>
            </w:r>
          </w:p>
        </w:tc>
        <w:tc>
          <w:tcPr>
            <w:tcW w:w="20" w:type="dxa"/>
            <w:vAlign w:val="bottom"/>
            <w:tcBorders>
              <w:bottom w:val="single" w:sz="8" w:color="D5EEEE"/>
            </w:tcBorders>
            <w:vMerge w:val="continue"/>
          </w:tcPr>
          <w:p>
            <w:pPr>
              <w:spacing w:after="0"/>
              <w:rPr>
                <w:sz w:val="15"/>
                <w:szCs w:val="15"/>
                <w:color w:val="auto"/>
              </w:rPr>
            </w:pPr>
          </w:p>
        </w:tc>
        <w:tc>
          <w:tcPr>
            <w:tcW w:w="740" w:type="dxa"/>
            <w:vAlign w:val="bottom"/>
            <w:tcBorders>
              <w:bottom w:val="single" w:sz="8" w:color="D5EEEE"/>
            </w:tcBorders>
          </w:tcPr>
          <w:p>
            <w:pPr>
              <w:spacing w:after="0"/>
              <w:rPr>
                <w:sz w:val="15"/>
                <w:szCs w:val="15"/>
                <w:color w:val="auto"/>
              </w:rPr>
            </w:pPr>
          </w:p>
        </w:tc>
        <w:tc>
          <w:tcPr>
            <w:tcW w:w="980" w:type="dxa"/>
            <w:vAlign w:val="bottom"/>
            <w:tcBorders>
              <w:bottom w:val="single" w:sz="8" w:color="D5EEEE"/>
            </w:tcBorders>
            <w:vMerge w:val="continue"/>
          </w:tcPr>
          <w:p>
            <w:pPr>
              <w:spacing w:after="0"/>
              <w:rPr>
                <w:sz w:val="15"/>
                <w:szCs w:val="15"/>
                <w:color w:val="auto"/>
              </w:rPr>
            </w:pPr>
          </w:p>
        </w:tc>
        <w:tc>
          <w:tcPr>
            <w:tcW w:w="20" w:type="dxa"/>
            <w:vAlign w:val="bottom"/>
            <w:tcBorders>
              <w:bottom w:val="single" w:sz="8" w:color="D5EEEE"/>
            </w:tcBorders>
            <w:vMerge w:val="continue"/>
          </w:tcPr>
          <w:p>
            <w:pPr>
              <w:spacing w:after="0"/>
              <w:rPr>
                <w:sz w:val="15"/>
                <w:szCs w:val="15"/>
                <w:color w:val="auto"/>
              </w:rPr>
            </w:pPr>
          </w:p>
        </w:tc>
        <w:tc>
          <w:tcPr>
            <w:tcW w:w="100" w:type="dxa"/>
            <w:vAlign w:val="bottom"/>
            <w:tcBorders>
              <w:bottom w:val="single" w:sz="8" w:color="D5EEEE"/>
            </w:tcBorders>
            <w:vMerge w:val="continue"/>
          </w:tcPr>
          <w:p>
            <w:pPr>
              <w:spacing w:after="0"/>
              <w:rPr>
                <w:sz w:val="15"/>
                <w:szCs w:val="15"/>
                <w:color w:val="auto"/>
              </w:rPr>
            </w:pPr>
          </w:p>
        </w:tc>
        <w:tc>
          <w:tcPr>
            <w:tcW w:w="160" w:type="dxa"/>
            <w:vAlign w:val="bottom"/>
            <w:tcBorders>
              <w:bottom w:val="single" w:sz="8" w:color="D5EEEE"/>
            </w:tcBorders>
            <w:vMerge w:val="continue"/>
          </w:tcPr>
          <w:p>
            <w:pPr>
              <w:spacing w:after="0"/>
              <w:rPr>
                <w:sz w:val="15"/>
                <w:szCs w:val="15"/>
                <w:color w:val="auto"/>
              </w:rPr>
            </w:pPr>
          </w:p>
        </w:tc>
        <w:tc>
          <w:tcPr>
            <w:tcW w:w="20" w:type="dxa"/>
            <w:vAlign w:val="bottom"/>
            <w:tcBorders>
              <w:bottom w:val="single" w:sz="8" w:color="D5EEEE"/>
            </w:tcBorders>
            <w:vMerge w:val="continue"/>
          </w:tcPr>
          <w:p>
            <w:pPr>
              <w:spacing w:after="0"/>
              <w:rPr>
                <w:sz w:val="15"/>
                <w:szCs w:val="15"/>
                <w:color w:val="auto"/>
              </w:rPr>
            </w:pPr>
          </w:p>
        </w:tc>
        <w:tc>
          <w:tcPr>
            <w:tcW w:w="8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1"/>
                <w:szCs w:val="11"/>
                <w:color w:val="auto"/>
                <w:highlight w:val="white"/>
                <w:w w:val="71"/>
              </w:rPr>
              <w:t>$</w:t>
            </w:r>
          </w:p>
        </w:tc>
        <w:tc>
          <w:tcPr>
            <w:tcW w:w="20" w:type="dxa"/>
            <w:vAlign w:val="bottom"/>
            <w:tcBorders>
              <w:bottom w:val="single" w:sz="8" w:color="D5EEEE"/>
            </w:tcBorders>
            <w:vMerge w:val="continue"/>
          </w:tcPr>
          <w:p>
            <w:pPr>
              <w:spacing w:after="0"/>
              <w:rPr>
                <w:sz w:val="15"/>
                <w:szCs w:val="15"/>
                <w:color w:val="auto"/>
              </w:rPr>
            </w:pPr>
          </w:p>
        </w:tc>
        <w:tc>
          <w:tcPr>
            <w:tcW w:w="1180" w:type="dxa"/>
            <w:vAlign w:val="bottom"/>
            <w:tcBorders>
              <w:bottom w:val="single" w:sz="8" w:color="D5EEEE"/>
            </w:tcBorders>
            <w:gridSpan w:val="2"/>
            <w:vMerge w:val="continue"/>
          </w:tcPr>
          <w:p>
            <w:pPr>
              <w:spacing w:after="0"/>
              <w:rPr>
                <w:sz w:val="15"/>
                <w:szCs w:val="15"/>
                <w:color w:val="auto"/>
              </w:rPr>
            </w:pPr>
          </w:p>
        </w:tc>
        <w:tc>
          <w:tcPr>
            <w:tcW w:w="20" w:type="dxa"/>
            <w:vAlign w:val="bottom"/>
            <w:tcBorders>
              <w:bottom w:val="single" w:sz="8" w:color="D5EEEE"/>
            </w:tcBorders>
            <w:vMerge w:val="continue"/>
          </w:tcPr>
          <w:p>
            <w:pPr>
              <w:spacing w:after="0"/>
              <w:rPr>
                <w:sz w:val="15"/>
                <w:szCs w:val="15"/>
                <w:color w:val="auto"/>
              </w:rPr>
            </w:pPr>
          </w:p>
        </w:tc>
        <w:tc>
          <w:tcPr>
            <w:tcW w:w="100" w:type="dxa"/>
            <w:vAlign w:val="bottom"/>
            <w:tcBorders>
              <w:bottom w:val="single" w:sz="8" w:color="D5EEEE"/>
            </w:tcBorders>
            <w:vMerge w:val="continue"/>
          </w:tcPr>
          <w:p>
            <w:pPr>
              <w:spacing w:after="0"/>
              <w:rPr>
                <w:sz w:val="15"/>
                <w:szCs w:val="15"/>
                <w:color w:val="auto"/>
              </w:rPr>
            </w:pPr>
          </w:p>
        </w:tc>
        <w:tc>
          <w:tcPr>
            <w:tcW w:w="160" w:type="dxa"/>
            <w:vAlign w:val="bottom"/>
            <w:tcBorders>
              <w:bottom w:val="single" w:sz="8" w:color="D5EEEE"/>
            </w:tcBorders>
            <w:vMerge w:val="continue"/>
          </w:tcPr>
          <w:p>
            <w:pPr>
              <w:spacing w:after="0"/>
              <w:rPr>
                <w:sz w:val="15"/>
                <w:szCs w:val="15"/>
                <w:color w:val="auto"/>
              </w:rPr>
            </w:pPr>
          </w:p>
        </w:tc>
        <w:tc>
          <w:tcPr>
            <w:tcW w:w="20" w:type="dxa"/>
            <w:vAlign w:val="bottom"/>
            <w:tcBorders>
              <w:bottom w:val="single" w:sz="8" w:color="D5EEEE"/>
            </w:tcBorders>
            <w:vMerge w:val="continue"/>
          </w:tcPr>
          <w:p>
            <w:pPr>
              <w:spacing w:after="0"/>
              <w:rPr>
                <w:sz w:val="15"/>
                <w:szCs w:val="15"/>
                <w:color w:val="auto"/>
              </w:rPr>
            </w:pPr>
          </w:p>
        </w:tc>
        <w:tc>
          <w:tcPr>
            <w:tcW w:w="8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1"/>
                <w:szCs w:val="11"/>
                <w:color w:val="auto"/>
                <w:highlight w:val="white"/>
                <w:w w:val="71"/>
              </w:rPr>
              <w:t>$</w:t>
            </w:r>
          </w:p>
        </w:tc>
        <w:tc>
          <w:tcPr>
            <w:tcW w:w="20" w:type="dxa"/>
            <w:vAlign w:val="bottom"/>
            <w:tcBorders>
              <w:bottom w:val="single" w:sz="8" w:color="D5EEEE"/>
            </w:tcBorders>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tcBorders>
              <w:bottom w:val="single" w:sz="8" w:color="D5EEEE"/>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highlight w:val="white"/>
                <w:w w:val="71"/>
              </w:rPr>
              <w:t>$</w:t>
            </w:r>
          </w:p>
        </w:tc>
        <w:tc>
          <w:tcPr>
            <w:tcW w:w="2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00" w:type="dxa"/>
            <w:vAlign w:val="bottom"/>
            <w:tcBorders>
              <w:bottom w:val="single" w:sz="8" w:color="D5EEEE"/>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00" w:type="dxa"/>
            <w:vAlign w:val="bottom"/>
            <w:shd w:val="clear" w:color="auto" w:fill="D5EEE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D5EEEE"/>
          </w:tcPr>
          <w:p>
            <w:pPr>
              <w:spacing w:after="0"/>
              <w:rPr>
                <w:sz w:val="16"/>
                <w:szCs w:val="16"/>
                <w:color w:val="auto"/>
              </w:rPr>
            </w:pPr>
          </w:p>
        </w:tc>
        <w:tc>
          <w:tcPr>
            <w:tcW w:w="980" w:type="dxa"/>
            <w:vAlign w:val="bottom"/>
            <w:shd w:val="clear" w:color="auto" w:fill="D5EEEE"/>
          </w:tcPr>
          <w:p>
            <w:pPr>
              <w:jc w:val="right"/>
              <w:spacing w:after="0" w:line="177" w:lineRule="exact"/>
              <w:rPr>
                <w:sz w:val="20"/>
                <w:szCs w:val="20"/>
                <w:color w:val="auto"/>
              </w:rPr>
            </w:pPr>
            <w:r>
              <w:rPr>
                <w:rFonts w:ascii="Times New Roman" w:cs="Times New Roman" w:eastAsia="Times New Roman" w:hAnsi="Times New Roman"/>
                <w:sz w:val="16"/>
                <w:szCs w:val="16"/>
                <w:color w:val="auto"/>
              </w:rPr>
              <w:t>90,833</w:t>
            </w:r>
          </w:p>
        </w:tc>
        <w:tc>
          <w:tcPr>
            <w:tcW w:w="20" w:type="dxa"/>
            <w:vAlign w:val="bottom"/>
          </w:tcPr>
          <w:p>
            <w:pPr>
              <w:spacing w:after="0"/>
              <w:rPr>
                <w:sz w:val="16"/>
                <w:szCs w:val="16"/>
                <w:color w:val="auto"/>
              </w:rPr>
            </w:pPr>
          </w:p>
        </w:tc>
        <w:tc>
          <w:tcPr>
            <w:tcW w:w="100" w:type="dxa"/>
            <w:vAlign w:val="bottom"/>
            <w:shd w:val="clear" w:color="auto" w:fill="D5EEEE"/>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2"/>
            <w:shd w:val="clear" w:color="auto" w:fill="D5EEEE"/>
          </w:tcPr>
          <w:p>
            <w:pPr>
              <w:jc w:val="right"/>
              <w:spacing w:after="0" w:line="177" w:lineRule="exact"/>
              <w:rPr>
                <w:sz w:val="20"/>
                <w:szCs w:val="20"/>
                <w:color w:val="auto"/>
              </w:rPr>
            </w:pPr>
            <w:r>
              <w:rPr>
                <w:rFonts w:ascii="Times New Roman" w:cs="Times New Roman" w:eastAsia="Times New Roman" w:hAnsi="Times New Roman"/>
                <w:sz w:val="16"/>
                <w:szCs w:val="16"/>
                <w:color w:val="auto"/>
              </w:rPr>
              <w:t>87,494</w:t>
            </w:r>
          </w:p>
        </w:tc>
        <w:tc>
          <w:tcPr>
            <w:tcW w:w="20" w:type="dxa"/>
            <w:vAlign w:val="bottom"/>
          </w:tcPr>
          <w:p>
            <w:pPr>
              <w:spacing w:after="0"/>
              <w:rPr>
                <w:sz w:val="16"/>
                <w:szCs w:val="16"/>
                <w:color w:val="auto"/>
              </w:rPr>
            </w:pPr>
          </w:p>
        </w:tc>
        <w:tc>
          <w:tcPr>
            <w:tcW w:w="100" w:type="dxa"/>
            <w:vAlign w:val="bottom"/>
            <w:shd w:val="clear" w:color="auto" w:fill="D5EEEE"/>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D5EEEE"/>
          </w:tcPr>
          <w:p>
            <w:pPr>
              <w:jc w:val="right"/>
              <w:spacing w:after="0" w:line="182" w:lineRule="exact"/>
              <w:rPr>
                <w:sz w:val="20"/>
                <w:szCs w:val="20"/>
                <w:color w:val="auto"/>
              </w:rPr>
            </w:pPr>
            <w:r>
              <w:rPr>
                <w:rFonts w:ascii="Times New Roman" w:cs="Times New Roman" w:eastAsia="Times New Roman" w:hAnsi="Times New Roman"/>
                <w:sz w:val="16"/>
                <w:szCs w:val="16"/>
                <w:color w:val="auto"/>
              </w:rPr>
              <w:t>31,248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left w:val="single" w:sz="8" w:color="D5EEEE"/>
            </w:tcBorders>
            <w:shd w:val="clear" w:color="auto" w:fill="D5EEEE"/>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D5EEEE"/>
          </w:tcPr>
          <w:p>
            <w:pPr>
              <w:jc w:val="right"/>
              <w:spacing w:after="0" w:line="182" w:lineRule="exact"/>
              <w:rPr>
                <w:sz w:val="20"/>
                <w:szCs w:val="20"/>
                <w:color w:val="auto"/>
              </w:rPr>
            </w:pPr>
            <w:r>
              <w:rPr>
                <w:rFonts w:ascii="Times New Roman" w:cs="Times New Roman" w:eastAsia="Times New Roman" w:hAnsi="Times New Roman"/>
                <w:sz w:val="16"/>
                <w:szCs w:val="16"/>
                <w:color w:val="auto"/>
              </w:rPr>
              <w:t>209,57</w:t>
            </w:r>
          </w:p>
        </w:tc>
        <w:tc>
          <w:tcPr>
            <w:tcW w:w="20" w:type="dxa"/>
            <w:vAlign w:val="bottom"/>
          </w:tcPr>
          <w:p>
            <w:pPr>
              <w:spacing w:after="0"/>
              <w:rPr>
                <w:sz w:val="16"/>
                <w:szCs w:val="16"/>
                <w:color w:val="auto"/>
              </w:rPr>
            </w:pPr>
          </w:p>
        </w:tc>
        <w:tc>
          <w:tcPr>
            <w:tcW w:w="100" w:type="dxa"/>
            <w:vAlign w:val="bottom"/>
            <w:shd w:val="clear" w:color="auto" w:fill="D5EEE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00" w:type="dxa"/>
            <w:vAlign w:val="bottom"/>
            <w:tcBorders>
              <w:bottom w:val="single" w:sz="8" w:color="D5EEEE"/>
            </w:tcBorders>
          </w:tcPr>
          <w:p>
            <w:pPr>
              <w:spacing w:after="0"/>
              <w:rPr>
                <w:sz w:val="15"/>
                <w:szCs w:val="15"/>
                <w:color w:val="auto"/>
              </w:rPr>
            </w:pPr>
          </w:p>
        </w:tc>
        <w:tc>
          <w:tcPr>
            <w:tcW w:w="80" w:type="dxa"/>
            <w:vAlign w:val="bottom"/>
            <w:tcBorders>
              <w:bottom w:val="single" w:sz="8" w:color="D5EEEE"/>
            </w:tcBorders>
          </w:tcPr>
          <w:p>
            <w:pPr>
              <w:spacing w:after="0"/>
              <w:rPr>
                <w:sz w:val="15"/>
                <w:szCs w:val="15"/>
                <w:color w:val="auto"/>
              </w:rPr>
            </w:pPr>
          </w:p>
        </w:tc>
        <w:tc>
          <w:tcPr>
            <w:tcW w:w="20" w:type="dxa"/>
            <w:vAlign w:val="bottom"/>
            <w:tcBorders>
              <w:bottom w:val="single" w:sz="8" w:color="D5EEEE"/>
            </w:tcBorders>
          </w:tcPr>
          <w:p>
            <w:pPr>
              <w:spacing w:after="0"/>
              <w:rPr>
                <w:sz w:val="15"/>
                <w:szCs w:val="15"/>
                <w:color w:val="auto"/>
              </w:rPr>
            </w:pPr>
          </w:p>
        </w:tc>
        <w:tc>
          <w:tcPr>
            <w:tcW w:w="740" w:type="dxa"/>
            <w:vAlign w:val="bottom"/>
            <w:tcBorders>
              <w:bottom w:val="single" w:sz="8" w:color="D5EEEE"/>
            </w:tcBorders>
          </w:tcPr>
          <w:p>
            <w:pPr>
              <w:spacing w:after="0"/>
              <w:rPr>
                <w:sz w:val="15"/>
                <w:szCs w:val="15"/>
                <w:color w:val="auto"/>
              </w:rPr>
            </w:pPr>
          </w:p>
        </w:tc>
        <w:tc>
          <w:tcPr>
            <w:tcW w:w="980" w:type="dxa"/>
            <w:vAlign w:val="bottom"/>
            <w:tcBorders>
              <w:bottom w:val="single" w:sz="8" w:color="D5EEEE"/>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26,667</w:t>
            </w:r>
          </w:p>
        </w:tc>
        <w:tc>
          <w:tcPr>
            <w:tcW w:w="20" w:type="dxa"/>
            <w:vAlign w:val="bottom"/>
            <w:tcBorders>
              <w:bottom w:val="single" w:sz="8" w:color="D5EEEE"/>
            </w:tcBorders>
          </w:tcPr>
          <w:p>
            <w:pPr>
              <w:spacing w:after="0"/>
              <w:rPr>
                <w:sz w:val="15"/>
                <w:szCs w:val="15"/>
                <w:color w:val="auto"/>
              </w:rPr>
            </w:pPr>
          </w:p>
        </w:tc>
        <w:tc>
          <w:tcPr>
            <w:tcW w:w="100" w:type="dxa"/>
            <w:vAlign w:val="bottom"/>
            <w:tcBorders>
              <w:bottom w:val="single" w:sz="8" w:color="D5EEEE"/>
            </w:tcBorders>
          </w:tcPr>
          <w:p>
            <w:pPr>
              <w:spacing w:after="0"/>
              <w:rPr>
                <w:sz w:val="15"/>
                <w:szCs w:val="15"/>
                <w:color w:val="auto"/>
              </w:rPr>
            </w:pPr>
          </w:p>
        </w:tc>
        <w:tc>
          <w:tcPr>
            <w:tcW w:w="160" w:type="dxa"/>
            <w:vAlign w:val="bottom"/>
            <w:tcBorders>
              <w:bottom w:val="single" w:sz="8" w:color="D5EEEE"/>
            </w:tcBorders>
          </w:tcPr>
          <w:p>
            <w:pPr>
              <w:spacing w:after="0"/>
              <w:rPr>
                <w:sz w:val="15"/>
                <w:szCs w:val="15"/>
                <w:color w:val="auto"/>
              </w:rPr>
            </w:pPr>
          </w:p>
        </w:tc>
        <w:tc>
          <w:tcPr>
            <w:tcW w:w="20" w:type="dxa"/>
            <w:vAlign w:val="bottom"/>
            <w:tcBorders>
              <w:bottom w:val="single" w:sz="8" w:color="D5EEEE"/>
            </w:tcBorders>
          </w:tcPr>
          <w:p>
            <w:pPr>
              <w:spacing w:after="0"/>
              <w:rPr>
                <w:sz w:val="15"/>
                <w:szCs w:val="15"/>
                <w:color w:val="auto"/>
              </w:rPr>
            </w:pPr>
          </w:p>
        </w:tc>
        <w:tc>
          <w:tcPr>
            <w:tcW w:w="80" w:type="dxa"/>
            <w:vAlign w:val="bottom"/>
            <w:tcBorders>
              <w:bottom w:val="single" w:sz="8" w:color="D5EEEE"/>
            </w:tcBorders>
          </w:tcPr>
          <w:p>
            <w:pPr>
              <w:spacing w:after="0"/>
              <w:rPr>
                <w:sz w:val="15"/>
                <w:szCs w:val="15"/>
                <w:color w:val="auto"/>
              </w:rPr>
            </w:pPr>
          </w:p>
        </w:tc>
        <w:tc>
          <w:tcPr>
            <w:tcW w:w="20" w:type="dxa"/>
            <w:vAlign w:val="bottom"/>
            <w:tcBorders>
              <w:bottom w:val="single" w:sz="8" w:color="D5EEEE"/>
            </w:tcBorders>
          </w:tcPr>
          <w:p>
            <w:pPr>
              <w:spacing w:after="0"/>
              <w:rPr>
                <w:sz w:val="15"/>
                <w:szCs w:val="15"/>
                <w:color w:val="auto"/>
              </w:rPr>
            </w:pPr>
          </w:p>
        </w:tc>
        <w:tc>
          <w:tcPr>
            <w:tcW w:w="1180" w:type="dxa"/>
            <w:vAlign w:val="bottom"/>
            <w:tcBorders>
              <w:bottom w:val="single" w:sz="8" w:color="D5EEEE"/>
            </w:tcBorders>
            <w:gridSpan w:val="2"/>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D5EEEE"/>
            </w:tcBorders>
          </w:tcPr>
          <w:p>
            <w:pPr>
              <w:spacing w:after="0"/>
              <w:rPr>
                <w:sz w:val="15"/>
                <w:szCs w:val="15"/>
                <w:color w:val="auto"/>
              </w:rPr>
            </w:pPr>
          </w:p>
        </w:tc>
        <w:tc>
          <w:tcPr>
            <w:tcW w:w="100" w:type="dxa"/>
            <w:vAlign w:val="bottom"/>
            <w:tcBorders>
              <w:bottom w:val="single" w:sz="8" w:color="D5EEEE"/>
            </w:tcBorders>
          </w:tcPr>
          <w:p>
            <w:pPr>
              <w:spacing w:after="0"/>
              <w:rPr>
                <w:sz w:val="15"/>
                <w:szCs w:val="15"/>
                <w:color w:val="auto"/>
              </w:rPr>
            </w:pPr>
          </w:p>
        </w:tc>
        <w:tc>
          <w:tcPr>
            <w:tcW w:w="160" w:type="dxa"/>
            <w:vAlign w:val="bottom"/>
            <w:tcBorders>
              <w:bottom w:val="single" w:sz="8" w:color="D5EEEE"/>
            </w:tcBorders>
          </w:tcPr>
          <w:p>
            <w:pPr>
              <w:spacing w:after="0"/>
              <w:rPr>
                <w:sz w:val="15"/>
                <w:szCs w:val="15"/>
                <w:color w:val="auto"/>
              </w:rPr>
            </w:pPr>
          </w:p>
        </w:tc>
        <w:tc>
          <w:tcPr>
            <w:tcW w:w="20" w:type="dxa"/>
            <w:vAlign w:val="bottom"/>
            <w:tcBorders>
              <w:bottom w:val="single" w:sz="8" w:color="D5EEEE"/>
            </w:tcBorders>
          </w:tcPr>
          <w:p>
            <w:pPr>
              <w:spacing w:after="0"/>
              <w:rPr>
                <w:sz w:val="15"/>
                <w:szCs w:val="15"/>
                <w:color w:val="auto"/>
              </w:rPr>
            </w:pPr>
          </w:p>
        </w:tc>
        <w:tc>
          <w:tcPr>
            <w:tcW w:w="80" w:type="dxa"/>
            <w:vAlign w:val="bottom"/>
            <w:tcBorders>
              <w:bottom w:val="single" w:sz="8" w:color="D5EEEE"/>
            </w:tcBorders>
          </w:tcPr>
          <w:p>
            <w:pPr>
              <w:spacing w:after="0"/>
              <w:rPr>
                <w:sz w:val="15"/>
                <w:szCs w:val="15"/>
                <w:color w:val="auto"/>
              </w:rPr>
            </w:pPr>
          </w:p>
        </w:tc>
        <w:tc>
          <w:tcPr>
            <w:tcW w:w="20" w:type="dxa"/>
            <w:vAlign w:val="bottom"/>
            <w:tcBorders>
              <w:bottom w:val="single" w:sz="8" w:color="D5EEEE"/>
            </w:tcBorders>
          </w:tcPr>
          <w:p>
            <w:pPr>
              <w:spacing w:after="0"/>
              <w:rPr>
                <w:sz w:val="15"/>
                <w:szCs w:val="15"/>
                <w:color w:val="auto"/>
              </w:rPr>
            </w:pPr>
          </w:p>
        </w:tc>
        <w:tc>
          <w:tcPr>
            <w:tcW w:w="11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D5EEEE"/>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26,66</w:t>
            </w:r>
          </w:p>
        </w:tc>
        <w:tc>
          <w:tcPr>
            <w:tcW w:w="20" w:type="dxa"/>
            <w:vAlign w:val="bottom"/>
          </w:tcPr>
          <w:p>
            <w:pPr>
              <w:spacing w:after="0"/>
              <w:rPr>
                <w:sz w:val="15"/>
                <w:szCs w:val="15"/>
                <w:color w:val="auto"/>
              </w:rPr>
            </w:pPr>
          </w:p>
        </w:tc>
        <w:tc>
          <w:tcPr>
            <w:tcW w:w="100" w:type="dxa"/>
            <w:vAlign w:val="bottom"/>
            <w:tcBorders>
              <w:bottom w:val="single" w:sz="8" w:color="D5EEEE"/>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000" w:type="dxa"/>
            <w:vAlign w:val="bottom"/>
            <w:shd w:val="clear" w:color="auto" w:fill="D5EEE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D5EEEE"/>
          </w:tcPr>
          <w:p>
            <w:pPr>
              <w:spacing w:after="0"/>
              <w:rPr>
                <w:sz w:val="17"/>
                <w:szCs w:val="17"/>
                <w:color w:val="auto"/>
              </w:rPr>
            </w:pPr>
          </w:p>
        </w:tc>
        <w:tc>
          <w:tcPr>
            <w:tcW w:w="980" w:type="dxa"/>
            <w:vAlign w:val="bottom"/>
            <w:shd w:val="clear" w:color="auto" w:fill="D5EEEE"/>
          </w:tcPr>
          <w:p>
            <w:pPr>
              <w:jc w:val="right"/>
              <w:spacing w:after="0" w:line="183" w:lineRule="exact"/>
              <w:rPr>
                <w:sz w:val="20"/>
                <w:szCs w:val="20"/>
                <w:color w:val="auto"/>
              </w:rPr>
            </w:pPr>
            <w:r>
              <w:rPr>
                <w:rFonts w:ascii="Times New Roman" w:cs="Times New Roman" w:eastAsia="Times New Roman" w:hAnsi="Times New Roman"/>
                <w:sz w:val="16"/>
                <w:szCs w:val="16"/>
                <w:color w:val="auto"/>
              </w:rPr>
              <w:t>95,000</w:t>
            </w:r>
          </w:p>
        </w:tc>
        <w:tc>
          <w:tcPr>
            <w:tcW w:w="20" w:type="dxa"/>
            <w:vAlign w:val="bottom"/>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2"/>
            <w:shd w:val="clear" w:color="auto" w:fill="D5EEEE"/>
          </w:tcPr>
          <w:p>
            <w:pPr>
              <w:jc w:val="right"/>
              <w:spacing w:after="0" w:line="183" w:lineRule="exact"/>
              <w:rPr>
                <w:sz w:val="20"/>
                <w:szCs w:val="20"/>
                <w:color w:val="auto"/>
              </w:rPr>
            </w:pPr>
            <w:r>
              <w:rPr>
                <w:rFonts w:ascii="Times New Roman" w:cs="Times New Roman" w:eastAsia="Times New Roman" w:hAnsi="Times New Roman"/>
                <w:sz w:val="16"/>
                <w:szCs w:val="16"/>
                <w:color w:val="auto"/>
              </w:rPr>
              <w:t>87,494</w:t>
            </w:r>
          </w:p>
        </w:tc>
        <w:tc>
          <w:tcPr>
            <w:tcW w:w="20" w:type="dxa"/>
            <w:vAlign w:val="bottom"/>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shd w:val="clear" w:color="auto" w:fill="D5EEEE"/>
          </w:tcPr>
          <w:p>
            <w:pPr>
              <w:jc w:val="right"/>
              <w:spacing w:after="0" w:line="183" w:lineRule="exact"/>
              <w:rPr>
                <w:sz w:val="20"/>
                <w:szCs w:val="20"/>
                <w:color w:val="auto"/>
              </w:rPr>
            </w:pPr>
            <w:r>
              <w:rPr>
                <w:rFonts w:ascii="Times New Roman" w:cs="Times New Roman" w:eastAsia="Times New Roman" w:hAnsi="Times New Roman"/>
                <w:sz w:val="16"/>
                <w:szCs w:val="16"/>
                <w:color w:val="auto"/>
              </w:rPr>
              <w:t>31,248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left w:val="single" w:sz="8" w:color="D5EEEE"/>
            </w:tcBorders>
            <w:shd w:val="clear" w:color="auto" w:fill="D5EEEE"/>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shd w:val="clear" w:color="auto" w:fill="D5EEEE"/>
          </w:tcPr>
          <w:p>
            <w:pPr>
              <w:jc w:val="right"/>
              <w:spacing w:after="0" w:line="183" w:lineRule="exact"/>
              <w:rPr>
                <w:sz w:val="20"/>
                <w:szCs w:val="20"/>
                <w:color w:val="auto"/>
              </w:rPr>
            </w:pPr>
            <w:r>
              <w:rPr>
                <w:rFonts w:ascii="Times New Roman" w:cs="Times New Roman" w:eastAsia="Times New Roman" w:hAnsi="Times New Roman"/>
                <w:sz w:val="16"/>
                <w:szCs w:val="16"/>
                <w:color w:val="auto"/>
              </w:rPr>
              <w:t>213,74</w:t>
            </w:r>
          </w:p>
        </w:tc>
        <w:tc>
          <w:tcPr>
            <w:tcW w:w="20" w:type="dxa"/>
            <w:vAlign w:val="bottom"/>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000" w:type="dxa"/>
            <w:vAlign w:val="bottom"/>
            <w:tcBorders>
              <w:bottom w:val="single" w:sz="8" w:color="D5EEEE"/>
            </w:tcBorders>
          </w:tcPr>
          <w:p>
            <w:pPr>
              <w:spacing w:after="0"/>
              <w:rPr>
                <w:sz w:val="15"/>
                <w:szCs w:val="15"/>
                <w:color w:val="auto"/>
              </w:rPr>
            </w:pPr>
          </w:p>
        </w:tc>
        <w:tc>
          <w:tcPr>
            <w:tcW w:w="80" w:type="dxa"/>
            <w:vAlign w:val="bottom"/>
            <w:tcBorders>
              <w:bottom w:val="single" w:sz="8" w:color="D5EEEE"/>
            </w:tcBorders>
          </w:tcPr>
          <w:p>
            <w:pPr>
              <w:spacing w:after="0"/>
              <w:rPr>
                <w:sz w:val="15"/>
                <w:szCs w:val="15"/>
                <w:color w:val="auto"/>
              </w:rPr>
            </w:pPr>
          </w:p>
        </w:tc>
        <w:tc>
          <w:tcPr>
            <w:tcW w:w="20" w:type="dxa"/>
            <w:vAlign w:val="bottom"/>
            <w:tcBorders>
              <w:bottom w:val="single" w:sz="8" w:color="D5EEEE"/>
            </w:tcBorders>
          </w:tcPr>
          <w:p>
            <w:pPr>
              <w:spacing w:after="0"/>
              <w:rPr>
                <w:sz w:val="15"/>
                <w:szCs w:val="15"/>
                <w:color w:val="auto"/>
              </w:rPr>
            </w:pPr>
          </w:p>
        </w:tc>
        <w:tc>
          <w:tcPr>
            <w:tcW w:w="740" w:type="dxa"/>
            <w:vAlign w:val="bottom"/>
            <w:tcBorders>
              <w:bottom w:val="single" w:sz="8" w:color="D5EEEE"/>
            </w:tcBorders>
          </w:tcPr>
          <w:p>
            <w:pPr>
              <w:spacing w:after="0"/>
              <w:rPr>
                <w:sz w:val="15"/>
                <w:szCs w:val="15"/>
                <w:color w:val="auto"/>
              </w:rPr>
            </w:pPr>
          </w:p>
        </w:tc>
        <w:tc>
          <w:tcPr>
            <w:tcW w:w="980" w:type="dxa"/>
            <w:vAlign w:val="bottom"/>
            <w:tcBorders>
              <w:bottom w:val="single" w:sz="8" w:color="D5EEEE"/>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73,542</w:t>
            </w:r>
          </w:p>
        </w:tc>
        <w:tc>
          <w:tcPr>
            <w:tcW w:w="20" w:type="dxa"/>
            <w:vAlign w:val="bottom"/>
            <w:tcBorders>
              <w:bottom w:val="single" w:sz="8" w:color="D5EEEE"/>
            </w:tcBorders>
          </w:tcPr>
          <w:p>
            <w:pPr>
              <w:spacing w:after="0"/>
              <w:rPr>
                <w:sz w:val="15"/>
                <w:szCs w:val="15"/>
                <w:color w:val="auto"/>
              </w:rPr>
            </w:pPr>
          </w:p>
        </w:tc>
        <w:tc>
          <w:tcPr>
            <w:tcW w:w="100" w:type="dxa"/>
            <w:vAlign w:val="bottom"/>
            <w:tcBorders>
              <w:bottom w:val="single" w:sz="8" w:color="D5EEEE"/>
            </w:tcBorders>
          </w:tcPr>
          <w:p>
            <w:pPr>
              <w:spacing w:after="0"/>
              <w:rPr>
                <w:sz w:val="15"/>
                <w:szCs w:val="15"/>
                <w:color w:val="auto"/>
              </w:rPr>
            </w:pPr>
          </w:p>
        </w:tc>
        <w:tc>
          <w:tcPr>
            <w:tcW w:w="160" w:type="dxa"/>
            <w:vAlign w:val="bottom"/>
            <w:tcBorders>
              <w:bottom w:val="single" w:sz="8" w:color="D5EEEE"/>
            </w:tcBorders>
          </w:tcPr>
          <w:p>
            <w:pPr>
              <w:spacing w:after="0"/>
              <w:rPr>
                <w:sz w:val="15"/>
                <w:szCs w:val="15"/>
                <w:color w:val="auto"/>
              </w:rPr>
            </w:pPr>
          </w:p>
        </w:tc>
        <w:tc>
          <w:tcPr>
            <w:tcW w:w="20" w:type="dxa"/>
            <w:vAlign w:val="bottom"/>
            <w:tcBorders>
              <w:bottom w:val="single" w:sz="8" w:color="D5EEEE"/>
            </w:tcBorders>
          </w:tcPr>
          <w:p>
            <w:pPr>
              <w:spacing w:after="0"/>
              <w:rPr>
                <w:sz w:val="15"/>
                <w:szCs w:val="15"/>
                <w:color w:val="auto"/>
              </w:rPr>
            </w:pPr>
          </w:p>
        </w:tc>
        <w:tc>
          <w:tcPr>
            <w:tcW w:w="80" w:type="dxa"/>
            <w:vAlign w:val="bottom"/>
            <w:tcBorders>
              <w:bottom w:val="single" w:sz="8" w:color="D5EEEE"/>
            </w:tcBorders>
          </w:tcPr>
          <w:p>
            <w:pPr>
              <w:spacing w:after="0"/>
              <w:rPr>
                <w:sz w:val="15"/>
                <w:szCs w:val="15"/>
                <w:color w:val="auto"/>
              </w:rPr>
            </w:pPr>
          </w:p>
        </w:tc>
        <w:tc>
          <w:tcPr>
            <w:tcW w:w="20" w:type="dxa"/>
            <w:vAlign w:val="bottom"/>
            <w:tcBorders>
              <w:bottom w:val="single" w:sz="8" w:color="D5EEEE"/>
            </w:tcBorders>
          </w:tcPr>
          <w:p>
            <w:pPr>
              <w:spacing w:after="0"/>
              <w:rPr>
                <w:sz w:val="15"/>
                <w:szCs w:val="15"/>
                <w:color w:val="auto"/>
              </w:rPr>
            </w:pPr>
          </w:p>
        </w:tc>
        <w:tc>
          <w:tcPr>
            <w:tcW w:w="1180" w:type="dxa"/>
            <w:vAlign w:val="bottom"/>
            <w:tcBorders>
              <w:bottom w:val="single" w:sz="8" w:color="D5EEEE"/>
            </w:tcBorders>
            <w:gridSpan w:val="2"/>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D5EEEE"/>
            </w:tcBorders>
          </w:tcPr>
          <w:p>
            <w:pPr>
              <w:spacing w:after="0"/>
              <w:rPr>
                <w:sz w:val="15"/>
                <w:szCs w:val="15"/>
                <w:color w:val="auto"/>
              </w:rPr>
            </w:pPr>
          </w:p>
        </w:tc>
        <w:tc>
          <w:tcPr>
            <w:tcW w:w="100" w:type="dxa"/>
            <w:vAlign w:val="bottom"/>
            <w:tcBorders>
              <w:bottom w:val="single" w:sz="8" w:color="D5EEEE"/>
            </w:tcBorders>
          </w:tcPr>
          <w:p>
            <w:pPr>
              <w:spacing w:after="0"/>
              <w:rPr>
                <w:sz w:val="15"/>
                <w:szCs w:val="15"/>
                <w:color w:val="auto"/>
              </w:rPr>
            </w:pPr>
          </w:p>
        </w:tc>
        <w:tc>
          <w:tcPr>
            <w:tcW w:w="160" w:type="dxa"/>
            <w:vAlign w:val="bottom"/>
            <w:tcBorders>
              <w:bottom w:val="single" w:sz="8" w:color="D5EEEE"/>
            </w:tcBorders>
          </w:tcPr>
          <w:p>
            <w:pPr>
              <w:spacing w:after="0"/>
              <w:rPr>
                <w:sz w:val="15"/>
                <w:szCs w:val="15"/>
                <w:color w:val="auto"/>
              </w:rPr>
            </w:pPr>
          </w:p>
        </w:tc>
        <w:tc>
          <w:tcPr>
            <w:tcW w:w="20" w:type="dxa"/>
            <w:vAlign w:val="bottom"/>
            <w:tcBorders>
              <w:bottom w:val="single" w:sz="8" w:color="D5EEEE"/>
            </w:tcBorders>
          </w:tcPr>
          <w:p>
            <w:pPr>
              <w:spacing w:after="0"/>
              <w:rPr>
                <w:sz w:val="15"/>
                <w:szCs w:val="15"/>
                <w:color w:val="auto"/>
              </w:rPr>
            </w:pPr>
          </w:p>
        </w:tc>
        <w:tc>
          <w:tcPr>
            <w:tcW w:w="80" w:type="dxa"/>
            <w:vAlign w:val="bottom"/>
            <w:tcBorders>
              <w:bottom w:val="single" w:sz="8" w:color="D5EEEE"/>
            </w:tcBorders>
          </w:tcPr>
          <w:p>
            <w:pPr>
              <w:spacing w:after="0"/>
              <w:rPr>
                <w:sz w:val="15"/>
                <w:szCs w:val="15"/>
                <w:color w:val="auto"/>
              </w:rPr>
            </w:pPr>
          </w:p>
        </w:tc>
        <w:tc>
          <w:tcPr>
            <w:tcW w:w="20" w:type="dxa"/>
            <w:vAlign w:val="bottom"/>
            <w:tcBorders>
              <w:bottom w:val="single" w:sz="8" w:color="D5EEEE"/>
            </w:tcBorders>
          </w:tcPr>
          <w:p>
            <w:pPr>
              <w:spacing w:after="0"/>
              <w:rPr>
                <w:sz w:val="15"/>
                <w:szCs w:val="15"/>
                <w:color w:val="auto"/>
              </w:rPr>
            </w:pPr>
          </w:p>
        </w:tc>
        <w:tc>
          <w:tcPr>
            <w:tcW w:w="11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D5EEEE"/>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73,54</w:t>
            </w:r>
          </w:p>
        </w:tc>
        <w:tc>
          <w:tcPr>
            <w:tcW w:w="20" w:type="dxa"/>
            <w:vAlign w:val="bottom"/>
          </w:tcPr>
          <w:p>
            <w:pPr>
              <w:spacing w:after="0"/>
              <w:rPr>
                <w:sz w:val="15"/>
                <w:szCs w:val="15"/>
                <w:color w:val="auto"/>
              </w:rPr>
            </w:pPr>
          </w:p>
        </w:tc>
        <w:tc>
          <w:tcPr>
            <w:tcW w:w="100" w:type="dxa"/>
            <w:vAlign w:val="bottom"/>
            <w:tcBorders>
              <w:bottom w:val="single" w:sz="8" w:color="D5EEEE"/>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00" w:type="dxa"/>
            <w:vAlign w:val="bottom"/>
            <w:shd w:val="clear" w:color="auto" w:fill="D5EEE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shd w:val="clear" w:color="auto" w:fill="D5EEEE"/>
          </w:tcPr>
          <w:p>
            <w:pPr>
              <w:spacing w:after="0"/>
              <w:rPr>
                <w:sz w:val="15"/>
                <w:szCs w:val="15"/>
                <w:color w:val="auto"/>
              </w:rPr>
            </w:pPr>
          </w:p>
        </w:tc>
        <w:tc>
          <w:tcPr>
            <w:tcW w:w="980" w:type="dxa"/>
            <w:vAlign w:val="bottom"/>
            <w:tcBorders>
              <w:bottom w:val="single" w:sz="8" w:color="auto"/>
            </w:tcBorders>
            <w:shd w:val="clear" w:color="auto" w:fill="D5EEEE"/>
          </w:tcPr>
          <w:p>
            <w:pPr>
              <w:jc w:val="right"/>
              <w:spacing w:after="0" w:line="179" w:lineRule="exact"/>
              <w:rPr>
                <w:sz w:val="20"/>
                <w:szCs w:val="20"/>
                <w:color w:val="auto"/>
              </w:rPr>
            </w:pPr>
            <w:r>
              <w:rPr>
                <w:rFonts w:ascii="Times New Roman" w:cs="Times New Roman" w:eastAsia="Times New Roman" w:hAnsi="Times New Roman"/>
                <w:sz w:val="16"/>
                <w:szCs w:val="16"/>
                <w:color w:val="auto"/>
              </w:rPr>
              <w:t>92,500</w:t>
            </w:r>
          </w:p>
        </w:tc>
        <w:tc>
          <w:tcPr>
            <w:tcW w:w="20" w:type="dxa"/>
            <w:vAlign w:val="bottom"/>
            <w:tcBorders>
              <w:bottom w:val="single" w:sz="8" w:color="auto"/>
            </w:tcBorders>
          </w:tcPr>
          <w:p>
            <w:pPr>
              <w:spacing w:after="0"/>
              <w:rPr>
                <w:sz w:val="15"/>
                <w:szCs w:val="15"/>
                <w:color w:val="auto"/>
              </w:rPr>
            </w:pPr>
          </w:p>
        </w:tc>
        <w:tc>
          <w:tcPr>
            <w:tcW w:w="100" w:type="dxa"/>
            <w:vAlign w:val="bottom"/>
            <w:shd w:val="clear" w:color="auto" w:fill="D5EEE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shd w:val="clear" w:color="auto" w:fill="D5EEEE"/>
          </w:tcPr>
          <w:p>
            <w:pPr>
              <w:jc w:val="right"/>
              <w:spacing w:after="0" w:line="179" w:lineRule="exact"/>
              <w:rPr>
                <w:sz w:val="20"/>
                <w:szCs w:val="20"/>
                <w:color w:val="auto"/>
              </w:rPr>
            </w:pPr>
            <w:r>
              <w:rPr>
                <w:rFonts w:ascii="Times New Roman" w:cs="Times New Roman" w:eastAsia="Times New Roman" w:hAnsi="Times New Roman"/>
                <w:sz w:val="16"/>
                <w:szCs w:val="16"/>
                <w:color w:val="auto"/>
              </w:rPr>
              <w:t>87,494</w:t>
            </w:r>
          </w:p>
        </w:tc>
        <w:tc>
          <w:tcPr>
            <w:tcW w:w="20" w:type="dxa"/>
            <w:vAlign w:val="bottom"/>
            <w:tcBorders>
              <w:bottom w:val="single" w:sz="8" w:color="auto"/>
            </w:tcBorders>
          </w:tcPr>
          <w:p>
            <w:pPr>
              <w:spacing w:after="0"/>
              <w:rPr>
                <w:sz w:val="15"/>
                <w:szCs w:val="15"/>
                <w:color w:val="auto"/>
              </w:rPr>
            </w:pPr>
          </w:p>
        </w:tc>
        <w:tc>
          <w:tcPr>
            <w:tcW w:w="100" w:type="dxa"/>
            <w:vAlign w:val="bottom"/>
            <w:shd w:val="clear" w:color="auto" w:fill="D5EEE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shd w:val="clear" w:color="auto" w:fill="D5EEEE"/>
          </w:tcPr>
          <w:p>
            <w:pPr>
              <w:jc w:val="right"/>
              <w:spacing w:after="0" w:line="179" w:lineRule="exact"/>
              <w:rPr>
                <w:sz w:val="20"/>
                <w:szCs w:val="20"/>
                <w:color w:val="auto"/>
              </w:rPr>
            </w:pPr>
            <w:r>
              <w:rPr>
                <w:rFonts w:ascii="Times New Roman" w:cs="Times New Roman" w:eastAsia="Times New Roman" w:hAnsi="Times New Roman"/>
                <w:sz w:val="16"/>
                <w:szCs w:val="16"/>
                <w:color w:val="auto"/>
              </w:rPr>
              <w:t>31,248</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left w:val="single" w:sz="8" w:color="D5EEEE"/>
            </w:tcBorders>
            <w:shd w:val="clear" w:color="auto" w:fill="D5EEE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shd w:val="clear" w:color="auto" w:fill="D5EEEE"/>
          </w:tcPr>
          <w:p>
            <w:pPr>
              <w:jc w:val="right"/>
              <w:spacing w:after="0" w:line="179" w:lineRule="exact"/>
              <w:rPr>
                <w:sz w:val="20"/>
                <w:szCs w:val="20"/>
                <w:color w:val="auto"/>
              </w:rPr>
            </w:pPr>
            <w:r>
              <w:rPr>
                <w:rFonts w:ascii="Times New Roman" w:cs="Times New Roman" w:eastAsia="Times New Roman" w:hAnsi="Times New Roman"/>
                <w:sz w:val="16"/>
                <w:szCs w:val="16"/>
                <w:color w:val="auto"/>
              </w:rPr>
              <w:t>211,24</w:t>
            </w:r>
          </w:p>
        </w:tc>
        <w:tc>
          <w:tcPr>
            <w:tcW w:w="20" w:type="dxa"/>
            <w:vAlign w:val="bottom"/>
            <w:tcBorders>
              <w:bottom w:val="single" w:sz="8" w:color="auto"/>
            </w:tcBorders>
          </w:tcPr>
          <w:p>
            <w:pPr>
              <w:spacing w:after="0"/>
              <w:rPr>
                <w:sz w:val="15"/>
                <w:szCs w:val="15"/>
                <w:color w:val="auto"/>
              </w:rPr>
            </w:pPr>
          </w:p>
        </w:tc>
        <w:tc>
          <w:tcPr>
            <w:tcW w:w="100" w:type="dxa"/>
            <w:vAlign w:val="bottom"/>
            <w:shd w:val="clear" w:color="auto" w:fill="D5EEE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highlight w:val="white"/>
                <w:w w:val="74"/>
              </w:rPr>
              <w:t>$</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504,792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highlight w:val="white"/>
                <w:w w:val="71"/>
              </w:rPr>
              <w:t>$</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349,976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highlight w:val="white"/>
                <w:w w:val="71"/>
              </w:rPr>
              <w:t>$</w:t>
            </w:r>
          </w:p>
        </w:tc>
        <w:tc>
          <w:tcPr>
            <w:tcW w:w="20" w:type="dxa"/>
            <w:vAlign w:val="bottom"/>
            <w:tcBorders>
              <w:bottom w:val="single" w:sz="8" w:color="auto"/>
            </w:tcBorders>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124,992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highlight w:val="white"/>
                <w:w w:val="71"/>
              </w:rPr>
              <w:t>$</w:t>
            </w:r>
          </w:p>
        </w:tc>
        <w:tc>
          <w:tcPr>
            <w:tcW w:w="20" w:type="dxa"/>
            <w:vAlign w:val="bottom"/>
            <w:tcBorders>
              <w:bottom w:val="single" w:sz="8" w:color="auto"/>
            </w:tcBorders>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979,76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-1039495</wp:posOffset>
            </wp:positionV>
            <wp:extent cx="6884670" cy="1071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84670" cy="1071245"/>
                    </a:xfrm>
                    <a:prstGeom prst="rect">
                      <a:avLst/>
                    </a:prstGeom>
                    <a:noFill/>
                  </pic:spPr>
                </pic:pic>
              </a:graphicData>
            </a:graphic>
          </wp:anchor>
        </w:drawing>
      </w:r>
    </w:p>
    <w:p>
      <w:pPr>
        <w:spacing w:after="0" w:line="167" w:lineRule="exact"/>
        <w:rPr>
          <w:sz w:val="20"/>
          <w:szCs w:val="20"/>
          <w:color w:val="auto"/>
        </w:rPr>
      </w:pPr>
    </w:p>
    <w:p>
      <w:pPr>
        <w:ind w:left="120" w:hanging="120"/>
        <w:spacing w:after="0"/>
        <w:tabs>
          <w:tab w:leader="none" w:pos="1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Drapeau retired from the Board of Directors during April 2022.</w:t>
      </w:r>
    </w:p>
    <w:p>
      <w:pPr>
        <w:ind w:left="860" w:right="40" w:hanging="500"/>
        <w:spacing w:after="0" w:line="239" w:lineRule="auto"/>
        <w:tabs>
          <w:tab w:leader="none" w:pos="86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are composed of the following: $70,00 for fees as a Board Member, $35,000 for Chair of the Board, $20,000 for Audit Committee Chair, $15,000 for Compensation Committee Chair, $10,000 for Nominating and Corporate Governance Chair, $10,000 for Audit Committee Member, $7,500 for Compensation Committee Member, and $5,000 for Nominating and Corporate Governance Member. Note that Mr. Drapeau's and Mr. Corbett's fees are prorated based on his terms as non-executive Directors.</w:t>
      </w:r>
    </w:p>
    <w:p>
      <w:pPr>
        <w:spacing w:after="0" w:line="4" w:lineRule="exact"/>
        <w:rPr>
          <w:rFonts w:ascii="Times New Roman" w:cs="Times New Roman" w:eastAsia="Times New Roman" w:hAnsi="Times New Roman"/>
          <w:sz w:val="20"/>
          <w:szCs w:val="20"/>
          <w:color w:val="auto"/>
        </w:rPr>
      </w:pPr>
    </w:p>
    <w:p>
      <w:pPr>
        <w:ind w:left="860" w:right="20" w:hanging="500"/>
        <w:spacing w:after="0" w:line="239" w:lineRule="auto"/>
        <w:tabs>
          <w:tab w:leader="none" w:pos="86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in this column represent awards of restricted stock units with the aggregate grant date fair value computed in accordance with FASB ASC Topic 718. The fair value determined at the date of grant in accordance with U.S. GAAP based on the closing price of our common stock on the applicable grant date. The vesting of these stock awards are subject to various performance or related criteria, including continuation of employment over the relevant vesting period.</w:t>
      </w:r>
    </w:p>
    <w:p>
      <w:pPr>
        <w:spacing w:after="0" w:line="3" w:lineRule="exact"/>
        <w:rPr>
          <w:rFonts w:ascii="Times New Roman" w:cs="Times New Roman" w:eastAsia="Times New Roman" w:hAnsi="Times New Roman"/>
          <w:sz w:val="20"/>
          <w:szCs w:val="20"/>
          <w:color w:val="auto"/>
        </w:rPr>
      </w:pPr>
    </w:p>
    <w:p>
      <w:pPr>
        <w:ind w:left="860" w:right="120" w:hanging="500"/>
        <w:spacing w:after="0" w:line="247" w:lineRule="auto"/>
        <w:tabs>
          <w:tab w:leader="none" w:pos="86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in this column represent awards of stock options with the aggregate grant date fair value computed in accordance with FASB ASC Topic 718. Amounts in this column represent option awards issued to the individuals noted, based on the fair value determined at the date of grant in accordance with U.S. GAAP. See Note 13- Share-Based Payment Plans to our Consolidated Financial Statements included in Part II, Item 8. “Financial Statements and Supplementary Data” for the assumptions used in determining the grant date fair value of option awards. The vesting of these option awards are subject to various performance or tenure related criteria.</w:t>
      </w:r>
    </w:p>
    <w:p>
      <w:pPr>
        <w:sectPr>
          <w:pgSz w:w="11880" w:h="15480" w:orient="portrait"/>
          <w:cols w:equalWidth="0" w:num="1">
            <w:col w:w="10800"/>
          </w:cols>
          <w:pgMar w:left="540" w:top="8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10800"/>
          </w:cols>
          <w:pgMar w:left="540" w:top="884" w:right="540" w:bottom="0" w:gutter="0" w:footer="0" w:header="0"/>
          <w:type w:val="continuous"/>
        </w:sectPr>
      </w:pPr>
    </w:p>
    <w:bookmarkStart w:id="55" w:name="page56"/>
    <w:bookmarkEnd w:id="55"/>
    <w:p>
      <w:pPr>
        <w:ind w:left="360"/>
        <w:spacing w:after="0"/>
        <w:rPr>
          <w:sz w:val="20"/>
          <w:szCs w:val="20"/>
          <w:color w:val="auto"/>
        </w:rPr>
      </w:pPr>
      <w:r>
        <w:rPr>
          <w:rFonts w:ascii="Times New Roman" w:cs="Times New Roman" w:eastAsia="Times New Roman" w:hAnsi="Times New Roman"/>
          <w:sz w:val="20"/>
          <w:szCs w:val="20"/>
          <w:b w:val="1"/>
          <w:bCs w:val="1"/>
          <w:color w:val="auto"/>
        </w:rPr>
        <w:t>Equity Compensation Plan Information as of December 31, 2022</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5"/>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Number of securities</w:t>
            </w:r>
          </w:p>
        </w:tc>
        <w:tc>
          <w:tcPr>
            <w:tcW w:w="0" w:type="dxa"/>
            <w:vAlign w:val="bottom"/>
          </w:tcPr>
          <w:p>
            <w:pPr>
              <w:spacing w:after="0"/>
              <w:rPr>
                <w:sz w:val="1"/>
                <w:szCs w:val="1"/>
                <w:color w:val="auto"/>
              </w:rPr>
            </w:pPr>
          </w:p>
        </w:tc>
      </w:tr>
      <w:tr>
        <w:trPr>
          <w:trHeight w:val="182"/>
        </w:trPr>
        <w:tc>
          <w:tcPr>
            <w:tcW w:w="4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5"/>
          </w:tcPr>
          <w:p>
            <w:pPr>
              <w:jc w:val="center"/>
              <w:ind w:right="480"/>
              <w:spacing w:after="0" w:line="182" w:lineRule="exact"/>
              <w:rPr>
                <w:sz w:val="20"/>
                <w:szCs w:val="20"/>
                <w:color w:val="auto"/>
              </w:rPr>
            </w:pPr>
            <w:r>
              <w:rPr>
                <w:rFonts w:ascii="Times New Roman" w:cs="Times New Roman" w:eastAsia="Times New Roman" w:hAnsi="Times New Roman"/>
                <w:sz w:val="16"/>
                <w:szCs w:val="16"/>
                <w:b w:val="1"/>
                <w:bCs w:val="1"/>
                <w:color w:val="auto"/>
              </w:rPr>
              <w:t>remaining available</w:t>
            </w:r>
          </w:p>
        </w:tc>
        <w:tc>
          <w:tcPr>
            <w:tcW w:w="0" w:type="dxa"/>
            <w:vAlign w:val="bottom"/>
          </w:tcPr>
          <w:p>
            <w:pPr>
              <w:spacing w:after="0"/>
              <w:rPr>
                <w:sz w:val="1"/>
                <w:szCs w:val="1"/>
                <w:color w:val="auto"/>
              </w:rPr>
            </w:pPr>
          </w:p>
        </w:tc>
      </w:tr>
      <w:tr>
        <w:trPr>
          <w:trHeight w:val="185"/>
        </w:trPr>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5"/>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for future issuance</w:t>
            </w:r>
          </w:p>
        </w:tc>
        <w:tc>
          <w:tcPr>
            <w:tcW w:w="0" w:type="dxa"/>
            <w:vAlign w:val="bottom"/>
          </w:tcPr>
          <w:p>
            <w:pPr>
              <w:spacing w:after="0"/>
              <w:rPr>
                <w:sz w:val="1"/>
                <w:szCs w:val="1"/>
                <w:color w:val="auto"/>
              </w:rPr>
            </w:pPr>
          </w:p>
        </w:tc>
      </w:tr>
      <w:tr>
        <w:trPr>
          <w:trHeight w:val="185"/>
        </w:trPr>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5"/>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under equity</w:t>
            </w:r>
          </w:p>
        </w:tc>
        <w:tc>
          <w:tcPr>
            <w:tcW w:w="0" w:type="dxa"/>
            <w:vAlign w:val="bottom"/>
          </w:tcPr>
          <w:p>
            <w:pPr>
              <w:spacing w:after="0"/>
              <w:rPr>
                <w:sz w:val="1"/>
                <w:szCs w:val="1"/>
                <w:color w:val="auto"/>
              </w:rPr>
            </w:pPr>
          </w:p>
        </w:tc>
      </w:tr>
      <w:tr>
        <w:trPr>
          <w:trHeight w:val="182"/>
        </w:trPr>
        <w:tc>
          <w:tcPr>
            <w:tcW w:w="4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2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Number of securities to</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gridSpan w:val="2"/>
          </w:tcPr>
          <w:p>
            <w:pPr>
              <w:jc w:val="center"/>
              <w:ind w:right="100"/>
              <w:spacing w:after="0" w:line="182" w:lineRule="exact"/>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5"/>
          </w:tcPr>
          <w:p>
            <w:pPr>
              <w:jc w:val="center"/>
              <w:ind w:right="500"/>
              <w:spacing w:after="0" w:line="182" w:lineRule="exact"/>
              <w:rPr>
                <w:sz w:val="20"/>
                <w:szCs w:val="20"/>
                <w:color w:val="auto"/>
              </w:rPr>
            </w:pPr>
            <w:r>
              <w:rPr>
                <w:rFonts w:ascii="Times New Roman" w:cs="Times New Roman" w:eastAsia="Times New Roman" w:hAnsi="Times New Roman"/>
                <w:sz w:val="16"/>
                <w:szCs w:val="16"/>
                <w:b w:val="1"/>
                <w:bCs w:val="1"/>
                <w:color w:val="auto"/>
                <w:w w:val="99"/>
              </w:rPr>
              <w:t>compensation</w:t>
            </w:r>
          </w:p>
        </w:tc>
        <w:tc>
          <w:tcPr>
            <w:tcW w:w="0" w:type="dxa"/>
            <w:vAlign w:val="bottom"/>
          </w:tcPr>
          <w:p>
            <w:pPr>
              <w:spacing w:after="0"/>
              <w:rPr>
                <w:sz w:val="1"/>
                <w:szCs w:val="1"/>
                <w:color w:val="auto"/>
              </w:rPr>
            </w:pPr>
          </w:p>
        </w:tc>
      </w:tr>
      <w:tr>
        <w:trPr>
          <w:trHeight w:val="185"/>
        </w:trPr>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be issued upon exercise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exercise price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5"/>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plans (excluding</w:t>
            </w:r>
          </w:p>
        </w:tc>
        <w:tc>
          <w:tcPr>
            <w:tcW w:w="0" w:type="dxa"/>
            <w:vAlign w:val="bottom"/>
          </w:tcPr>
          <w:p>
            <w:pPr>
              <w:spacing w:after="0"/>
              <w:rPr>
                <w:sz w:val="1"/>
                <w:szCs w:val="1"/>
                <w:color w:val="auto"/>
              </w:rPr>
            </w:pPr>
          </w:p>
        </w:tc>
      </w:tr>
      <w:tr>
        <w:trPr>
          <w:trHeight w:val="185"/>
        </w:trPr>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of outstanding options,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outstanding options,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5"/>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securities reflected</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jc w:val="center"/>
              <w:ind w:right="11"/>
              <w:spacing w:after="0"/>
              <w:rPr>
                <w:sz w:val="20"/>
                <w:szCs w:val="20"/>
                <w:color w:val="auto"/>
              </w:rPr>
            </w:pPr>
            <w:r>
              <w:rPr>
                <w:rFonts w:ascii="Times New Roman" w:cs="Times New Roman" w:eastAsia="Times New Roman" w:hAnsi="Times New Roman"/>
                <w:sz w:val="16"/>
                <w:szCs w:val="16"/>
                <w:b w:val="1"/>
                <w:bCs w:val="1"/>
                <w:color w:val="auto"/>
                <w:w w:val="99"/>
              </w:rPr>
              <w:t>warrants and rights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warrants and rights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gridSpan w:val="5"/>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in column (a))</w:t>
            </w:r>
          </w:p>
        </w:tc>
        <w:tc>
          <w:tcPr>
            <w:tcW w:w="0" w:type="dxa"/>
            <w:vAlign w:val="bottom"/>
          </w:tcPr>
          <w:p>
            <w:pPr>
              <w:spacing w:after="0"/>
              <w:rPr>
                <w:sz w:val="1"/>
                <w:szCs w:val="1"/>
                <w:color w:val="auto"/>
              </w:rPr>
            </w:pPr>
          </w:p>
        </w:tc>
      </w:tr>
      <w:tr>
        <w:trPr>
          <w:trHeight w:val="206"/>
        </w:trPr>
        <w:tc>
          <w:tcPr>
            <w:tcW w:w="41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center"/>
              <w:ind w:right="31"/>
              <w:spacing w:after="0" w:line="206" w:lineRule="exact"/>
              <w:rPr>
                <w:sz w:val="20"/>
                <w:szCs w:val="20"/>
                <w:color w:val="auto"/>
              </w:rPr>
            </w:pPr>
            <w:r>
              <w:rPr>
                <w:rFonts w:ascii="Times New Roman" w:cs="Times New Roman" w:eastAsia="Times New Roman" w:hAnsi="Times New Roman"/>
                <w:sz w:val="18"/>
                <w:szCs w:val="18"/>
                <w:b w:val="1"/>
                <w:bCs w:val="1"/>
                <w:color w:val="auto"/>
              </w:rPr>
              <w:t>(a)</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2"/>
          </w:tcPr>
          <w:p>
            <w:pPr>
              <w:jc w:val="center"/>
              <w:ind w:right="120"/>
              <w:spacing w:after="0" w:line="206" w:lineRule="exact"/>
              <w:rPr>
                <w:sz w:val="20"/>
                <w:szCs w:val="20"/>
                <w:color w:val="auto"/>
              </w:rPr>
            </w:pPr>
            <w:r>
              <w:rPr>
                <w:rFonts w:ascii="Times New Roman" w:cs="Times New Roman" w:eastAsia="Times New Roman" w:hAnsi="Times New Roman"/>
                <w:sz w:val="18"/>
                <w:szCs w:val="18"/>
                <w:b w:val="1"/>
                <w:bCs w:val="1"/>
                <w:color w:val="auto"/>
                <w:w w:val="99"/>
              </w:rPr>
              <w:t>(b)</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gridSpan w:val="2"/>
          </w:tcPr>
          <w:p>
            <w:pPr>
              <w:jc w:val="center"/>
              <w:ind w:right="120"/>
              <w:spacing w:after="0" w:line="206" w:lineRule="exact"/>
              <w:rPr>
                <w:sz w:val="20"/>
                <w:szCs w:val="20"/>
                <w:color w:val="auto"/>
              </w:rPr>
            </w:pPr>
            <w:r>
              <w:rPr>
                <w:rFonts w:ascii="Times New Roman" w:cs="Times New Roman" w:eastAsia="Times New Roman" w:hAnsi="Times New Roman"/>
                <w:sz w:val="18"/>
                <w:szCs w:val="18"/>
                <w:b w:val="1"/>
                <w:bCs w:val="1"/>
                <w:color w:val="auto"/>
                <w:w w:val="99"/>
              </w:rPr>
              <w:t>(c)</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0"/>
        </w:trPr>
        <w:tc>
          <w:tcPr>
            <w:tcW w:w="416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18"/>
                <w:szCs w:val="18"/>
                <w:b w:val="1"/>
                <w:bCs w:val="1"/>
                <w:color w:val="auto"/>
              </w:rPr>
              <w:t>holders</w:t>
            </w:r>
          </w:p>
        </w:tc>
        <w:tc>
          <w:tcPr>
            <w:tcW w:w="340" w:type="dxa"/>
            <w:vAlign w:val="bottom"/>
            <w:tcBorders>
              <w:top w:val="single" w:sz="8" w:color="D5EEEE"/>
            </w:tcBorders>
            <w:shd w:val="clear" w:color="auto" w:fill="D5EEEE"/>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Borders>
              <w:top w:val="single" w:sz="8" w:color="D5EEEE"/>
            </w:tcBorders>
          </w:tcPr>
          <w:p>
            <w:pPr>
              <w:spacing w:after="0"/>
              <w:rPr>
                <w:sz w:val="24"/>
                <w:szCs w:val="24"/>
                <w:color w:val="auto"/>
              </w:rPr>
            </w:pPr>
          </w:p>
        </w:tc>
        <w:tc>
          <w:tcPr>
            <w:tcW w:w="160" w:type="dxa"/>
            <w:vAlign w:val="bottom"/>
            <w:tcBorders>
              <w:top w:val="single" w:sz="8" w:color="D5EEEE"/>
            </w:tcBorders>
          </w:tcPr>
          <w:p>
            <w:pPr>
              <w:spacing w:after="0"/>
              <w:rPr>
                <w:sz w:val="24"/>
                <w:szCs w:val="24"/>
                <w:color w:val="auto"/>
              </w:rPr>
            </w:pPr>
          </w:p>
        </w:tc>
        <w:tc>
          <w:tcPr>
            <w:tcW w:w="80" w:type="dxa"/>
            <w:vAlign w:val="bottom"/>
            <w:tcBorders>
              <w:top w:val="single" w:sz="8" w:color="D5EEEE"/>
            </w:tcBorders>
          </w:tcPr>
          <w:p>
            <w:pPr>
              <w:spacing w:after="0"/>
              <w:rPr>
                <w:sz w:val="24"/>
                <w:szCs w:val="24"/>
                <w:color w:val="auto"/>
              </w:rPr>
            </w:pPr>
          </w:p>
        </w:tc>
        <w:tc>
          <w:tcPr>
            <w:tcW w:w="20" w:type="dxa"/>
            <w:vAlign w:val="bottom"/>
            <w:tcBorders>
              <w:top w:val="single" w:sz="8" w:color="D5EEEE"/>
            </w:tcBorders>
          </w:tcPr>
          <w:p>
            <w:pPr>
              <w:spacing w:after="0"/>
              <w:rPr>
                <w:sz w:val="24"/>
                <w:szCs w:val="24"/>
                <w:color w:val="auto"/>
              </w:rPr>
            </w:pPr>
          </w:p>
        </w:tc>
        <w:tc>
          <w:tcPr>
            <w:tcW w:w="1600" w:type="dxa"/>
            <w:vAlign w:val="bottom"/>
            <w:tcBorders>
              <w:top w:val="single" w:sz="8" w:color="D5EEEE"/>
            </w:tcBorders>
          </w:tcPr>
          <w:p>
            <w:pPr>
              <w:spacing w:after="0"/>
              <w:rPr>
                <w:sz w:val="24"/>
                <w:szCs w:val="24"/>
                <w:color w:val="auto"/>
              </w:rPr>
            </w:pPr>
          </w:p>
        </w:tc>
        <w:tc>
          <w:tcPr>
            <w:tcW w:w="20" w:type="dxa"/>
            <w:vAlign w:val="bottom"/>
            <w:tcBorders>
              <w:top w:val="single" w:sz="8" w:color="D5EEEE"/>
            </w:tcBorders>
          </w:tcPr>
          <w:p>
            <w:pPr>
              <w:spacing w:after="0"/>
              <w:rPr>
                <w:sz w:val="24"/>
                <w:szCs w:val="24"/>
                <w:color w:val="auto"/>
              </w:rPr>
            </w:pPr>
          </w:p>
        </w:tc>
        <w:tc>
          <w:tcPr>
            <w:tcW w:w="100" w:type="dxa"/>
            <w:vAlign w:val="bottom"/>
            <w:tcBorders>
              <w:top w:val="single" w:sz="8" w:color="D5EEEE"/>
            </w:tcBorders>
          </w:tcPr>
          <w:p>
            <w:pPr>
              <w:spacing w:after="0"/>
              <w:rPr>
                <w:sz w:val="24"/>
                <w:szCs w:val="24"/>
                <w:color w:val="auto"/>
              </w:rPr>
            </w:pPr>
          </w:p>
        </w:tc>
        <w:tc>
          <w:tcPr>
            <w:tcW w:w="120" w:type="dxa"/>
            <w:vAlign w:val="bottom"/>
            <w:tcBorders>
              <w:top w:val="single" w:sz="8" w:color="D5EEEE"/>
            </w:tcBorders>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D5EEEE"/>
            </w:tcBorders>
          </w:tcPr>
          <w:p>
            <w:pPr>
              <w:spacing w:after="0"/>
              <w:rPr>
                <w:sz w:val="24"/>
                <w:szCs w:val="24"/>
                <w:color w:val="auto"/>
              </w:rPr>
            </w:pPr>
          </w:p>
        </w:tc>
        <w:tc>
          <w:tcPr>
            <w:tcW w:w="20" w:type="dxa"/>
            <w:vAlign w:val="bottom"/>
            <w:tcBorders>
              <w:top w:val="single" w:sz="8" w:color="D5EEEE"/>
            </w:tcBorders>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1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2016 Equity Incentive Plan</w:t>
            </w:r>
          </w:p>
        </w:tc>
        <w:tc>
          <w:tcPr>
            <w:tcW w:w="3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5"/>
              </w:rPr>
              <w:t>(2)</w:t>
            </w: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60" w:type="dxa"/>
            <w:vAlign w:val="bottom"/>
            <w:tcBorders>
              <w:bottom w:val="single" w:sz="8" w:color="D5EEEE"/>
            </w:tcBorders>
            <w:vMerge w:val="continue"/>
          </w:tcPr>
          <w:p>
            <w:pPr>
              <w:spacing w:after="0"/>
              <w:rPr>
                <w:sz w:val="17"/>
                <w:szCs w:val="17"/>
                <w:color w:val="auto"/>
              </w:rPr>
            </w:pPr>
          </w:p>
        </w:tc>
        <w:tc>
          <w:tcPr>
            <w:tcW w:w="340" w:type="dxa"/>
            <w:vAlign w:val="bottom"/>
            <w:tcBorders>
              <w:bottom w:val="single" w:sz="8" w:color="D5EEEE"/>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Borders>
              <w:bottom w:val="single" w:sz="8" w:color="D5EEEE"/>
            </w:tcBorders>
          </w:tcPr>
          <w:p>
            <w:pPr>
              <w:spacing w:after="0"/>
              <w:rPr>
                <w:sz w:val="17"/>
                <w:szCs w:val="17"/>
                <w:color w:val="auto"/>
              </w:rPr>
            </w:pPr>
          </w:p>
        </w:tc>
        <w:tc>
          <w:tcPr>
            <w:tcW w:w="16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60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120" w:type="dxa"/>
            <w:vAlign w:val="bottom"/>
            <w:tcBorders>
              <w:bottom w:val="single" w:sz="8" w:color="D5EEEE"/>
            </w:tcBorders>
          </w:tcPr>
          <w:p>
            <w:pPr>
              <w:spacing w:after="0"/>
              <w:rPr>
                <w:sz w:val="17"/>
                <w:szCs w:val="17"/>
                <w:color w:val="auto"/>
              </w:rPr>
            </w:pPr>
          </w:p>
        </w:tc>
        <w:tc>
          <w:tcPr>
            <w:tcW w:w="19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40" w:type="dxa"/>
            <w:vAlign w:val="bottom"/>
            <w:tcBorders>
              <w:bottom w:val="single" w:sz="8" w:color="D5EEEE"/>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highlight w:val="white"/>
                <w:w w:val="85"/>
              </w:rPr>
              <w:t>(1)</w:t>
            </w:r>
          </w:p>
        </w:tc>
        <w:tc>
          <w:tcPr>
            <w:tcW w:w="20" w:type="dxa"/>
            <w:vAlign w:val="bottom"/>
            <w:tcBorders>
              <w:bottom w:val="single" w:sz="8" w:color="D5EEEE"/>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60" w:type="dxa"/>
            <w:vAlign w:val="bottom"/>
            <w:tcBorders>
              <w:bottom w:val="single" w:sz="8" w:color="D5EEEE"/>
            </w:tcBorders>
            <w:shd w:val="clear" w:color="auto" w:fill="D5EEEE"/>
          </w:tcPr>
          <w:p>
            <w:pPr>
              <w:spacing w:after="0"/>
              <w:rPr>
                <w:sz w:val="17"/>
                <w:szCs w:val="17"/>
                <w:color w:val="auto"/>
              </w:rPr>
            </w:pPr>
          </w:p>
        </w:tc>
        <w:tc>
          <w:tcPr>
            <w:tcW w:w="340" w:type="dxa"/>
            <w:vAlign w:val="bottom"/>
            <w:tcBorders>
              <w:bottom w:val="single" w:sz="8" w:color="D5EEEE"/>
            </w:tcBorders>
            <w:shd w:val="clear" w:color="auto" w:fill="D5EEEE"/>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bottom w:val="single" w:sz="8" w:color="D5EEEE"/>
              <w:right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885,095</w:t>
            </w:r>
          </w:p>
        </w:tc>
        <w:tc>
          <w:tcPr>
            <w:tcW w:w="120" w:type="dxa"/>
            <w:vAlign w:val="bottom"/>
            <w:tcBorders>
              <w:bottom w:val="single" w:sz="8" w:color="D5EEEE"/>
            </w:tcBorders>
            <w:shd w:val="clear" w:color="auto" w:fill="D5EEE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0" w:type="dxa"/>
            <w:vAlign w:val="bottom"/>
          </w:tcPr>
          <w:p>
            <w:pPr>
              <w:spacing w:after="0"/>
              <w:rPr>
                <w:sz w:val="17"/>
                <w:szCs w:val="17"/>
                <w:color w:val="auto"/>
              </w:rPr>
            </w:pPr>
          </w:p>
        </w:tc>
        <w:tc>
          <w:tcPr>
            <w:tcW w:w="160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0" w:type="dxa"/>
            <w:vAlign w:val="bottom"/>
            <w:tcBorders>
              <w:bottom w:val="single" w:sz="8" w:color="D5EEEE"/>
            </w:tcBorders>
            <w:shd w:val="clear" w:color="auto" w:fill="D5EEEE"/>
          </w:tcPr>
          <w:p>
            <w:pPr>
              <w:spacing w:after="0"/>
              <w:rPr>
                <w:sz w:val="17"/>
                <w:szCs w:val="17"/>
                <w:color w:val="auto"/>
              </w:rPr>
            </w:pPr>
          </w:p>
        </w:tc>
        <w:tc>
          <w:tcPr>
            <w:tcW w:w="100" w:type="dxa"/>
            <w:vAlign w:val="bottom"/>
            <w:tcBorders>
              <w:bottom w:val="single" w:sz="8" w:color="D5EEEE"/>
            </w:tcBorders>
            <w:shd w:val="clear" w:color="auto" w:fill="D5EEEE"/>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60" w:type="dxa"/>
            <w:vAlign w:val="bottom"/>
            <w:tcBorders>
              <w:bottom w:val="single" w:sz="8" w:color="D5EEEE"/>
            </w:tcBorders>
          </w:tcPr>
          <w:p>
            <w:pPr>
              <w:spacing w:after="0"/>
              <w:rPr>
                <w:sz w:val="17"/>
                <w:szCs w:val="17"/>
                <w:color w:val="auto"/>
              </w:rPr>
            </w:pPr>
          </w:p>
        </w:tc>
        <w:tc>
          <w:tcPr>
            <w:tcW w:w="340" w:type="dxa"/>
            <w:vAlign w:val="bottom"/>
            <w:tcBorders>
              <w:bottom w:val="single" w:sz="8" w:color="D5EEEE"/>
            </w:tcBorders>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Borders>
              <w:bottom w:val="single" w:sz="8" w:color="D5EEEE"/>
            </w:tcBorders>
          </w:tcPr>
          <w:p>
            <w:pPr>
              <w:spacing w:after="0"/>
              <w:rPr>
                <w:sz w:val="17"/>
                <w:szCs w:val="17"/>
                <w:color w:val="auto"/>
              </w:rPr>
            </w:pPr>
          </w:p>
        </w:tc>
        <w:tc>
          <w:tcPr>
            <w:tcW w:w="16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60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120" w:type="dxa"/>
            <w:vAlign w:val="bottom"/>
            <w:tcBorders>
              <w:bottom w:val="single" w:sz="8" w:color="D5EEEE"/>
            </w:tcBorders>
          </w:tcPr>
          <w:p>
            <w:pPr>
              <w:spacing w:after="0"/>
              <w:rPr>
                <w:sz w:val="17"/>
                <w:szCs w:val="17"/>
                <w:color w:val="auto"/>
              </w:rPr>
            </w:pPr>
          </w:p>
        </w:tc>
        <w:tc>
          <w:tcPr>
            <w:tcW w:w="1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244,675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160" w:type="dxa"/>
            <w:vAlign w:val="bottom"/>
            <w:shd w:val="clear" w:color="auto" w:fill="D5EEEE"/>
          </w:tcPr>
          <w:p>
            <w:pPr>
              <w:spacing w:after="0"/>
              <w:rPr>
                <w:sz w:val="17"/>
                <w:szCs w:val="17"/>
                <w:color w:val="auto"/>
              </w:rPr>
            </w:pPr>
          </w:p>
        </w:tc>
        <w:tc>
          <w:tcPr>
            <w:tcW w:w="340" w:type="dxa"/>
            <w:vAlign w:val="bottom"/>
            <w:shd w:val="clear" w:color="auto" w:fill="D5EEEE"/>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right w:val="single" w:sz="8" w:color="D5EEEE"/>
            </w:tcBorders>
            <w:shd w:val="clear" w:color="auto" w:fill="D5EEEE"/>
          </w:tcPr>
          <w:p>
            <w:pPr>
              <w:jc w:val="right"/>
              <w:spacing w:after="0" w:line="201" w:lineRule="exact"/>
              <w:rPr>
                <w:sz w:val="20"/>
                <w:szCs w:val="20"/>
                <w:color w:val="auto"/>
              </w:rPr>
            </w:pPr>
            <w:r>
              <w:rPr>
                <w:rFonts w:ascii="Times New Roman" w:cs="Times New Roman" w:eastAsia="Times New Roman" w:hAnsi="Times New Roman"/>
                <w:sz w:val="18"/>
                <w:szCs w:val="18"/>
                <w:color w:val="auto"/>
              </w:rPr>
              <w:t>1,079,875</w:t>
            </w:r>
          </w:p>
        </w:tc>
        <w:tc>
          <w:tcPr>
            <w:tcW w:w="120" w:type="dxa"/>
            <w:vAlign w:val="bottom"/>
            <w:shd w:val="clear" w:color="auto" w:fill="D5EEE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0" w:type="dxa"/>
            <w:vAlign w:val="bottom"/>
          </w:tcPr>
          <w:p>
            <w:pPr>
              <w:spacing w:after="0"/>
              <w:rPr>
                <w:sz w:val="17"/>
                <w:szCs w:val="17"/>
                <w:color w:val="auto"/>
              </w:rPr>
            </w:pPr>
          </w:p>
        </w:tc>
        <w:tc>
          <w:tcPr>
            <w:tcW w:w="1600" w:type="dxa"/>
            <w:vAlign w:val="bottom"/>
            <w:shd w:val="clear" w:color="auto" w:fill="D5EEEE"/>
          </w:tcPr>
          <w:p>
            <w:pPr>
              <w:jc w:val="right"/>
              <w:spacing w:after="0" w:line="201" w:lineRule="exact"/>
              <w:rPr>
                <w:sz w:val="20"/>
                <w:szCs w:val="20"/>
                <w:color w:val="auto"/>
              </w:rPr>
            </w:pPr>
            <w:r>
              <w:rPr>
                <w:rFonts w:ascii="Times New Roman" w:cs="Times New Roman" w:eastAsia="Times New Roman" w:hAnsi="Times New Roman"/>
                <w:sz w:val="18"/>
                <w:szCs w:val="18"/>
                <w:color w:val="auto"/>
              </w:rPr>
              <w:t>14.02</w:t>
            </w:r>
          </w:p>
        </w:tc>
        <w:tc>
          <w:tcPr>
            <w:tcW w:w="2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D5EEEE"/>
            </w:tcBorders>
          </w:tcPr>
          <w:p>
            <w:pPr>
              <w:spacing w:after="0"/>
              <w:rPr>
                <w:sz w:val="21"/>
                <w:szCs w:val="21"/>
                <w:color w:val="auto"/>
              </w:rPr>
            </w:pPr>
          </w:p>
        </w:tc>
        <w:tc>
          <w:tcPr>
            <w:tcW w:w="340" w:type="dxa"/>
            <w:vAlign w:val="bottom"/>
            <w:tcBorders>
              <w:bottom w:val="single" w:sz="8" w:color="D5EEEE"/>
            </w:tcBorders>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398,596</w:t>
            </w:r>
          </w:p>
        </w:tc>
        <w:tc>
          <w:tcPr>
            <w:tcW w:w="120" w:type="dxa"/>
            <w:vAlign w:val="bottom"/>
            <w:tcBorders>
              <w:bottom w:val="single" w:sz="8" w:color="D5EEEE"/>
            </w:tcBorders>
          </w:tcPr>
          <w:p>
            <w:pPr>
              <w:spacing w:after="0"/>
              <w:rPr>
                <w:sz w:val="21"/>
                <w:szCs w:val="21"/>
                <w:color w:val="auto"/>
              </w:rPr>
            </w:pPr>
          </w:p>
        </w:tc>
        <w:tc>
          <w:tcPr>
            <w:tcW w:w="16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20" w:type="dxa"/>
            <w:vAlign w:val="bottom"/>
            <w:tcBorders>
              <w:bottom w:val="single" w:sz="8" w:color="D5EEEE"/>
            </w:tcBorders>
          </w:tcPr>
          <w:p>
            <w:pPr>
              <w:spacing w:after="0"/>
              <w:rPr>
                <w:sz w:val="21"/>
                <w:szCs w:val="21"/>
                <w:color w:val="auto"/>
              </w:rPr>
            </w:pPr>
          </w:p>
        </w:tc>
        <w:tc>
          <w:tcPr>
            <w:tcW w:w="160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120" w:type="dxa"/>
            <w:vAlign w:val="bottom"/>
            <w:tcBorders>
              <w:bottom w:val="single" w:sz="8" w:color="D5EEEE"/>
            </w:tcBorders>
          </w:tcPr>
          <w:p>
            <w:pPr>
              <w:spacing w:after="0"/>
              <w:rPr>
                <w:sz w:val="21"/>
                <w:szCs w:val="21"/>
                <w:color w:val="auto"/>
              </w:rPr>
            </w:pPr>
          </w:p>
        </w:tc>
        <w:tc>
          <w:tcPr>
            <w:tcW w:w="1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24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160" w:type="dxa"/>
            <w:vAlign w:val="bottom"/>
            <w:shd w:val="clear" w:color="auto" w:fill="D5EEEE"/>
          </w:tcPr>
          <w:p>
            <w:pPr>
              <w:spacing w:after="0"/>
              <w:rPr>
                <w:sz w:val="16"/>
                <w:szCs w:val="16"/>
                <w:color w:val="auto"/>
              </w:rPr>
            </w:pPr>
          </w:p>
        </w:tc>
        <w:tc>
          <w:tcPr>
            <w:tcW w:w="340" w:type="dxa"/>
            <w:vAlign w:val="bottom"/>
            <w:shd w:val="clear" w:color="auto" w:fill="D5EEEE"/>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gridSpan w:val="2"/>
          </w:tcPr>
          <w:p>
            <w:pPr>
              <w:spacing w:after="0"/>
              <w:rPr>
                <w:sz w:val="16"/>
                <w:szCs w:val="16"/>
                <w:color w:val="auto"/>
              </w:rPr>
            </w:pPr>
          </w:p>
        </w:tc>
        <w:tc>
          <w:tcPr>
            <w:tcW w:w="1980" w:type="dxa"/>
            <w:vAlign w:val="bottom"/>
            <w:shd w:val="clear" w:color="auto" w:fill="D5EEEE"/>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100" w:type="dxa"/>
            <w:vAlign w:val="bottom"/>
            <w:shd w:val="clear" w:color="auto" w:fill="D5EEEE"/>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4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2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160" w:type="dxa"/>
            <w:vAlign w:val="bottom"/>
            <w:tcBorders>
              <w:bottom w:val="single" w:sz="8" w:color="D5EEEE"/>
            </w:tcBorders>
          </w:tcPr>
          <w:p>
            <w:pPr>
              <w:spacing w:after="0"/>
              <w:rPr>
                <w:sz w:val="19"/>
                <w:szCs w:val="19"/>
                <w:color w:val="auto"/>
              </w:rPr>
            </w:pPr>
          </w:p>
        </w:tc>
        <w:tc>
          <w:tcPr>
            <w:tcW w:w="340" w:type="dxa"/>
            <w:vAlign w:val="bottom"/>
            <w:tcBorders>
              <w:bottom w:val="single" w:sz="8" w:color="D5EEEE"/>
            </w:tcBorders>
          </w:tcPr>
          <w:p>
            <w:pPr>
              <w:spacing w:after="0"/>
              <w:rPr>
                <w:sz w:val="19"/>
                <w:szCs w:val="19"/>
                <w:color w:val="auto"/>
              </w:rPr>
            </w:pPr>
          </w:p>
        </w:tc>
        <w:tc>
          <w:tcPr>
            <w:tcW w:w="100" w:type="dxa"/>
            <w:vAlign w:val="bottom"/>
            <w:vMerge w:val="continue"/>
          </w:tcPr>
          <w:p>
            <w:pPr>
              <w:spacing w:after="0"/>
              <w:rPr>
                <w:sz w:val="19"/>
                <w:szCs w:val="19"/>
                <w:color w:val="auto"/>
              </w:rPr>
            </w:pPr>
          </w:p>
        </w:tc>
        <w:tc>
          <w:tcPr>
            <w:tcW w:w="16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22,600</w:t>
            </w:r>
          </w:p>
        </w:tc>
        <w:tc>
          <w:tcPr>
            <w:tcW w:w="120" w:type="dxa"/>
            <w:vAlign w:val="bottom"/>
            <w:tcBorders>
              <w:bottom w:val="single" w:sz="8" w:color="D5EEEE"/>
            </w:tcBorders>
            <w:vMerge w:val="continue"/>
          </w:tcPr>
          <w:p>
            <w:pPr>
              <w:spacing w:after="0"/>
              <w:rPr>
                <w:sz w:val="19"/>
                <w:szCs w:val="19"/>
                <w:color w:val="auto"/>
              </w:rPr>
            </w:pPr>
          </w:p>
        </w:tc>
        <w:tc>
          <w:tcPr>
            <w:tcW w:w="160" w:type="dxa"/>
            <w:vAlign w:val="bottom"/>
            <w:tcBorders>
              <w:bottom w:val="single" w:sz="8" w:color="D5EEEE"/>
            </w:tcBorders>
            <w:vMerge w:val="continue"/>
          </w:tcPr>
          <w:p>
            <w:pPr>
              <w:spacing w:after="0"/>
              <w:rPr>
                <w:sz w:val="19"/>
                <w:szCs w:val="19"/>
                <w:color w:val="auto"/>
              </w:rPr>
            </w:pPr>
          </w:p>
        </w:tc>
        <w:tc>
          <w:tcPr>
            <w:tcW w:w="80" w:type="dxa"/>
            <w:vAlign w:val="bottom"/>
            <w:tcBorders>
              <w:bottom w:val="single" w:sz="8" w:color="D5EEEE"/>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highlight w:val="white"/>
                <w:w w:val="70"/>
              </w:rPr>
              <w:t>$</w:t>
            </w:r>
          </w:p>
        </w:tc>
        <w:tc>
          <w:tcPr>
            <w:tcW w:w="20" w:type="dxa"/>
            <w:vAlign w:val="bottom"/>
            <w:tcBorders>
              <w:bottom w:val="single" w:sz="8" w:color="D5EEEE"/>
            </w:tcBorders>
            <w:vMerge w:val="continue"/>
          </w:tcPr>
          <w:p>
            <w:pPr>
              <w:spacing w:after="0"/>
              <w:rPr>
                <w:sz w:val="19"/>
                <w:szCs w:val="19"/>
                <w:color w:val="auto"/>
              </w:rPr>
            </w:pPr>
          </w:p>
        </w:tc>
        <w:tc>
          <w:tcPr>
            <w:tcW w:w="1600" w:type="dxa"/>
            <w:vAlign w:val="bottom"/>
            <w:tcBorders>
              <w:bottom w:val="single" w:sz="8" w:color="D5EEEE"/>
            </w:tcBorders>
            <w:vMerge w:val="continue"/>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120" w:type="dxa"/>
            <w:vAlign w:val="bottom"/>
            <w:tcBorders>
              <w:bottom w:val="single" w:sz="8" w:color="D5EEEE"/>
            </w:tcBorders>
          </w:tcPr>
          <w:p>
            <w:pPr>
              <w:spacing w:after="0"/>
              <w:rPr>
                <w:sz w:val="19"/>
                <w:szCs w:val="19"/>
                <w:color w:val="auto"/>
              </w:rPr>
            </w:pPr>
          </w:p>
        </w:tc>
        <w:tc>
          <w:tcPr>
            <w:tcW w:w="1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160" w:type="dxa"/>
            <w:vAlign w:val="bottom"/>
            <w:shd w:val="clear" w:color="auto" w:fill="D5EEEE"/>
          </w:tcPr>
          <w:p>
            <w:pPr>
              <w:spacing w:after="0"/>
              <w:rPr>
                <w:sz w:val="16"/>
                <w:szCs w:val="16"/>
                <w:color w:val="auto"/>
              </w:rPr>
            </w:pPr>
          </w:p>
        </w:tc>
        <w:tc>
          <w:tcPr>
            <w:tcW w:w="340" w:type="dxa"/>
            <w:vAlign w:val="bottom"/>
            <w:shd w:val="clear" w:color="auto" w:fill="D5EEEE"/>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Borders>
              <w:right w:val="single" w:sz="8" w:color="D5EEEE"/>
            </w:tcBorders>
            <w:shd w:val="clear" w:color="auto" w:fill="D5EEEE"/>
          </w:tcPr>
          <w:p>
            <w:pPr>
              <w:jc w:val="right"/>
              <w:spacing w:after="0" w:line="195" w:lineRule="exact"/>
              <w:rPr>
                <w:sz w:val="20"/>
                <w:szCs w:val="20"/>
                <w:color w:val="auto"/>
              </w:rPr>
            </w:pPr>
            <w:r>
              <w:rPr>
                <w:rFonts w:ascii="Times New Roman" w:cs="Times New Roman" w:eastAsia="Times New Roman" w:hAnsi="Times New Roman"/>
                <w:sz w:val="18"/>
                <w:szCs w:val="18"/>
                <w:color w:val="auto"/>
              </w:rPr>
              <w:t>11,566</w:t>
            </w:r>
          </w:p>
        </w:tc>
        <w:tc>
          <w:tcPr>
            <w:tcW w:w="120" w:type="dxa"/>
            <w:vAlign w:val="bottom"/>
            <w:shd w:val="clear" w:color="auto" w:fill="D5EEE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shd w:val="clear" w:color="auto" w:fill="D5EEEE"/>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0" w:type="dxa"/>
            <w:vAlign w:val="bottom"/>
          </w:tcPr>
          <w:p>
            <w:pPr>
              <w:spacing w:after="0"/>
              <w:rPr>
                <w:sz w:val="16"/>
                <w:szCs w:val="16"/>
                <w:color w:val="auto"/>
              </w:rPr>
            </w:pPr>
          </w:p>
        </w:tc>
        <w:tc>
          <w:tcPr>
            <w:tcW w:w="1600" w:type="dxa"/>
            <w:vAlign w:val="bottom"/>
            <w:shd w:val="clear" w:color="auto" w:fill="D5EEEE"/>
          </w:tcPr>
          <w:p>
            <w:pPr>
              <w:jc w:val="right"/>
              <w:spacing w:after="0" w:line="18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5EEEE"/>
          </w:tcPr>
          <w:p>
            <w:pPr>
              <w:spacing w:after="0"/>
              <w:rPr>
                <w:sz w:val="16"/>
                <w:szCs w:val="16"/>
                <w:color w:val="auto"/>
              </w:rPr>
            </w:pPr>
          </w:p>
        </w:tc>
        <w:tc>
          <w:tcPr>
            <w:tcW w:w="100" w:type="dxa"/>
            <w:vAlign w:val="bottom"/>
            <w:shd w:val="clear" w:color="auto" w:fill="D5EEEE"/>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4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gridSpan w:val="2"/>
            <w:vMerge w:val="restart"/>
          </w:tcPr>
          <w:p>
            <w:pPr>
              <w:spacing w:after="0"/>
              <w:rPr>
                <w:sz w:val="2"/>
                <w:szCs w:val="2"/>
                <w:color w:val="auto"/>
              </w:rPr>
            </w:pPr>
          </w:p>
        </w:tc>
        <w:tc>
          <w:tcPr>
            <w:tcW w:w="19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160" w:type="dxa"/>
            <w:vAlign w:val="bottom"/>
            <w:tcBorders>
              <w:bottom w:val="single" w:sz="8" w:color="D5EEEE"/>
            </w:tcBorders>
          </w:tcPr>
          <w:p>
            <w:pPr>
              <w:spacing w:after="0"/>
              <w:rPr>
                <w:sz w:val="19"/>
                <w:szCs w:val="19"/>
                <w:color w:val="auto"/>
              </w:rPr>
            </w:pPr>
          </w:p>
        </w:tc>
        <w:tc>
          <w:tcPr>
            <w:tcW w:w="340" w:type="dxa"/>
            <w:vAlign w:val="bottom"/>
            <w:tcBorders>
              <w:bottom w:val="single" w:sz="8" w:color="D5EEEE"/>
            </w:tcBorders>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Borders>
              <w:bottom w:val="single" w:sz="8" w:color="D5EEEE"/>
            </w:tcBorders>
          </w:tcPr>
          <w:p>
            <w:pPr>
              <w:spacing w:after="0"/>
              <w:rPr>
                <w:sz w:val="19"/>
                <w:szCs w:val="19"/>
                <w:color w:val="auto"/>
              </w:rPr>
            </w:pPr>
          </w:p>
        </w:tc>
        <w:tc>
          <w:tcPr>
            <w:tcW w:w="16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6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220" w:type="dxa"/>
            <w:vAlign w:val="bottom"/>
            <w:tcBorders>
              <w:bottom w:val="single" w:sz="8" w:color="D5EEEE"/>
            </w:tcBorders>
            <w:gridSpan w:val="2"/>
            <w:vMerge w:val="continue"/>
          </w:tcPr>
          <w:p>
            <w:pPr>
              <w:spacing w:after="0"/>
              <w:rPr>
                <w:sz w:val="19"/>
                <w:szCs w:val="19"/>
                <w:color w:val="auto"/>
              </w:rPr>
            </w:pPr>
          </w:p>
        </w:tc>
        <w:tc>
          <w:tcPr>
            <w:tcW w:w="198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160" w:type="dxa"/>
            <w:vAlign w:val="bottom"/>
            <w:shd w:val="clear" w:color="auto" w:fill="D5EEEE"/>
          </w:tcPr>
          <w:p>
            <w:pPr>
              <w:spacing w:after="0"/>
              <w:rPr>
                <w:sz w:val="16"/>
                <w:szCs w:val="16"/>
                <w:color w:val="auto"/>
              </w:rPr>
            </w:pPr>
          </w:p>
        </w:tc>
        <w:tc>
          <w:tcPr>
            <w:tcW w:w="340" w:type="dxa"/>
            <w:vAlign w:val="bottom"/>
            <w:shd w:val="clear" w:color="auto" w:fill="D5EEEE"/>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Borders>
              <w:right w:val="single" w:sz="8" w:color="D5EEEE"/>
            </w:tcBorders>
            <w:shd w:val="clear" w:color="auto" w:fill="D5EEEE"/>
          </w:tcPr>
          <w:p>
            <w:pPr>
              <w:jc w:val="right"/>
              <w:spacing w:after="0" w:line="195" w:lineRule="exact"/>
              <w:rPr>
                <w:sz w:val="20"/>
                <w:szCs w:val="20"/>
                <w:color w:val="auto"/>
              </w:rPr>
            </w:pPr>
            <w:r>
              <w:rPr>
                <w:rFonts w:ascii="Times New Roman" w:cs="Times New Roman" w:eastAsia="Times New Roman" w:hAnsi="Times New Roman"/>
                <w:sz w:val="18"/>
                <w:szCs w:val="18"/>
                <w:color w:val="auto"/>
              </w:rPr>
              <w:t>247,876</w:t>
            </w:r>
          </w:p>
        </w:tc>
        <w:tc>
          <w:tcPr>
            <w:tcW w:w="120" w:type="dxa"/>
            <w:vAlign w:val="bottom"/>
            <w:shd w:val="clear" w:color="auto" w:fill="D5EEE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shd w:val="clear" w:color="auto" w:fill="D5EEEE"/>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0" w:type="dxa"/>
            <w:vAlign w:val="bottom"/>
          </w:tcPr>
          <w:p>
            <w:pPr>
              <w:spacing w:after="0"/>
              <w:rPr>
                <w:sz w:val="16"/>
                <w:szCs w:val="16"/>
                <w:color w:val="auto"/>
              </w:rPr>
            </w:pPr>
          </w:p>
        </w:tc>
        <w:tc>
          <w:tcPr>
            <w:tcW w:w="1600" w:type="dxa"/>
            <w:vAlign w:val="bottom"/>
            <w:shd w:val="clear" w:color="auto" w:fill="D5EEEE"/>
          </w:tcPr>
          <w:p>
            <w:pPr>
              <w:jc w:val="right"/>
              <w:spacing w:after="0" w:line="181" w:lineRule="exact"/>
              <w:rPr>
                <w:sz w:val="20"/>
                <w:szCs w:val="20"/>
                <w:color w:val="auto"/>
              </w:rPr>
            </w:pPr>
            <w:r>
              <w:rPr>
                <w:rFonts w:ascii="Times New Roman" w:cs="Times New Roman" w:eastAsia="Times New Roman" w:hAnsi="Times New Roman"/>
                <w:sz w:val="18"/>
                <w:szCs w:val="18"/>
                <w:color w:val="auto"/>
              </w:rPr>
              <w:t>5.75</w:t>
            </w:r>
          </w:p>
        </w:tc>
        <w:tc>
          <w:tcPr>
            <w:tcW w:w="20" w:type="dxa"/>
            <w:vAlign w:val="bottom"/>
            <w:shd w:val="clear" w:color="auto" w:fill="D5EEEE"/>
          </w:tcPr>
          <w:p>
            <w:pPr>
              <w:spacing w:after="0"/>
              <w:rPr>
                <w:sz w:val="16"/>
                <w:szCs w:val="16"/>
                <w:color w:val="auto"/>
              </w:rPr>
            </w:pPr>
          </w:p>
        </w:tc>
        <w:tc>
          <w:tcPr>
            <w:tcW w:w="100" w:type="dxa"/>
            <w:vAlign w:val="bottom"/>
            <w:shd w:val="clear" w:color="auto" w:fill="D5EEEE"/>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160" w:type="dxa"/>
            <w:vAlign w:val="bottom"/>
            <w:tcBorders>
              <w:bottom w:val="single" w:sz="8" w:color="D5EEEE"/>
            </w:tcBorders>
          </w:tcPr>
          <w:p>
            <w:pPr>
              <w:spacing w:after="0"/>
              <w:rPr>
                <w:sz w:val="17"/>
                <w:szCs w:val="17"/>
                <w:color w:val="auto"/>
              </w:rPr>
            </w:pPr>
          </w:p>
        </w:tc>
        <w:tc>
          <w:tcPr>
            <w:tcW w:w="340" w:type="dxa"/>
            <w:vAlign w:val="bottom"/>
            <w:tcBorders>
              <w:bottom w:val="single" w:sz="8" w:color="D5EEEE"/>
            </w:tcBorders>
          </w:tcPr>
          <w:p>
            <w:pPr>
              <w:spacing w:after="0"/>
              <w:rPr>
                <w:sz w:val="17"/>
                <w:szCs w:val="17"/>
                <w:color w:val="auto"/>
              </w:rPr>
            </w:pPr>
          </w:p>
        </w:tc>
        <w:tc>
          <w:tcPr>
            <w:tcW w:w="100" w:type="dxa"/>
            <w:vAlign w:val="bottom"/>
            <w:vMerge w:val="continue"/>
          </w:tcPr>
          <w:p>
            <w:pPr>
              <w:spacing w:after="0"/>
              <w:rPr>
                <w:sz w:val="17"/>
                <w:szCs w:val="17"/>
                <w:color w:val="auto"/>
              </w:rPr>
            </w:pPr>
          </w:p>
        </w:tc>
        <w:tc>
          <w:tcPr>
            <w:tcW w:w="16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50,356</w:t>
            </w:r>
          </w:p>
        </w:tc>
        <w:tc>
          <w:tcPr>
            <w:tcW w:w="120" w:type="dxa"/>
            <w:vAlign w:val="bottom"/>
            <w:tcBorders>
              <w:bottom w:val="single" w:sz="8" w:color="D5EEEE"/>
            </w:tcBorders>
            <w:vMerge w:val="continue"/>
          </w:tcPr>
          <w:p>
            <w:pPr>
              <w:spacing w:after="0"/>
              <w:rPr>
                <w:sz w:val="17"/>
                <w:szCs w:val="17"/>
                <w:color w:val="auto"/>
              </w:rPr>
            </w:pPr>
          </w:p>
        </w:tc>
        <w:tc>
          <w:tcPr>
            <w:tcW w:w="160" w:type="dxa"/>
            <w:vAlign w:val="bottom"/>
            <w:tcBorders>
              <w:bottom w:val="single" w:sz="8" w:color="D5EEEE"/>
            </w:tcBorders>
            <w:vMerge w:val="continue"/>
          </w:tcPr>
          <w:p>
            <w:pPr>
              <w:spacing w:after="0"/>
              <w:rPr>
                <w:sz w:val="17"/>
                <w:szCs w:val="17"/>
                <w:color w:val="auto"/>
              </w:rPr>
            </w:pPr>
          </w:p>
        </w:tc>
        <w:tc>
          <w:tcPr>
            <w:tcW w:w="80" w:type="dxa"/>
            <w:vAlign w:val="bottom"/>
            <w:tcBorders>
              <w:bottom w:val="single" w:sz="8" w:color="D5EEEE"/>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highlight w:val="white"/>
                <w:w w:val="70"/>
              </w:rPr>
              <w:t>$</w:t>
            </w:r>
          </w:p>
        </w:tc>
        <w:tc>
          <w:tcPr>
            <w:tcW w:w="20" w:type="dxa"/>
            <w:vAlign w:val="bottom"/>
            <w:tcBorders>
              <w:bottom w:val="single" w:sz="8" w:color="D5EEEE"/>
            </w:tcBorders>
            <w:vMerge w:val="continue"/>
          </w:tcPr>
          <w:p>
            <w:pPr>
              <w:spacing w:after="0"/>
              <w:rPr>
                <w:sz w:val="17"/>
                <w:szCs w:val="17"/>
                <w:color w:val="auto"/>
              </w:rPr>
            </w:pPr>
          </w:p>
        </w:tc>
        <w:tc>
          <w:tcPr>
            <w:tcW w:w="1600" w:type="dxa"/>
            <w:vAlign w:val="bottom"/>
            <w:tcBorders>
              <w:bottom w:val="single" w:sz="8" w:color="D5EEEE"/>
            </w:tcBorders>
            <w:vMerge w:val="continue"/>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120" w:type="dxa"/>
            <w:vAlign w:val="bottom"/>
            <w:tcBorders>
              <w:bottom w:val="single" w:sz="8" w:color="D5EEEE"/>
            </w:tcBorders>
          </w:tcPr>
          <w:p>
            <w:pPr>
              <w:spacing w:after="0"/>
              <w:rPr>
                <w:sz w:val="17"/>
                <w:szCs w:val="17"/>
                <w:color w:val="auto"/>
              </w:rPr>
            </w:pP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24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160" w:type="dxa"/>
            <w:vAlign w:val="bottom"/>
            <w:shd w:val="clear" w:color="auto" w:fill="D5EEEE"/>
          </w:tcPr>
          <w:p>
            <w:pPr>
              <w:spacing w:after="0" w:line="189"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340" w:type="dxa"/>
            <w:vAlign w:val="bottom"/>
            <w:shd w:val="clear" w:color="auto" w:fill="D5EEEE"/>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Borders>
              <w:right w:val="single" w:sz="8" w:color="D5EEEE"/>
            </w:tcBorders>
          </w:tcPr>
          <w:p>
            <w:pPr>
              <w:spacing w:after="0"/>
              <w:rPr>
                <w:sz w:val="16"/>
                <w:szCs w:val="16"/>
                <w:color w:val="auto"/>
              </w:rPr>
            </w:pPr>
          </w:p>
        </w:tc>
        <w:tc>
          <w:tcPr>
            <w:tcW w:w="120" w:type="dxa"/>
            <w:vAlign w:val="bottom"/>
            <w:shd w:val="clear" w:color="auto" w:fill="D5EEE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D5EEEE"/>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D5EEEE"/>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160" w:type="dxa"/>
            <w:vAlign w:val="bottom"/>
            <w:shd w:val="clear" w:color="auto" w:fill="D5EEEE"/>
          </w:tcPr>
          <w:p>
            <w:pPr>
              <w:ind w:left="140"/>
              <w:spacing w:after="0"/>
              <w:rPr>
                <w:sz w:val="20"/>
                <w:szCs w:val="20"/>
                <w:color w:val="auto"/>
              </w:rPr>
            </w:pPr>
            <w:r>
              <w:rPr>
                <w:rFonts w:ascii="Times New Roman" w:cs="Times New Roman" w:eastAsia="Times New Roman" w:hAnsi="Times New Roman"/>
                <w:sz w:val="18"/>
                <w:szCs w:val="18"/>
                <w:color w:val="auto"/>
              </w:rPr>
              <w:t>security holders</w:t>
            </w:r>
          </w:p>
        </w:tc>
        <w:tc>
          <w:tcPr>
            <w:tcW w:w="340" w:type="dxa"/>
            <w:vAlign w:val="bottom"/>
            <w:shd w:val="clear" w:color="auto" w:fill="D5EEEE"/>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Borders>
              <w:right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5EEEE"/>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2,695,964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-2449195</wp:posOffset>
            </wp:positionV>
            <wp:extent cx="6903085" cy="31464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03085" cy="3146425"/>
                    </a:xfrm>
                    <a:prstGeom prst="rect">
                      <a:avLst/>
                    </a:prstGeom>
                    <a:noFill/>
                  </pic:spPr>
                </pic:pic>
              </a:graphicData>
            </a:graphic>
          </wp:anchor>
        </w:drawing>
      </w:r>
    </w:p>
    <w:p>
      <w:pPr>
        <w:spacing w:after="0" w:line="136" w:lineRule="exact"/>
        <w:rPr>
          <w:sz w:val="20"/>
          <w:szCs w:val="20"/>
          <w:color w:val="auto"/>
        </w:rPr>
      </w:pPr>
    </w:p>
    <w:p>
      <w:pPr>
        <w:ind w:left="860" w:right="300" w:hanging="500"/>
        <w:spacing w:after="0"/>
        <w:tabs>
          <w:tab w:leader="none" w:pos="8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closing of the Redomiciliation, the 2016 Plans were terminated with respect to future grants and accordingly, there are no more shares available to be issued under the 2016 Plans.</w:t>
      </w:r>
    </w:p>
    <w:p>
      <w:pPr>
        <w:ind w:left="860" w:right="800" w:hanging="500"/>
        <w:spacing w:after="0" w:line="279" w:lineRule="auto"/>
        <w:tabs>
          <w:tab w:leader="none" w:pos="8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2016 Plans were previously approved and adopted by the shareholders of AVITA Australia, the former parent company.</w:t>
      </w:r>
    </w:p>
    <w:p>
      <w:pPr>
        <w:sectPr>
          <w:pgSz w:w="11880" w:h="15480" w:orient="portrait"/>
          <w:cols w:equalWidth="0" w:num="1">
            <w:col w:w="10800"/>
          </w:cols>
          <w:pgMar w:left="540" w:top="8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10800"/>
          </w:cols>
          <w:pgMar w:left="540" w:top="884" w:right="540" w:bottom="0" w:gutter="0" w:footer="0" w:header="0"/>
          <w:type w:val="continuous"/>
        </w:sectPr>
      </w:pPr>
    </w:p>
    <w:bookmarkStart w:id="56" w:name="page57"/>
    <w:bookmarkEnd w:id="56"/>
    <w:p>
      <w:pPr>
        <w:ind w:right="660"/>
        <w:spacing w:after="0" w:line="287"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Principal Stockholders and Management</w:t>
      </w:r>
    </w:p>
    <w:p>
      <w:pPr>
        <w:spacing w:after="0" w:line="124" w:lineRule="exact"/>
        <w:rPr>
          <w:sz w:val="20"/>
          <w:szCs w:val="20"/>
          <w:color w:val="auto"/>
        </w:rPr>
      </w:pPr>
    </w:p>
    <w:p>
      <w:pPr>
        <w:ind w:right="40" w:firstLine="720"/>
        <w:spacing w:after="0" w:line="247" w:lineRule="auto"/>
        <w:rPr>
          <w:sz w:val="20"/>
          <w:szCs w:val="20"/>
          <w:color w:val="auto"/>
        </w:rPr>
      </w:pPr>
      <w:r>
        <w:rPr>
          <w:rFonts w:ascii="Times New Roman" w:cs="Times New Roman" w:eastAsia="Times New Roman" w:hAnsi="Times New Roman"/>
          <w:sz w:val="20"/>
          <w:szCs w:val="20"/>
          <w:color w:val="auto"/>
        </w:rPr>
        <w:t xml:space="preserve">The following table provides certain information regarding the ownership of our common stock (including our CDIs), as of January 31, 2023 by each person or group of affiliated persons known to us to be the beneficial owner of more than 5% of our common stock (including our CDIs); each of our named executive officers; each of our Directors; and all of our executive officers and Directors as a group. The table also sets out the names of all persons (of which the Company is aware) who have disclosed pursuant to the </w:t>
      </w:r>
      <w:r>
        <w:rPr>
          <w:rFonts w:ascii="Times New Roman" w:cs="Times New Roman" w:eastAsia="Times New Roman" w:hAnsi="Times New Roman"/>
          <w:sz w:val="20"/>
          <w:szCs w:val="20"/>
          <w:i w:val="1"/>
          <w:iCs w:val="1"/>
          <w:color w:val="auto"/>
        </w:rPr>
        <w:t>Corporations Act 2‰‰1</w:t>
      </w:r>
      <w:r>
        <w:rPr>
          <w:rFonts w:ascii="Times New Roman" w:cs="Times New Roman" w:eastAsia="Times New Roman" w:hAnsi="Times New Roman"/>
          <w:sz w:val="20"/>
          <w:szCs w:val="20"/>
          <w:color w:val="auto"/>
        </w:rPr>
        <w:t xml:space="preserve"> (Cth) that they are “substantial shareholders” of the Company and carry 5% or more of the voting rights attached to the issued securities of the Company.</w:t>
      </w:r>
    </w:p>
    <w:p>
      <w:pPr>
        <w:spacing w:after="0" w:line="200" w:lineRule="exact"/>
        <w:rPr>
          <w:sz w:val="20"/>
          <w:szCs w:val="20"/>
          <w:color w:val="auto"/>
        </w:rPr>
      </w:pPr>
    </w:p>
    <w:p>
      <w:pPr>
        <w:ind w:right="480" w:firstLine="720"/>
        <w:spacing w:after="0" w:line="276" w:lineRule="auto"/>
        <w:rPr>
          <w:sz w:val="20"/>
          <w:szCs w:val="20"/>
          <w:color w:val="auto"/>
        </w:rPr>
      </w:pPr>
      <w:r>
        <w:rPr>
          <w:rFonts w:ascii="Times New Roman" w:cs="Times New Roman" w:eastAsia="Times New Roman" w:hAnsi="Times New Roman"/>
          <w:sz w:val="20"/>
          <w:szCs w:val="20"/>
          <w:color w:val="auto"/>
        </w:rPr>
        <w:t>Unless otherwise indicated in the table or the related notes, the address for each person named in the table is c/o AVITA Medical, Inc., 28159 Avenue Stanford Suite 220, Valencia, CA 91355.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 and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Nature of</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Percentag</w:t>
            </w:r>
          </w:p>
        </w:tc>
        <w:tc>
          <w:tcPr>
            <w:tcW w:w="0" w:type="dxa"/>
            <w:vAlign w:val="bottom"/>
          </w:tcPr>
          <w:p>
            <w:pPr>
              <w:spacing w:after="0"/>
              <w:rPr>
                <w:sz w:val="1"/>
                <w:szCs w:val="1"/>
                <w:color w:val="auto"/>
              </w:rPr>
            </w:pPr>
          </w:p>
        </w:tc>
      </w:tr>
      <w:tr>
        <w:trPr>
          <w:trHeight w:val="206"/>
        </w:trPr>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7"/>
                <w:szCs w:val="17"/>
                <w:b w:val="1"/>
                <w:bCs w:val="1"/>
                <w:color w:val="auto"/>
              </w:rPr>
              <w:t xml:space="preserve">of Class </w:t>
            </w:r>
            <w:r>
              <w:rPr>
                <w:rFonts w:ascii="Times New Roman" w:cs="Times New Roman" w:eastAsia="Times New Roman" w:hAnsi="Times New Roman"/>
                <w:sz w:val="23"/>
                <w:szCs w:val="23"/>
                <w:b w:val="1"/>
                <w:bCs w:val="1"/>
                <w:color w:val="auto"/>
                <w:vertAlign w:val="superscript"/>
              </w:rPr>
              <w:t>(2)</w:t>
            </w:r>
          </w:p>
        </w:tc>
        <w:tc>
          <w:tcPr>
            <w:tcW w:w="0" w:type="dxa"/>
            <w:vAlign w:val="bottom"/>
          </w:tcPr>
          <w:p>
            <w:pPr>
              <w:spacing w:after="0"/>
              <w:rPr>
                <w:sz w:val="1"/>
                <w:szCs w:val="1"/>
                <w:color w:val="auto"/>
              </w:rPr>
            </w:pPr>
          </w:p>
        </w:tc>
      </w:tr>
      <w:tr>
        <w:trPr>
          <w:trHeight w:val="228"/>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Title of Class</w:t>
            </w:r>
          </w:p>
        </w:tc>
        <w:tc>
          <w:tcPr>
            <w:tcW w:w="80" w:type="dxa"/>
            <w:vAlign w:val="bottom"/>
          </w:tcPr>
          <w:p>
            <w:pPr>
              <w:spacing w:after="0"/>
              <w:rPr>
                <w:sz w:val="19"/>
                <w:szCs w:val="19"/>
                <w:color w:val="auto"/>
              </w:rPr>
            </w:pPr>
          </w:p>
        </w:tc>
        <w:tc>
          <w:tcPr>
            <w:tcW w:w="67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100"/>
              <w:spacing w:after="0" w:line="228" w:lineRule="exact"/>
              <w:rPr>
                <w:sz w:val="20"/>
                <w:szCs w:val="20"/>
                <w:color w:val="auto"/>
              </w:rPr>
            </w:pPr>
            <w:r>
              <w:rPr>
                <w:rFonts w:ascii="Times New Roman" w:cs="Times New Roman" w:eastAsia="Times New Roman" w:hAnsi="Times New Roman"/>
                <w:sz w:val="18"/>
                <w:szCs w:val="18"/>
                <w:b w:val="1"/>
                <w:bCs w:val="1"/>
                <w:color w:val="auto"/>
                <w:w w:val="94"/>
              </w:rPr>
              <w:t xml:space="preserve">Ownership </w:t>
            </w:r>
            <w:r>
              <w:rPr>
                <w:rFonts w:ascii="Times New Roman" w:cs="Times New Roman" w:eastAsia="Times New Roman" w:hAnsi="Times New Roman"/>
                <w:sz w:val="24"/>
                <w:szCs w:val="24"/>
                <w:b w:val="1"/>
                <w:bCs w:val="1"/>
                <w:color w:val="auto"/>
                <w:w w:val="94"/>
                <w:vertAlign w:val="superscript"/>
              </w:rPr>
              <w:t>(1)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74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More than 5% stockholders:</w:t>
            </w: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40" w:type="dxa"/>
            <w:vAlign w:val="bottom"/>
            <w:tcBorders>
              <w:bottom w:val="single" w:sz="8" w:color="D5EEEE"/>
            </w:tcBorders>
          </w:tcPr>
          <w:p>
            <w:pPr>
              <w:spacing w:after="0"/>
              <w:rPr>
                <w:sz w:val="16"/>
                <w:szCs w:val="16"/>
                <w:color w:val="auto"/>
              </w:rPr>
            </w:pPr>
          </w:p>
        </w:tc>
        <w:tc>
          <w:tcPr>
            <w:tcW w:w="80" w:type="dxa"/>
            <w:vAlign w:val="bottom"/>
            <w:tcBorders>
              <w:bottom w:val="single" w:sz="8" w:color="D5EEEE"/>
            </w:tcBorders>
          </w:tcPr>
          <w:p>
            <w:pPr>
              <w:spacing w:after="0"/>
              <w:rPr>
                <w:sz w:val="16"/>
                <w:szCs w:val="16"/>
                <w:color w:val="auto"/>
              </w:rPr>
            </w:pPr>
          </w:p>
        </w:tc>
        <w:tc>
          <w:tcPr>
            <w:tcW w:w="6740" w:type="dxa"/>
            <w:vAlign w:val="bottom"/>
            <w:tcBorders>
              <w:bottom w:val="single" w:sz="8" w:color="D5EEEE"/>
            </w:tcBorders>
            <w:vMerge w:val="continue"/>
          </w:tcPr>
          <w:p>
            <w:pPr>
              <w:spacing w:after="0"/>
              <w:rPr>
                <w:sz w:val="16"/>
                <w:szCs w:val="16"/>
                <w:color w:val="auto"/>
              </w:rPr>
            </w:pPr>
          </w:p>
        </w:tc>
        <w:tc>
          <w:tcPr>
            <w:tcW w:w="80" w:type="dxa"/>
            <w:vAlign w:val="bottom"/>
            <w:tcBorders>
              <w:bottom w:val="single" w:sz="8" w:color="D5EEEE"/>
            </w:tcBorders>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D5EEEE"/>
            </w:tcBorders>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40" w:type="dxa"/>
            <w:vAlign w:val="bottom"/>
            <w:shd w:val="clear" w:color="auto" w:fill="D5EEEE"/>
          </w:tcPr>
          <w:p>
            <w:pPr>
              <w:spacing w:after="0"/>
              <w:rPr>
                <w:sz w:val="17"/>
                <w:szCs w:val="17"/>
                <w:color w:val="auto"/>
              </w:rPr>
            </w:pPr>
          </w:p>
        </w:tc>
        <w:tc>
          <w:tcPr>
            <w:tcW w:w="80" w:type="dxa"/>
            <w:vAlign w:val="bottom"/>
          </w:tcPr>
          <w:p>
            <w:pPr>
              <w:spacing w:after="0"/>
              <w:rPr>
                <w:sz w:val="17"/>
                <w:szCs w:val="17"/>
                <w:color w:val="auto"/>
              </w:rPr>
            </w:pPr>
          </w:p>
        </w:tc>
        <w:tc>
          <w:tcPr>
            <w:tcW w:w="6740" w:type="dxa"/>
            <w:vAlign w:val="bottom"/>
            <w:shd w:val="clear" w:color="auto" w:fill="D5EEEE"/>
          </w:tcPr>
          <w:p>
            <w:pPr>
              <w:ind w:left="420"/>
              <w:spacing w:after="0" w:line="203" w:lineRule="exact"/>
              <w:rPr>
                <w:sz w:val="20"/>
                <w:szCs w:val="20"/>
                <w:color w:val="auto"/>
              </w:rPr>
            </w:pPr>
            <w:r>
              <w:rPr>
                <w:rFonts w:ascii="Times New Roman" w:cs="Times New Roman" w:eastAsia="Times New Roman" w:hAnsi="Times New Roman"/>
                <w:sz w:val="18"/>
                <w:szCs w:val="18"/>
                <w:color w:val="auto"/>
              </w:rPr>
              <w:t>None</w:t>
            </w:r>
          </w:p>
        </w:tc>
        <w:tc>
          <w:tcPr>
            <w:tcW w:w="80" w:type="dxa"/>
            <w:vAlign w:val="bottom"/>
            <w:shd w:val="clear" w:color="auto" w:fill="D5EEEE"/>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14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6740" w:type="dxa"/>
            <w:vAlign w:val="bottom"/>
            <w:tcBorders>
              <w:bottom w:val="single" w:sz="8" w:color="D5EEEE"/>
            </w:tcBorders>
          </w:tcPr>
          <w:p>
            <w:pPr>
              <w:ind w:left="420"/>
              <w:spacing w:after="0" w:line="201" w:lineRule="exact"/>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80" w:type="dxa"/>
            <w:vAlign w:val="bottom"/>
            <w:tcBorders>
              <w:bottom w:val="single" w:sz="8" w:color="D5EEEE"/>
            </w:tcBorders>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shd w:val="clear" w:color="auto" w:fill="D5EEEE"/>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6740" w:type="dxa"/>
            <w:vAlign w:val="bottom"/>
            <w:shd w:val="clear" w:color="auto" w:fill="D5EEEE"/>
          </w:tcPr>
          <w:p>
            <w:pPr>
              <w:ind w:left="420"/>
              <w:spacing w:after="0" w:line="201" w:lineRule="exact"/>
              <w:rPr>
                <w:sz w:val="20"/>
                <w:szCs w:val="20"/>
                <w:color w:val="auto"/>
              </w:rPr>
            </w:pPr>
            <w:r>
              <w:rPr>
                <w:rFonts w:ascii="Times New Roman" w:cs="Times New Roman" w:eastAsia="Times New Roman" w:hAnsi="Times New Roman"/>
                <w:sz w:val="18"/>
                <w:szCs w:val="18"/>
                <w:color w:val="auto"/>
              </w:rPr>
              <w:t>Lou Panaccio</w:t>
            </w:r>
          </w:p>
        </w:tc>
        <w:tc>
          <w:tcPr>
            <w:tcW w:w="80" w:type="dxa"/>
            <w:vAlign w:val="bottom"/>
            <w:shd w:val="clear" w:color="auto" w:fill="D5EEEE"/>
          </w:tcPr>
          <w:p>
            <w:pPr>
              <w:spacing w:after="0"/>
              <w:rPr>
                <w:sz w:val="17"/>
                <w:szCs w:val="17"/>
                <w:color w:val="auto"/>
              </w:rPr>
            </w:pPr>
          </w:p>
        </w:tc>
        <w:tc>
          <w:tcPr>
            <w:tcW w:w="1260" w:type="dxa"/>
            <w:vAlign w:val="bottom"/>
            <w:shd w:val="clear" w:color="auto" w:fill="D5EEEE"/>
          </w:tcPr>
          <w:p>
            <w:pPr>
              <w:jc w:val="right"/>
              <w:spacing w:after="0" w:line="202" w:lineRule="exact"/>
              <w:rPr>
                <w:sz w:val="20"/>
                <w:szCs w:val="20"/>
                <w:color w:val="auto"/>
              </w:rPr>
            </w:pPr>
            <w:r>
              <w:rPr>
                <w:rFonts w:ascii="Times New Roman" w:cs="Times New Roman" w:eastAsia="Times New Roman" w:hAnsi="Times New Roman"/>
                <w:sz w:val="18"/>
                <w:szCs w:val="18"/>
                <w:color w:val="auto"/>
              </w:rPr>
              <w:t>26,964</w:t>
            </w:r>
          </w:p>
        </w:tc>
        <w:tc>
          <w:tcPr>
            <w:tcW w:w="20" w:type="dxa"/>
            <w:vAlign w:val="bottom"/>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shd w:val="clear" w:color="auto" w:fill="D5EEEE"/>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(3)</w:t>
            </w:r>
          </w:p>
        </w:tc>
        <w:tc>
          <w:tcPr>
            <w:tcW w:w="20" w:type="dxa"/>
            <w:vAlign w:val="bottom"/>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840" w:type="dxa"/>
            <w:vAlign w:val="bottom"/>
            <w:shd w:val="clear" w:color="auto" w:fill="D5EEEE"/>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right w:val="single" w:sz="8" w:color="D5EEEE"/>
            </w:tcBorders>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highlight w:val="white"/>
                <w:w w:val="99"/>
              </w:rPr>
              <w:t>Common Stock</w:t>
            </w:r>
          </w:p>
        </w:tc>
        <w:tc>
          <w:tcPr>
            <w:tcW w:w="80" w:type="dxa"/>
            <w:vAlign w:val="bottom"/>
          </w:tcPr>
          <w:p>
            <w:pPr>
              <w:spacing w:after="0"/>
              <w:rPr>
                <w:sz w:val="2"/>
                <w:szCs w:val="2"/>
                <w:color w:val="auto"/>
              </w:rPr>
            </w:pPr>
          </w:p>
        </w:tc>
        <w:tc>
          <w:tcPr>
            <w:tcW w:w="674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1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Lou Drapeau</w:t>
            </w:r>
          </w:p>
        </w:tc>
        <w:tc>
          <w:tcPr>
            <w:tcW w:w="80" w:type="dxa"/>
            <w:vAlign w:val="bottom"/>
            <w:vMerge w:val="continue"/>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bottom w:val="single" w:sz="8" w:color="D5EEEE"/>
            </w:tcBorders>
          </w:tcPr>
          <w:p>
            <w:pPr>
              <w:spacing w:after="0" w:line="20" w:lineRule="exact"/>
              <w:rPr>
                <w:sz w:val="1"/>
                <w:szCs w:val="1"/>
                <w:color w:val="auto"/>
              </w:rPr>
            </w:pPr>
          </w:p>
        </w:tc>
        <w:tc>
          <w:tcPr>
            <w:tcW w:w="80" w:type="dxa"/>
            <w:vAlign w:val="bottom"/>
            <w:tcBorders>
              <w:bottom w:val="single" w:sz="8" w:color="D5EEEE"/>
            </w:tcBorders>
          </w:tcPr>
          <w:p>
            <w:pPr>
              <w:spacing w:after="0" w:line="20" w:lineRule="exact"/>
              <w:rPr>
                <w:sz w:val="1"/>
                <w:szCs w:val="1"/>
                <w:color w:val="auto"/>
              </w:rPr>
            </w:pPr>
          </w:p>
        </w:tc>
        <w:tc>
          <w:tcPr>
            <w:tcW w:w="6740" w:type="dxa"/>
            <w:vAlign w:val="bottom"/>
            <w:tcBorders>
              <w:bottom w:val="single" w:sz="8" w:color="D5EEEE"/>
            </w:tcBorders>
          </w:tcPr>
          <w:p>
            <w:pPr>
              <w:spacing w:after="0" w:line="20" w:lineRule="exact"/>
              <w:rPr>
                <w:sz w:val="1"/>
                <w:szCs w:val="1"/>
                <w:color w:val="auto"/>
              </w:rPr>
            </w:pPr>
          </w:p>
        </w:tc>
        <w:tc>
          <w:tcPr>
            <w:tcW w:w="80" w:type="dxa"/>
            <w:vAlign w:val="bottom"/>
            <w:tcBorders>
              <w:bottom w:val="single" w:sz="8" w:color="D5EE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D5EEEE"/>
            </w:tcBorders>
          </w:tcPr>
          <w:p>
            <w:pPr>
              <w:spacing w:after="0" w:line="20" w:lineRule="exact"/>
              <w:rPr>
                <w:sz w:val="1"/>
                <w:szCs w:val="1"/>
                <w:color w:val="auto"/>
              </w:rPr>
            </w:pPr>
          </w:p>
        </w:tc>
        <w:tc>
          <w:tcPr>
            <w:tcW w:w="80" w:type="dxa"/>
            <w:vAlign w:val="bottom"/>
            <w:tcBorders>
              <w:bottom w:val="single" w:sz="8" w:color="D5EE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D5EEEE"/>
            </w:tcBorders>
          </w:tcPr>
          <w:p>
            <w:pPr>
              <w:spacing w:after="0" w:line="20" w:lineRule="exact"/>
              <w:rPr>
                <w:sz w:val="1"/>
                <w:szCs w:val="1"/>
                <w:color w:val="auto"/>
              </w:rPr>
            </w:pPr>
          </w:p>
        </w:tc>
        <w:tc>
          <w:tcPr>
            <w:tcW w:w="840" w:type="dxa"/>
            <w:vAlign w:val="bottom"/>
            <w:tcBorders>
              <w:bottom w:val="single" w:sz="8" w:color="D5EEEE"/>
            </w:tcBorders>
          </w:tcPr>
          <w:p>
            <w:pPr>
              <w:spacing w:after="0" w:line="20" w:lineRule="exact"/>
              <w:rPr>
                <w:sz w:val="1"/>
                <w:szCs w:val="1"/>
                <w:color w:val="auto"/>
              </w:rPr>
            </w:pPr>
          </w:p>
        </w:tc>
        <w:tc>
          <w:tcPr>
            <w:tcW w:w="80" w:type="dxa"/>
            <w:vAlign w:val="bottom"/>
            <w:tcBorders>
              <w:bottom w:val="single" w:sz="8" w:color="D5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40" w:type="dxa"/>
            <w:vAlign w:val="bottom"/>
            <w:shd w:val="clear" w:color="auto" w:fill="D5EEEE"/>
          </w:tcPr>
          <w:p>
            <w:pPr>
              <w:spacing w:after="0"/>
              <w:rPr>
                <w:sz w:val="18"/>
                <w:szCs w:val="18"/>
                <w:color w:val="auto"/>
              </w:rPr>
            </w:pPr>
          </w:p>
        </w:tc>
        <w:tc>
          <w:tcPr>
            <w:tcW w:w="80" w:type="dxa"/>
            <w:vAlign w:val="bottom"/>
            <w:shd w:val="clear" w:color="auto" w:fill="D5EEEE"/>
          </w:tcPr>
          <w:p>
            <w:pPr>
              <w:spacing w:after="0"/>
              <w:rPr>
                <w:sz w:val="18"/>
                <w:szCs w:val="18"/>
                <w:color w:val="auto"/>
              </w:rPr>
            </w:pPr>
          </w:p>
        </w:tc>
        <w:tc>
          <w:tcPr>
            <w:tcW w:w="6740" w:type="dxa"/>
            <w:vAlign w:val="bottom"/>
            <w:shd w:val="clear" w:color="auto" w:fill="D5EEEE"/>
          </w:tcPr>
          <w:p>
            <w:pPr>
              <w:ind w:left="420"/>
              <w:spacing w:after="0" w:line="201" w:lineRule="exact"/>
              <w:rPr>
                <w:sz w:val="20"/>
                <w:szCs w:val="20"/>
                <w:color w:val="auto"/>
              </w:rPr>
            </w:pPr>
            <w:r>
              <w:rPr>
                <w:rFonts w:ascii="Times New Roman" w:cs="Times New Roman" w:eastAsia="Times New Roman" w:hAnsi="Times New Roman"/>
                <w:sz w:val="18"/>
                <w:szCs w:val="18"/>
                <w:color w:val="auto"/>
              </w:rPr>
              <w:t>Jeremy Curnock Cook</w:t>
            </w:r>
          </w:p>
        </w:tc>
        <w:tc>
          <w:tcPr>
            <w:tcW w:w="80" w:type="dxa"/>
            <w:vAlign w:val="bottom"/>
            <w:shd w:val="clear" w:color="auto" w:fill="D5EEEE"/>
          </w:tcPr>
          <w:p>
            <w:pPr>
              <w:spacing w:after="0"/>
              <w:rPr>
                <w:sz w:val="18"/>
                <w:szCs w:val="18"/>
                <w:color w:val="auto"/>
              </w:rPr>
            </w:pPr>
          </w:p>
        </w:tc>
        <w:tc>
          <w:tcPr>
            <w:tcW w:w="12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20" w:type="dxa"/>
            <w:vAlign w:val="bottom"/>
            <w:vMerge w:val="continue"/>
          </w:tcPr>
          <w:p>
            <w:pPr>
              <w:spacing w:after="0"/>
              <w:rPr>
                <w:sz w:val="18"/>
                <w:szCs w:val="18"/>
                <w:color w:val="auto"/>
              </w:rPr>
            </w:pPr>
          </w:p>
        </w:tc>
        <w:tc>
          <w:tcPr>
            <w:tcW w:w="80" w:type="dxa"/>
            <w:vAlign w:val="bottom"/>
            <w:shd w:val="clear" w:color="auto" w:fill="D5EEE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shd w:val="clear" w:color="auto" w:fill="D5EEEE"/>
          </w:tcPr>
          <w:p>
            <w:pPr>
              <w:jc w:val="center"/>
              <w:spacing w:after="0"/>
              <w:rPr>
                <w:sz w:val="20"/>
                <w:szCs w:val="20"/>
                <w:color w:val="auto"/>
              </w:rPr>
            </w:pPr>
            <w:r>
              <w:rPr>
                <w:rFonts w:ascii="Times New Roman" w:cs="Times New Roman" w:eastAsia="Times New Roman" w:hAnsi="Times New Roman"/>
                <w:sz w:val="18"/>
                <w:szCs w:val="18"/>
                <w:color w:val="auto"/>
                <w:w w:val="95"/>
              </w:rPr>
              <w:t>(5)</w:t>
            </w:r>
          </w:p>
        </w:tc>
        <w:tc>
          <w:tcPr>
            <w:tcW w:w="20" w:type="dxa"/>
            <w:vAlign w:val="bottom"/>
          </w:tcPr>
          <w:p>
            <w:pPr>
              <w:spacing w:after="0"/>
              <w:rPr>
                <w:sz w:val="18"/>
                <w:szCs w:val="18"/>
                <w:color w:val="auto"/>
              </w:rPr>
            </w:pPr>
          </w:p>
        </w:tc>
        <w:tc>
          <w:tcPr>
            <w:tcW w:w="80" w:type="dxa"/>
            <w:vAlign w:val="bottom"/>
            <w:shd w:val="clear" w:color="auto" w:fill="D5EEEE"/>
          </w:tcPr>
          <w:p>
            <w:pPr>
              <w:spacing w:after="0"/>
              <w:rPr>
                <w:sz w:val="18"/>
                <w:szCs w:val="18"/>
                <w:color w:val="auto"/>
              </w:rPr>
            </w:pPr>
          </w:p>
        </w:tc>
        <w:tc>
          <w:tcPr>
            <w:tcW w:w="840" w:type="dxa"/>
            <w:vAlign w:val="bottom"/>
            <w:shd w:val="clear" w:color="auto" w:fill="D5EEEE"/>
          </w:tcPr>
          <w:p>
            <w:pPr>
              <w:jc w:val="center"/>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right w:val="single" w:sz="8" w:color="D5EEE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D5EEEE"/>
            </w:tcBorders>
          </w:tcPr>
          <w:p>
            <w:pPr>
              <w:spacing w:after="0"/>
              <w:rPr>
                <w:sz w:val="18"/>
                <w:szCs w:val="18"/>
                <w:color w:val="auto"/>
              </w:rPr>
            </w:pPr>
          </w:p>
        </w:tc>
        <w:tc>
          <w:tcPr>
            <w:tcW w:w="80" w:type="dxa"/>
            <w:vAlign w:val="bottom"/>
            <w:tcBorders>
              <w:bottom w:val="single" w:sz="8" w:color="D5EEEE"/>
            </w:tcBorders>
          </w:tcPr>
          <w:p>
            <w:pPr>
              <w:spacing w:after="0"/>
              <w:rPr>
                <w:sz w:val="18"/>
                <w:szCs w:val="18"/>
                <w:color w:val="auto"/>
              </w:rPr>
            </w:pPr>
          </w:p>
        </w:tc>
        <w:tc>
          <w:tcPr>
            <w:tcW w:w="6740" w:type="dxa"/>
            <w:vAlign w:val="bottom"/>
            <w:tcBorders>
              <w:bottom w:val="single" w:sz="8" w:color="D5EEEE"/>
            </w:tcBorders>
          </w:tcPr>
          <w:p>
            <w:pPr>
              <w:ind w:left="420"/>
              <w:spacing w:after="0"/>
              <w:rPr>
                <w:sz w:val="20"/>
                <w:szCs w:val="20"/>
                <w:color w:val="auto"/>
              </w:rPr>
            </w:pPr>
            <w:r>
              <w:rPr>
                <w:rFonts w:ascii="Times New Roman" w:cs="Times New Roman" w:eastAsia="Times New Roman" w:hAnsi="Times New Roman"/>
                <w:sz w:val="18"/>
                <w:szCs w:val="18"/>
                <w:color w:val="auto"/>
              </w:rPr>
              <w:t>Professor Suzanne Crowe</w:t>
            </w:r>
          </w:p>
        </w:tc>
        <w:tc>
          <w:tcPr>
            <w:tcW w:w="80" w:type="dxa"/>
            <w:vAlign w:val="bottom"/>
            <w:tcBorders>
              <w:bottom w:val="single" w:sz="8" w:color="D5EEEE"/>
            </w:tcBorders>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11,012</w:t>
            </w:r>
          </w:p>
        </w:tc>
        <w:tc>
          <w:tcPr>
            <w:tcW w:w="20" w:type="dxa"/>
            <w:vAlign w:val="bottom"/>
          </w:tcPr>
          <w:p>
            <w:pPr>
              <w:spacing w:after="0"/>
              <w:rPr>
                <w:sz w:val="18"/>
                <w:szCs w:val="18"/>
                <w:color w:val="auto"/>
              </w:rPr>
            </w:pPr>
          </w:p>
        </w:tc>
        <w:tc>
          <w:tcPr>
            <w:tcW w:w="80" w:type="dxa"/>
            <w:vAlign w:val="bottom"/>
            <w:tcBorders>
              <w:bottom w:val="single" w:sz="8" w:color="D5EEEE"/>
            </w:tcBorders>
          </w:tcPr>
          <w:p>
            <w:pPr>
              <w:spacing w:after="0"/>
              <w:rPr>
                <w:sz w:val="18"/>
                <w:szCs w:val="18"/>
                <w:color w:val="auto"/>
              </w:rPr>
            </w:pPr>
          </w:p>
        </w:tc>
        <w:tc>
          <w:tcPr>
            <w:tcW w:w="80" w:type="dxa"/>
            <w:vAlign w:val="bottom"/>
            <w:tcBorders>
              <w:bottom w:val="single" w:sz="8" w:color="D5EEEE"/>
            </w:tcBorders>
          </w:tcPr>
          <w:p>
            <w:pPr>
              <w:spacing w:after="0"/>
              <w:rPr>
                <w:sz w:val="18"/>
                <w:szCs w:val="18"/>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w:t>
            </w:r>
          </w:p>
        </w:tc>
        <w:tc>
          <w:tcPr>
            <w:tcW w:w="20" w:type="dxa"/>
            <w:vAlign w:val="bottom"/>
          </w:tcPr>
          <w:p>
            <w:pPr>
              <w:spacing w:after="0"/>
              <w:rPr>
                <w:sz w:val="18"/>
                <w:szCs w:val="18"/>
                <w:color w:val="auto"/>
              </w:rPr>
            </w:pPr>
          </w:p>
        </w:tc>
        <w:tc>
          <w:tcPr>
            <w:tcW w:w="80" w:type="dxa"/>
            <w:vAlign w:val="bottom"/>
            <w:tcBorders>
              <w:bottom w:val="single" w:sz="8" w:color="D5EEEE"/>
            </w:tcBorders>
          </w:tcPr>
          <w:p>
            <w:pPr>
              <w:spacing w:after="0"/>
              <w:rPr>
                <w:sz w:val="18"/>
                <w:szCs w:val="18"/>
                <w:color w:val="auto"/>
              </w:rPr>
            </w:pPr>
          </w:p>
        </w:tc>
        <w:tc>
          <w:tcPr>
            <w:tcW w:w="840" w:type="dxa"/>
            <w:vAlign w:val="bottom"/>
            <w:tcBorders>
              <w:bottom w:val="single" w:sz="8" w:color="D5EEEE"/>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D5EEEE"/>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shd w:val="clear" w:color="auto" w:fill="D5EEEE"/>
          </w:tcPr>
          <w:p>
            <w:pPr>
              <w:spacing w:after="0"/>
              <w:rPr>
                <w:sz w:val="18"/>
                <w:szCs w:val="18"/>
                <w:color w:val="auto"/>
              </w:rPr>
            </w:pPr>
          </w:p>
        </w:tc>
        <w:tc>
          <w:tcPr>
            <w:tcW w:w="80" w:type="dxa"/>
            <w:vAlign w:val="bottom"/>
            <w:shd w:val="clear" w:color="auto" w:fill="D5EEEE"/>
          </w:tcPr>
          <w:p>
            <w:pPr>
              <w:spacing w:after="0"/>
              <w:rPr>
                <w:sz w:val="18"/>
                <w:szCs w:val="18"/>
                <w:color w:val="auto"/>
              </w:rPr>
            </w:pPr>
          </w:p>
        </w:tc>
        <w:tc>
          <w:tcPr>
            <w:tcW w:w="6740" w:type="dxa"/>
            <w:vAlign w:val="bottom"/>
            <w:shd w:val="clear" w:color="auto" w:fill="D5EEEE"/>
          </w:tcPr>
          <w:p>
            <w:pPr>
              <w:ind w:left="420"/>
              <w:spacing w:after="0" w:line="201" w:lineRule="exact"/>
              <w:rPr>
                <w:sz w:val="20"/>
                <w:szCs w:val="20"/>
                <w:color w:val="auto"/>
              </w:rPr>
            </w:pPr>
            <w:r>
              <w:rPr>
                <w:rFonts w:ascii="Times New Roman" w:cs="Times New Roman" w:eastAsia="Times New Roman" w:hAnsi="Times New Roman"/>
                <w:sz w:val="18"/>
                <w:szCs w:val="18"/>
                <w:color w:val="auto"/>
              </w:rPr>
              <w:t>Jan Stern Reed</w:t>
            </w:r>
          </w:p>
        </w:tc>
        <w:tc>
          <w:tcPr>
            <w:tcW w:w="80" w:type="dxa"/>
            <w:vAlign w:val="bottom"/>
            <w:shd w:val="clear" w:color="auto" w:fill="D5EEEE"/>
          </w:tcPr>
          <w:p>
            <w:pPr>
              <w:spacing w:after="0"/>
              <w:rPr>
                <w:sz w:val="18"/>
                <w:szCs w:val="18"/>
                <w:color w:val="auto"/>
              </w:rPr>
            </w:pPr>
          </w:p>
        </w:tc>
        <w:tc>
          <w:tcPr>
            <w:tcW w:w="12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11,434</w:t>
            </w:r>
          </w:p>
        </w:tc>
        <w:tc>
          <w:tcPr>
            <w:tcW w:w="20" w:type="dxa"/>
            <w:vAlign w:val="bottom"/>
          </w:tcPr>
          <w:p>
            <w:pPr>
              <w:spacing w:after="0"/>
              <w:rPr>
                <w:sz w:val="18"/>
                <w:szCs w:val="18"/>
                <w:color w:val="auto"/>
              </w:rPr>
            </w:pPr>
          </w:p>
        </w:tc>
        <w:tc>
          <w:tcPr>
            <w:tcW w:w="80" w:type="dxa"/>
            <w:vAlign w:val="bottom"/>
            <w:shd w:val="clear" w:color="auto" w:fill="D5EEE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shd w:val="clear" w:color="auto" w:fill="D5EEEE"/>
          </w:tcPr>
          <w:p>
            <w:pPr>
              <w:jc w:val="center"/>
              <w:spacing w:after="0"/>
              <w:rPr>
                <w:sz w:val="20"/>
                <w:szCs w:val="20"/>
                <w:color w:val="auto"/>
              </w:rPr>
            </w:pPr>
            <w:r>
              <w:rPr>
                <w:rFonts w:ascii="Times New Roman" w:cs="Times New Roman" w:eastAsia="Times New Roman" w:hAnsi="Times New Roman"/>
                <w:sz w:val="18"/>
                <w:szCs w:val="18"/>
                <w:color w:val="auto"/>
                <w:w w:val="95"/>
              </w:rPr>
              <w:t>(7)</w:t>
            </w:r>
          </w:p>
        </w:tc>
        <w:tc>
          <w:tcPr>
            <w:tcW w:w="20" w:type="dxa"/>
            <w:vAlign w:val="bottom"/>
          </w:tcPr>
          <w:p>
            <w:pPr>
              <w:spacing w:after="0"/>
              <w:rPr>
                <w:sz w:val="18"/>
                <w:szCs w:val="18"/>
                <w:color w:val="auto"/>
              </w:rPr>
            </w:pPr>
          </w:p>
        </w:tc>
        <w:tc>
          <w:tcPr>
            <w:tcW w:w="80" w:type="dxa"/>
            <w:vAlign w:val="bottom"/>
            <w:shd w:val="clear" w:color="auto" w:fill="D5EEEE"/>
          </w:tcPr>
          <w:p>
            <w:pPr>
              <w:spacing w:after="0"/>
              <w:rPr>
                <w:sz w:val="18"/>
                <w:szCs w:val="18"/>
                <w:color w:val="auto"/>
              </w:rPr>
            </w:pPr>
          </w:p>
        </w:tc>
        <w:tc>
          <w:tcPr>
            <w:tcW w:w="840" w:type="dxa"/>
            <w:vAlign w:val="bottom"/>
            <w:shd w:val="clear" w:color="auto" w:fill="D5EEEE"/>
          </w:tcPr>
          <w:p>
            <w:pPr>
              <w:jc w:val="center"/>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right w:val="single" w:sz="8" w:color="D5EEE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D5EEEE"/>
            </w:tcBorders>
          </w:tcPr>
          <w:p>
            <w:pPr>
              <w:spacing w:after="0"/>
              <w:rPr>
                <w:sz w:val="18"/>
                <w:szCs w:val="18"/>
                <w:color w:val="auto"/>
              </w:rPr>
            </w:pPr>
          </w:p>
        </w:tc>
        <w:tc>
          <w:tcPr>
            <w:tcW w:w="80" w:type="dxa"/>
            <w:vAlign w:val="bottom"/>
            <w:tcBorders>
              <w:bottom w:val="single" w:sz="8" w:color="D5EEEE"/>
            </w:tcBorders>
          </w:tcPr>
          <w:p>
            <w:pPr>
              <w:spacing w:after="0"/>
              <w:rPr>
                <w:sz w:val="18"/>
                <w:szCs w:val="18"/>
                <w:color w:val="auto"/>
              </w:rPr>
            </w:pPr>
          </w:p>
        </w:tc>
        <w:tc>
          <w:tcPr>
            <w:tcW w:w="6740" w:type="dxa"/>
            <w:vAlign w:val="bottom"/>
            <w:tcBorders>
              <w:bottom w:val="single" w:sz="8" w:color="D5EEEE"/>
            </w:tcBorders>
          </w:tcPr>
          <w:p>
            <w:pPr>
              <w:ind w:left="420"/>
              <w:spacing w:after="0"/>
              <w:rPr>
                <w:sz w:val="20"/>
                <w:szCs w:val="20"/>
                <w:color w:val="auto"/>
              </w:rPr>
            </w:pPr>
            <w:r>
              <w:rPr>
                <w:rFonts w:ascii="Times New Roman" w:cs="Times New Roman" w:eastAsia="Times New Roman" w:hAnsi="Times New Roman"/>
                <w:sz w:val="18"/>
                <w:szCs w:val="18"/>
                <w:color w:val="auto"/>
              </w:rPr>
              <w:t>James Corbett</w:t>
            </w:r>
          </w:p>
        </w:tc>
        <w:tc>
          <w:tcPr>
            <w:tcW w:w="80" w:type="dxa"/>
            <w:vAlign w:val="bottom"/>
            <w:tcBorders>
              <w:bottom w:val="single" w:sz="8" w:color="D5EEEE"/>
            </w:tcBorders>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11,434</w:t>
            </w:r>
          </w:p>
        </w:tc>
        <w:tc>
          <w:tcPr>
            <w:tcW w:w="20" w:type="dxa"/>
            <w:vAlign w:val="bottom"/>
          </w:tcPr>
          <w:p>
            <w:pPr>
              <w:spacing w:after="0"/>
              <w:rPr>
                <w:sz w:val="18"/>
                <w:szCs w:val="18"/>
                <w:color w:val="auto"/>
              </w:rPr>
            </w:pPr>
          </w:p>
        </w:tc>
        <w:tc>
          <w:tcPr>
            <w:tcW w:w="80" w:type="dxa"/>
            <w:vAlign w:val="bottom"/>
            <w:tcBorders>
              <w:bottom w:val="single" w:sz="8" w:color="D5EEEE"/>
            </w:tcBorders>
          </w:tcPr>
          <w:p>
            <w:pPr>
              <w:spacing w:after="0"/>
              <w:rPr>
                <w:sz w:val="18"/>
                <w:szCs w:val="18"/>
                <w:color w:val="auto"/>
              </w:rPr>
            </w:pPr>
          </w:p>
        </w:tc>
        <w:tc>
          <w:tcPr>
            <w:tcW w:w="80" w:type="dxa"/>
            <w:vAlign w:val="bottom"/>
            <w:tcBorders>
              <w:bottom w:val="single" w:sz="8" w:color="D5EEEE"/>
            </w:tcBorders>
          </w:tcPr>
          <w:p>
            <w:pPr>
              <w:spacing w:after="0"/>
              <w:rPr>
                <w:sz w:val="18"/>
                <w:szCs w:val="18"/>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w:t>
            </w:r>
          </w:p>
        </w:tc>
        <w:tc>
          <w:tcPr>
            <w:tcW w:w="20" w:type="dxa"/>
            <w:vAlign w:val="bottom"/>
          </w:tcPr>
          <w:p>
            <w:pPr>
              <w:spacing w:after="0"/>
              <w:rPr>
                <w:sz w:val="18"/>
                <w:szCs w:val="18"/>
                <w:color w:val="auto"/>
              </w:rPr>
            </w:pPr>
          </w:p>
        </w:tc>
        <w:tc>
          <w:tcPr>
            <w:tcW w:w="80" w:type="dxa"/>
            <w:vAlign w:val="bottom"/>
            <w:tcBorders>
              <w:bottom w:val="single" w:sz="8" w:color="D5EEEE"/>
            </w:tcBorders>
          </w:tcPr>
          <w:p>
            <w:pPr>
              <w:spacing w:after="0"/>
              <w:rPr>
                <w:sz w:val="18"/>
                <w:szCs w:val="18"/>
                <w:color w:val="auto"/>
              </w:rPr>
            </w:pPr>
          </w:p>
        </w:tc>
        <w:tc>
          <w:tcPr>
            <w:tcW w:w="840" w:type="dxa"/>
            <w:vAlign w:val="bottom"/>
            <w:tcBorders>
              <w:bottom w:val="single" w:sz="8" w:color="D5EEEE"/>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D5EEEE"/>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shd w:val="clear" w:color="auto" w:fill="D5EEEE"/>
          </w:tcPr>
          <w:p>
            <w:pPr>
              <w:spacing w:after="0"/>
              <w:rPr>
                <w:sz w:val="18"/>
                <w:szCs w:val="18"/>
                <w:color w:val="auto"/>
              </w:rPr>
            </w:pPr>
          </w:p>
        </w:tc>
        <w:tc>
          <w:tcPr>
            <w:tcW w:w="80" w:type="dxa"/>
            <w:vAlign w:val="bottom"/>
            <w:shd w:val="clear" w:color="auto" w:fill="D5EEEE"/>
          </w:tcPr>
          <w:p>
            <w:pPr>
              <w:spacing w:after="0"/>
              <w:rPr>
                <w:sz w:val="18"/>
                <w:szCs w:val="18"/>
                <w:color w:val="auto"/>
              </w:rPr>
            </w:pPr>
          </w:p>
        </w:tc>
        <w:tc>
          <w:tcPr>
            <w:tcW w:w="6740" w:type="dxa"/>
            <w:vAlign w:val="bottom"/>
            <w:shd w:val="clear" w:color="auto" w:fill="D5EEEE"/>
          </w:tcPr>
          <w:p>
            <w:pPr>
              <w:ind w:left="420"/>
              <w:spacing w:after="0" w:line="201" w:lineRule="exact"/>
              <w:rPr>
                <w:sz w:val="20"/>
                <w:szCs w:val="20"/>
                <w:color w:val="auto"/>
              </w:rPr>
            </w:pPr>
            <w:r>
              <w:rPr>
                <w:rFonts w:ascii="Times New Roman" w:cs="Times New Roman" w:eastAsia="Times New Roman" w:hAnsi="Times New Roman"/>
                <w:sz w:val="18"/>
                <w:szCs w:val="18"/>
                <w:color w:val="auto"/>
              </w:rPr>
              <w:t>Sean Ekins</w:t>
            </w:r>
          </w:p>
        </w:tc>
        <w:tc>
          <w:tcPr>
            <w:tcW w:w="80" w:type="dxa"/>
            <w:vAlign w:val="bottom"/>
            <w:shd w:val="clear" w:color="auto" w:fill="D5EEEE"/>
          </w:tcPr>
          <w:p>
            <w:pPr>
              <w:spacing w:after="0"/>
              <w:rPr>
                <w:sz w:val="18"/>
                <w:szCs w:val="18"/>
                <w:color w:val="auto"/>
              </w:rPr>
            </w:pPr>
          </w:p>
        </w:tc>
        <w:tc>
          <w:tcPr>
            <w:tcW w:w="12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38,735</w:t>
            </w:r>
          </w:p>
        </w:tc>
        <w:tc>
          <w:tcPr>
            <w:tcW w:w="20" w:type="dxa"/>
            <w:vAlign w:val="bottom"/>
          </w:tcPr>
          <w:p>
            <w:pPr>
              <w:spacing w:after="0"/>
              <w:rPr>
                <w:sz w:val="18"/>
                <w:szCs w:val="18"/>
                <w:color w:val="auto"/>
              </w:rPr>
            </w:pPr>
          </w:p>
        </w:tc>
        <w:tc>
          <w:tcPr>
            <w:tcW w:w="80" w:type="dxa"/>
            <w:vAlign w:val="bottom"/>
            <w:shd w:val="clear" w:color="auto" w:fill="D5EEE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shd w:val="clear" w:color="auto" w:fill="D5EEEE"/>
          </w:tcPr>
          <w:p>
            <w:pPr>
              <w:jc w:val="center"/>
              <w:spacing w:after="0"/>
              <w:rPr>
                <w:sz w:val="20"/>
                <w:szCs w:val="20"/>
                <w:color w:val="auto"/>
              </w:rPr>
            </w:pPr>
            <w:r>
              <w:rPr>
                <w:rFonts w:ascii="Times New Roman" w:cs="Times New Roman" w:eastAsia="Times New Roman" w:hAnsi="Times New Roman"/>
                <w:sz w:val="18"/>
                <w:szCs w:val="18"/>
                <w:color w:val="auto"/>
                <w:w w:val="95"/>
              </w:rPr>
              <w:t>(8)</w:t>
            </w:r>
          </w:p>
        </w:tc>
        <w:tc>
          <w:tcPr>
            <w:tcW w:w="20" w:type="dxa"/>
            <w:vAlign w:val="bottom"/>
          </w:tcPr>
          <w:p>
            <w:pPr>
              <w:spacing w:after="0"/>
              <w:rPr>
                <w:sz w:val="18"/>
                <w:szCs w:val="18"/>
                <w:color w:val="auto"/>
              </w:rPr>
            </w:pPr>
          </w:p>
        </w:tc>
        <w:tc>
          <w:tcPr>
            <w:tcW w:w="80" w:type="dxa"/>
            <w:vAlign w:val="bottom"/>
            <w:shd w:val="clear" w:color="auto" w:fill="D5EEEE"/>
          </w:tcPr>
          <w:p>
            <w:pPr>
              <w:spacing w:after="0"/>
              <w:rPr>
                <w:sz w:val="18"/>
                <w:szCs w:val="18"/>
                <w:color w:val="auto"/>
              </w:rPr>
            </w:pPr>
          </w:p>
        </w:tc>
        <w:tc>
          <w:tcPr>
            <w:tcW w:w="840" w:type="dxa"/>
            <w:vAlign w:val="bottom"/>
            <w:shd w:val="clear" w:color="auto" w:fill="D5EEEE"/>
          </w:tcPr>
          <w:p>
            <w:pPr>
              <w:jc w:val="center"/>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right w:val="single" w:sz="8" w:color="D5EEE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D5EEEE"/>
            </w:tcBorders>
          </w:tcPr>
          <w:p>
            <w:pPr>
              <w:spacing w:after="0"/>
              <w:rPr>
                <w:sz w:val="18"/>
                <w:szCs w:val="18"/>
                <w:color w:val="auto"/>
              </w:rPr>
            </w:pPr>
          </w:p>
        </w:tc>
        <w:tc>
          <w:tcPr>
            <w:tcW w:w="80" w:type="dxa"/>
            <w:vAlign w:val="bottom"/>
            <w:tcBorders>
              <w:bottom w:val="single" w:sz="8" w:color="D5EEEE"/>
            </w:tcBorders>
          </w:tcPr>
          <w:p>
            <w:pPr>
              <w:spacing w:after="0"/>
              <w:rPr>
                <w:sz w:val="18"/>
                <w:szCs w:val="18"/>
                <w:color w:val="auto"/>
              </w:rPr>
            </w:pPr>
          </w:p>
        </w:tc>
        <w:tc>
          <w:tcPr>
            <w:tcW w:w="6740" w:type="dxa"/>
            <w:vAlign w:val="bottom"/>
            <w:tcBorders>
              <w:bottom w:val="single" w:sz="8" w:color="D5EEEE"/>
            </w:tcBorders>
          </w:tcPr>
          <w:p>
            <w:pPr>
              <w:ind w:left="420"/>
              <w:spacing w:after="0"/>
              <w:rPr>
                <w:sz w:val="20"/>
                <w:szCs w:val="20"/>
                <w:color w:val="auto"/>
              </w:rPr>
            </w:pPr>
            <w:r>
              <w:rPr>
                <w:rFonts w:ascii="Times New Roman" w:cs="Times New Roman" w:eastAsia="Times New Roman" w:hAnsi="Times New Roman"/>
                <w:sz w:val="18"/>
                <w:szCs w:val="18"/>
                <w:color w:val="auto"/>
              </w:rPr>
              <w:t>Erin Liberto</w:t>
            </w:r>
          </w:p>
        </w:tc>
        <w:tc>
          <w:tcPr>
            <w:tcW w:w="80" w:type="dxa"/>
            <w:vAlign w:val="bottom"/>
            <w:tcBorders>
              <w:bottom w:val="single" w:sz="8" w:color="D5EEEE"/>
            </w:tcBorders>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125,156</w:t>
            </w:r>
          </w:p>
        </w:tc>
        <w:tc>
          <w:tcPr>
            <w:tcW w:w="20" w:type="dxa"/>
            <w:vAlign w:val="bottom"/>
          </w:tcPr>
          <w:p>
            <w:pPr>
              <w:spacing w:after="0"/>
              <w:rPr>
                <w:sz w:val="18"/>
                <w:szCs w:val="18"/>
                <w:color w:val="auto"/>
              </w:rPr>
            </w:pPr>
          </w:p>
        </w:tc>
        <w:tc>
          <w:tcPr>
            <w:tcW w:w="80" w:type="dxa"/>
            <w:vAlign w:val="bottom"/>
            <w:tcBorders>
              <w:bottom w:val="single" w:sz="8" w:color="D5EEEE"/>
            </w:tcBorders>
          </w:tcPr>
          <w:p>
            <w:pPr>
              <w:spacing w:after="0"/>
              <w:rPr>
                <w:sz w:val="18"/>
                <w:szCs w:val="18"/>
                <w:color w:val="auto"/>
              </w:rPr>
            </w:pPr>
          </w:p>
        </w:tc>
        <w:tc>
          <w:tcPr>
            <w:tcW w:w="80" w:type="dxa"/>
            <w:vAlign w:val="bottom"/>
            <w:tcBorders>
              <w:bottom w:val="single" w:sz="8" w:color="D5EEEE"/>
            </w:tcBorders>
          </w:tcPr>
          <w:p>
            <w:pPr>
              <w:spacing w:after="0"/>
              <w:rPr>
                <w:sz w:val="18"/>
                <w:szCs w:val="18"/>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w:t>
            </w:r>
          </w:p>
        </w:tc>
        <w:tc>
          <w:tcPr>
            <w:tcW w:w="20" w:type="dxa"/>
            <w:vAlign w:val="bottom"/>
          </w:tcPr>
          <w:p>
            <w:pPr>
              <w:spacing w:after="0"/>
              <w:rPr>
                <w:sz w:val="18"/>
                <w:szCs w:val="18"/>
                <w:color w:val="auto"/>
              </w:rPr>
            </w:pPr>
          </w:p>
        </w:tc>
        <w:tc>
          <w:tcPr>
            <w:tcW w:w="80" w:type="dxa"/>
            <w:vAlign w:val="bottom"/>
            <w:tcBorders>
              <w:bottom w:val="single" w:sz="8" w:color="D5EEEE"/>
            </w:tcBorders>
          </w:tcPr>
          <w:p>
            <w:pPr>
              <w:spacing w:after="0"/>
              <w:rPr>
                <w:sz w:val="18"/>
                <w:szCs w:val="18"/>
                <w:color w:val="auto"/>
              </w:rPr>
            </w:pPr>
          </w:p>
        </w:tc>
        <w:tc>
          <w:tcPr>
            <w:tcW w:w="840" w:type="dxa"/>
            <w:vAlign w:val="bottom"/>
            <w:tcBorders>
              <w:bottom w:val="single" w:sz="8" w:color="D5EEEE"/>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D5EEEE"/>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shd w:val="clear" w:color="auto" w:fill="D5EEEE"/>
          </w:tcPr>
          <w:p>
            <w:pPr>
              <w:spacing w:after="0"/>
              <w:rPr>
                <w:sz w:val="18"/>
                <w:szCs w:val="18"/>
                <w:color w:val="auto"/>
              </w:rPr>
            </w:pPr>
          </w:p>
        </w:tc>
        <w:tc>
          <w:tcPr>
            <w:tcW w:w="80" w:type="dxa"/>
            <w:vAlign w:val="bottom"/>
            <w:shd w:val="clear" w:color="auto" w:fill="D5EEEE"/>
          </w:tcPr>
          <w:p>
            <w:pPr>
              <w:spacing w:after="0"/>
              <w:rPr>
                <w:sz w:val="18"/>
                <w:szCs w:val="18"/>
                <w:color w:val="auto"/>
              </w:rPr>
            </w:pPr>
          </w:p>
        </w:tc>
        <w:tc>
          <w:tcPr>
            <w:tcW w:w="6740" w:type="dxa"/>
            <w:vAlign w:val="bottom"/>
            <w:shd w:val="clear" w:color="auto" w:fill="D5EEEE"/>
          </w:tcPr>
          <w:p>
            <w:pPr>
              <w:ind w:left="420"/>
              <w:spacing w:after="0" w:line="201" w:lineRule="exact"/>
              <w:rPr>
                <w:sz w:val="20"/>
                <w:szCs w:val="20"/>
                <w:color w:val="auto"/>
              </w:rPr>
            </w:pPr>
            <w:r>
              <w:rPr>
                <w:rFonts w:ascii="Times New Roman" w:cs="Times New Roman" w:eastAsia="Times New Roman" w:hAnsi="Times New Roman"/>
                <w:sz w:val="18"/>
                <w:szCs w:val="18"/>
                <w:color w:val="auto"/>
              </w:rPr>
              <w:t>Andrew Quick</w:t>
            </w:r>
          </w:p>
        </w:tc>
        <w:tc>
          <w:tcPr>
            <w:tcW w:w="80" w:type="dxa"/>
            <w:vAlign w:val="bottom"/>
            <w:shd w:val="clear" w:color="auto" w:fill="D5EEEE"/>
          </w:tcPr>
          <w:p>
            <w:pPr>
              <w:spacing w:after="0"/>
              <w:rPr>
                <w:sz w:val="18"/>
                <w:szCs w:val="18"/>
                <w:color w:val="auto"/>
              </w:rPr>
            </w:pPr>
          </w:p>
        </w:tc>
        <w:tc>
          <w:tcPr>
            <w:tcW w:w="12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125,155</w:t>
            </w:r>
          </w:p>
        </w:tc>
        <w:tc>
          <w:tcPr>
            <w:tcW w:w="20" w:type="dxa"/>
            <w:vAlign w:val="bottom"/>
          </w:tcPr>
          <w:p>
            <w:pPr>
              <w:spacing w:after="0"/>
              <w:rPr>
                <w:sz w:val="18"/>
                <w:szCs w:val="18"/>
                <w:color w:val="auto"/>
              </w:rPr>
            </w:pPr>
          </w:p>
        </w:tc>
        <w:tc>
          <w:tcPr>
            <w:tcW w:w="80" w:type="dxa"/>
            <w:vAlign w:val="bottom"/>
            <w:shd w:val="clear" w:color="auto" w:fill="D5EEE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shd w:val="clear" w:color="auto" w:fill="D5EEEE"/>
          </w:tcPr>
          <w:p>
            <w:pPr>
              <w:jc w:val="center"/>
              <w:spacing w:after="0"/>
              <w:rPr>
                <w:sz w:val="20"/>
                <w:szCs w:val="20"/>
                <w:color w:val="auto"/>
              </w:rPr>
            </w:pPr>
            <w:r>
              <w:rPr>
                <w:rFonts w:ascii="Times New Roman" w:cs="Times New Roman" w:eastAsia="Times New Roman" w:hAnsi="Times New Roman"/>
                <w:sz w:val="18"/>
                <w:szCs w:val="18"/>
                <w:color w:val="auto"/>
                <w:w w:val="99"/>
                <w:shd w:val="clear" w:color="auto" w:fill="D5EEEE"/>
              </w:rPr>
              <w:t>(10)</w:t>
            </w:r>
          </w:p>
        </w:tc>
        <w:tc>
          <w:tcPr>
            <w:tcW w:w="20" w:type="dxa"/>
            <w:vAlign w:val="bottom"/>
          </w:tcPr>
          <w:p>
            <w:pPr>
              <w:spacing w:after="0"/>
              <w:rPr>
                <w:sz w:val="18"/>
                <w:szCs w:val="18"/>
                <w:color w:val="auto"/>
              </w:rPr>
            </w:pPr>
          </w:p>
        </w:tc>
        <w:tc>
          <w:tcPr>
            <w:tcW w:w="80" w:type="dxa"/>
            <w:vAlign w:val="bottom"/>
            <w:shd w:val="clear" w:color="auto" w:fill="D5EEEE"/>
          </w:tcPr>
          <w:p>
            <w:pPr>
              <w:spacing w:after="0"/>
              <w:rPr>
                <w:sz w:val="18"/>
                <w:szCs w:val="18"/>
                <w:color w:val="auto"/>
              </w:rPr>
            </w:pPr>
          </w:p>
        </w:tc>
        <w:tc>
          <w:tcPr>
            <w:tcW w:w="840" w:type="dxa"/>
            <w:vAlign w:val="bottom"/>
            <w:shd w:val="clear" w:color="auto" w:fill="D5EEEE"/>
          </w:tcPr>
          <w:p>
            <w:pPr>
              <w:jc w:val="center"/>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right w:val="single" w:sz="8" w:color="D5EEE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D5EEEE"/>
            </w:tcBorders>
          </w:tcPr>
          <w:p>
            <w:pPr>
              <w:spacing w:after="0"/>
              <w:rPr>
                <w:sz w:val="18"/>
                <w:szCs w:val="18"/>
                <w:color w:val="auto"/>
              </w:rPr>
            </w:pPr>
          </w:p>
        </w:tc>
        <w:tc>
          <w:tcPr>
            <w:tcW w:w="80" w:type="dxa"/>
            <w:vAlign w:val="bottom"/>
            <w:tcBorders>
              <w:bottom w:val="single" w:sz="8" w:color="D5EEEE"/>
            </w:tcBorders>
          </w:tcPr>
          <w:p>
            <w:pPr>
              <w:spacing w:after="0"/>
              <w:rPr>
                <w:sz w:val="18"/>
                <w:szCs w:val="18"/>
                <w:color w:val="auto"/>
              </w:rPr>
            </w:pPr>
          </w:p>
        </w:tc>
        <w:tc>
          <w:tcPr>
            <w:tcW w:w="6740" w:type="dxa"/>
            <w:vAlign w:val="bottom"/>
            <w:tcBorders>
              <w:bottom w:val="single" w:sz="8" w:color="D5EEEE"/>
            </w:tcBorders>
          </w:tcPr>
          <w:p>
            <w:pPr>
              <w:ind w:left="420"/>
              <w:spacing w:after="0"/>
              <w:rPr>
                <w:sz w:val="20"/>
                <w:szCs w:val="20"/>
                <w:color w:val="auto"/>
              </w:rPr>
            </w:pPr>
            <w:r>
              <w:rPr>
                <w:rFonts w:ascii="Times New Roman" w:cs="Times New Roman" w:eastAsia="Times New Roman" w:hAnsi="Times New Roman"/>
                <w:sz w:val="18"/>
                <w:szCs w:val="18"/>
                <w:color w:val="auto"/>
              </w:rPr>
              <w:t>Donna Shiroma</w:t>
            </w:r>
          </w:p>
        </w:tc>
        <w:tc>
          <w:tcPr>
            <w:tcW w:w="80" w:type="dxa"/>
            <w:vAlign w:val="bottom"/>
            <w:tcBorders>
              <w:bottom w:val="single" w:sz="8" w:color="D5EEEE"/>
            </w:tcBorders>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112,156</w:t>
            </w:r>
          </w:p>
        </w:tc>
        <w:tc>
          <w:tcPr>
            <w:tcW w:w="20" w:type="dxa"/>
            <w:vAlign w:val="bottom"/>
          </w:tcPr>
          <w:p>
            <w:pPr>
              <w:spacing w:after="0"/>
              <w:rPr>
                <w:sz w:val="18"/>
                <w:szCs w:val="18"/>
                <w:color w:val="auto"/>
              </w:rPr>
            </w:pPr>
          </w:p>
        </w:tc>
        <w:tc>
          <w:tcPr>
            <w:tcW w:w="80" w:type="dxa"/>
            <w:vAlign w:val="bottom"/>
            <w:tcBorders>
              <w:bottom w:val="single" w:sz="8" w:color="D5EEEE"/>
            </w:tcBorders>
          </w:tcPr>
          <w:p>
            <w:pPr>
              <w:spacing w:after="0"/>
              <w:rPr>
                <w:sz w:val="18"/>
                <w:szCs w:val="18"/>
                <w:color w:val="auto"/>
              </w:rPr>
            </w:pPr>
          </w:p>
        </w:tc>
        <w:tc>
          <w:tcPr>
            <w:tcW w:w="80" w:type="dxa"/>
            <w:vAlign w:val="bottom"/>
            <w:tcBorders>
              <w:bottom w:val="single" w:sz="8" w:color="D5EEEE"/>
            </w:tcBorders>
          </w:tcPr>
          <w:p>
            <w:pPr>
              <w:spacing w:after="0"/>
              <w:rPr>
                <w:sz w:val="18"/>
                <w:szCs w:val="18"/>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highlight w:val="white"/>
                <w:w w:val="99"/>
              </w:rPr>
              <w:t>(11)</w:t>
            </w:r>
          </w:p>
        </w:tc>
        <w:tc>
          <w:tcPr>
            <w:tcW w:w="20" w:type="dxa"/>
            <w:vAlign w:val="bottom"/>
          </w:tcPr>
          <w:p>
            <w:pPr>
              <w:spacing w:after="0"/>
              <w:rPr>
                <w:sz w:val="18"/>
                <w:szCs w:val="18"/>
                <w:color w:val="auto"/>
              </w:rPr>
            </w:pPr>
          </w:p>
        </w:tc>
        <w:tc>
          <w:tcPr>
            <w:tcW w:w="80" w:type="dxa"/>
            <w:vAlign w:val="bottom"/>
            <w:tcBorders>
              <w:bottom w:val="single" w:sz="8" w:color="D5EEEE"/>
            </w:tcBorders>
          </w:tcPr>
          <w:p>
            <w:pPr>
              <w:spacing w:after="0"/>
              <w:rPr>
                <w:sz w:val="18"/>
                <w:szCs w:val="18"/>
                <w:color w:val="auto"/>
              </w:rPr>
            </w:pPr>
          </w:p>
        </w:tc>
        <w:tc>
          <w:tcPr>
            <w:tcW w:w="840" w:type="dxa"/>
            <w:vAlign w:val="bottom"/>
            <w:tcBorders>
              <w:bottom w:val="single" w:sz="8" w:color="D5EEEE"/>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D5EEEE"/>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40" w:type="dxa"/>
            <w:vAlign w:val="bottom"/>
            <w:tcBorders>
              <w:bottom w:val="single" w:sz="8" w:color="D5EEEE"/>
            </w:tcBorders>
            <w:shd w:val="clear" w:color="auto" w:fill="D5EEEE"/>
          </w:tcPr>
          <w:p>
            <w:pPr>
              <w:spacing w:after="0"/>
              <w:rPr>
                <w:sz w:val="18"/>
                <w:szCs w:val="18"/>
                <w:color w:val="auto"/>
              </w:rPr>
            </w:pPr>
          </w:p>
        </w:tc>
        <w:tc>
          <w:tcPr>
            <w:tcW w:w="80" w:type="dxa"/>
            <w:vAlign w:val="bottom"/>
            <w:tcBorders>
              <w:bottom w:val="single" w:sz="8" w:color="D5EEEE"/>
            </w:tcBorders>
            <w:shd w:val="clear" w:color="auto" w:fill="D5EEEE"/>
          </w:tcPr>
          <w:p>
            <w:pPr>
              <w:spacing w:after="0"/>
              <w:rPr>
                <w:sz w:val="18"/>
                <w:szCs w:val="18"/>
                <w:color w:val="auto"/>
              </w:rPr>
            </w:pPr>
          </w:p>
        </w:tc>
        <w:tc>
          <w:tcPr>
            <w:tcW w:w="6740" w:type="dxa"/>
            <w:vAlign w:val="bottom"/>
            <w:shd w:val="clear" w:color="auto" w:fill="D5EEEE"/>
          </w:tcPr>
          <w:p>
            <w:pPr>
              <w:ind w:left="420"/>
              <w:spacing w:after="0"/>
              <w:rPr>
                <w:sz w:val="20"/>
                <w:szCs w:val="20"/>
                <w:color w:val="auto"/>
              </w:rPr>
            </w:pPr>
            <w:r>
              <w:rPr>
                <w:rFonts w:ascii="Times New Roman" w:cs="Times New Roman" w:eastAsia="Times New Roman" w:hAnsi="Times New Roman"/>
                <w:sz w:val="18"/>
                <w:szCs w:val="18"/>
                <w:color w:val="auto"/>
              </w:rPr>
              <w:t>Michael Perry</w:t>
            </w:r>
          </w:p>
        </w:tc>
        <w:tc>
          <w:tcPr>
            <w:tcW w:w="80" w:type="dxa"/>
            <w:vAlign w:val="bottom"/>
            <w:tcBorders>
              <w:bottom w:val="single" w:sz="8" w:color="D5EEEE"/>
            </w:tcBorders>
            <w:shd w:val="clear" w:color="auto" w:fill="D5EEEE"/>
          </w:tcPr>
          <w:p>
            <w:pPr>
              <w:spacing w:after="0"/>
              <w:rPr>
                <w:sz w:val="18"/>
                <w:szCs w:val="18"/>
                <w:color w:val="auto"/>
              </w:rPr>
            </w:pPr>
          </w:p>
        </w:tc>
        <w:tc>
          <w:tcPr>
            <w:tcW w:w="12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256,232</w:t>
            </w:r>
          </w:p>
        </w:tc>
        <w:tc>
          <w:tcPr>
            <w:tcW w:w="20" w:type="dxa"/>
            <w:vAlign w:val="bottom"/>
          </w:tcPr>
          <w:p>
            <w:pPr>
              <w:spacing w:after="0"/>
              <w:rPr>
                <w:sz w:val="18"/>
                <w:szCs w:val="18"/>
                <w:color w:val="auto"/>
              </w:rPr>
            </w:pPr>
          </w:p>
        </w:tc>
        <w:tc>
          <w:tcPr>
            <w:tcW w:w="80" w:type="dxa"/>
            <w:vAlign w:val="bottom"/>
            <w:tcBorders>
              <w:bottom w:val="single" w:sz="8" w:color="D5EEEE"/>
            </w:tcBorders>
            <w:shd w:val="clear" w:color="auto" w:fill="D5EEE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shd w:val="clear" w:color="auto" w:fill="D5EEEE"/>
          </w:tcPr>
          <w:p>
            <w:pPr>
              <w:jc w:val="center"/>
              <w:spacing w:after="0"/>
              <w:rPr>
                <w:sz w:val="20"/>
                <w:szCs w:val="20"/>
                <w:color w:val="auto"/>
              </w:rPr>
            </w:pPr>
            <w:r>
              <w:rPr>
                <w:rFonts w:ascii="Times New Roman" w:cs="Times New Roman" w:eastAsia="Times New Roman" w:hAnsi="Times New Roman"/>
                <w:sz w:val="18"/>
                <w:szCs w:val="18"/>
                <w:color w:val="auto"/>
                <w:w w:val="99"/>
                <w:shd w:val="clear" w:color="auto" w:fill="D5EEEE"/>
              </w:rPr>
              <w:t>(12)</w:t>
            </w:r>
          </w:p>
        </w:tc>
        <w:tc>
          <w:tcPr>
            <w:tcW w:w="20" w:type="dxa"/>
            <w:vAlign w:val="bottom"/>
          </w:tcPr>
          <w:p>
            <w:pPr>
              <w:spacing w:after="0"/>
              <w:rPr>
                <w:sz w:val="18"/>
                <w:szCs w:val="18"/>
                <w:color w:val="auto"/>
              </w:rPr>
            </w:pPr>
          </w:p>
        </w:tc>
        <w:tc>
          <w:tcPr>
            <w:tcW w:w="80" w:type="dxa"/>
            <w:vAlign w:val="bottom"/>
            <w:tcBorders>
              <w:bottom w:val="single" w:sz="8" w:color="D5EEEE"/>
            </w:tcBorders>
            <w:shd w:val="clear" w:color="auto" w:fill="D5EEEE"/>
          </w:tcPr>
          <w:p>
            <w:pPr>
              <w:spacing w:after="0"/>
              <w:rPr>
                <w:sz w:val="18"/>
                <w:szCs w:val="18"/>
                <w:color w:val="auto"/>
              </w:rPr>
            </w:pPr>
          </w:p>
        </w:tc>
        <w:tc>
          <w:tcPr>
            <w:tcW w:w="840" w:type="dxa"/>
            <w:vAlign w:val="bottom"/>
            <w:shd w:val="clear" w:color="auto" w:fill="D5EEEE"/>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right w:val="single" w:sz="8" w:color="D5EEEE"/>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Michael Holder</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highlight w:val="white"/>
                <w:w w:val="99"/>
              </w:rPr>
              <w:t>(13)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Borders>
              <w:bottom w:val="single" w:sz="8" w:color="D5EEEE"/>
            </w:tcBorders>
          </w:tcPr>
          <w:p>
            <w:pPr>
              <w:spacing w:after="0" w:line="20" w:lineRule="exact"/>
              <w:rPr>
                <w:sz w:val="1"/>
                <w:szCs w:val="1"/>
                <w:color w:val="auto"/>
              </w:rPr>
            </w:pPr>
          </w:p>
        </w:tc>
        <w:tc>
          <w:tcPr>
            <w:tcW w:w="80" w:type="dxa"/>
            <w:vAlign w:val="bottom"/>
            <w:tcBorders>
              <w:bottom w:val="single" w:sz="8" w:color="D5EEEE"/>
            </w:tcBorders>
          </w:tcPr>
          <w:p>
            <w:pPr>
              <w:spacing w:after="0" w:line="20" w:lineRule="exact"/>
              <w:rPr>
                <w:sz w:val="1"/>
                <w:szCs w:val="1"/>
                <w:color w:val="auto"/>
              </w:rPr>
            </w:pPr>
          </w:p>
        </w:tc>
        <w:tc>
          <w:tcPr>
            <w:tcW w:w="6740" w:type="dxa"/>
            <w:vAlign w:val="bottom"/>
            <w:tcBorders>
              <w:bottom w:val="single" w:sz="8" w:color="D5EEEE"/>
            </w:tcBorders>
          </w:tcPr>
          <w:p>
            <w:pPr>
              <w:spacing w:after="0" w:line="20" w:lineRule="exact"/>
              <w:rPr>
                <w:sz w:val="1"/>
                <w:szCs w:val="1"/>
                <w:color w:val="auto"/>
              </w:rPr>
            </w:pPr>
          </w:p>
        </w:tc>
        <w:tc>
          <w:tcPr>
            <w:tcW w:w="80" w:type="dxa"/>
            <w:vAlign w:val="bottom"/>
            <w:tcBorders>
              <w:bottom w:val="single" w:sz="8" w:color="D5EE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D5EEEE"/>
            </w:tcBorders>
          </w:tcPr>
          <w:p>
            <w:pPr>
              <w:spacing w:after="0" w:line="20" w:lineRule="exact"/>
              <w:rPr>
                <w:sz w:val="1"/>
                <w:szCs w:val="1"/>
                <w:color w:val="auto"/>
              </w:rPr>
            </w:pPr>
          </w:p>
        </w:tc>
        <w:tc>
          <w:tcPr>
            <w:tcW w:w="80" w:type="dxa"/>
            <w:vAlign w:val="bottom"/>
            <w:tcBorders>
              <w:bottom w:val="single" w:sz="8" w:color="D5EE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D5EEEE"/>
            </w:tcBorders>
          </w:tcPr>
          <w:p>
            <w:pPr>
              <w:spacing w:after="0" w:line="20" w:lineRule="exact"/>
              <w:rPr>
                <w:sz w:val="1"/>
                <w:szCs w:val="1"/>
                <w:color w:val="auto"/>
              </w:rPr>
            </w:pPr>
          </w:p>
        </w:tc>
        <w:tc>
          <w:tcPr>
            <w:tcW w:w="840" w:type="dxa"/>
            <w:vAlign w:val="bottom"/>
            <w:tcBorders>
              <w:bottom w:val="single" w:sz="8" w:color="D5EEEE"/>
            </w:tcBorders>
          </w:tcPr>
          <w:p>
            <w:pPr>
              <w:spacing w:after="0" w:line="20" w:lineRule="exact"/>
              <w:rPr>
                <w:sz w:val="1"/>
                <w:szCs w:val="1"/>
                <w:color w:val="auto"/>
              </w:rPr>
            </w:pPr>
          </w:p>
        </w:tc>
        <w:tc>
          <w:tcPr>
            <w:tcW w:w="80" w:type="dxa"/>
            <w:vAlign w:val="bottom"/>
            <w:tcBorders>
              <w:bottom w:val="single" w:sz="8" w:color="D5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40" w:type="dxa"/>
            <w:vAlign w:val="bottom"/>
            <w:tcBorders>
              <w:bottom w:val="single" w:sz="8" w:color="D5EEEE"/>
            </w:tcBorders>
            <w:shd w:val="clear" w:color="auto" w:fill="D5EEEE"/>
          </w:tcPr>
          <w:p>
            <w:pPr>
              <w:spacing w:after="0"/>
              <w:rPr>
                <w:sz w:val="17"/>
                <w:szCs w:val="17"/>
                <w:color w:val="auto"/>
              </w:rPr>
            </w:pPr>
          </w:p>
        </w:tc>
        <w:tc>
          <w:tcPr>
            <w:tcW w:w="80" w:type="dxa"/>
            <w:vAlign w:val="bottom"/>
            <w:tcBorders>
              <w:bottom w:val="single" w:sz="8" w:color="D5EEEE"/>
            </w:tcBorders>
            <w:shd w:val="clear" w:color="auto" w:fill="D5EEEE"/>
          </w:tcPr>
          <w:p>
            <w:pPr>
              <w:spacing w:after="0"/>
              <w:rPr>
                <w:sz w:val="17"/>
                <w:szCs w:val="17"/>
                <w:color w:val="auto"/>
              </w:rPr>
            </w:pPr>
          </w:p>
        </w:tc>
        <w:tc>
          <w:tcPr>
            <w:tcW w:w="6740" w:type="dxa"/>
            <w:vAlign w:val="bottom"/>
            <w:shd w:val="clear" w:color="auto" w:fill="D5EEEE"/>
          </w:tcPr>
          <w:p>
            <w:pPr>
              <w:ind w:left="420"/>
              <w:spacing w:after="0" w:line="205" w:lineRule="exact"/>
              <w:rPr>
                <w:sz w:val="20"/>
                <w:szCs w:val="20"/>
                <w:color w:val="auto"/>
              </w:rPr>
            </w:pPr>
            <w:r>
              <w:rPr>
                <w:rFonts w:ascii="Times New Roman" w:cs="Times New Roman" w:eastAsia="Times New Roman" w:hAnsi="Times New Roman"/>
                <w:sz w:val="18"/>
                <w:szCs w:val="18"/>
                <w:color w:val="auto"/>
              </w:rPr>
              <w:t>Kathy McGee</w:t>
            </w:r>
          </w:p>
        </w:tc>
        <w:tc>
          <w:tcPr>
            <w:tcW w:w="80" w:type="dxa"/>
            <w:vAlign w:val="bottom"/>
            <w:tcBorders>
              <w:bottom w:val="single" w:sz="8" w:color="D5EEEE"/>
            </w:tcBorders>
            <w:shd w:val="clear" w:color="auto" w:fill="D5EEEE"/>
          </w:tcPr>
          <w:p>
            <w:pPr>
              <w:spacing w:after="0"/>
              <w:rPr>
                <w:sz w:val="17"/>
                <w:szCs w:val="17"/>
                <w:color w:val="auto"/>
              </w:rPr>
            </w:pPr>
          </w:p>
        </w:tc>
        <w:tc>
          <w:tcPr>
            <w:tcW w:w="1260" w:type="dxa"/>
            <w:vAlign w:val="bottom"/>
            <w:shd w:val="clear" w:color="auto" w:fill="D5EEEE"/>
          </w:tcPr>
          <w:p>
            <w:pPr>
              <w:jc w:val="right"/>
              <w:spacing w:after="0" w:line="205" w:lineRule="exact"/>
              <w:rPr>
                <w:sz w:val="20"/>
                <w:szCs w:val="20"/>
                <w:color w:val="auto"/>
              </w:rPr>
            </w:pPr>
            <w:r>
              <w:rPr>
                <w:rFonts w:ascii="Times New Roman" w:cs="Times New Roman" w:eastAsia="Times New Roman" w:hAnsi="Times New Roman"/>
                <w:sz w:val="18"/>
                <w:szCs w:val="18"/>
                <w:color w:val="auto"/>
              </w:rPr>
              <w:t>158,200</w:t>
            </w:r>
          </w:p>
        </w:tc>
        <w:tc>
          <w:tcPr>
            <w:tcW w:w="20" w:type="dxa"/>
            <w:vAlign w:val="bottom"/>
          </w:tcPr>
          <w:p>
            <w:pPr>
              <w:spacing w:after="0"/>
              <w:rPr>
                <w:sz w:val="17"/>
                <w:szCs w:val="17"/>
                <w:color w:val="auto"/>
              </w:rPr>
            </w:pPr>
          </w:p>
        </w:tc>
        <w:tc>
          <w:tcPr>
            <w:tcW w:w="80" w:type="dxa"/>
            <w:vAlign w:val="bottom"/>
            <w:tcBorders>
              <w:bottom w:val="single" w:sz="8" w:color="D5EEEE"/>
            </w:tcBorders>
            <w:shd w:val="clear" w:color="auto" w:fill="D5EEE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shd w:val="clear" w:color="auto" w:fill="D5EEEE"/>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shd w:val="clear" w:color="auto" w:fill="D5EEEE"/>
              </w:rPr>
              <w:t>(14)</w:t>
            </w:r>
          </w:p>
        </w:tc>
        <w:tc>
          <w:tcPr>
            <w:tcW w:w="20" w:type="dxa"/>
            <w:vAlign w:val="bottom"/>
          </w:tcPr>
          <w:p>
            <w:pPr>
              <w:spacing w:after="0"/>
              <w:rPr>
                <w:sz w:val="17"/>
                <w:szCs w:val="17"/>
                <w:color w:val="auto"/>
              </w:rPr>
            </w:pPr>
          </w:p>
        </w:tc>
        <w:tc>
          <w:tcPr>
            <w:tcW w:w="80" w:type="dxa"/>
            <w:vAlign w:val="bottom"/>
            <w:tcBorders>
              <w:bottom w:val="single" w:sz="8" w:color="D5EEEE"/>
            </w:tcBorders>
            <w:shd w:val="clear" w:color="auto" w:fill="D5EEEE"/>
          </w:tcPr>
          <w:p>
            <w:pPr>
              <w:spacing w:after="0"/>
              <w:rPr>
                <w:sz w:val="17"/>
                <w:szCs w:val="17"/>
                <w:color w:val="auto"/>
              </w:rPr>
            </w:pPr>
          </w:p>
        </w:tc>
        <w:tc>
          <w:tcPr>
            <w:tcW w:w="840" w:type="dxa"/>
            <w:vAlign w:val="bottom"/>
            <w:shd w:val="clear" w:color="auto" w:fill="D5EEEE"/>
          </w:tcPr>
          <w:p>
            <w:pPr>
              <w:jc w:val="center"/>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right w:val="single" w:sz="8" w:color="D5EEEE"/>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740" w:type="dxa"/>
            <w:vAlign w:val="bottom"/>
          </w:tcPr>
          <w:p>
            <w:pPr>
              <w:ind w:left="420"/>
              <w:spacing w:after="0" w:line="193" w:lineRule="exact"/>
              <w:rPr>
                <w:sz w:val="20"/>
                <w:szCs w:val="20"/>
                <w:color w:val="auto"/>
              </w:rPr>
            </w:pPr>
            <w:r>
              <w:rPr>
                <w:rFonts w:ascii="Times New Roman" w:cs="Times New Roman" w:eastAsia="Times New Roman" w:hAnsi="Times New Roman"/>
                <w:sz w:val="18"/>
                <w:szCs w:val="18"/>
                <w:b w:val="1"/>
                <w:bCs w:val="1"/>
                <w:color w:val="auto"/>
              </w:rPr>
              <w:t>All executive officers and directors as a group (13 persons)</w:t>
            </w:r>
          </w:p>
        </w:tc>
        <w:tc>
          <w:tcPr>
            <w:tcW w:w="8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Times New Roman" w:cs="Times New Roman" w:eastAsia="Times New Roman" w:hAnsi="Times New Roman"/>
                <w:sz w:val="18"/>
                <w:szCs w:val="18"/>
                <w:b w:val="1"/>
                <w:bCs w:val="1"/>
                <w:color w:val="auto"/>
              </w:rPr>
              <w:t>1,063,917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center"/>
              <w:spacing w:after="0" w:line="193" w:lineRule="exact"/>
              <w:rPr>
                <w:sz w:val="20"/>
                <w:szCs w:val="20"/>
                <w:color w:val="auto"/>
              </w:rPr>
            </w:pPr>
            <w:r>
              <w:rPr>
                <w:rFonts w:ascii="Times New Roman" w:cs="Times New Roman" w:eastAsia="Times New Roman" w:hAnsi="Times New Roman"/>
                <w:sz w:val="18"/>
                <w:szCs w:val="18"/>
                <w:color w:val="auto"/>
              </w:rPr>
              <w:t>4.21%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-2470785</wp:posOffset>
            </wp:positionV>
            <wp:extent cx="6884670" cy="24841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84670" cy="2484120"/>
                    </a:xfrm>
                    <a:prstGeom prst="rect">
                      <a:avLst/>
                    </a:prstGeom>
                    <a:noFill/>
                  </pic:spPr>
                </pic:pic>
              </a:graphicData>
            </a:graphic>
          </wp:anchor>
        </w:drawing>
      </w:r>
    </w:p>
    <w:p>
      <w:pPr>
        <w:spacing w:after="0" w:line="229" w:lineRule="exact"/>
        <w:rPr>
          <w:sz w:val="20"/>
          <w:szCs w:val="20"/>
          <w:color w:val="auto"/>
        </w:rPr>
      </w:pPr>
    </w:p>
    <w:p>
      <w:pPr>
        <w:ind w:left="480" w:hanging="480"/>
        <w:spacing w:after="0"/>
        <w:tabs>
          <w:tab w:leader="none" w:pos="4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beneficial ownership of less than 1% of the outstanding common stock.</w:t>
      </w:r>
    </w:p>
    <w:p>
      <w:pPr>
        <w:ind w:left="480" w:right="280" w:hanging="480"/>
        <w:spacing w:after="0"/>
        <w:tabs>
          <w:tab w:leader="none" w:pos="4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indicated, we believe that the beneficial owners of the common stock listed above, based on information furnished by such owners, have sole investment and voting power with respect to such shares, subject to community property laws where applicable. Beneficial ownership is determined in accordance with the rules of the SEC and generally includes voting or investment power with respect to securities.</w:t>
      </w:r>
    </w:p>
    <w:p>
      <w:pPr>
        <w:spacing w:after="0" w:line="2" w:lineRule="exact"/>
        <w:rPr>
          <w:rFonts w:ascii="Times New Roman" w:cs="Times New Roman" w:eastAsia="Times New Roman" w:hAnsi="Times New Roman"/>
          <w:sz w:val="20"/>
          <w:szCs w:val="20"/>
          <w:color w:val="auto"/>
        </w:rPr>
      </w:pPr>
    </w:p>
    <w:p>
      <w:pPr>
        <w:ind w:left="480" w:right="60" w:hanging="480"/>
        <w:spacing w:after="0" w:line="239" w:lineRule="auto"/>
        <w:tabs>
          <w:tab w:leader="none" w:pos="4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Percentage of ownership is based on 25,296,086 shares of our common stock issued and outstanding as of January 31, 2023. Common stock subject to options or RSUs exercisable within 60 days of January 31, 2023, are deemed outstanding for purposes of computing the percentage ownership of the person holding such option or RSUs but are not deemed outstanding for purposes of computing the percentage ownership of any other person.</w:t>
      </w:r>
    </w:p>
    <w:p>
      <w:pPr>
        <w:spacing w:after="0" w:line="3" w:lineRule="exact"/>
        <w:rPr>
          <w:rFonts w:ascii="Times New Roman" w:cs="Times New Roman" w:eastAsia="Times New Roman" w:hAnsi="Times New Roman"/>
          <w:sz w:val="20"/>
          <w:szCs w:val="20"/>
          <w:color w:val="auto"/>
        </w:rPr>
      </w:pPr>
    </w:p>
    <w:p>
      <w:pPr>
        <w:ind w:left="480" w:right="40" w:hanging="480"/>
        <w:spacing w:after="0" w:line="239" w:lineRule="auto"/>
        <w:tabs>
          <w:tab w:leader="none" w:pos="4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Reflects 4,350 shares of common stock, 100,320 CDIs, which translates into 20,064 shares of the common stock. CDIs include 29,860 CDIs which translates into 5,972 shares of common stock that are held by The Panaccio Superannuation Fund. In addition, amount includes 2,550 shares of stock options to acquire 2,550 shares of our common stock exercisable within 60 days of January 31, 2023.</w:t>
      </w:r>
    </w:p>
    <w:p>
      <w:pPr>
        <w:spacing w:after="0" w:line="3" w:lineRule="exact"/>
        <w:rPr>
          <w:rFonts w:ascii="Times New Roman" w:cs="Times New Roman" w:eastAsia="Times New Roman" w:hAnsi="Times New Roman"/>
          <w:sz w:val="20"/>
          <w:szCs w:val="20"/>
          <w:color w:val="auto"/>
        </w:rPr>
      </w:pPr>
    </w:p>
    <w:p>
      <w:pPr>
        <w:ind w:left="480" w:hanging="480"/>
        <w:spacing w:after="0"/>
        <w:tabs>
          <w:tab w:leader="none" w:pos="4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Reflects 1,695 CDIs which translates into 339 shares of our common stock.</w:t>
      </w:r>
    </w:p>
    <w:p>
      <w:pPr>
        <w:ind w:left="480" w:right="820" w:hanging="480"/>
        <w:spacing w:after="0"/>
        <w:tabs>
          <w:tab w:leader="none" w:pos="4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Reflects 4,350 shares of common stock and 2,550 shares of stock options to acquire 2,550 shares of our common stock exercisable within 60 days of January 31, 2023.</w:t>
      </w:r>
    </w:p>
    <w:p>
      <w:pPr>
        <w:spacing w:after="0" w:line="1" w:lineRule="exact"/>
        <w:rPr>
          <w:rFonts w:ascii="Times New Roman" w:cs="Times New Roman" w:eastAsia="Times New Roman" w:hAnsi="Times New Roman"/>
          <w:sz w:val="20"/>
          <w:szCs w:val="20"/>
          <w:color w:val="auto"/>
        </w:rPr>
      </w:pPr>
    </w:p>
    <w:p>
      <w:pPr>
        <w:ind w:left="480" w:right="280" w:hanging="480"/>
        <w:spacing w:after="0" w:line="239" w:lineRule="auto"/>
        <w:tabs>
          <w:tab w:leader="none" w:pos="4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Reflects 4,350 shares of common stock, 20,560 CDIs, which represent 4,112 shares of our common stock and 2,550 shares of stock options to acquire 2,550 shares of our common stock exercisable within 60 days of January 31, 2023.</w:t>
      </w:r>
    </w:p>
    <w:p>
      <w:pPr>
        <w:ind w:left="480" w:right="820" w:hanging="480"/>
        <w:spacing w:after="0"/>
        <w:tabs>
          <w:tab w:leader="none" w:pos="4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Reflects 7,242 shares of common stock and 4,192 shares of stock options to acquire 4,192 shares of our common stock exercisable within 60 days of January 31, 2023.</w:t>
      </w:r>
    </w:p>
    <w:p>
      <w:pPr>
        <w:ind w:left="480" w:hanging="480"/>
        <w:spacing w:after="0"/>
        <w:tabs>
          <w:tab w:leader="none" w:pos="4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represents stock options to acquire shares of our common stock exercisable within 60 days of January 31, 2023.</w:t>
      </w:r>
    </w:p>
    <w:p>
      <w:pPr>
        <w:ind w:left="480" w:right="420" w:hanging="480"/>
        <w:spacing w:after="0" w:line="279" w:lineRule="auto"/>
        <w:tabs>
          <w:tab w:leader="none" w:pos="4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Reflects 2,625 shares of common stock and 122,531 shares of stock options to acquire 122,531 shares of our common stock exercisable within 60 days of January 31, 2023.</w:t>
      </w:r>
    </w:p>
    <w:p>
      <w:pPr>
        <w:sectPr>
          <w:pgSz w:w="11880" w:h="15480" w:orient="portrait"/>
          <w:cols w:equalWidth="0" w:num="1">
            <w:col w:w="10800"/>
          </w:cols>
          <w:pgMar w:left="540" w:top="884" w:right="540" w:bottom="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10800"/>
          </w:cols>
          <w:pgMar w:left="540" w:top="884" w:right="540" w:bottom="0" w:gutter="0" w:footer="0" w:header="0"/>
          <w:type w:val="continuous"/>
        </w:sectPr>
      </w:pPr>
    </w:p>
    <w:bookmarkStart w:id="57" w:name="page58"/>
    <w:bookmarkEnd w:id="57"/>
    <w:p>
      <w:pPr>
        <w:ind w:left="480" w:right="400" w:hanging="480"/>
        <w:spacing w:after="0"/>
        <w:tabs>
          <w:tab w:leader="none" w:pos="4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Reflects 2,625 shares of common stock and 122,530 shares of stock options to acquire 122,530 shares of our common stock exercisable within 60 days of January 31, 2023.</w:t>
      </w:r>
    </w:p>
    <w:p>
      <w:pPr>
        <w:spacing w:after="0" w:line="1" w:lineRule="exact"/>
        <w:rPr>
          <w:rFonts w:ascii="Times New Roman" w:cs="Times New Roman" w:eastAsia="Times New Roman" w:hAnsi="Times New Roman"/>
          <w:sz w:val="20"/>
          <w:szCs w:val="20"/>
          <w:color w:val="auto"/>
        </w:rPr>
      </w:pPr>
    </w:p>
    <w:p>
      <w:pPr>
        <w:ind w:left="480" w:right="380" w:hanging="480"/>
        <w:spacing w:after="0" w:line="239" w:lineRule="auto"/>
        <w:tabs>
          <w:tab w:leader="none" w:pos="4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Reflects 2,625 shares of common stock and 109,531 shares of stock options to acquire 109,531 shares of our common stock exercisable within 60 days of January 31, 2023.</w:t>
      </w:r>
    </w:p>
    <w:p>
      <w:pPr>
        <w:ind w:left="480" w:hanging="480"/>
        <w:spacing w:after="0"/>
        <w:tabs>
          <w:tab w:leader="none" w:pos="4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of 634,602 CDI’s which translates into 126,920 shares of common stock, 129,312 shares of common stock.</w:t>
      </w:r>
    </w:p>
    <w:p>
      <w:pPr>
        <w:ind w:left="480" w:right="380" w:hanging="480"/>
        <w:spacing w:after="0"/>
        <w:tabs>
          <w:tab w:leader="none" w:pos="4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Reflects 2,625 shares of common stock and 177,575 shares of stock options to acquire 177,575 shares of our common stock exercisable within 60 days of January 31, 2023.</w:t>
      </w:r>
    </w:p>
    <w:p>
      <w:pPr>
        <w:ind w:left="480" w:right="400" w:hanging="480"/>
        <w:spacing w:after="0" w:line="279" w:lineRule="auto"/>
        <w:tabs>
          <w:tab w:leader="none" w:pos="4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Reflects 2,625 shares of common stock and 155,575 shares of stock options to acquire 155,575 shares of our common stock exercisable within 60 days of January 31, 2023.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Australian Disclosure Requirements</w:t>
      </w:r>
    </w:p>
    <w:p>
      <w:pPr>
        <w:spacing w:after="0" w:line="116" w:lineRule="exact"/>
        <w:rPr>
          <w:sz w:val="20"/>
          <w:szCs w:val="20"/>
          <w:color w:val="auto"/>
        </w:rPr>
      </w:pPr>
    </w:p>
    <w:p>
      <w:pPr>
        <w:ind w:right="60" w:firstLine="720"/>
        <w:spacing w:after="0" w:line="253" w:lineRule="auto"/>
        <w:rPr>
          <w:sz w:val="20"/>
          <w:szCs w:val="20"/>
          <w:color w:val="auto"/>
        </w:rPr>
      </w:pPr>
      <w:r>
        <w:rPr>
          <w:rFonts w:ascii="Times New Roman" w:cs="Times New Roman" w:eastAsia="Times New Roman" w:hAnsi="Times New Roman"/>
          <w:sz w:val="20"/>
          <w:szCs w:val="20"/>
          <w:color w:val="auto"/>
        </w:rPr>
        <w:t>In addition to the Company’s primary listing on the Nasdaq Capital Market, the Company’s shares of common stock are also quoted in the form of CDIs on the ASX and trade under the ticker symbol “AVH”. As part of our ASX listing, we are required to comply with the various disclosure requirements as set out under the ASX Listing Rules. The following information is intended to comply with the ASX Listing Rules (where that information has not been provided elsewhere in this Annual Report).</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Jurisdiction of incorporation and restrictions on the acquisition of securities</w:t>
      </w:r>
    </w:p>
    <w:p>
      <w:pPr>
        <w:spacing w:after="0" w:line="119"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 xml:space="preserve">The Company is incorporated in the State of Delaware in the United States of America. As a foreign company registered in Australia, the Company is not subject to Chapters 6, 6A, 6B and 6C of the </w:t>
      </w:r>
      <w:r>
        <w:rPr>
          <w:rFonts w:ascii="Times New Roman" w:cs="Times New Roman" w:eastAsia="Times New Roman" w:hAnsi="Times New Roman"/>
          <w:sz w:val="20"/>
          <w:szCs w:val="20"/>
          <w:i w:val="1"/>
          <w:iCs w:val="1"/>
          <w:color w:val="auto"/>
        </w:rPr>
        <w:t>Corporations Act 2‰‰1</w:t>
      </w:r>
      <w:r>
        <w:rPr>
          <w:rFonts w:ascii="Times New Roman" w:cs="Times New Roman" w:eastAsia="Times New Roman" w:hAnsi="Times New Roman"/>
          <w:sz w:val="20"/>
          <w:szCs w:val="20"/>
          <w:color w:val="auto"/>
        </w:rPr>
        <w:t xml:space="preserve"> (Cth) dealing with the acquisition of its shares (including substantial holdings and takeovers).</w:t>
      </w:r>
    </w:p>
    <w:p>
      <w:pPr>
        <w:spacing w:after="0" w:line="187"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Under the Delaware General Corporation Law, the Company’s shares are generally freely transferable, subject to restrictions imposed by United States federal or state securities laws, by the Company’s certificate of incorporation or by-laws or by an agreement signed with the holders of shares on issue. The Company’s certificate of incorporation and bylaws do not impose any specific restrictions on the transfer of its shares. Repurchases of the Company’s securities are governed by the safe harbor provisions set forth in Rule 10b-18 of the Securities Exchange Act of 1934. However, provisions of the Delaware General Corporation Law, the Company’s certificate of incorporation and the Company’s by-laws could make it more difficult to acquire the Company by means of a tender offer (takeover), a proxy contest or otherwise, or to remove incumbent officers and directors of the Company. These provisions could discourage certain types of coercive takeover practices and takeover bids that the Company’s board may consider inadequate and encourage persons seeking to acquire control of the Company to first negotiate with the board.</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Australian Corporate Governance Statement</w:t>
      </w:r>
    </w:p>
    <w:p>
      <w:pPr>
        <w:spacing w:after="0" w:line="124" w:lineRule="exact"/>
        <w:rPr>
          <w:sz w:val="20"/>
          <w:szCs w:val="20"/>
          <w:color w:val="auto"/>
        </w:rPr>
      </w:pPr>
    </w:p>
    <w:p>
      <w:pPr>
        <w:ind w:right="60" w:firstLine="721"/>
        <w:spacing w:after="0" w:line="259" w:lineRule="auto"/>
        <w:rPr>
          <w:sz w:val="20"/>
          <w:szCs w:val="20"/>
          <w:color w:val="auto"/>
        </w:rPr>
      </w:pPr>
      <w:r>
        <w:rPr>
          <w:rFonts w:ascii="Times New Roman" w:cs="Times New Roman" w:eastAsia="Times New Roman" w:hAnsi="Times New Roman"/>
          <w:sz w:val="19"/>
          <w:szCs w:val="19"/>
          <w:color w:val="auto"/>
        </w:rPr>
        <w:t>The Board of Directors and employees of the Company are committed to developing, promoting and maintaining a strong culture of good corporate governance and ethical conduct. The Board of Directors confirm that the Company’s corporate governance framework is generally consistent with the ASX’s Corporate Governance Council’s “Corporate Governance Principles and Recommendations” (4th Edition) (“</w:t>
      </w:r>
      <w:r>
        <w:rPr>
          <w:rFonts w:ascii="Times New Roman" w:cs="Times New Roman" w:eastAsia="Times New Roman" w:hAnsi="Times New Roman"/>
          <w:sz w:val="19"/>
          <w:szCs w:val="19"/>
          <w:b w:val="1"/>
          <w:bCs w:val="1"/>
          <w:color w:val="auto"/>
        </w:rPr>
        <w:t>ASX Governance Recommendations</w:t>
      </w:r>
      <w:r>
        <w:rPr>
          <w:rFonts w:ascii="Times New Roman" w:cs="Times New Roman" w:eastAsia="Times New Roman" w:hAnsi="Times New Roman"/>
          <w:sz w:val="19"/>
          <w:szCs w:val="19"/>
          <w:color w:val="auto"/>
        </w:rPr>
        <w:t>”). The Company’s Corporate Governance Statement is available for viewing at https://ir.avitamedical.com/corporate-governance. The Corporate Governance Statement sets out the ASX Governance Recommendations and the Company’s response as to how and whether it follows those recommendations. Where the Company’s practices depart from a recommendation, the Board of Directors have disclosed in the Corporate Governance Statement the departure along with reasons for the adoption of its own practices. The Company’s most recent Corporate Governance Statement, dated February 23, 2023 and approved by the Board of Directors remains accurate as of the date of this Annual Report on Form 10-K.</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Issued capital</w:t>
      </w:r>
    </w:p>
    <w:p>
      <w:pPr>
        <w:spacing w:after="0" w:line="1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As of January 31, 2023, the Company’s issued share capital was as follows:</w:t>
      </w:r>
    </w:p>
    <w:p>
      <w:pPr>
        <w:spacing w:after="0" w:line="118" w:lineRule="exact"/>
        <w:rPr>
          <w:sz w:val="20"/>
          <w:szCs w:val="20"/>
          <w:color w:val="auto"/>
        </w:rPr>
      </w:pPr>
    </w:p>
    <w:p>
      <w:pPr>
        <w:ind w:left="1080" w:hanging="359"/>
        <w:spacing w:after="0"/>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25,296,086 shares of common stock, of which:</w:t>
      </w:r>
    </w:p>
    <w:p>
      <w:pPr>
        <w:spacing w:after="0" w:line="120" w:lineRule="exact"/>
        <w:rPr>
          <w:rFonts w:ascii="Times New Roman" w:cs="Times New Roman" w:eastAsia="Times New Roman" w:hAnsi="Times New Roman"/>
          <w:sz w:val="20"/>
          <w:szCs w:val="20"/>
          <w:color w:val="auto"/>
        </w:rPr>
      </w:pPr>
    </w:p>
    <w:p>
      <w:pPr>
        <w:ind w:left="1080" w:hanging="359"/>
        <w:spacing w:after="0"/>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10,691,469 shares of common stock were held by 78 stockholders and quoted on Nasdaq; and</w:t>
      </w:r>
    </w:p>
    <w:p>
      <w:pPr>
        <w:spacing w:after="0" w:line="120" w:lineRule="exact"/>
        <w:rPr>
          <w:rFonts w:ascii="Times New Roman" w:cs="Times New Roman" w:eastAsia="Times New Roman" w:hAnsi="Times New Roman"/>
          <w:sz w:val="20"/>
          <w:szCs w:val="20"/>
          <w:color w:val="auto"/>
        </w:rPr>
      </w:pPr>
    </w:p>
    <w:p>
      <w:pPr>
        <w:ind w:left="1080" w:right="220" w:hanging="359"/>
        <w:spacing w:after="0" w:line="279" w:lineRule="auto"/>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14,604,617 shares of common stock were held by CHESS Depositary Nominees Pty Limited (“Authorized Nominee”) (on behalf of 23,120 CDI holders) representing 73,023,085 CDIs quoted on ASX.</w:t>
      </w:r>
    </w:p>
    <w:p>
      <w:pPr>
        <w:sectPr>
          <w:pgSz w:w="11880" w:h="15480" w:orient="portrait"/>
          <w:cols w:equalWidth="0" w:num="1">
            <w:col w:w="10780"/>
          </w:cols>
          <w:pgMar w:left="540" w:top="887"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52</w:t>
      </w:r>
    </w:p>
    <w:p>
      <w:pPr>
        <w:sectPr>
          <w:pgSz w:w="11880" w:h="15480" w:orient="portrait"/>
          <w:cols w:equalWidth="0" w:num="1">
            <w:col w:w="10780"/>
          </w:cols>
          <w:pgMar w:left="540" w:top="887" w:right="560" w:bottom="0" w:gutter="0" w:footer="0" w:header="0"/>
          <w:type w:val="continuous"/>
        </w:sectPr>
      </w:pPr>
    </w:p>
    <w:bookmarkStart w:id="58" w:name="page59"/>
    <w:bookmarkEnd w:id="58"/>
    <w:p>
      <w:pPr>
        <w:ind w:right="380" w:firstLine="720"/>
        <w:spacing w:after="0" w:line="260" w:lineRule="auto"/>
        <w:rPr>
          <w:sz w:val="20"/>
          <w:szCs w:val="20"/>
          <w:color w:val="auto"/>
        </w:rPr>
      </w:pPr>
      <w:r>
        <w:rPr>
          <w:rFonts w:ascii="Times New Roman" w:cs="Times New Roman" w:eastAsia="Times New Roman" w:hAnsi="Times New Roman"/>
          <w:sz w:val="20"/>
          <w:szCs w:val="20"/>
          <w:color w:val="auto"/>
        </w:rPr>
        <w:t>As of January 31, 2023, the following unquoted securities are on issue, which entitle the holders of those securities, upon vesting of their conversion rights, to be issued shares of common stock (including in certain cases in the form of CDIs) of the Company:</w:t>
      </w:r>
    </w:p>
    <w:p>
      <w:pPr>
        <w:spacing w:after="0" w:line="64" w:lineRule="exact"/>
        <w:rPr>
          <w:sz w:val="20"/>
          <w:szCs w:val="20"/>
          <w:color w:val="auto"/>
        </w:rPr>
      </w:pPr>
    </w:p>
    <w:p>
      <w:pPr>
        <w:ind w:left="1080" w:hanging="360"/>
        <w:spacing w:after="0"/>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equivalent of 2,262,246 unquoted options held amongst 129 option holders. Specifically:</w:t>
      </w:r>
    </w:p>
    <w:p>
      <w:pPr>
        <w:spacing w:after="0" w:line="118" w:lineRule="exact"/>
        <w:rPr>
          <w:rFonts w:ascii="Times New Roman" w:cs="Times New Roman" w:eastAsia="Times New Roman" w:hAnsi="Times New Roman"/>
          <w:sz w:val="20"/>
          <w:szCs w:val="20"/>
          <w:color w:val="auto"/>
        </w:rPr>
      </w:pPr>
    </w:p>
    <w:p>
      <w:pPr>
        <w:ind w:left="1460" w:hanging="372"/>
        <w:spacing w:after="0"/>
        <w:tabs>
          <w:tab w:leader="none" w:pos="146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equivalent of 233,771 options are on issue to Mr. James Corbett, CEO;</w:t>
      </w:r>
    </w:p>
    <w:p>
      <w:pPr>
        <w:spacing w:after="0" w:line="120" w:lineRule="exact"/>
        <w:rPr>
          <w:rFonts w:ascii="Times New Roman" w:cs="Times New Roman" w:eastAsia="Times New Roman" w:hAnsi="Times New Roman"/>
          <w:sz w:val="20"/>
          <w:szCs w:val="20"/>
          <w:color w:val="auto"/>
        </w:rPr>
      </w:pPr>
    </w:p>
    <w:p>
      <w:pPr>
        <w:ind w:left="1460" w:right="60" w:hanging="372"/>
        <w:spacing w:after="0" w:line="259" w:lineRule="auto"/>
        <w:tabs>
          <w:tab w:leader="none" w:pos="146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equivalent of 2,028,475 options were granted (and are on issue) to 128 employees and directors of the Company under Avita Australia's 2016 Equity Incentive Plan and 2020 Equity Incentive Plan and the Company's 2021 and 2022 AGM Awards; and</w:t>
      </w:r>
    </w:p>
    <w:p>
      <w:pPr>
        <w:spacing w:after="0" w:line="63"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equivalent of 372,868 unquoted restricted stock units (“</w:t>
      </w:r>
      <w:r>
        <w:rPr>
          <w:rFonts w:ascii="Times New Roman" w:cs="Times New Roman" w:eastAsia="Times New Roman" w:hAnsi="Times New Roman"/>
          <w:sz w:val="20"/>
          <w:szCs w:val="20"/>
          <w:b w:val="1"/>
          <w:bCs w:val="1"/>
          <w:color w:val="auto"/>
        </w:rPr>
        <w:t>RSUs</w:t>
      </w:r>
      <w:r>
        <w:rPr>
          <w:rFonts w:ascii="Times New Roman" w:cs="Times New Roman" w:eastAsia="Times New Roman" w:hAnsi="Times New Roman"/>
          <w:sz w:val="20"/>
          <w:szCs w:val="20"/>
          <w:color w:val="auto"/>
        </w:rPr>
        <w:t>”) held as follows:</w:t>
      </w:r>
    </w:p>
    <w:p>
      <w:pPr>
        <w:spacing w:after="0" w:line="123" w:lineRule="exact"/>
        <w:rPr>
          <w:rFonts w:ascii="Times New Roman" w:cs="Times New Roman" w:eastAsia="Times New Roman" w:hAnsi="Times New Roman"/>
          <w:sz w:val="20"/>
          <w:szCs w:val="20"/>
          <w:color w:val="auto"/>
        </w:rPr>
      </w:pPr>
    </w:p>
    <w:p>
      <w:pPr>
        <w:ind w:left="1460" w:hanging="372"/>
        <w:spacing w:after="0"/>
        <w:tabs>
          <w:tab w:leader="none" w:pos="146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equivalent of 5,783 RSUs held by Mr. Corbett, CEO; and</w:t>
      </w:r>
    </w:p>
    <w:p>
      <w:pPr>
        <w:spacing w:after="0" w:line="118" w:lineRule="exact"/>
        <w:rPr>
          <w:rFonts w:ascii="Times New Roman" w:cs="Times New Roman" w:eastAsia="Times New Roman" w:hAnsi="Times New Roman"/>
          <w:sz w:val="20"/>
          <w:szCs w:val="20"/>
          <w:color w:val="auto"/>
        </w:rPr>
      </w:pPr>
    </w:p>
    <w:p>
      <w:pPr>
        <w:ind w:left="1460" w:right="440" w:hanging="372"/>
        <w:spacing w:after="0" w:line="279" w:lineRule="auto"/>
        <w:tabs>
          <w:tab w:leader="none" w:pos="146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equivalent of 367,085 RSUs held by 37 employees of the Company under Avita Australia's 2020 Employee Incentive Plan and the Company's 2021 and 2022 AGM Awards.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Voting Rights</w:t>
      </w:r>
    </w:p>
    <w:p>
      <w:pPr>
        <w:spacing w:after="0" w:line="124" w:lineRule="exact"/>
        <w:rPr>
          <w:sz w:val="20"/>
          <w:szCs w:val="20"/>
          <w:color w:val="auto"/>
        </w:rPr>
      </w:pPr>
    </w:p>
    <w:p>
      <w:pPr>
        <w:ind w:right="20" w:firstLine="720"/>
        <w:spacing w:after="0" w:line="249" w:lineRule="auto"/>
        <w:rPr>
          <w:sz w:val="20"/>
          <w:szCs w:val="20"/>
          <w:color w:val="auto"/>
        </w:rPr>
      </w:pPr>
      <w:r>
        <w:rPr>
          <w:rFonts w:ascii="Times New Roman" w:cs="Times New Roman" w:eastAsia="Times New Roman" w:hAnsi="Times New Roman"/>
          <w:sz w:val="20"/>
          <w:szCs w:val="20"/>
          <w:color w:val="auto"/>
        </w:rPr>
        <w:t>The Company’s bylaws provide that each stockholder has one vote for every share of common stock entitled to vote held of record by such stockholder. If holders of CDIs wish to attend and vote at the Company’s general meetings, they will be able to do so, provided, in case of voting, that the relevant steps as set out below are complied with by the CDI holder. Under the ASX Listing Rules and ASX Settlement Operating Rules, the Company must allow CDI holders to attend any meeting of the holders of the underlying securities, unless relevant United States laws at the time of the meeting prevent CDI holders from attending those meetings.</w:t>
      </w:r>
    </w:p>
    <w:p>
      <w:pPr>
        <w:spacing w:after="0" w:line="1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order to vote at such meetings, CDI holders have the following options:</w:t>
      </w:r>
    </w:p>
    <w:p>
      <w:pPr>
        <w:spacing w:after="0" w:line="121" w:lineRule="exact"/>
        <w:rPr>
          <w:sz w:val="20"/>
          <w:szCs w:val="20"/>
          <w:color w:val="auto"/>
        </w:rPr>
      </w:pPr>
    </w:p>
    <w:p>
      <w:pPr>
        <w:ind w:left="1080" w:right="40" w:hanging="360"/>
        <w:spacing w:after="0" w:line="249" w:lineRule="auto"/>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instruct the Authorized Nominee (as the legal owner of the shares of common stock) to vote the common stock represented by their CDIs in a particular manner. A voting instruction form will be sent to CDI holders with the notice of meeting or proxy statement for the meeting and that instruction form must be completed and returned to the Company’s registry prior to the record date fixed for the relevant meeting (“</w:t>
      </w:r>
      <w:r>
        <w:rPr>
          <w:rFonts w:ascii="Times New Roman" w:cs="Times New Roman" w:eastAsia="Times New Roman" w:hAnsi="Times New Roman"/>
          <w:sz w:val="20"/>
          <w:szCs w:val="20"/>
          <w:b w:val="1"/>
          <w:bCs w:val="1"/>
          <w:color w:val="auto"/>
        </w:rPr>
        <w:t>CDI Voting Instruction Receipt Time</w:t>
      </w:r>
      <w:r>
        <w:rPr>
          <w:rFonts w:ascii="Times New Roman" w:cs="Times New Roman" w:eastAsia="Times New Roman" w:hAnsi="Times New Roman"/>
          <w:sz w:val="20"/>
          <w:szCs w:val="20"/>
          <w:color w:val="auto"/>
        </w:rPr>
        <w:t>”), which is notified to the CDI holder in the voting instructions included in the notice of meeting; or</w:t>
      </w:r>
    </w:p>
    <w:p>
      <w:pPr>
        <w:spacing w:after="0" w:line="76" w:lineRule="exact"/>
        <w:rPr>
          <w:rFonts w:ascii="Times New Roman" w:cs="Times New Roman" w:eastAsia="Times New Roman" w:hAnsi="Times New Roman"/>
          <w:sz w:val="20"/>
          <w:szCs w:val="20"/>
          <w:color w:val="auto"/>
        </w:rPr>
      </w:pPr>
    </w:p>
    <w:p>
      <w:pPr>
        <w:ind w:left="1080" w:right="40" w:hanging="359"/>
        <w:spacing w:after="0" w:line="252" w:lineRule="auto"/>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 the Company that they wish to nominate themselves or a third party to be appointed as the Authorized Nominee’s proxy with respect to their common stock underlying their CDIs for the purposes of attending and voting at the meeting. The instruction form must be completed and returned to the Company’s registry prior to the CDI Voting Instruction Receipt Time.</w:t>
      </w:r>
    </w:p>
    <w:p>
      <w:pPr>
        <w:spacing w:after="0" w:line="193" w:lineRule="exact"/>
        <w:rPr>
          <w:sz w:val="20"/>
          <w:szCs w:val="20"/>
          <w:color w:val="auto"/>
        </w:rPr>
      </w:pPr>
    </w:p>
    <w:p>
      <w:pPr>
        <w:ind w:right="40" w:firstLine="721"/>
        <w:spacing w:after="0" w:line="253" w:lineRule="auto"/>
        <w:rPr>
          <w:sz w:val="20"/>
          <w:szCs w:val="20"/>
          <w:color w:val="auto"/>
        </w:rPr>
      </w:pPr>
      <w:r>
        <w:rPr>
          <w:rFonts w:ascii="Times New Roman" w:cs="Times New Roman" w:eastAsia="Times New Roman" w:hAnsi="Times New Roman"/>
          <w:sz w:val="20"/>
          <w:szCs w:val="20"/>
          <w:color w:val="auto"/>
        </w:rPr>
        <w:t>Alternatively, a CDI holder can convert their CDIs into a holding of common stock and vote those shares of common stock at a meeting of stockholders. Such a conversion must be undertaken prior to the record date fixed by the Company’s Board of Directors for determining the entitlement of stockholders to attend and vote at the meeting. However, if the former CDI holder later wishes to sell their investment on the ASX, it would be necessary to convert those shares of common stock back to CDIs.</w:t>
      </w:r>
    </w:p>
    <w:p>
      <w:pPr>
        <w:spacing w:after="0" w:line="192" w:lineRule="exact"/>
        <w:rPr>
          <w:sz w:val="20"/>
          <w:szCs w:val="20"/>
          <w:color w:val="auto"/>
        </w:rPr>
      </w:pPr>
    </w:p>
    <w:p>
      <w:pPr>
        <w:ind w:firstLine="721"/>
        <w:spacing w:after="0" w:line="252" w:lineRule="auto"/>
        <w:rPr>
          <w:sz w:val="20"/>
          <w:szCs w:val="20"/>
          <w:color w:val="auto"/>
        </w:rPr>
      </w:pPr>
      <w:r>
        <w:rPr>
          <w:rFonts w:ascii="Times New Roman" w:cs="Times New Roman" w:eastAsia="Times New Roman" w:hAnsi="Times New Roman"/>
          <w:sz w:val="20"/>
          <w:szCs w:val="20"/>
          <w:color w:val="auto"/>
        </w:rPr>
        <w:t>As CDI holders will not appear on the Company’s register as the legal holders of the underlying common stock, they will not be entitled to vote at a stockholder meeting unless one of the above steps is undertaken. As each CDI represents 1/5 of a share of common stock, if the CDI holder takes one of the steps noted above to allow it to vote at a stockholder meeting, the CDI holder will be entitled to one vote for every five CDIs it holds.</w:t>
      </w:r>
    </w:p>
    <w:p>
      <w:pPr>
        <w:spacing w:after="0" w:line="1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Holders of options, warrants and RSUs are not entitled to vote.</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Substantial Stockholders</w:t>
      </w:r>
    </w:p>
    <w:p>
      <w:pPr>
        <w:spacing w:after="0" w:line="119" w:lineRule="exact"/>
        <w:rPr>
          <w:sz w:val="20"/>
          <w:szCs w:val="20"/>
          <w:color w:val="auto"/>
        </w:rPr>
      </w:pPr>
    </w:p>
    <w:p>
      <w:pPr>
        <w:ind w:right="80" w:firstLine="721"/>
        <w:spacing w:after="0" w:line="279" w:lineRule="auto"/>
        <w:rPr>
          <w:sz w:val="20"/>
          <w:szCs w:val="20"/>
          <w:color w:val="auto"/>
        </w:rPr>
      </w:pPr>
      <w:r>
        <w:rPr>
          <w:rFonts w:ascii="Times New Roman" w:cs="Times New Roman" w:eastAsia="Times New Roman" w:hAnsi="Times New Roman"/>
          <w:sz w:val="20"/>
          <w:szCs w:val="20"/>
          <w:color w:val="auto"/>
        </w:rPr>
        <w:t>The information required in relation to the substantial shareholders of the Company is included in this Annual Report at Item 12 of Part III.</w:t>
      </w:r>
    </w:p>
    <w:p>
      <w:pPr>
        <w:sectPr>
          <w:pgSz w:w="11880" w:h="15480" w:orient="portrait"/>
          <w:cols w:equalWidth="0" w:num="1">
            <w:col w:w="10800"/>
          </w:cols>
          <w:pgMar w:left="540" w:top="887"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10800"/>
          </w:cols>
          <w:pgMar w:left="540" w:top="887" w:right="540" w:bottom="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i w:val="1"/>
          <w:iCs w:val="1"/>
          <w:color w:val="auto"/>
        </w:rPr>
        <w:t>Distribution of Common Stock and CDI Holders at January 31, 2023</w:t>
      </w:r>
    </w:p>
    <w:p>
      <w:pPr>
        <w:spacing w:after="0" w:line="119" w:lineRule="exact"/>
        <w:rPr>
          <w:sz w:val="20"/>
          <w:szCs w:val="20"/>
          <w:color w:val="auto"/>
        </w:rPr>
      </w:pPr>
    </w:p>
    <w:p>
      <w:pPr>
        <w:ind w:right="360" w:firstLine="720"/>
        <w:spacing w:after="0" w:line="279" w:lineRule="auto"/>
        <w:rPr>
          <w:sz w:val="20"/>
          <w:szCs w:val="20"/>
          <w:color w:val="auto"/>
        </w:rPr>
      </w:pPr>
      <w:r>
        <w:rPr>
          <w:rFonts w:ascii="Times New Roman" w:cs="Times New Roman" w:eastAsia="Times New Roman" w:hAnsi="Times New Roman"/>
          <w:sz w:val="20"/>
          <w:szCs w:val="20"/>
          <w:color w:val="auto"/>
        </w:rPr>
        <w:t>Below is a distribution schedule of the number of holders of CDIs, categorized by the size of their holdings, based on the Company’s registers as at January 31, 2023 (assuming all issued shares of common stock are held as CDIs).</w:t>
      </w:r>
    </w:p>
    <w:p>
      <w:pPr>
        <w:spacing w:after="0" w:line="171" w:lineRule="exact"/>
        <w:rPr>
          <w:sz w:val="20"/>
          <w:szCs w:val="20"/>
          <w:color w:val="auto"/>
        </w:rPr>
      </w:pPr>
    </w:p>
    <w:p>
      <w:pPr>
        <w:jc w:val="center"/>
        <w:ind w:left="3700"/>
        <w:spacing w:after="0"/>
        <w:rPr>
          <w:sz w:val="20"/>
          <w:szCs w:val="20"/>
          <w:color w:val="auto"/>
        </w:rPr>
      </w:pPr>
      <w:r>
        <w:rPr>
          <w:rFonts w:ascii="Times New Roman" w:cs="Times New Roman" w:eastAsia="Times New Roman" w:hAnsi="Times New Roman"/>
          <w:sz w:val="20"/>
          <w:szCs w:val="20"/>
          <w:color w:val="auto"/>
        </w:rPr>
        <w:t>CDIs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3441700</wp:posOffset>
            </wp:positionH>
            <wp:positionV relativeFrom="paragraph">
              <wp:posOffset>0</wp:posOffset>
            </wp:positionV>
            <wp:extent cx="2401570"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01570" cy="37465"/>
                    </a:xfrm>
                    <a:prstGeom prst="rect">
                      <a:avLst/>
                    </a:prstGeom>
                    <a:noFill/>
                  </pic:spPr>
                </pic:pic>
              </a:graphicData>
            </a:graphic>
          </wp:anchor>
        </w:drawing>
      </w:r>
    </w:p>
    <w:p>
      <w:pPr>
        <w:ind w:left="5520"/>
        <w:spacing w:after="0"/>
        <w:rPr>
          <w:sz w:val="20"/>
          <w:szCs w:val="20"/>
          <w:color w:val="auto"/>
        </w:rPr>
      </w:pPr>
      <w:r>
        <w:rPr>
          <w:rFonts w:ascii="Times New Roman" w:cs="Times New Roman" w:eastAsia="Times New Roman" w:hAnsi="Times New Roman"/>
          <w:sz w:val="20"/>
          <w:szCs w:val="20"/>
          <w:color w:val="auto"/>
        </w:rPr>
        <w:t xml:space="preserve">Number of Holders  </w:t>
      </w:r>
      <w:r>
        <w:rPr>
          <w:sz w:val="1"/>
          <w:szCs w:val="1"/>
          <w:color w:val="auto"/>
        </w:rPr>
        <w:drawing>
          <wp:inline distT="0" distB="0" distL="0" distR="0">
            <wp:extent cx="127635" cy="3429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635" cy="3429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Number of CDIs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1016000</wp:posOffset>
            </wp:positionH>
            <wp:positionV relativeFrom="paragraph">
              <wp:posOffset>9525</wp:posOffset>
            </wp:positionV>
            <wp:extent cx="4827270" cy="1148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827270" cy="1148715"/>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20"/>
          <w:szCs w:val="20"/>
          <w:color w:val="auto"/>
        </w:rPr>
        <w:t>15,059</w:t>
      </w:r>
      <w:r>
        <w:rPr>
          <w:sz w:val="1"/>
          <w:szCs w:val="1"/>
          <w:color w:val="auto"/>
        </w:rPr>
        <w:drawing>
          <wp:inline distT="0" distB="0" distL="0" distR="0">
            <wp:extent cx="149225" cy="14287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9225" cy="142875"/>
                    </a:xfrm>
                    <a:prstGeom prst="rect">
                      <a:avLst/>
                    </a:prstGeom>
                    <a:noFill/>
                    <a:ln>
                      <a:noFill/>
                    </a:ln>
                  </pic:spPr>
                </pic:pic>
              </a:graphicData>
            </a:graphic>
          </wp:inline>
        </w:drawing>
        <w:drawing>
          <wp:inline distT="0" distB="0" distL="0" distR="0">
            <wp:extent cx="52070" cy="889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070" cy="889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5,374,180</w:t>
      </w:r>
      <w:r>
        <w:rPr>
          <w:sz w:val="1"/>
          <w:szCs w:val="1"/>
          <w:color w:val="auto"/>
        </w:rPr>
        <w:drawing>
          <wp:inline distT="0" distB="0" distL="0" distR="0">
            <wp:extent cx="48895" cy="1333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8895" cy="133350"/>
                    </a:xfrm>
                    <a:prstGeom prst="rect">
                      <a:avLst/>
                    </a:prstGeom>
                    <a:noFill/>
                    <a:ln>
                      <a:noFill/>
                    </a:ln>
                  </pic:spPr>
                </pic:pic>
              </a:graphicData>
            </a:graphic>
          </wp:inline>
        </w:drawing>
      </w:r>
    </w:p>
    <w:p>
      <w:pPr>
        <w:ind w:left="6700"/>
        <w:spacing w:after="0"/>
        <w:rPr>
          <w:sz w:val="20"/>
          <w:szCs w:val="20"/>
          <w:color w:val="auto"/>
        </w:rPr>
      </w:pPr>
      <w:r>
        <w:rPr>
          <w:rFonts w:ascii="Times New Roman" w:cs="Times New Roman" w:eastAsia="Times New Roman" w:hAnsi="Times New Roman"/>
          <w:sz w:val="20"/>
          <w:szCs w:val="20"/>
          <w:color w:val="auto"/>
        </w:rPr>
        <w:t>5,806</w:t>
      </w:r>
      <w:r>
        <w:rPr>
          <w:sz w:val="1"/>
          <w:szCs w:val="1"/>
          <w:color w:val="auto"/>
        </w:rPr>
        <w:drawing>
          <wp:inline distT="0" distB="0" distL="0" distR="0">
            <wp:extent cx="46990" cy="1333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6990" cy="13335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14,130,360</w:t>
      </w:r>
      <w:r>
        <w:rPr>
          <w:sz w:val="1"/>
          <w:szCs w:val="1"/>
          <w:color w:val="auto"/>
        </w:rPr>
        <w:drawing>
          <wp:inline distT="0" distB="0" distL="0" distR="0">
            <wp:extent cx="48895" cy="13335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8895" cy="133350"/>
                    </a:xfrm>
                    <a:prstGeom prst="rect">
                      <a:avLst/>
                    </a:prstGeom>
                    <a:noFill/>
                    <a:ln>
                      <a:noFill/>
                    </a:ln>
                  </pic:spPr>
                </pic:pic>
              </a:graphicData>
            </a:graphic>
          </wp:inline>
        </w:drawing>
      </w:r>
    </w:p>
    <w:p>
      <w:pPr>
        <w:ind w:left="6700"/>
        <w:spacing w:after="0"/>
        <w:rPr>
          <w:sz w:val="20"/>
          <w:szCs w:val="20"/>
          <w:color w:val="auto"/>
        </w:rPr>
      </w:pPr>
      <w:r>
        <w:rPr>
          <w:rFonts w:ascii="Times New Roman" w:cs="Times New Roman" w:eastAsia="Times New Roman" w:hAnsi="Times New Roman"/>
          <w:sz w:val="20"/>
          <w:szCs w:val="20"/>
          <w:color w:val="auto"/>
        </w:rPr>
        <w:t>1,228</w:t>
      </w:r>
      <w:r>
        <w:rPr>
          <w:sz w:val="1"/>
          <w:szCs w:val="1"/>
          <w:color w:val="auto"/>
        </w:rPr>
        <w:drawing>
          <wp:inline distT="0" distB="0" distL="0" distR="0">
            <wp:extent cx="46990" cy="12382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6990" cy="12382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9,209,515</w:t>
      </w:r>
      <w:r>
        <w:rPr>
          <w:sz w:val="1"/>
          <w:szCs w:val="1"/>
          <w:color w:val="auto"/>
        </w:rPr>
        <w:drawing>
          <wp:inline distT="0" distB="0" distL="0" distR="0">
            <wp:extent cx="48895" cy="12382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8895" cy="123825"/>
                    </a:xfrm>
                    <a:prstGeom prst="rect">
                      <a:avLst/>
                    </a:prstGeom>
                    <a:noFill/>
                    <a:ln>
                      <a:noFill/>
                    </a:ln>
                  </pic:spPr>
                </pic:pic>
              </a:graphicData>
            </a:graphic>
          </wp:inline>
        </w:drawing>
      </w:r>
    </w:p>
    <w:p>
      <w:pPr>
        <w:spacing w:after="0" w:line="9" w:lineRule="exact"/>
        <w:rPr>
          <w:sz w:val="20"/>
          <w:szCs w:val="20"/>
          <w:color w:val="auto"/>
        </w:rPr>
      </w:pPr>
    </w:p>
    <w:p>
      <w:pPr>
        <w:ind w:left="6860"/>
        <w:spacing w:after="0"/>
        <w:tabs>
          <w:tab w:leader="none" w:pos="8180" w:val="left"/>
        </w:tabs>
        <w:rPr>
          <w:sz w:val="20"/>
          <w:szCs w:val="20"/>
          <w:color w:val="auto"/>
        </w:rPr>
      </w:pPr>
      <w:r>
        <w:rPr>
          <w:rFonts w:ascii="Times New Roman" w:cs="Times New Roman" w:eastAsia="Times New Roman" w:hAnsi="Times New Roman"/>
          <w:sz w:val="20"/>
          <w:szCs w:val="20"/>
          <w:color w:val="auto"/>
        </w:rPr>
        <w:t>997</w:t>
      </w:r>
      <w:r>
        <w:rPr>
          <w:sz w:val="20"/>
          <w:szCs w:val="20"/>
          <w:color w:val="auto"/>
        </w:rPr>
        <w:tab/>
      </w:r>
      <w:r>
        <w:rPr>
          <w:rFonts w:ascii="Times New Roman" w:cs="Times New Roman" w:eastAsia="Times New Roman" w:hAnsi="Times New Roman"/>
          <w:sz w:val="20"/>
          <w:szCs w:val="20"/>
          <w:color w:val="auto"/>
        </w:rPr>
        <w:t>25,505,825</w:t>
      </w:r>
    </w:p>
    <w:p>
      <w:pPr>
        <w:ind w:left="6860"/>
        <w:spacing w:after="0"/>
        <w:rPr>
          <w:sz w:val="20"/>
          <w:szCs w:val="20"/>
          <w:color w:val="auto"/>
        </w:rPr>
      </w:pPr>
      <w:r>
        <w:rPr>
          <w:rFonts w:ascii="Times New Roman" w:cs="Times New Roman" w:eastAsia="Times New Roman" w:hAnsi="Times New Roman"/>
          <w:sz w:val="20"/>
          <w:szCs w:val="20"/>
          <w:color w:val="auto"/>
        </w:rPr>
        <w:t>100</w:t>
      </w:r>
      <w:r>
        <w:rPr>
          <w:sz w:val="1"/>
          <w:szCs w:val="1"/>
          <w:color w:val="auto"/>
        </w:rPr>
        <w:drawing>
          <wp:inline distT="0" distB="0" distL="0" distR="0">
            <wp:extent cx="46990" cy="13335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6990" cy="13335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72,260,550</w:t>
      </w:r>
      <w:r>
        <w:rPr>
          <w:sz w:val="1"/>
          <w:szCs w:val="1"/>
          <w:color w:val="auto"/>
        </w:rPr>
        <w:drawing>
          <wp:inline distT="0" distB="0" distL="0" distR="0">
            <wp:extent cx="48895" cy="1333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8895" cy="133350"/>
                    </a:xfrm>
                    <a:prstGeom prst="rect">
                      <a:avLst/>
                    </a:prstGeom>
                    <a:noFill/>
                    <a:ln>
                      <a:noFill/>
                    </a:ln>
                  </pic:spPr>
                </pic:pic>
              </a:graphicData>
            </a:graphic>
          </wp:inline>
        </w:drawing>
      </w:r>
    </w:p>
    <w:p>
      <w:pPr>
        <w:ind w:left="6620"/>
        <w:spacing w:after="0"/>
        <w:rPr>
          <w:sz w:val="20"/>
          <w:szCs w:val="20"/>
          <w:color w:val="auto"/>
        </w:rPr>
      </w:pPr>
      <w:r>
        <w:rPr>
          <w:rFonts w:ascii="Times New Roman" w:cs="Times New Roman" w:eastAsia="Times New Roman" w:hAnsi="Times New Roman"/>
          <w:sz w:val="14"/>
          <w:szCs w:val="14"/>
          <w:color w:val="auto"/>
        </w:rPr>
        <w:t>23,190</w:t>
      </w:r>
      <w:r>
        <w:rPr>
          <w:sz w:val="1"/>
          <w:szCs w:val="1"/>
          <w:color w:val="auto"/>
        </w:rPr>
        <w:drawing>
          <wp:inline distT="0" distB="0" distL="0" distR="0">
            <wp:extent cx="1225550" cy="14287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25550" cy="142875"/>
                    </a:xfrm>
                    <a:prstGeom prst="rect">
                      <a:avLst/>
                    </a:prstGeom>
                    <a:noFill/>
                    <a:ln>
                      <a:noFill/>
                    </a:ln>
                  </pic:spPr>
                </pic:pic>
              </a:graphicData>
            </a:graphic>
          </wp:inline>
        </w:drawing>
        <w:drawing>
          <wp:inline distT="0" distB="0" distL="0" distR="0">
            <wp:extent cx="1018540" cy="14478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18540" cy="144780"/>
                    </a:xfrm>
                    <a:prstGeom prst="rect">
                      <a:avLst/>
                    </a:prstGeom>
                    <a:noFill/>
                    <a:ln>
                      <a:noFill/>
                    </a:ln>
                  </pic:spPr>
                </pic:pic>
              </a:graphicData>
            </a:graphic>
          </wp:inline>
        </w:drawing>
        <w:drawing>
          <wp:inline distT="0" distB="0" distL="0" distR="0">
            <wp:extent cx="48895" cy="15367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8895" cy="153670"/>
                    </a:xfrm>
                    <a:prstGeom prst="rect">
                      <a:avLst/>
                    </a:prstGeom>
                    <a:noFill/>
                    <a:ln>
                      <a:noFill/>
                    </a:ln>
                  </pic:spPr>
                </pic:pic>
              </a:graphicData>
            </a:graphic>
          </wp:inline>
        </w:drawing>
      </w:r>
    </w:p>
    <w:p>
      <w:pPr>
        <w:spacing w:after="0" w:line="200" w:lineRule="exact"/>
        <w:rPr>
          <w:sz w:val="20"/>
          <w:szCs w:val="20"/>
          <w:color w:val="auto"/>
        </w:rPr>
      </w:pPr>
    </w:p>
    <w:p>
      <w:pPr>
        <w:spacing w:after="0" w:line="336" w:lineRule="exact"/>
        <w:rPr>
          <w:sz w:val="20"/>
          <w:szCs w:val="20"/>
          <w:color w:val="auto"/>
        </w:rPr>
      </w:pPr>
    </w:p>
    <w:p>
      <w:pPr>
        <w:jc w:val="both"/>
        <w:ind w:right="420" w:firstLine="720"/>
        <w:spacing w:after="0" w:line="259" w:lineRule="auto"/>
        <w:rPr>
          <w:sz w:val="20"/>
          <w:szCs w:val="20"/>
          <w:color w:val="auto"/>
        </w:rPr>
      </w:pPr>
      <w:r>
        <w:rPr>
          <w:rFonts w:ascii="Times New Roman" w:cs="Times New Roman" w:eastAsia="Times New Roman" w:hAnsi="Times New Roman"/>
          <w:sz w:val="20"/>
          <w:szCs w:val="20"/>
          <w:color w:val="auto"/>
        </w:rPr>
        <w:t>The number of stockholders and/or CDI holders holding less than a marketable parcel of shares of common stock and/or CDIs (where a “marketable parcel” means a parcel of securities worth at least A$500, pursuant to the ASX Operating Rules) was 5,750 based on the closing market price of the Company’s common stock and CDIs as of January 31, 2023.</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There is no current on-market buy-back of our securities.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Twenty Largest CDI Holders as of January 31, 2023</w:t>
      </w:r>
    </w:p>
    <w:p>
      <w:pPr>
        <w:spacing w:after="0" w:line="119"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Below is a statement of the 20 largest holders of CDIs, and the number and percentage of issued CDIs held by those holders, based on the Company’s registers as January 31, 2023 (assuming all shares of common stock of the Company are held as CDIs, with 5 CDIs representing a beneficial ownership interest in one share of common stock in the Company).</w:t>
      </w:r>
    </w:p>
    <w:p>
      <w:pPr>
        <w:spacing w:after="0" w:line="192" w:lineRule="exact"/>
        <w:rPr>
          <w:sz w:val="20"/>
          <w:szCs w:val="20"/>
          <w:color w:val="auto"/>
        </w:rPr>
      </w:pPr>
    </w:p>
    <w:tbl>
      <w:tblPr>
        <w:tblLayout w:type="fixed"/>
        <w:tblInd w:w="540" w:type="dxa"/>
        <w:tblCellMar>
          <w:top w:w="0" w:type="dxa"/>
          <w:left w:w="0" w:type="dxa"/>
          <w:bottom w:w="0" w:type="dxa"/>
          <w:right w:w="0" w:type="dxa"/>
        </w:tblCellMar>
      </w:tblPr>
      <w:tr>
        <w:trPr>
          <w:trHeight w:val="184"/>
        </w:trPr>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 of CDIs</w:t>
            </w:r>
          </w:p>
        </w:tc>
      </w:tr>
      <w:tr>
        <w:trPr>
          <w:trHeight w:val="203"/>
        </w:trPr>
        <w:tc>
          <w:tcPr>
            <w:tcW w:w="94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Rank</w:t>
            </w:r>
          </w:p>
        </w:tc>
        <w:tc>
          <w:tcPr>
            <w:tcW w:w="180" w:type="dxa"/>
            <w:vAlign w:val="bottom"/>
            <w:tcBorders>
              <w:bottom w:val="single" w:sz="8" w:color="D5EEEE"/>
            </w:tcBorders>
          </w:tcPr>
          <w:p>
            <w:pPr>
              <w:spacing w:after="0"/>
              <w:rPr>
                <w:sz w:val="17"/>
                <w:szCs w:val="17"/>
                <w:color w:val="auto"/>
              </w:rPr>
            </w:pPr>
          </w:p>
        </w:tc>
        <w:tc>
          <w:tcPr>
            <w:tcW w:w="432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D5EEEE"/>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CDIs Held  (1)</w:t>
            </w:r>
          </w:p>
        </w:tc>
        <w:tc>
          <w:tcPr>
            <w:tcW w:w="80" w:type="dxa"/>
            <w:vAlign w:val="bottom"/>
            <w:tcBorders>
              <w:bottom w:val="single" w:sz="8" w:color="D5EEEE"/>
            </w:tcBorders>
          </w:tcPr>
          <w:p>
            <w:pPr>
              <w:spacing w:after="0"/>
              <w:rPr>
                <w:sz w:val="17"/>
                <w:szCs w:val="17"/>
                <w:color w:val="auto"/>
              </w:rPr>
            </w:pPr>
          </w:p>
        </w:tc>
        <w:tc>
          <w:tcPr>
            <w:tcW w:w="380" w:type="dxa"/>
            <w:vAlign w:val="bottom"/>
            <w:tcBorders>
              <w:bottom w:val="single" w:sz="8" w:color="D5EEEE"/>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80" w:type="dxa"/>
            <w:vAlign w:val="bottom"/>
          </w:tcPr>
          <w:p>
            <w:pPr>
              <w:spacing w:after="0"/>
              <w:rPr>
                <w:sz w:val="17"/>
                <w:szCs w:val="17"/>
                <w:color w:val="auto"/>
              </w:rPr>
            </w:pPr>
          </w:p>
        </w:tc>
      </w:tr>
      <w:tr>
        <w:trPr>
          <w:trHeight w:val="232"/>
        </w:trPr>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80" w:type="dxa"/>
            <w:vAlign w:val="bottom"/>
            <w:shd w:val="clear" w:color="auto" w:fill="D5EEEE"/>
          </w:tcPr>
          <w:p>
            <w:pPr>
              <w:spacing w:after="0"/>
              <w:rPr>
                <w:sz w:val="20"/>
                <w:szCs w:val="20"/>
                <w:color w:val="auto"/>
              </w:rPr>
            </w:pPr>
          </w:p>
        </w:tc>
        <w:tc>
          <w:tcPr>
            <w:tcW w:w="43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The Vanguard Group, Inc.</w:t>
            </w:r>
          </w:p>
        </w:tc>
        <w:tc>
          <w:tcPr>
            <w:tcW w:w="20" w:type="dxa"/>
            <w:vAlign w:val="bottom"/>
          </w:tcPr>
          <w:p>
            <w:pPr>
              <w:spacing w:after="0"/>
              <w:rPr>
                <w:sz w:val="20"/>
                <w:szCs w:val="20"/>
                <w:color w:val="auto"/>
              </w:rPr>
            </w:pPr>
          </w:p>
        </w:tc>
        <w:tc>
          <w:tcPr>
            <w:tcW w:w="200" w:type="dxa"/>
            <w:vAlign w:val="bottom"/>
            <w:tcBorders>
              <w:right w:val="single" w:sz="8" w:color="D5EEEE"/>
            </w:tcBorders>
            <w:shd w:val="clear" w:color="auto" w:fill="D5EEEE"/>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5,738,820</w:t>
            </w:r>
          </w:p>
        </w:tc>
        <w:tc>
          <w:tcPr>
            <w:tcW w:w="20" w:type="dxa"/>
            <w:vAlign w:val="bottom"/>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4.54%</w:t>
            </w:r>
          </w:p>
        </w:tc>
      </w:tr>
      <w:tr>
        <w:trPr>
          <w:trHeight w:val="245"/>
        </w:trPr>
        <w:tc>
          <w:tcPr>
            <w:tcW w:w="9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180" w:type="dxa"/>
            <w:vAlign w:val="bottom"/>
            <w:tcBorders>
              <w:bottom w:val="single" w:sz="8" w:color="D5EEEE"/>
            </w:tcBorders>
          </w:tcPr>
          <w:p>
            <w:pPr>
              <w:spacing w:after="0"/>
              <w:rPr>
                <w:sz w:val="21"/>
                <w:szCs w:val="21"/>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Pura Vida Investments, LLC</w:t>
            </w:r>
          </w:p>
        </w:tc>
        <w:tc>
          <w:tcPr>
            <w:tcW w:w="20" w:type="dxa"/>
            <w:vAlign w:val="bottom"/>
          </w:tcPr>
          <w:p>
            <w:pPr>
              <w:spacing w:after="0"/>
              <w:rPr>
                <w:sz w:val="21"/>
                <w:szCs w:val="21"/>
                <w:color w:val="auto"/>
              </w:rPr>
            </w:pPr>
          </w:p>
        </w:tc>
        <w:tc>
          <w:tcPr>
            <w:tcW w:w="20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192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4,337,590</w:t>
            </w:r>
          </w:p>
        </w:tc>
        <w:tc>
          <w:tcPr>
            <w:tcW w:w="2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38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3.43%</w:t>
            </w:r>
          </w:p>
        </w:tc>
      </w:tr>
      <w:tr>
        <w:trPr>
          <w:trHeight w:val="225"/>
        </w:trPr>
        <w:tc>
          <w:tcPr>
            <w:tcW w:w="94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3</w:t>
            </w:r>
          </w:p>
        </w:tc>
        <w:tc>
          <w:tcPr>
            <w:tcW w:w="180" w:type="dxa"/>
            <w:vAlign w:val="bottom"/>
            <w:shd w:val="clear" w:color="auto" w:fill="D5EEEE"/>
          </w:tcPr>
          <w:p>
            <w:pPr>
              <w:spacing w:after="0"/>
              <w:rPr>
                <w:sz w:val="19"/>
                <w:szCs w:val="19"/>
                <w:color w:val="auto"/>
              </w:rPr>
            </w:pPr>
          </w:p>
        </w:tc>
        <w:tc>
          <w:tcPr>
            <w:tcW w:w="432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BlackRock Institutional Trust Company, N.A.</w:t>
            </w:r>
          </w:p>
        </w:tc>
        <w:tc>
          <w:tcPr>
            <w:tcW w:w="20" w:type="dxa"/>
            <w:vAlign w:val="bottom"/>
          </w:tcPr>
          <w:p>
            <w:pPr>
              <w:spacing w:after="0"/>
              <w:rPr>
                <w:sz w:val="19"/>
                <w:szCs w:val="19"/>
                <w:color w:val="auto"/>
              </w:rPr>
            </w:pPr>
          </w:p>
        </w:tc>
        <w:tc>
          <w:tcPr>
            <w:tcW w:w="200" w:type="dxa"/>
            <w:vAlign w:val="bottom"/>
            <w:tcBorders>
              <w:right w:val="single" w:sz="8" w:color="D5EEEE"/>
            </w:tcBorders>
            <w:shd w:val="clear" w:color="auto" w:fill="D5EEEE"/>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2,341,715</w:t>
            </w:r>
          </w:p>
        </w:tc>
        <w:tc>
          <w:tcPr>
            <w:tcW w:w="20" w:type="dxa"/>
            <w:vAlign w:val="bottom"/>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1.85%</w:t>
            </w:r>
          </w:p>
        </w:tc>
      </w:tr>
      <w:tr>
        <w:trPr>
          <w:trHeight w:val="245"/>
        </w:trPr>
        <w:tc>
          <w:tcPr>
            <w:tcW w:w="9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180" w:type="dxa"/>
            <w:vAlign w:val="bottom"/>
            <w:tcBorders>
              <w:bottom w:val="single" w:sz="8" w:color="D5EEEE"/>
            </w:tcBorders>
          </w:tcPr>
          <w:p>
            <w:pPr>
              <w:spacing w:after="0"/>
              <w:rPr>
                <w:sz w:val="21"/>
                <w:szCs w:val="21"/>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Michael Perry</w:t>
            </w:r>
          </w:p>
        </w:tc>
        <w:tc>
          <w:tcPr>
            <w:tcW w:w="20" w:type="dxa"/>
            <w:vAlign w:val="bottom"/>
          </w:tcPr>
          <w:p>
            <w:pPr>
              <w:spacing w:after="0"/>
              <w:rPr>
                <w:sz w:val="21"/>
                <w:szCs w:val="21"/>
                <w:color w:val="auto"/>
              </w:rPr>
            </w:pPr>
          </w:p>
        </w:tc>
        <w:tc>
          <w:tcPr>
            <w:tcW w:w="20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192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1,779,235</w:t>
            </w:r>
          </w:p>
        </w:tc>
        <w:tc>
          <w:tcPr>
            <w:tcW w:w="2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38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1.41%</w:t>
            </w:r>
          </w:p>
        </w:tc>
      </w:tr>
      <w:tr>
        <w:trPr>
          <w:trHeight w:val="225"/>
        </w:trPr>
        <w:tc>
          <w:tcPr>
            <w:tcW w:w="94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5</w:t>
            </w:r>
          </w:p>
        </w:tc>
        <w:tc>
          <w:tcPr>
            <w:tcW w:w="180" w:type="dxa"/>
            <w:vAlign w:val="bottom"/>
            <w:shd w:val="clear" w:color="auto" w:fill="D5EEEE"/>
          </w:tcPr>
          <w:p>
            <w:pPr>
              <w:spacing w:after="0"/>
              <w:rPr>
                <w:sz w:val="19"/>
                <w:szCs w:val="19"/>
                <w:color w:val="auto"/>
              </w:rPr>
            </w:pPr>
          </w:p>
        </w:tc>
        <w:tc>
          <w:tcPr>
            <w:tcW w:w="432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Thorney Investment Group</w:t>
            </w:r>
          </w:p>
        </w:tc>
        <w:tc>
          <w:tcPr>
            <w:tcW w:w="20" w:type="dxa"/>
            <w:vAlign w:val="bottom"/>
          </w:tcPr>
          <w:p>
            <w:pPr>
              <w:spacing w:after="0"/>
              <w:rPr>
                <w:sz w:val="19"/>
                <w:szCs w:val="19"/>
                <w:color w:val="auto"/>
              </w:rPr>
            </w:pPr>
          </w:p>
        </w:tc>
        <w:tc>
          <w:tcPr>
            <w:tcW w:w="200" w:type="dxa"/>
            <w:vAlign w:val="bottom"/>
            <w:tcBorders>
              <w:right w:val="single" w:sz="8" w:color="D5EEEE"/>
            </w:tcBorders>
            <w:shd w:val="clear" w:color="auto" w:fill="D5EEEE"/>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1,500,000</w:t>
            </w:r>
          </w:p>
        </w:tc>
        <w:tc>
          <w:tcPr>
            <w:tcW w:w="20" w:type="dxa"/>
            <w:vAlign w:val="bottom"/>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1.19%</w:t>
            </w:r>
          </w:p>
        </w:tc>
      </w:tr>
      <w:tr>
        <w:trPr>
          <w:trHeight w:val="245"/>
        </w:trPr>
        <w:tc>
          <w:tcPr>
            <w:tcW w:w="9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180" w:type="dxa"/>
            <w:vAlign w:val="bottom"/>
            <w:tcBorders>
              <w:bottom w:val="single" w:sz="8" w:color="D5EEEE"/>
            </w:tcBorders>
          </w:tcPr>
          <w:p>
            <w:pPr>
              <w:spacing w:after="0"/>
              <w:rPr>
                <w:sz w:val="21"/>
                <w:szCs w:val="21"/>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Australian Eagle Asset Management Pty Ltd</w:t>
            </w:r>
          </w:p>
        </w:tc>
        <w:tc>
          <w:tcPr>
            <w:tcW w:w="20" w:type="dxa"/>
            <w:vAlign w:val="bottom"/>
          </w:tcPr>
          <w:p>
            <w:pPr>
              <w:spacing w:after="0"/>
              <w:rPr>
                <w:sz w:val="21"/>
                <w:szCs w:val="21"/>
                <w:color w:val="auto"/>
              </w:rPr>
            </w:pPr>
          </w:p>
        </w:tc>
        <w:tc>
          <w:tcPr>
            <w:tcW w:w="20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192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1,295,235</w:t>
            </w:r>
          </w:p>
        </w:tc>
        <w:tc>
          <w:tcPr>
            <w:tcW w:w="2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38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1.02%</w:t>
            </w:r>
          </w:p>
        </w:tc>
      </w:tr>
      <w:tr>
        <w:trPr>
          <w:trHeight w:val="225"/>
        </w:trPr>
        <w:tc>
          <w:tcPr>
            <w:tcW w:w="94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7</w:t>
            </w:r>
          </w:p>
        </w:tc>
        <w:tc>
          <w:tcPr>
            <w:tcW w:w="180" w:type="dxa"/>
            <w:vAlign w:val="bottom"/>
            <w:shd w:val="clear" w:color="auto" w:fill="D5EEEE"/>
          </w:tcPr>
          <w:p>
            <w:pPr>
              <w:spacing w:after="0"/>
              <w:rPr>
                <w:sz w:val="19"/>
                <w:szCs w:val="19"/>
                <w:color w:val="auto"/>
              </w:rPr>
            </w:pPr>
          </w:p>
        </w:tc>
        <w:tc>
          <w:tcPr>
            <w:tcW w:w="432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Geode Capital Management, L.L.C.</w:t>
            </w:r>
          </w:p>
        </w:tc>
        <w:tc>
          <w:tcPr>
            <w:tcW w:w="20" w:type="dxa"/>
            <w:vAlign w:val="bottom"/>
          </w:tcPr>
          <w:p>
            <w:pPr>
              <w:spacing w:after="0"/>
              <w:rPr>
                <w:sz w:val="19"/>
                <w:szCs w:val="19"/>
                <w:color w:val="auto"/>
              </w:rPr>
            </w:pPr>
          </w:p>
        </w:tc>
        <w:tc>
          <w:tcPr>
            <w:tcW w:w="200" w:type="dxa"/>
            <w:vAlign w:val="bottom"/>
            <w:tcBorders>
              <w:right w:val="single" w:sz="8" w:color="D5EEEE"/>
            </w:tcBorders>
            <w:shd w:val="clear" w:color="auto" w:fill="D5EEEE"/>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1,259,790</w:t>
            </w:r>
          </w:p>
        </w:tc>
        <w:tc>
          <w:tcPr>
            <w:tcW w:w="20" w:type="dxa"/>
            <w:vAlign w:val="bottom"/>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1.00%</w:t>
            </w:r>
          </w:p>
        </w:tc>
      </w:tr>
      <w:tr>
        <w:trPr>
          <w:trHeight w:val="245"/>
        </w:trPr>
        <w:tc>
          <w:tcPr>
            <w:tcW w:w="9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180" w:type="dxa"/>
            <w:vAlign w:val="bottom"/>
            <w:tcBorders>
              <w:bottom w:val="single" w:sz="8" w:color="D5EEEE"/>
            </w:tcBorders>
          </w:tcPr>
          <w:p>
            <w:pPr>
              <w:spacing w:after="0"/>
              <w:rPr>
                <w:sz w:val="21"/>
                <w:szCs w:val="21"/>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Renaissance Technologies LLC</w:t>
            </w:r>
          </w:p>
        </w:tc>
        <w:tc>
          <w:tcPr>
            <w:tcW w:w="20" w:type="dxa"/>
            <w:vAlign w:val="bottom"/>
          </w:tcPr>
          <w:p>
            <w:pPr>
              <w:spacing w:after="0"/>
              <w:rPr>
                <w:sz w:val="21"/>
                <w:szCs w:val="21"/>
                <w:color w:val="auto"/>
              </w:rPr>
            </w:pPr>
          </w:p>
        </w:tc>
        <w:tc>
          <w:tcPr>
            <w:tcW w:w="20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192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1,192,900</w:t>
            </w:r>
          </w:p>
        </w:tc>
        <w:tc>
          <w:tcPr>
            <w:tcW w:w="2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38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0.94%</w:t>
            </w:r>
          </w:p>
        </w:tc>
      </w:tr>
      <w:tr>
        <w:trPr>
          <w:trHeight w:val="225"/>
        </w:trPr>
        <w:tc>
          <w:tcPr>
            <w:tcW w:w="94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9</w:t>
            </w:r>
          </w:p>
        </w:tc>
        <w:tc>
          <w:tcPr>
            <w:tcW w:w="180" w:type="dxa"/>
            <w:vAlign w:val="bottom"/>
            <w:shd w:val="clear" w:color="auto" w:fill="D5EEEE"/>
          </w:tcPr>
          <w:p>
            <w:pPr>
              <w:spacing w:after="0"/>
              <w:rPr>
                <w:sz w:val="19"/>
                <w:szCs w:val="19"/>
                <w:color w:val="auto"/>
              </w:rPr>
            </w:pPr>
          </w:p>
        </w:tc>
        <w:tc>
          <w:tcPr>
            <w:tcW w:w="432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Private Clients of Hub24</w:t>
            </w:r>
          </w:p>
        </w:tc>
        <w:tc>
          <w:tcPr>
            <w:tcW w:w="20" w:type="dxa"/>
            <w:vAlign w:val="bottom"/>
          </w:tcPr>
          <w:p>
            <w:pPr>
              <w:spacing w:after="0"/>
              <w:rPr>
                <w:sz w:val="19"/>
                <w:szCs w:val="19"/>
                <w:color w:val="auto"/>
              </w:rPr>
            </w:pPr>
          </w:p>
        </w:tc>
        <w:tc>
          <w:tcPr>
            <w:tcW w:w="200" w:type="dxa"/>
            <w:vAlign w:val="bottom"/>
            <w:tcBorders>
              <w:right w:val="single" w:sz="8" w:color="D5EEEE"/>
            </w:tcBorders>
            <w:shd w:val="clear" w:color="auto" w:fill="D5EEEE"/>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904,150</w:t>
            </w:r>
          </w:p>
        </w:tc>
        <w:tc>
          <w:tcPr>
            <w:tcW w:w="20" w:type="dxa"/>
            <w:vAlign w:val="bottom"/>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0.71%</w:t>
            </w:r>
          </w:p>
        </w:tc>
      </w:tr>
      <w:tr>
        <w:trPr>
          <w:trHeight w:val="245"/>
        </w:trPr>
        <w:tc>
          <w:tcPr>
            <w:tcW w:w="9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80" w:type="dxa"/>
            <w:vAlign w:val="bottom"/>
            <w:tcBorders>
              <w:bottom w:val="single" w:sz="8" w:color="D5EEEE"/>
            </w:tcBorders>
          </w:tcPr>
          <w:p>
            <w:pPr>
              <w:spacing w:after="0"/>
              <w:rPr>
                <w:sz w:val="21"/>
                <w:szCs w:val="21"/>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Millennium Management LLC</w:t>
            </w:r>
          </w:p>
        </w:tc>
        <w:tc>
          <w:tcPr>
            <w:tcW w:w="20" w:type="dxa"/>
            <w:vAlign w:val="bottom"/>
          </w:tcPr>
          <w:p>
            <w:pPr>
              <w:spacing w:after="0"/>
              <w:rPr>
                <w:sz w:val="21"/>
                <w:szCs w:val="21"/>
                <w:color w:val="auto"/>
              </w:rPr>
            </w:pPr>
          </w:p>
        </w:tc>
        <w:tc>
          <w:tcPr>
            <w:tcW w:w="20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192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901,210</w:t>
            </w:r>
          </w:p>
        </w:tc>
        <w:tc>
          <w:tcPr>
            <w:tcW w:w="2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38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0.71%</w:t>
            </w:r>
          </w:p>
        </w:tc>
      </w:tr>
      <w:tr>
        <w:trPr>
          <w:trHeight w:val="225"/>
        </w:trPr>
        <w:tc>
          <w:tcPr>
            <w:tcW w:w="94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11</w:t>
            </w:r>
          </w:p>
        </w:tc>
        <w:tc>
          <w:tcPr>
            <w:tcW w:w="180" w:type="dxa"/>
            <w:vAlign w:val="bottom"/>
            <w:shd w:val="clear" w:color="auto" w:fill="D5EEEE"/>
          </w:tcPr>
          <w:p>
            <w:pPr>
              <w:spacing w:after="0"/>
              <w:rPr>
                <w:sz w:val="19"/>
                <w:szCs w:val="19"/>
                <w:color w:val="auto"/>
              </w:rPr>
            </w:pPr>
          </w:p>
        </w:tc>
        <w:tc>
          <w:tcPr>
            <w:tcW w:w="432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Norges Bank Investment Management (NBIM)</w:t>
            </w:r>
          </w:p>
        </w:tc>
        <w:tc>
          <w:tcPr>
            <w:tcW w:w="20" w:type="dxa"/>
            <w:vAlign w:val="bottom"/>
          </w:tcPr>
          <w:p>
            <w:pPr>
              <w:spacing w:after="0"/>
              <w:rPr>
                <w:sz w:val="19"/>
                <w:szCs w:val="19"/>
                <w:color w:val="auto"/>
              </w:rPr>
            </w:pPr>
          </w:p>
        </w:tc>
        <w:tc>
          <w:tcPr>
            <w:tcW w:w="200" w:type="dxa"/>
            <w:vAlign w:val="bottom"/>
            <w:tcBorders>
              <w:right w:val="single" w:sz="8" w:color="D5EEEE"/>
            </w:tcBorders>
            <w:shd w:val="clear" w:color="auto" w:fill="D5EEEE"/>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855,815</w:t>
            </w:r>
          </w:p>
        </w:tc>
        <w:tc>
          <w:tcPr>
            <w:tcW w:w="20" w:type="dxa"/>
            <w:vAlign w:val="bottom"/>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0.68%</w:t>
            </w:r>
          </w:p>
        </w:tc>
      </w:tr>
      <w:tr>
        <w:trPr>
          <w:trHeight w:val="245"/>
        </w:trPr>
        <w:tc>
          <w:tcPr>
            <w:tcW w:w="9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80" w:type="dxa"/>
            <w:vAlign w:val="bottom"/>
            <w:tcBorders>
              <w:bottom w:val="single" w:sz="8" w:color="D5EEEE"/>
            </w:tcBorders>
          </w:tcPr>
          <w:p>
            <w:pPr>
              <w:spacing w:after="0"/>
              <w:rPr>
                <w:sz w:val="21"/>
                <w:szCs w:val="21"/>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Polar Asset Management Partners Inc.</w:t>
            </w:r>
          </w:p>
        </w:tc>
        <w:tc>
          <w:tcPr>
            <w:tcW w:w="20" w:type="dxa"/>
            <w:vAlign w:val="bottom"/>
          </w:tcPr>
          <w:p>
            <w:pPr>
              <w:spacing w:after="0"/>
              <w:rPr>
                <w:sz w:val="21"/>
                <w:szCs w:val="21"/>
                <w:color w:val="auto"/>
              </w:rPr>
            </w:pPr>
          </w:p>
        </w:tc>
        <w:tc>
          <w:tcPr>
            <w:tcW w:w="20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192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768,000</w:t>
            </w:r>
          </w:p>
        </w:tc>
        <w:tc>
          <w:tcPr>
            <w:tcW w:w="2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38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0.61%</w:t>
            </w:r>
          </w:p>
        </w:tc>
      </w:tr>
      <w:tr>
        <w:trPr>
          <w:trHeight w:val="227"/>
        </w:trPr>
        <w:tc>
          <w:tcPr>
            <w:tcW w:w="94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13</w:t>
            </w:r>
          </w:p>
        </w:tc>
        <w:tc>
          <w:tcPr>
            <w:tcW w:w="180" w:type="dxa"/>
            <w:vAlign w:val="bottom"/>
            <w:shd w:val="clear" w:color="auto" w:fill="D5EEEE"/>
          </w:tcPr>
          <w:p>
            <w:pPr>
              <w:spacing w:after="0"/>
              <w:rPr>
                <w:sz w:val="19"/>
                <w:szCs w:val="19"/>
                <w:color w:val="auto"/>
              </w:rPr>
            </w:pPr>
          </w:p>
        </w:tc>
        <w:tc>
          <w:tcPr>
            <w:tcW w:w="4320" w:type="dxa"/>
            <w:vAlign w:val="bottom"/>
            <w:shd w:val="clear" w:color="auto" w:fill="D5EEEE"/>
          </w:tcPr>
          <w:p>
            <w:pPr>
              <w:spacing w:after="0" w:line="228" w:lineRule="exact"/>
              <w:rPr>
                <w:sz w:val="20"/>
                <w:szCs w:val="20"/>
                <w:color w:val="auto"/>
              </w:rPr>
            </w:pPr>
            <w:r>
              <w:rPr>
                <w:rFonts w:ascii="Times New Roman" w:cs="Times New Roman" w:eastAsia="Times New Roman" w:hAnsi="Times New Roman"/>
                <w:sz w:val="20"/>
                <w:szCs w:val="20"/>
                <w:color w:val="auto"/>
              </w:rPr>
              <w:t>Columbia Threadneedle Investments (US)</w:t>
            </w:r>
          </w:p>
        </w:tc>
        <w:tc>
          <w:tcPr>
            <w:tcW w:w="20" w:type="dxa"/>
            <w:vAlign w:val="bottom"/>
          </w:tcPr>
          <w:p>
            <w:pPr>
              <w:spacing w:after="0"/>
              <w:rPr>
                <w:sz w:val="19"/>
                <w:szCs w:val="19"/>
                <w:color w:val="auto"/>
              </w:rPr>
            </w:pPr>
          </w:p>
        </w:tc>
        <w:tc>
          <w:tcPr>
            <w:tcW w:w="200" w:type="dxa"/>
            <w:vAlign w:val="bottom"/>
            <w:tcBorders>
              <w:right w:val="single" w:sz="8" w:color="D5EEEE"/>
            </w:tcBorders>
            <w:shd w:val="clear" w:color="auto" w:fill="D5EEEE"/>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shd w:val="clear" w:color="auto" w:fill="D5EEEE"/>
          </w:tcPr>
          <w:p>
            <w:pPr>
              <w:jc w:val="right"/>
              <w:spacing w:after="0" w:line="228" w:lineRule="exact"/>
              <w:rPr>
                <w:sz w:val="20"/>
                <w:szCs w:val="20"/>
                <w:color w:val="auto"/>
              </w:rPr>
            </w:pPr>
            <w:r>
              <w:rPr>
                <w:rFonts w:ascii="Times New Roman" w:cs="Times New Roman" w:eastAsia="Times New Roman" w:hAnsi="Times New Roman"/>
                <w:sz w:val="20"/>
                <w:szCs w:val="20"/>
                <w:color w:val="auto"/>
              </w:rPr>
              <w:t>748,435</w:t>
            </w:r>
          </w:p>
        </w:tc>
        <w:tc>
          <w:tcPr>
            <w:tcW w:w="20" w:type="dxa"/>
            <w:vAlign w:val="bottom"/>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0.59%</w:t>
            </w:r>
          </w:p>
        </w:tc>
      </w:tr>
      <w:tr>
        <w:trPr>
          <w:trHeight w:val="242"/>
        </w:trPr>
        <w:tc>
          <w:tcPr>
            <w:tcW w:w="9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180" w:type="dxa"/>
            <w:vAlign w:val="bottom"/>
            <w:tcBorders>
              <w:bottom w:val="single" w:sz="8" w:color="D5EEEE"/>
            </w:tcBorders>
          </w:tcPr>
          <w:p>
            <w:pPr>
              <w:spacing w:after="0"/>
              <w:rPr>
                <w:sz w:val="21"/>
                <w:szCs w:val="21"/>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XY Capital Limited</w:t>
            </w:r>
          </w:p>
        </w:tc>
        <w:tc>
          <w:tcPr>
            <w:tcW w:w="20" w:type="dxa"/>
            <w:vAlign w:val="bottom"/>
          </w:tcPr>
          <w:p>
            <w:pPr>
              <w:spacing w:after="0"/>
              <w:rPr>
                <w:sz w:val="21"/>
                <w:szCs w:val="21"/>
                <w:color w:val="auto"/>
              </w:rPr>
            </w:pPr>
          </w:p>
        </w:tc>
        <w:tc>
          <w:tcPr>
            <w:tcW w:w="20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192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706,830</w:t>
            </w:r>
          </w:p>
        </w:tc>
        <w:tc>
          <w:tcPr>
            <w:tcW w:w="2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38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0.56%</w:t>
            </w:r>
          </w:p>
        </w:tc>
      </w:tr>
      <w:tr>
        <w:trPr>
          <w:trHeight w:val="227"/>
        </w:trPr>
        <w:tc>
          <w:tcPr>
            <w:tcW w:w="94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15</w:t>
            </w:r>
          </w:p>
        </w:tc>
        <w:tc>
          <w:tcPr>
            <w:tcW w:w="180" w:type="dxa"/>
            <w:vAlign w:val="bottom"/>
            <w:shd w:val="clear" w:color="auto" w:fill="D5EEEE"/>
          </w:tcPr>
          <w:p>
            <w:pPr>
              <w:spacing w:after="0"/>
              <w:rPr>
                <w:sz w:val="19"/>
                <w:szCs w:val="19"/>
                <w:color w:val="auto"/>
              </w:rPr>
            </w:pPr>
          </w:p>
        </w:tc>
        <w:tc>
          <w:tcPr>
            <w:tcW w:w="4320" w:type="dxa"/>
            <w:vAlign w:val="bottom"/>
            <w:shd w:val="clear" w:color="auto" w:fill="D5EEEE"/>
          </w:tcPr>
          <w:p>
            <w:pPr>
              <w:spacing w:after="0" w:line="228" w:lineRule="exact"/>
              <w:rPr>
                <w:sz w:val="20"/>
                <w:szCs w:val="20"/>
                <w:color w:val="auto"/>
              </w:rPr>
            </w:pPr>
            <w:r>
              <w:rPr>
                <w:rFonts w:ascii="Times New Roman" w:cs="Times New Roman" w:eastAsia="Times New Roman" w:hAnsi="Times New Roman"/>
                <w:sz w:val="20"/>
                <w:szCs w:val="20"/>
                <w:color w:val="auto"/>
              </w:rPr>
              <w:t>Goldman Sachs International</w:t>
            </w:r>
          </w:p>
        </w:tc>
        <w:tc>
          <w:tcPr>
            <w:tcW w:w="20" w:type="dxa"/>
            <w:vAlign w:val="bottom"/>
          </w:tcPr>
          <w:p>
            <w:pPr>
              <w:spacing w:after="0"/>
              <w:rPr>
                <w:sz w:val="19"/>
                <w:szCs w:val="19"/>
                <w:color w:val="auto"/>
              </w:rPr>
            </w:pPr>
          </w:p>
        </w:tc>
        <w:tc>
          <w:tcPr>
            <w:tcW w:w="200" w:type="dxa"/>
            <w:vAlign w:val="bottom"/>
            <w:tcBorders>
              <w:right w:val="single" w:sz="8" w:color="D5EEEE"/>
            </w:tcBorders>
            <w:shd w:val="clear" w:color="auto" w:fill="D5EEEE"/>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shd w:val="clear" w:color="auto" w:fill="D5EEEE"/>
          </w:tcPr>
          <w:p>
            <w:pPr>
              <w:jc w:val="right"/>
              <w:spacing w:after="0" w:line="228" w:lineRule="exact"/>
              <w:rPr>
                <w:sz w:val="20"/>
                <w:szCs w:val="20"/>
                <w:color w:val="auto"/>
              </w:rPr>
            </w:pPr>
            <w:r>
              <w:rPr>
                <w:rFonts w:ascii="Times New Roman" w:cs="Times New Roman" w:eastAsia="Times New Roman" w:hAnsi="Times New Roman"/>
                <w:sz w:val="20"/>
                <w:szCs w:val="20"/>
                <w:color w:val="auto"/>
              </w:rPr>
              <w:t>662,080</w:t>
            </w:r>
          </w:p>
        </w:tc>
        <w:tc>
          <w:tcPr>
            <w:tcW w:w="20" w:type="dxa"/>
            <w:vAlign w:val="bottom"/>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0.52%</w:t>
            </w:r>
          </w:p>
        </w:tc>
      </w:tr>
      <w:tr>
        <w:trPr>
          <w:trHeight w:val="245"/>
        </w:trPr>
        <w:tc>
          <w:tcPr>
            <w:tcW w:w="9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180" w:type="dxa"/>
            <w:vAlign w:val="bottom"/>
            <w:tcBorders>
              <w:bottom w:val="single" w:sz="8" w:color="D5EEEE"/>
            </w:tcBorders>
          </w:tcPr>
          <w:p>
            <w:pPr>
              <w:spacing w:after="0"/>
              <w:rPr>
                <w:sz w:val="21"/>
                <w:szCs w:val="21"/>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Arlene Perry</w:t>
            </w:r>
          </w:p>
        </w:tc>
        <w:tc>
          <w:tcPr>
            <w:tcW w:w="20" w:type="dxa"/>
            <w:vAlign w:val="bottom"/>
          </w:tcPr>
          <w:p>
            <w:pPr>
              <w:spacing w:after="0"/>
              <w:rPr>
                <w:sz w:val="21"/>
                <w:szCs w:val="21"/>
                <w:color w:val="auto"/>
              </w:rPr>
            </w:pPr>
          </w:p>
        </w:tc>
        <w:tc>
          <w:tcPr>
            <w:tcW w:w="20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192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631,525</w:t>
            </w:r>
          </w:p>
        </w:tc>
        <w:tc>
          <w:tcPr>
            <w:tcW w:w="2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38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0.50%</w:t>
            </w:r>
          </w:p>
        </w:tc>
      </w:tr>
      <w:tr>
        <w:trPr>
          <w:trHeight w:val="225"/>
        </w:trPr>
        <w:tc>
          <w:tcPr>
            <w:tcW w:w="94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17</w:t>
            </w:r>
          </w:p>
        </w:tc>
        <w:tc>
          <w:tcPr>
            <w:tcW w:w="180" w:type="dxa"/>
            <w:vAlign w:val="bottom"/>
            <w:shd w:val="clear" w:color="auto" w:fill="D5EEEE"/>
          </w:tcPr>
          <w:p>
            <w:pPr>
              <w:spacing w:after="0"/>
              <w:rPr>
                <w:sz w:val="19"/>
                <w:szCs w:val="19"/>
                <w:color w:val="auto"/>
              </w:rPr>
            </w:pPr>
          </w:p>
        </w:tc>
        <w:tc>
          <w:tcPr>
            <w:tcW w:w="432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MLC Navigator Platform</w:t>
            </w:r>
          </w:p>
        </w:tc>
        <w:tc>
          <w:tcPr>
            <w:tcW w:w="20" w:type="dxa"/>
            <w:vAlign w:val="bottom"/>
          </w:tcPr>
          <w:p>
            <w:pPr>
              <w:spacing w:after="0"/>
              <w:rPr>
                <w:sz w:val="19"/>
                <w:szCs w:val="19"/>
                <w:color w:val="auto"/>
              </w:rPr>
            </w:pPr>
          </w:p>
        </w:tc>
        <w:tc>
          <w:tcPr>
            <w:tcW w:w="200" w:type="dxa"/>
            <w:vAlign w:val="bottom"/>
            <w:tcBorders>
              <w:right w:val="single" w:sz="8" w:color="D5EEEE"/>
            </w:tcBorders>
            <w:shd w:val="clear" w:color="auto" w:fill="D5EEEE"/>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592,810</w:t>
            </w:r>
          </w:p>
        </w:tc>
        <w:tc>
          <w:tcPr>
            <w:tcW w:w="20" w:type="dxa"/>
            <w:vAlign w:val="bottom"/>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0.47%</w:t>
            </w:r>
          </w:p>
        </w:tc>
      </w:tr>
      <w:tr>
        <w:trPr>
          <w:trHeight w:val="245"/>
        </w:trPr>
        <w:tc>
          <w:tcPr>
            <w:tcW w:w="9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80" w:type="dxa"/>
            <w:vAlign w:val="bottom"/>
            <w:tcBorders>
              <w:bottom w:val="single" w:sz="8" w:color="D5EEEE"/>
            </w:tcBorders>
          </w:tcPr>
          <w:p>
            <w:pPr>
              <w:spacing w:after="0"/>
              <w:rPr>
                <w:sz w:val="21"/>
                <w:szCs w:val="21"/>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Evan Clucas &amp; Leanne Weston</w:t>
            </w:r>
          </w:p>
        </w:tc>
        <w:tc>
          <w:tcPr>
            <w:tcW w:w="20" w:type="dxa"/>
            <w:vAlign w:val="bottom"/>
          </w:tcPr>
          <w:p>
            <w:pPr>
              <w:spacing w:after="0"/>
              <w:rPr>
                <w:sz w:val="21"/>
                <w:szCs w:val="21"/>
                <w:color w:val="auto"/>
              </w:rPr>
            </w:pPr>
          </w:p>
        </w:tc>
        <w:tc>
          <w:tcPr>
            <w:tcW w:w="20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192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560,535</w:t>
            </w:r>
          </w:p>
        </w:tc>
        <w:tc>
          <w:tcPr>
            <w:tcW w:w="2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38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0.44%</w:t>
            </w:r>
          </w:p>
        </w:tc>
      </w:tr>
      <w:tr>
        <w:trPr>
          <w:trHeight w:val="225"/>
        </w:trPr>
        <w:tc>
          <w:tcPr>
            <w:tcW w:w="94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19</w:t>
            </w:r>
          </w:p>
        </w:tc>
        <w:tc>
          <w:tcPr>
            <w:tcW w:w="180" w:type="dxa"/>
            <w:vAlign w:val="bottom"/>
            <w:shd w:val="clear" w:color="auto" w:fill="D5EEEE"/>
          </w:tcPr>
          <w:p>
            <w:pPr>
              <w:spacing w:after="0"/>
              <w:rPr>
                <w:sz w:val="19"/>
                <w:szCs w:val="19"/>
                <w:color w:val="auto"/>
              </w:rPr>
            </w:pPr>
          </w:p>
        </w:tc>
        <w:tc>
          <w:tcPr>
            <w:tcW w:w="432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Caption Management, LLC</w:t>
            </w:r>
          </w:p>
        </w:tc>
        <w:tc>
          <w:tcPr>
            <w:tcW w:w="20" w:type="dxa"/>
            <w:vAlign w:val="bottom"/>
          </w:tcPr>
          <w:p>
            <w:pPr>
              <w:spacing w:after="0"/>
              <w:rPr>
                <w:sz w:val="19"/>
                <w:szCs w:val="19"/>
                <w:color w:val="auto"/>
              </w:rPr>
            </w:pPr>
          </w:p>
        </w:tc>
        <w:tc>
          <w:tcPr>
            <w:tcW w:w="200" w:type="dxa"/>
            <w:vAlign w:val="bottom"/>
            <w:tcBorders>
              <w:right w:val="single" w:sz="8" w:color="D5EEEE"/>
            </w:tcBorders>
            <w:shd w:val="clear" w:color="auto" w:fill="D5EEEE"/>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534,795</w:t>
            </w:r>
          </w:p>
        </w:tc>
        <w:tc>
          <w:tcPr>
            <w:tcW w:w="20" w:type="dxa"/>
            <w:vAlign w:val="bottom"/>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0.42%</w:t>
            </w:r>
          </w:p>
        </w:tc>
      </w:tr>
      <w:tr>
        <w:trPr>
          <w:trHeight w:val="245"/>
        </w:trPr>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180" w:type="dxa"/>
            <w:vAlign w:val="bottom"/>
          </w:tcPr>
          <w:p>
            <w:pPr>
              <w:spacing w:after="0"/>
              <w:rPr>
                <w:sz w:val="21"/>
                <w:szCs w:val="21"/>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David Deelen</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530,605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0.42%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-3127375</wp:posOffset>
            </wp:positionV>
            <wp:extent cx="6186170" cy="31407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86170" cy="3140710"/>
                    </a:xfrm>
                    <a:prstGeom prst="rect">
                      <a:avLst/>
                    </a:prstGeom>
                    <a:noFill/>
                  </pic:spPr>
                </pic:pic>
              </a:graphicData>
            </a:graphic>
          </wp:anchor>
        </w:drawing>
      </w:r>
    </w:p>
    <w:p>
      <w:pPr>
        <w:spacing w:after="0" w:line="229" w:lineRule="exact"/>
        <w:rPr>
          <w:sz w:val="20"/>
          <w:szCs w:val="20"/>
          <w:color w:val="auto"/>
        </w:rPr>
      </w:pPr>
    </w:p>
    <w:p>
      <w:pPr>
        <w:ind w:left="860" w:right="480" w:hanging="500"/>
        <w:spacing w:after="0" w:line="279" w:lineRule="auto"/>
        <w:tabs>
          <w:tab w:leader="none" w:pos="86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Including shares of common stock represented as though they are held as CDIs (with 5 CDIs representing a beneficial ownership interest in one share of common stock in the Company).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Information</w:t>
      </w:r>
    </w:p>
    <w:p>
      <w:pPr>
        <w:spacing w:after="0" w:line="1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name of our Secretary is Donna Shiroma.</w:t>
      </w:r>
    </w:p>
    <w:p>
      <w:pPr>
        <w:spacing w:after="0" w:line="23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Company’s ASX liaison officer who is responsible for communications with the ASX is Mark Licciardo.</w:t>
      </w:r>
    </w:p>
    <w:p>
      <w:pPr>
        <w:sectPr>
          <w:pgSz w:w="11880" w:h="15480" w:orient="portrait"/>
          <w:cols w:equalWidth="0" w:num="1">
            <w:col w:w="10760"/>
          </w:cols>
          <w:pgMar w:left="540" w:top="888" w:right="580" w:bottom="0" w:gutter="0" w:footer="0" w:header="0"/>
        </w:sectPr>
      </w:pP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54</w:t>
      </w:r>
    </w:p>
    <w:p>
      <w:pPr>
        <w:sectPr>
          <w:pgSz w:w="11880" w:h="15480" w:orient="portrait"/>
          <w:cols w:equalWidth="0" w:num="1">
            <w:col w:w="10760"/>
          </w:cols>
          <w:pgMar w:left="540" w:top="888" w:right="580" w:bottom="0" w:gutter="0" w:footer="0" w:header="0"/>
          <w:type w:val="continuous"/>
        </w:sectPr>
      </w:pPr>
    </w:p>
    <w:bookmarkStart w:id="60" w:name="page61"/>
    <w:bookmarkEnd w:id="60"/>
    <w:p>
      <w:pPr>
        <w:ind w:left="720" w:right="300"/>
        <w:spacing w:after="0" w:line="279" w:lineRule="auto"/>
        <w:rPr>
          <w:sz w:val="20"/>
          <w:szCs w:val="20"/>
          <w:color w:val="auto"/>
        </w:rPr>
      </w:pPr>
      <w:r>
        <w:rPr>
          <w:rFonts w:ascii="Times New Roman" w:cs="Times New Roman" w:eastAsia="Times New Roman" w:hAnsi="Times New Roman"/>
          <w:sz w:val="20"/>
          <w:szCs w:val="20"/>
          <w:color w:val="auto"/>
        </w:rPr>
        <w:t>The complete mailing address, including zip code, of our principal executive office is 28159 Avenue Stanford, Suite 220, Valencia, CA 91355, USA. The telephone number is +1(661) 367-9170.</w:t>
      </w:r>
    </w:p>
    <w:p>
      <w:pPr>
        <w:spacing w:after="0" w:line="167" w:lineRule="exact"/>
        <w:rPr>
          <w:sz w:val="20"/>
          <w:szCs w:val="20"/>
          <w:color w:val="auto"/>
        </w:rPr>
      </w:pPr>
    </w:p>
    <w:p>
      <w:pPr>
        <w:ind w:left="720" w:right="280"/>
        <w:spacing w:after="0" w:line="279" w:lineRule="auto"/>
        <w:rPr>
          <w:sz w:val="20"/>
          <w:szCs w:val="20"/>
          <w:color w:val="auto"/>
        </w:rPr>
      </w:pPr>
      <w:r>
        <w:rPr>
          <w:rFonts w:ascii="Times New Roman" w:cs="Times New Roman" w:eastAsia="Times New Roman" w:hAnsi="Times New Roman"/>
          <w:sz w:val="20"/>
          <w:szCs w:val="20"/>
          <w:color w:val="auto"/>
        </w:rPr>
        <w:t>The address of our registered office in Australia is c/o Acclime Ltd (formerly Merton’s Corporate Services), Level 7, 330 Collins Street, Melbourne VIC 3000, Australia and our telephone number there is +61 3 8689 9997.</w:t>
      </w:r>
    </w:p>
    <w:p>
      <w:pPr>
        <w:spacing w:after="0" w:line="16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Registers of securities are held as follows:</w:t>
      </w:r>
    </w:p>
    <w:p>
      <w:pPr>
        <w:spacing w:after="0" w:line="120" w:lineRule="exact"/>
        <w:rPr>
          <w:sz w:val="20"/>
          <w:szCs w:val="20"/>
          <w:color w:val="auto"/>
        </w:rPr>
      </w:pPr>
    </w:p>
    <w:p>
      <w:pPr>
        <w:ind w:left="1100" w:right="80" w:hanging="365"/>
        <w:spacing w:after="0" w:line="279" w:lineRule="auto"/>
        <w:tabs>
          <w:tab w:leader="none" w:pos="11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CDIs in Australia at Computershare Investor Services Pty Limited, Level 2, 45 St Georges Terrace, Perth WA 6000 Australia, Investor Enquiries +61 8 9323 2000 (within Australia) +61 3 9415 4677 (outside Australia); and</w:t>
      </w:r>
    </w:p>
    <w:p>
      <w:pPr>
        <w:spacing w:after="0" w:line="46" w:lineRule="exact"/>
        <w:rPr>
          <w:rFonts w:ascii="Times New Roman" w:cs="Times New Roman" w:eastAsia="Times New Roman" w:hAnsi="Times New Roman"/>
          <w:sz w:val="20"/>
          <w:szCs w:val="20"/>
          <w:color w:val="auto"/>
        </w:rPr>
      </w:pPr>
    </w:p>
    <w:p>
      <w:pPr>
        <w:ind w:left="1100" w:hanging="365"/>
        <w:spacing w:after="0" w:line="279" w:lineRule="auto"/>
        <w:tabs>
          <w:tab w:leader="none" w:pos="11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common stock in the United States at Computershare Investor Services, 250 Royall Street, Canton, MA 02021 USA, Tel: 866-644-4127.</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Application of funds</w:t>
      </w:r>
    </w:p>
    <w:p>
      <w:pPr>
        <w:spacing w:after="0" w:line="119" w:lineRule="exact"/>
        <w:rPr>
          <w:sz w:val="20"/>
          <w:szCs w:val="20"/>
          <w:color w:val="auto"/>
        </w:rPr>
      </w:pPr>
    </w:p>
    <w:p>
      <w:pPr>
        <w:jc w:val="both"/>
        <w:ind w:right="220" w:firstLine="720"/>
        <w:spacing w:after="0" w:line="279" w:lineRule="auto"/>
        <w:rPr>
          <w:sz w:val="20"/>
          <w:szCs w:val="20"/>
          <w:color w:val="auto"/>
        </w:rPr>
      </w:pPr>
      <w:r>
        <w:rPr>
          <w:rFonts w:ascii="Times New Roman" w:cs="Times New Roman" w:eastAsia="Times New Roman" w:hAnsi="Times New Roman"/>
          <w:sz w:val="20"/>
          <w:szCs w:val="20"/>
          <w:color w:val="auto"/>
        </w:rPr>
        <w:t>The Company advises that it has used the cash and assets in a form readily convertible to cash that it had at the time of the Company’s admission to the Official List of ASX in a way that is consistent with its business objectives.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Directors’ Declaration</w:t>
      </w:r>
    </w:p>
    <w:p>
      <w:pPr>
        <w:spacing w:after="0" w:line="116" w:lineRule="exact"/>
        <w:rPr>
          <w:sz w:val="20"/>
          <w:szCs w:val="20"/>
          <w:color w:val="auto"/>
        </w:rPr>
      </w:pPr>
    </w:p>
    <w:p>
      <w:pPr>
        <w:jc w:val="both"/>
        <w:ind w:right="220" w:firstLine="720"/>
        <w:spacing w:after="0" w:line="253" w:lineRule="auto"/>
        <w:rPr>
          <w:sz w:val="20"/>
          <w:szCs w:val="20"/>
          <w:color w:val="auto"/>
        </w:rPr>
      </w:pPr>
      <w:r>
        <w:rPr>
          <w:rFonts w:ascii="Times New Roman" w:cs="Times New Roman" w:eastAsia="Times New Roman" w:hAnsi="Times New Roman"/>
          <w:sz w:val="20"/>
          <w:szCs w:val="20"/>
          <w:color w:val="auto"/>
        </w:rPr>
        <w:t>As at the date of this Annual Report, the directors confirm that they are of the opinion that there are reasonable grounds to believe that the members of the “extended closed group” identified in Note 19, being the Company and the Australian Subsidiaries that are party to the deed of cross guarantee that is detailed in Note 19, will be able to meet any liabilities to which they are, or may become, subject, by virtue of the deed of cross guarantee.</w:t>
      </w:r>
    </w:p>
    <w:p>
      <w:pPr>
        <w:sectPr>
          <w:pgSz w:w="11880" w:h="15480" w:orient="portrait"/>
          <w:cols w:equalWidth="0" w:num="1">
            <w:col w:w="10720"/>
          </w:cols>
          <w:pgMar w:left="540" w:top="887"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55</w:t>
      </w:r>
    </w:p>
    <w:p>
      <w:pPr>
        <w:sectPr>
          <w:pgSz w:w="11880" w:h="15480" w:orient="portrait"/>
          <w:cols w:equalWidth="0" w:num="1">
            <w:col w:w="10720"/>
          </w:cols>
          <w:pgMar w:left="540" w:top="887" w:right="620" w:bottom="0" w:gutter="0" w:footer="0" w:header="0"/>
          <w:type w:val="continuous"/>
        </w:sectPr>
      </w:pPr>
    </w:p>
    <w:bookmarkStart w:id="61" w:name="page62"/>
    <w:bookmarkEnd w:id="61"/>
    <w:p>
      <w:pPr>
        <w:ind w:right="240"/>
        <w:spacing w:after="0" w:line="412" w:lineRule="auto"/>
        <w:rPr>
          <w:sz w:val="20"/>
          <w:szCs w:val="20"/>
          <w:color w:val="auto"/>
        </w:rPr>
      </w:pPr>
      <w:r>
        <w:rPr>
          <w:rFonts w:ascii="Times New Roman" w:cs="Times New Roman" w:eastAsia="Times New Roman" w:hAnsi="Times New Roman"/>
          <w:sz w:val="20"/>
          <w:szCs w:val="20"/>
          <w:b w:val="1"/>
          <w:bCs w:val="1"/>
          <w:color w:val="auto"/>
        </w:rPr>
        <w:t>Item 13. CERTAIN RELATIONSHIPS AND RELATED PARTY TRANSACTIONS, AND DIRECTOR INDEPENDENCE Transactions with Related Persons</w:t>
      </w:r>
    </w:p>
    <w:p>
      <w:pPr>
        <w:spacing w:after="0" w:line="71"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SEC rules require us to disclose any transaction or currently proposed transaction in which the Company is a participant and in which any related person has or will have a direct or indirect material interest involving the lesser of $120,000 or 1% of the average of the Company’s total assets as of the end of the last two completed fiscal years. A related person is any executive officer, director, nominee for director, or holder of 5% or more of the Company’s Common Stock, or an immediate family member of any of those persons. Since January 1, 2021, the Company has not participated in any such related party transaction.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Independence</w:t>
      </w:r>
    </w:p>
    <w:p>
      <w:pPr>
        <w:spacing w:after="0" w:line="124" w:lineRule="exact"/>
        <w:rPr>
          <w:sz w:val="20"/>
          <w:szCs w:val="20"/>
          <w:color w:val="auto"/>
        </w:rPr>
      </w:pPr>
    </w:p>
    <w:p>
      <w:pPr>
        <w:ind w:right="20" w:firstLine="720"/>
        <w:spacing w:after="0" w:line="236" w:lineRule="auto"/>
        <w:rPr>
          <w:sz w:val="20"/>
          <w:szCs w:val="20"/>
          <w:color w:val="auto"/>
        </w:rPr>
      </w:pPr>
      <w:r>
        <w:rPr>
          <w:rFonts w:ascii="Times New Roman" w:cs="Times New Roman" w:eastAsia="Times New Roman" w:hAnsi="Times New Roman"/>
          <w:sz w:val="20"/>
          <w:szCs w:val="20"/>
          <w:color w:val="auto"/>
        </w:rPr>
        <w:t>The Company’s Board of Directors has determined that all members of our Board of Directors, except Mr. James Corbett, are independent directors for purposes of the rules of Nasdaq and the SEC and for the purposes of the ASX Listing Rules and the ASX Corporate Governance Council’s 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Edition Corporate Governance Principles and Recommendations. In making this determination, our Board of Directors considered the relationships that each non-executive director has with us and all other facts and circumstances that our Board of Directors deemed relevant, including the beneficial ownership of our common stock by each non-executive director and Mr. Corbett’s executive role within AVITA Medical.</w:t>
      </w:r>
    </w:p>
    <w:p>
      <w:pPr>
        <w:spacing w:after="0" w:line="207" w:lineRule="exact"/>
        <w:rPr>
          <w:sz w:val="20"/>
          <w:szCs w:val="20"/>
          <w:color w:val="auto"/>
        </w:rPr>
      </w:pPr>
    </w:p>
    <w:p>
      <w:pPr>
        <w:ind w:right="120" w:firstLine="720"/>
        <w:spacing w:after="0" w:line="281" w:lineRule="auto"/>
        <w:rPr>
          <w:sz w:val="20"/>
          <w:szCs w:val="20"/>
          <w:color w:val="auto"/>
        </w:rPr>
      </w:pPr>
      <w:r>
        <w:rPr>
          <w:rFonts w:ascii="Times New Roman" w:cs="Times New Roman" w:eastAsia="Times New Roman" w:hAnsi="Times New Roman"/>
          <w:sz w:val="20"/>
          <w:szCs w:val="20"/>
          <w:color w:val="auto"/>
        </w:rPr>
        <w:t>The composition and functioning of the Company’s Board of Directors and each of its committees complies with all applicable requirements of Nasdaq and the rules and regulations of the SEC as well as the ASX Listing Rules and the ASX Corporate Governance Council’s 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Edition Corporate Governance Principles and Recommendations.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Principal Accounting Fees and Services</w:t>
      </w:r>
    </w:p>
    <w:p>
      <w:pPr>
        <w:spacing w:after="0" w:line="203" w:lineRule="exact"/>
        <w:rPr>
          <w:sz w:val="20"/>
          <w:szCs w:val="20"/>
          <w:color w:val="auto"/>
        </w:rPr>
      </w:pPr>
    </w:p>
    <w:p>
      <w:pPr>
        <w:ind w:right="20" w:firstLine="720"/>
        <w:spacing w:after="0" w:line="247" w:lineRule="auto"/>
        <w:rPr>
          <w:sz w:val="20"/>
          <w:szCs w:val="20"/>
          <w:color w:val="auto"/>
        </w:rPr>
      </w:pPr>
      <w:r>
        <w:rPr>
          <w:rFonts w:ascii="Times New Roman" w:cs="Times New Roman" w:eastAsia="Times New Roman" w:hAnsi="Times New Roman"/>
          <w:sz w:val="20"/>
          <w:szCs w:val="20"/>
          <w:color w:val="auto"/>
        </w:rPr>
        <w:t>Grant Thornton LLP, the U.S. member of Grant Thornton International Ltd, independent registered public accountants have served as our independent public accountant for the year-ended December 31, 2022, the transition period ended December 31, 2021 and the year-ended June 30, 2021. Grant Thornton Audit Pty Ltd, a subsidiary of Grant Thornton Australia Ltd, independent registered public accountants served as our independent public accountant prior to the Redomiciliation. The following table sets forth fees billed or accrued by our independent registered public accountants during the year-ended December 31, 2022, the transition period ended December 31, 2021 and the year-ended June 30, 2021.</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Transition Period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4"/>
        </w:trPr>
        <w:tc>
          <w:tcPr>
            <w:tcW w:w="39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Year-Ended</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Ended</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Year-Ended</w:t>
            </w:r>
          </w:p>
        </w:tc>
        <w:tc>
          <w:tcPr>
            <w:tcW w:w="100" w:type="dxa"/>
            <w:vAlign w:val="bottom"/>
          </w:tcPr>
          <w:p>
            <w:pPr>
              <w:spacing w:after="0"/>
              <w:rPr>
                <w:sz w:val="22"/>
                <w:szCs w:val="22"/>
                <w:color w:val="auto"/>
              </w:rPr>
            </w:pPr>
          </w:p>
        </w:tc>
      </w:tr>
      <w:tr>
        <w:trPr>
          <w:trHeight w:val="255"/>
        </w:trPr>
        <w:tc>
          <w:tcPr>
            <w:tcW w:w="3980" w:type="dxa"/>
            <w:vAlign w:val="bottom"/>
            <w:tcBorders>
              <w:bottom w:val="single" w:sz="8" w:color="D5EEEE"/>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December 31, 2022</w:t>
            </w:r>
          </w:p>
        </w:tc>
        <w:tc>
          <w:tcPr>
            <w:tcW w:w="120" w:type="dxa"/>
            <w:vAlign w:val="bottom"/>
            <w:tcBorders>
              <w:bottom w:val="single" w:sz="8" w:color="D5EEEE"/>
            </w:tcBorders>
          </w:tcPr>
          <w:p>
            <w:pPr>
              <w:spacing w:after="0"/>
              <w:rPr>
                <w:sz w:val="21"/>
                <w:szCs w:val="21"/>
                <w:color w:val="auto"/>
              </w:rPr>
            </w:pPr>
          </w:p>
        </w:tc>
        <w:tc>
          <w:tcPr>
            <w:tcW w:w="18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December 31, 2021</w:t>
            </w:r>
          </w:p>
        </w:tc>
        <w:tc>
          <w:tcPr>
            <w:tcW w:w="100" w:type="dxa"/>
            <w:vAlign w:val="bottom"/>
            <w:tcBorders>
              <w:bottom w:val="single" w:sz="8" w:color="D5EEEE"/>
            </w:tcBorders>
          </w:tcPr>
          <w:p>
            <w:pPr>
              <w:spacing w:after="0"/>
              <w:rPr>
                <w:sz w:val="21"/>
                <w:szCs w:val="21"/>
                <w:color w:val="auto"/>
              </w:rPr>
            </w:pPr>
          </w:p>
        </w:tc>
        <w:tc>
          <w:tcPr>
            <w:tcW w:w="14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June 30, 2021</w:t>
            </w:r>
          </w:p>
        </w:tc>
        <w:tc>
          <w:tcPr>
            <w:tcW w:w="100" w:type="dxa"/>
            <w:vAlign w:val="bottom"/>
            <w:tcBorders>
              <w:bottom w:val="single" w:sz="8" w:color="D5EEEE"/>
            </w:tcBorders>
          </w:tcPr>
          <w:p>
            <w:pPr>
              <w:spacing w:after="0"/>
              <w:rPr>
                <w:sz w:val="21"/>
                <w:szCs w:val="21"/>
                <w:color w:val="auto"/>
              </w:rPr>
            </w:pPr>
          </w:p>
        </w:tc>
      </w:tr>
      <w:tr>
        <w:trPr>
          <w:trHeight w:val="224"/>
        </w:trPr>
        <w:tc>
          <w:tcPr>
            <w:tcW w:w="3980" w:type="dxa"/>
            <w:vAlign w:val="bottom"/>
            <w:tcBorders>
              <w:top w:val="single" w:sz="8" w:color="D5EEEE"/>
            </w:tcBorders>
            <w:shd w:val="clear" w:color="auto" w:fill="D5EEEE"/>
          </w:tcPr>
          <w:p>
            <w:pPr>
              <w:spacing w:after="0"/>
              <w:rPr>
                <w:sz w:val="19"/>
                <w:szCs w:val="19"/>
                <w:color w:val="auto"/>
              </w:rPr>
            </w:pPr>
          </w:p>
        </w:tc>
        <w:tc>
          <w:tcPr>
            <w:tcW w:w="120" w:type="dxa"/>
            <w:vAlign w:val="bottom"/>
            <w:tcBorders>
              <w:top w:val="single" w:sz="8" w:color="D5EEEE"/>
            </w:tcBorders>
            <w:shd w:val="clear" w:color="auto" w:fill="D5EEEE"/>
          </w:tcPr>
          <w:p>
            <w:pPr>
              <w:spacing w:after="0"/>
              <w:rPr>
                <w:sz w:val="19"/>
                <w:szCs w:val="19"/>
                <w:color w:val="auto"/>
              </w:rPr>
            </w:pPr>
          </w:p>
        </w:tc>
        <w:tc>
          <w:tcPr>
            <w:tcW w:w="1960" w:type="dxa"/>
            <w:vAlign w:val="bottom"/>
            <w:tcBorders>
              <w:top w:val="single" w:sz="8" w:color="D5EEEE"/>
            </w:tcBorders>
            <w:shd w:val="clear" w:color="auto" w:fill="D5EEEE"/>
          </w:tcPr>
          <w:p>
            <w:pPr>
              <w:jc w:val="right"/>
              <w:spacing w:after="0" w:line="224" w:lineRule="exact"/>
              <w:rPr>
                <w:sz w:val="20"/>
                <w:szCs w:val="20"/>
                <w:color w:val="auto"/>
              </w:rPr>
            </w:pPr>
            <w:r>
              <w:rPr>
                <w:rFonts w:ascii="Times New Roman" w:cs="Times New Roman" w:eastAsia="Times New Roman" w:hAnsi="Times New Roman"/>
                <w:sz w:val="20"/>
                <w:szCs w:val="20"/>
                <w:color w:val="auto"/>
              </w:rPr>
              <w:t>605,900</w:t>
            </w:r>
          </w:p>
        </w:tc>
        <w:tc>
          <w:tcPr>
            <w:tcW w:w="20" w:type="dxa"/>
            <w:vAlign w:val="bottom"/>
            <w:tcBorders>
              <w:top w:val="single" w:sz="8" w:color="D5EEEE"/>
            </w:tcBorders>
            <w:shd w:val="clear" w:color="auto" w:fill="D5EEEE"/>
          </w:tcPr>
          <w:p>
            <w:pPr>
              <w:spacing w:after="0"/>
              <w:rPr>
                <w:sz w:val="19"/>
                <w:szCs w:val="19"/>
                <w:color w:val="auto"/>
              </w:rPr>
            </w:pPr>
          </w:p>
        </w:tc>
        <w:tc>
          <w:tcPr>
            <w:tcW w:w="120" w:type="dxa"/>
            <w:vAlign w:val="bottom"/>
            <w:tcBorders>
              <w:top w:val="single" w:sz="8" w:color="D5EEEE"/>
              <w:right w:val="single" w:sz="8" w:color="D5EEEE"/>
            </w:tcBorders>
            <w:shd w:val="clear" w:color="auto" w:fill="D5EEEE"/>
          </w:tcPr>
          <w:p>
            <w:pPr>
              <w:spacing w:after="0"/>
              <w:rPr>
                <w:sz w:val="19"/>
                <w:szCs w:val="19"/>
                <w:color w:val="auto"/>
              </w:rPr>
            </w:pPr>
          </w:p>
        </w:tc>
        <w:tc>
          <w:tcPr>
            <w:tcW w:w="180" w:type="dxa"/>
            <w:vAlign w:val="bottom"/>
            <w:tcBorders>
              <w:top w:val="single" w:sz="8" w:color="D5EEEE"/>
            </w:tcBorders>
          </w:tcPr>
          <w:p>
            <w:pPr>
              <w:spacing w:after="0"/>
              <w:rPr>
                <w:sz w:val="19"/>
                <w:szCs w:val="19"/>
                <w:color w:val="auto"/>
              </w:rPr>
            </w:pPr>
          </w:p>
        </w:tc>
        <w:tc>
          <w:tcPr>
            <w:tcW w:w="20" w:type="dxa"/>
            <w:vAlign w:val="bottom"/>
            <w:tcBorders>
              <w:top w:val="single" w:sz="8" w:color="D5EEEE"/>
            </w:tcBorders>
          </w:tcPr>
          <w:p>
            <w:pPr>
              <w:spacing w:after="0"/>
              <w:rPr>
                <w:sz w:val="19"/>
                <w:szCs w:val="19"/>
                <w:color w:val="auto"/>
              </w:rPr>
            </w:pPr>
          </w:p>
        </w:tc>
        <w:tc>
          <w:tcPr>
            <w:tcW w:w="100" w:type="dxa"/>
            <w:vAlign w:val="bottom"/>
            <w:tcBorders>
              <w:top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1960" w:type="dxa"/>
            <w:vAlign w:val="bottom"/>
            <w:tcBorders>
              <w:top w:val="single" w:sz="8" w:color="D5EEEE"/>
            </w:tcBorders>
            <w:shd w:val="clear" w:color="auto" w:fill="D5EEEE"/>
          </w:tcPr>
          <w:p>
            <w:pPr>
              <w:jc w:val="right"/>
              <w:spacing w:after="0" w:line="224" w:lineRule="exact"/>
              <w:rPr>
                <w:sz w:val="20"/>
                <w:szCs w:val="20"/>
                <w:color w:val="auto"/>
              </w:rPr>
            </w:pPr>
            <w:r>
              <w:rPr>
                <w:rFonts w:ascii="Times New Roman" w:cs="Times New Roman" w:eastAsia="Times New Roman" w:hAnsi="Times New Roman"/>
                <w:sz w:val="20"/>
                <w:szCs w:val="20"/>
                <w:color w:val="auto"/>
              </w:rPr>
              <w:t>400,000</w:t>
            </w:r>
          </w:p>
        </w:tc>
        <w:tc>
          <w:tcPr>
            <w:tcW w:w="20" w:type="dxa"/>
            <w:vAlign w:val="bottom"/>
            <w:tcBorders>
              <w:top w:val="single" w:sz="8" w:color="D5EEEE"/>
            </w:tcBorders>
            <w:shd w:val="clear" w:color="auto" w:fill="D5EEEE"/>
          </w:tcPr>
          <w:p>
            <w:pPr>
              <w:spacing w:after="0"/>
              <w:rPr>
                <w:sz w:val="19"/>
                <w:szCs w:val="19"/>
                <w:color w:val="auto"/>
              </w:rPr>
            </w:pPr>
          </w:p>
        </w:tc>
        <w:tc>
          <w:tcPr>
            <w:tcW w:w="100" w:type="dxa"/>
            <w:vAlign w:val="bottom"/>
            <w:tcBorders>
              <w:top w:val="single" w:sz="8" w:color="D5EEEE"/>
            </w:tcBorders>
            <w:shd w:val="clear" w:color="auto" w:fill="D5EEEE"/>
          </w:tcPr>
          <w:p>
            <w:pPr>
              <w:spacing w:after="0"/>
              <w:rPr>
                <w:sz w:val="19"/>
                <w:szCs w:val="19"/>
                <w:color w:val="auto"/>
              </w:rPr>
            </w:pPr>
          </w:p>
        </w:tc>
        <w:tc>
          <w:tcPr>
            <w:tcW w:w="140" w:type="dxa"/>
            <w:vAlign w:val="bottom"/>
            <w:tcBorders>
              <w:top w:val="single" w:sz="8" w:color="D5EEEE"/>
            </w:tcBorders>
          </w:tcPr>
          <w:p>
            <w:pPr>
              <w:spacing w:after="0"/>
              <w:rPr>
                <w:sz w:val="19"/>
                <w:szCs w:val="19"/>
                <w:color w:val="auto"/>
              </w:rPr>
            </w:pPr>
          </w:p>
        </w:tc>
        <w:tc>
          <w:tcPr>
            <w:tcW w:w="20" w:type="dxa"/>
            <w:vAlign w:val="bottom"/>
            <w:tcBorders>
              <w:top w:val="single" w:sz="8" w:color="D5EEEE"/>
            </w:tcBorders>
          </w:tcPr>
          <w:p>
            <w:pPr>
              <w:spacing w:after="0"/>
              <w:rPr>
                <w:sz w:val="19"/>
                <w:szCs w:val="19"/>
                <w:color w:val="auto"/>
              </w:rPr>
            </w:pPr>
          </w:p>
        </w:tc>
        <w:tc>
          <w:tcPr>
            <w:tcW w:w="100" w:type="dxa"/>
            <w:vAlign w:val="bottom"/>
            <w:tcBorders>
              <w:top w:val="single" w:sz="8" w:color="D5EEEE"/>
            </w:tcBorders>
            <w:shd w:val="clear" w:color="auto" w:fill="D5EEEE"/>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40" w:type="dxa"/>
            <w:vAlign w:val="bottom"/>
            <w:tcBorders>
              <w:top w:val="single" w:sz="8" w:color="D5EEEE"/>
              <w:right w:val="single" w:sz="8" w:color="D5EEEE"/>
            </w:tcBorders>
          </w:tcPr>
          <w:p>
            <w:pPr>
              <w:spacing w:after="0"/>
              <w:rPr>
                <w:sz w:val="19"/>
                <w:szCs w:val="19"/>
                <w:color w:val="auto"/>
              </w:rPr>
            </w:pPr>
          </w:p>
        </w:tc>
        <w:tc>
          <w:tcPr>
            <w:tcW w:w="1800" w:type="dxa"/>
            <w:vAlign w:val="bottom"/>
            <w:tcBorders>
              <w:top w:val="single" w:sz="8" w:color="D5EEEE"/>
            </w:tcBorders>
            <w:shd w:val="clear" w:color="auto" w:fill="D5EEEE"/>
          </w:tcPr>
          <w:p>
            <w:pPr>
              <w:jc w:val="right"/>
              <w:spacing w:after="0" w:line="224" w:lineRule="exact"/>
              <w:rPr>
                <w:sz w:val="20"/>
                <w:szCs w:val="20"/>
                <w:color w:val="auto"/>
              </w:rPr>
            </w:pPr>
            <w:r>
              <w:rPr>
                <w:rFonts w:ascii="Times New Roman" w:cs="Times New Roman" w:eastAsia="Times New Roman" w:hAnsi="Times New Roman"/>
                <w:sz w:val="20"/>
                <w:szCs w:val="20"/>
                <w:color w:val="auto"/>
              </w:rPr>
              <w:t>1,038,64</w:t>
            </w:r>
          </w:p>
        </w:tc>
        <w:tc>
          <w:tcPr>
            <w:tcW w:w="20" w:type="dxa"/>
            <w:vAlign w:val="bottom"/>
            <w:tcBorders>
              <w:top w:val="single" w:sz="8" w:color="D5EEEE"/>
            </w:tcBorders>
            <w:shd w:val="clear" w:color="auto" w:fill="D5EEEE"/>
          </w:tcPr>
          <w:p>
            <w:pPr>
              <w:spacing w:after="0"/>
              <w:rPr>
                <w:sz w:val="19"/>
                <w:szCs w:val="19"/>
                <w:color w:val="auto"/>
              </w:rPr>
            </w:pPr>
          </w:p>
        </w:tc>
        <w:tc>
          <w:tcPr>
            <w:tcW w:w="100" w:type="dxa"/>
            <w:vAlign w:val="bottom"/>
            <w:tcBorders>
              <w:top w:val="single" w:sz="8" w:color="D5EEEE"/>
            </w:tcBorders>
            <w:shd w:val="clear" w:color="auto" w:fill="D5EEEE"/>
          </w:tcPr>
          <w:p>
            <w:pPr>
              <w:spacing w:after="0"/>
              <w:rPr>
                <w:sz w:val="19"/>
                <w:szCs w:val="19"/>
                <w:color w:val="auto"/>
              </w:rPr>
            </w:pPr>
          </w:p>
        </w:tc>
      </w:tr>
      <w:tr>
        <w:trPr>
          <w:trHeight w:val="231"/>
        </w:trPr>
        <w:tc>
          <w:tcPr>
            <w:tcW w:w="3980" w:type="dxa"/>
            <w:vAlign w:val="bottom"/>
            <w:tcBorders>
              <w:bottom w:val="single" w:sz="8" w:color="D5EEEE"/>
            </w:tcBorders>
          </w:tcPr>
          <w:p>
            <w:pPr>
              <w:spacing w:after="0"/>
              <w:rPr>
                <w:sz w:val="20"/>
                <w:szCs w:val="20"/>
                <w:color w:val="auto"/>
              </w:rPr>
            </w:pPr>
          </w:p>
        </w:tc>
        <w:tc>
          <w:tcPr>
            <w:tcW w:w="120" w:type="dxa"/>
            <w:vAlign w:val="bottom"/>
            <w:tcBorders>
              <w:bottom w:val="single" w:sz="8" w:color="D5EEEE"/>
            </w:tcBorders>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20" w:type="dxa"/>
            <w:vAlign w:val="bottom"/>
            <w:tcBorders>
              <w:bottom w:val="single" w:sz="8" w:color="D5EEEE"/>
            </w:tcBorders>
          </w:tcPr>
          <w:p>
            <w:pPr>
              <w:spacing w:after="0"/>
              <w:rPr>
                <w:sz w:val="20"/>
                <w:szCs w:val="20"/>
                <w:color w:val="auto"/>
              </w:rPr>
            </w:pPr>
          </w:p>
        </w:tc>
        <w:tc>
          <w:tcPr>
            <w:tcW w:w="18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196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14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40" w:type="dxa"/>
            <w:vAlign w:val="bottom"/>
            <w:tcBorders>
              <w:bottom w:val="single" w:sz="8" w:color="D5EEEE"/>
            </w:tcBorders>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25,84</w:t>
            </w:r>
          </w:p>
        </w:tc>
        <w:tc>
          <w:tcPr>
            <w:tcW w:w="20" w:type="dxa"/>
            <w:vAlign w:val="bottom"/>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r>
      <w:tr>
        <w:trPr>
          <w:trHeight w:val="242"/>
        </w:trPr>
        <w:tc>
          <w:tcPr>
            <w:tcW w:w="398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9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46,832</w:t>
            </w:r>
          </w:p>
        </w:tc>
        <w:tc>
          <w:tcPr>
            <w:tcW w:w="20" w:type="dxa"/>
            <w:vAlign w:val="bottom"/>
          </w:tcPr>
          <w:p>
            <w:pPr>
              <w:spacing w:after="0"/>
              <w:rPr>
                <w:sz w:val="21"/>
                <w:szCs w:val="21"/>
                <w:color w:val="auto"/>
              </w:rPr>
            </w:pPr>
          </w:p>
        </w:tc>
        <w:tc>
          <w:tcPr>
            <w:tcW w:w="120" w:type="dxa"/>
            <w:vAlign w:val="bottom"/>
            <w:tcBorders>
              <w:right w:val="single" w:sz="8" w:color="D5EEEE"/>
            </w:tcBorders>
            <w:shd w:val="clear" w:color="auto" w:fill="D5EEEE"/>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44,698</w:t>
            </w:r>
          </w:p>
        </w:tc>
        <w:tc>
          <w:tcPr>
            <w:tcW w:w="20" w:type="dxa"/>
            <w:vAlign w:val="bottom"/>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Borders>
              <w:right w:val="single" w:sz="8" w:color="D5EEEE"/>
            </w:tcBorders>
          </w:tcPr>
          <w:p>
            <w:pPr>
              <w:spacing w:after="0"/>
              <w:rPr>
                <w:sz w:val="21"/>
                <w:szCs w:val="21"/>
                <w:color w:val="auto"/>
              </w:rPr>
            </w:pPr>
          </w:p>
        </w:tc>
        <w:tc>
          <w:tcPr>
            <w:tcW w:w="1800" w:type="dxa"/>
            <w:vAlign w:val="bottom"/>
            <w:shd w:val="clear" w:color="auto" w:fill="D5EEE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shd w:val="clear" w:color="auto" w:fill="D5EEEE"/>
          </w:tcPr>
          <w:p>
            <w:pPr>
              <w:spacing w:after="0"/>
              <w:rPr>
                <w:sz w:val="21"/>
                <w:szCs w:val="21"/>
                <w:color w:val="auto"/>
              </w:rPr>
            </w:pPr>
          </w:p>
        </w:tc>
      </w:tr>
      <w:tr>
        <w:trPr>
          <w:trHeight w:val="248"/>
        </w:trPr>
        <w:tc>
          <w:tcPr>
            <w:tcW w:w="39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87,281</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147,222</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14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126,92</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2"/>
        </w:trPr>
        <w:tc>
          <w:tcPr>
            <w:tcW w:w="3980" w:type="dxa"/>
            <w:vAlign w:val="bottom"/>
            <w:tcBorders>
              <w:top w:val="single" w:sz="8" w:color="D5EEEE"/>
            </w:tcBorders>
            <w:shd w:val="clear" w:color="auto" w:fill="D5EEEE"/>
          </w:tcPr>
          <w:p>
            <w:pPr>
              <w:spacing w:after="0"/>
              <w:rPr>
                <w:sz w:val="18"/>
                <w:szCs w:val="18"/>
                <w:color w:val="auto"/>
              </w:rPr>
            </w:pPr>
          </w:p>
        </w:tc>
        <w:tc>
          <w:tcPr>
            <w:tcW w:w="120" w:type="dxa"/>
            <w:vAlign w:val="bottom"/>
            <w:tcBorders>
              <w:top w:val="single" w:sz="8" w:color="D5EEEE"/>
            </w:tcBorders>
            <w:shd w:val="clear" w:color="auto" w:fill="D5EEEE"/>
          </w:tcPr>
          <w:p>
            <w:pPr>
              <w:spacing w:after="0"/>
              <w:rPr>
                <w:sz w:val="18"/>
                <w:szCs w:val="18"/>
                <w:color w:val="auto"/>
              </w:rPr>
            </w:pPr>
          </w:p>
        </w:tc>
        <w:tc>
          <w:tcPr>
            <w:tcW w:w="1960" w:type="dxa"/>
            <w:vAlign w:val="bottom"/>
            <w:tcBorders>
              <w:top w:val="single" w:sz="8" w:color="D5EEEE"/>
            </w:tcBorders>
            <w:shd w:val="clear" w:color="auto" w:fill="D5EEEE"/>
          </w:tcPr>
          <w:p>
            <w:pPr>
              <w:jc w:val="right"/>
              <w:spacing w:after="0" w:line="212" w:lineRule="exact"/>
              <w:rPr>
                <w:sz w:val="20"/>
                <w:szCs w:val="20"/>
                <w:color w:val="auto"/>
              </w:rPr>
            </w:pPr>
            <w:r>
              <w:rPr>
                <w:rFonts w:ascii="Times New Roman" w:cs="Times New Roman" w:eastAsia="Times New Roman" w:hAnsi="Times New Roman"/>
                <w:sz w:val="20"/>
                <w:szCs w:val="20"/>
                <w:color w:val="auto"/>
              </w:rPr>
              <w:t>740,013</w:t>
            </w:r>
          </w:p>
        </w:tc>
        <w:tc>
          <w:tcPr>
            <w:tcW w:w="20" w:type="dxa"/>
            <w:vAlign w:val="bottom"/>
            <w:tcBorders>
              <w:top w:val="single" w:sz="8" w:color="D5EEEE"/>
            </w:tcBorders>
            <w:shd w:val="clear" w:color="auto" w:fill="D5EEEE"/>
          </w:tcPr>
          <w:p>
            <w:pPr>
              <w:spacing w:after="0"/>
              <w:rPr>
                <w:sz w:val="18"/>
                <w:szCs w:val="18"/>
                <w:color w:val="auto"/>
              </w:rPr>
            </w:pPr>
          </w:p>
        </w:tc>
        <w:tc>
          <w:tcPr>
            <w:tcW w:w="120" w:type="dxa"/>
            <w:vAlign w:val="bottom"/>
            <w:tcBorders>
              <w:top w:val="single" w:sz="8" w:color="D5EEEE"/>
              <w:right w:val="single" w:sz="8" w:color="D5EEEE"/>
            </w:tcBorders>
            <w:shd w:val="clear" w:color="auto" w:fill="D5EEEE"/>
          </w:tcPr>
          <w:p>
            <w:pPr>
              <w:spacing w:after="0"/>
              <w:rPr>
                <w:sz w:val="18"/>
                <w:szCs w:val="18"/>
                <w:color w:val="auto"/>
              </w:rPr>
            </w:pPr>
          </w:p>
        </w:tc>
        <w:tc>
          <w:tcPr>
            <w:tcW w:w="180" w:type="dxa"/>
            <w:vAlign w:val="bottom"/>
            <w:tcBorders>
              <w:top w:val="single" w:sz="8" w:color="D5EEEE"/>
            </w:tcBorders>
          </w:tcPr>
          <w:p>
            <w:pPr>
              <w:spacing w:after="0"/>
              <w:rPr>
                <w:sz w:val="18"/>
                <w:szCs w:val="18"/>
                <w:color w:val="auto"/>
              </w:rPr>
            </w:pPr>
          </w:p>
        </w:tc>
        <w:tc>
          <w:tcPr>
            <w:tcW w:w="20" w:type="dxa"/>
            <w:vAlign w:val="bottom"/>
            <w:tcBorders>
              <w:top w:val="single" w:sz="8" w:color="D5EEEE"/>
              <w:bottom w:val="single" w:sz="8" w:color="auto"/>
            </w:tcBorders>
          </w:tcPr>
          <w:p>
            <w:pPr>
              <w:spacing w:after="0"/>
              <w:rPr>
                <w:sz w:val="18"/>
                <w:szCs w:val="18"/>
                <w:color w:val="auto"/>
              </w:rPr>
            </w:pPr>
          </w:p>
        </w:tc>
        <w:tc>
          <w:tcPr>
            <w:tcW w:w="100" w:type="dxa"/>
            <w:vAlign w:val="bottom"/>
            <w:tcBorders>
              <w:top w:val="single" w:sz="8" w:color="D5EEEE"/>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1960" w:type="dxa"/>
            <w:vAlign w:val="bottom"/>
            <w:tcBorders>
              <w:top w:val="single" w:sz="8" w:color="D5EEEE"/>
            </w:tcBorders>
            <w:shd w:val="clear" w:color="auto" w:fill="D5EEEE"/>
          </w:tcPr>
          <w:p>
            <w:pPr>
              <w:jc w:val="right"/>
              <w:spacing w:after="0" w:line="212" w:lineRule="exact"/>
              <w:rPr>
                <w:sz w:val="20"/>
                <w:szCs w:val="20"/>
                <w:color w:val="auto"/>
              </w:rPr>
            </w:pPr>
            <w:r>
              <w:rPr>
                <w:rFonts w:ascii="Times New Roman" w:cs="Times New Roman" w:eastAsia="Times New Roman" w:hAnsi="Times New Roman"/>
                <w:sz w:val="20"/>
                <w:szCs w:val="20"/>
                <w:color w:val="auto"/>
              </w:rPr>
              <w:t>591,920</w:t>
            </w:r>
          </w:p>
        </w:tc>
        <w:tc>
          <w:tcPr>
            <w:tcW w:w="2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D5EEEE"/>
            </w:tcBorders>
            <w:shd w:val="clear" w:color="auto" w:fill="D5EEEE"/>
          </w:tcPr>
          <w:p>
            <w:pPr>
              <w:spacing w:after="0"/>
              <w:rPr>
                <w:sz w:val="18"/>
                <w:szCs w:val="18"/>
                <w:color w:val="auto"/>
              </w:rPr>
            </w:pPr>
          </w:p>
        </w:tc>
        <w:tc>
          <w:tcPr>
            <w:tcW w:w="140" w:type="dxa"/>
            <w:vAlign w:val="bottom"/>
            <w:tcBorders>
              <w:top w:val="single" w:sz="8" w:color="D5EEEE"/>
            </w:tcBorders>
          </w:tcPr>
          <w:p>
            <w:pPr>
              <w:spacing w:after="0"/>
              <w:rPr>
                <w:sz w:val="18"/>
                <w:szCs w:val="18"/>
                <w:color w:val="auto"/>
              </w:rPr>
            </w:pPr>
          </w:p>
        </w:tc>
        <w:tc>
          <w:tcPr>
            <w:tcW w:w="20" w:type="dxa"/>
            <w:vAlign w:val="bottom"/>
            <w:tcBorders>
              <w:top w:val="single" w:sz="8" w:color="D5EEEE"/>
              <w:bottom w:val="single" w:sz="8" w:color="auto"/>
            </w:tcBorders>
          </w:tcPr>
          <w:p>
            <w:pPr>
              <w:spacing w:after="0"/>
              <w:rPr>
                <w:sz w:val="18"/>
                <w:szCs w:val="18"/>
                <w:color w:val="auto"/>
              </w:rPr>
            </w:pPr>
          </w:p>
        </w:tc>
        <w:tc>
          <w:tcPr>
            <w:tcW w:w="100" w:type="dxa"/>
            <w:vAlign w:val="bottom"/>
            <w:tcBorders>
              <w:top w:val="single" w:sz="8" w:color="D5EEEE"/>
              <w:bottom w:val="single" w:sz="8" w:color="auto"/>
            </w:tcBorders>
            <w:shd w:val="clear" w:color="auto" w:fill="D5EEEE"/>
          </w:tcPr>
          <w:p>
            <w:pPr>
              <w:jc w:val="right"/>
              <w:spacing w:after="0" w:line="212"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40" w:type="dxa"/>
            <w:vAlign w:val="bottom"/>
            <w:tcBorders>
              <w:top w:val="single" w:sz="8" w:color="D5EEEE"/>
              <w:bottom w:val="single" w:sz="8" w:color="auto"/>
              <w:right w:val="single" w:sz="8" w:color="D5EEEE"/>
            </w:tcBorders>
          </w:tcPr>
          <w:p>
            <w:pPr>
              <w:spacing w:after="0"/>
              <w:rPr>
                <w:sz w:val="18"/>
                <w:szCs w:val="18"/>
                <w:color w:val="auto"/>
              </w:rPr>
            </w:pPr>
          </w:p>
        </w:tc>
        <w:tc>
          <w:tcPr>
            <w:tcW w:w="1800" w:type="dxa"/>
            <w:vAlign w:val="bottom"/>
            <w:tcBorders>
              <w:top w:val="single" w:sz="8" w:color="D5EEEE"/>
              <w:bottom w:val="single" w:sz="8" w:color="auto"/>
            </w:tcBorders>
            <w:shd w:val="clear" w:color="auto" w:fill="D5EEEE"/>
          </w:tcPr>
          <w:p>
            <w:pPr>
              <w:jc w:val="right"/>
              <w:spacing w:after="0" w:line="212" w:lineRule="exact"/>
              <w:rPr>
                <w:sz w:val="20"/>
                <w:szCs w:val="20"/>
                <w:color w:val="auto"/>
              </w:rPr>
            </w:pPr>
            <w:r>
              <w:rPr>
                <w:rFonts w:ascii="Times New Roman" w:cs="Times New Roman" w:eastAsia="Times New Roman" w:hAnsi="Times New Roman"/>
                <w:sz w:val="20"/>
                <w:szCs w:val="20"/>
                <w:color w:val="auto"/>
              </w:rPr>
              <w:t>1,191,41</w:t>
            </w:r>
          </w:p>
        </w:tc>
        <w:tc>
          <w:tcPr>
            <w:tcW w:w="20" w:type="dxa"/>
            <w:vAlign w:val="bottom"/>
            <w:tcBorders>
              <w:top w:val="single" w:sz="8" w:color="D5EEEE"/>
              <w:bottom w:val="single" w:sz="8" w:color="auto"/>
            </w:tcBorders>
            <w:shd w:val="clear" w:color="auto" w:fill="D5EEEE"/>
          </w:tcPr>
          <w:p>
            <w:pPr>
              <w:spacing w:after="0"/>
              <w:rPr>
                <w:sz w:val="18"/>
                <w:szCs w:val="18"/>
                <w:color w:val="auto"/>
              </w:rPr>
            </w:pPr>
          </w:p>
        </w:tc>
        <w:tc>
          <w:tcPr>
            <w:tcW w:w="100" w:type="dxa"/>
            <w:vAlign w:val="bottom"/>
            <w:tcBorders>
              <w:top w:val="single" w:sz="8" w:color="D5EEEE"/>
            </w:tcBorders>
            <w:shd w:val="clear" w:color="auto" w:fill="D5EEEE"/>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2519045</wp:posOffset>
            </wp:positionH>
            <wp:positionV relativeFrom="paragraph">
              <wp:posOffset>-965200</wp:posOffset>
            </wp:positionV>
            <wp:extent cx="1538605"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38605" cy="37465"/>
                    </a:xfrm>
                    <a:prstGeom prst="rect">
                      <a:avLst/>
                    </a:prstGeom>
                    <a:noFill/>
                  </pic:spPr>
                </pic:pic>
              </a:graphicData>
            </a:graphic>
          </wp:anchor>
        </w:drawing>
        <w:drawing>
          <wp:anchor simplePos="0" relativeHeight="251657728" behindDoc="1" locked="0" layoutInCell="0" allowOverlap="1">
            <wp:simplePos x="0" y="0"/>
            <wp:positionH relativeFrom="column">
              <wp:posOffset>5537200</wp:posOffset>
            </wp:positionH>
            <wp:positionV relativeFrom="paragraph">
              <wp:posOffset>-965200</wp:posOffset>
            </wp:positionV>
            <wp:extent cx="1334770"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34770" cy="3746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-806450</wp:posOffset>
            </wp:positionV>
            <wp:extent cx="6884670" cy="8382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84670" cy="838200"/>
                    </a:xfrm>
                    <a:prstGeom prst="rect">
                      <a:avLst/>
                    </a:prstGeom>
                    <a:noFill/>
                  </pic:spPr>
                </pic:pic>
              </a:graphicData>
            </a:graphic>
          </wp:anchor>
        </w:drawing>
      </w:r>
    </w:p>
    <w:p>
      <w:pPr>
        <w:spacing w:after="0" w:line="219" w:lineRule="exact"/>
        <w:rPr>
          <w:sz w:val="20"/>
          <w:szCs w:val="20"/>
          <w:color w:val="auto"/>
        </w:rPr>
      </w:pPr>
    </w:p>
    <w:p>
      <w:pPr>
        <w:jc w:val="both"/>
        <w:ind w:left="480" w:right="200" w:hanging="480"/>
        <w:spacing w:after="0" w:line="239" w:lineRule="auto"/>
        <w:tabs>
          <w:tab w:leader="none" w:pos="4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Audit fees consist of fees for professional services by the principal accountant for the audit of the registrant’s annual financial statements and review of financial statements included in the registrant’s Form 10-K or services that are normally provided by the accountant in connection with statutory and regulatory filings or engagements.</w:t>
      </w:r>
    </w:p>
    <w:p>
      <w:pPr>
        <w:spacing w:after="0" w:line="1" w:lineRule="exact"/>
        <w:rPr>
          <w:rFonts w:ascii="Times New Roman" w:cs="Times New Roman" w:eastAsia="Times New Roman" w:hAnsi="Times New Roman"/>
          <w:sz w:val="20"/>
          <w:szCs w:val="20"/>
          <w:color w:val="auto"/>
        </w:rPr>
      </w:pPr>
    </w:p>
    <w:p>
      <w:pPr>
        <w:ind w:left="480" w:right="160" w:hanging="480"/>
        <w:spacing w:after="0" w:line="279" w:lineRule="auto"/>
        <w:tabs>
          <w:tab w:leader="none" w:pos="4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 fees include the aggregate fees billed in each of the last two fiscal years for professional services rendered by the principal accountant for tax compliance, tax advice, and tax planning.</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Pre-Approval Policies and Procedures</w:t>
      </w:r>
    </w:p>
    <w:p>
      <w:pPr>
        <w:spacing w:after="0" w:line="124" w:lineRule="exact"/>
        <w:rPr>
          <w:sz w:val="20"/>
          <w:szCs w:val="20"/>
          <w:color w:val="auto"/>
        </w:rPr>
      </w:pPr>
    </w:p>
    <w:p>
      <w:pPr>
        <w:ind w:firstLine="720"/>
        <w:spacing w:after="0" w:line="247" w:lineRule="auto"/>
        <w:rPr>
          <w:sz w:val="20"/>
          <w:szCs w:val="20"/>
          <w:color w:val="auto"/>
        </w:rPr>
      </w:pPr>
      <w:r>
        <w:rPr>
          <w:rFonts w:ascii="Times New Roman" w:cs="Times New Roman" w:eastAsia="Times New Roman" w:hAnsi="Times New Roman"/>
          <w:sz w:val="20"/>
          <w:szCs w:val="20"/>
          <w:color w:val="auto"/>
        </w:rPr>
        <w:t>The Audit Committee’s policy is for the Audit Committee to approve all audit and non-audit services prior to such services being performed by the independent registered public accounting firm. Before engaging an independent registered public accountant firm to render audit or non-audit services, the engagement is approved by the Company’s Audit Committee or the engagement to render services is entered into pursuant to pre-approval policies and procedures established by the audit committee. The Audit Committee pre-approved all audit services provided by independent registered public accountants during the year-ended December 31, 2022, the transition period ended December 31, 2021 and the year-ended June 30, 2021.</w:t>
      </w:r>
    </w:p>
    <w:p>
      <w:pPr>
        <w:sectPr>
          <w:pgSz w:w="11880" w:h="15480" w:orient="portrait"/>
          <w:cols w:equalWidth="0" w:num="1">
            <w:col w:w="10800"/>
          </w:cols>
          <w:pgMar w:left="540" w:top="884" w:right="540" w:bottom="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880" w:h="15480" w:orient="portrait"/>
          <w:cols w:equalWidth="0" w:num="1">
            <w:col w:w="10800"/>
          </w:cols>
          <w:pgMar w:left="540" w:top="884" w:right="540" w:bottom="0" w:gutter="0" w:footer="0" w:header="0"/>
          <w:type w:val="continuous"/>
        </w:sectPr>
      </w:pPr>
    </w:p>
    <w:bookmarkStart w:id="62" w:name="page63"/>
    <w:bookmarkEnd w:id="62"/>
    <w:p>
      <w:pPr>
        <w:ind w:left="500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p>
      <w:pPr>
        <w:spacing w:after="0" w:line="124" w:lineRule="exact"/>
        <w:rPr>
          <w:sz w:val="20"/>
          <w:szCs w:val="20"/>
          <w:color w:val="auto"/>
        </w:rPr>
      </w:pPr>
    </w:p>
    <w:p>
      <w:pPr>
        <w:ind w:left="480" w:hanging="480"/>
        <w:spacing w:after="0"/>
        <w:tabs>
          <w:tab w:leader="none" w:pos="48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documents are filed as part of this Annual Report:</w:t>
      </w:r>
    </w:p>
    <w:p>
      <w:pPr>
        <w:spacing w:after="0" w:line="120" w:lineRule="exact"/>
        <w:rPr>
          <w:rFonts w:ascii="Times New Roman" w:cs="Times New Roman" w:eastAsia="Times New Roman" w:hAnsi="Times New Roman"/>
          <w:sz w:val="20"/>
          <w:szCs w:val="20"/>
          <w:color w:val="auto"/>
        </w:rPr>
      </w:pPr>
    </w:p>
    <w:p>
      <w:pPr>
        <w:ind w:left="1100" w:hanging="488"/>
        <w:spacing w:after="0"/>
        <w:tabs>
          <w:tab w:leader="none" w:pos="110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Financial Statements</w:t>
      </w:r>
    </w:p>
    <w:p>
      <w:pPr>
        <w:spacing w:after="0" w:line="118" w:lineRule="exact"/>
        <w:rPr>
          <w:rFonts w:ascii="Times New Roman" w:cs="Times New Roman" w:eastAsia="Times New Roman" w:hAnsi="Times New Roman"/>
          <w:sz w:val="20"/>
          <w:szCs w:val="20"/>
          <w:color w:val="auto"/>
        </w:rPr>
      </w:pPr>
    </w:p>
    <w:p>
      <w:pPr>
        <w:ind w:left="11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 Index to Financial Statements in Part II, Item 8 of this Annual Report.</w:t>
      </w:r>
    </w:p>
    <w:p>
      <w:pPr>
        <w:spacing w:after="0" w:line="120" w:lineRule="exact"/>
        <w:rPr>
          <w:rFonts w:ascii="Times New Roman" w:cs="Times New Roman" w:eastAsia="Times New Roman" w:hAnsi="Times New Roman"/>
          <w:sz w:val="20"/>
          <w:szCs w:val="20"/>
          <w:color w:val="auto"/>
        </w:rPr>
      </w:pPr>
    </w:p>
    <w:p>
      <w:pPr>
        <w:ind w:left="1100" w:hanging="488"/>
        <w:spacing w:after="0"/>
        <w:tabs>
          <w:tab w:leader="none" w:pos="110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 Schedules</w:t>
      </w:r>
    </w:p>
    <w:p>
      <w:pPr>
        <w:spacing w:after="0" w:line="120" w:lineRule="exact"/>
        <w:rPr>
          <w:rFonts w:ascii="Times New Roman" w:cs="Times New Roman" w:eastAsia="Times New Roman" w:hAnsi="Times New Roman"/>
          <w:sz w:val="20"/>
          <w:szCs w:val="20"/>
          <w:color w:val="auto"/>
        </w:rPr>
      </w:pPr>
    </w:p>
    <w:p>
      <w:pPr>
        <w:ind w:left="1100"/>
        <w:spacing w:after="0" w:line="25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financial statement schedules have been omitted since the required information was not applicable or was not present in amounts sufficient to require submission of the schedules, or because the information required is included in the financial statements or the accompanying notes.</w:t>
      </w:r>
    </w:p>
    <w:p>
      <w:pPr>
        <w:spacing w:after="0" w:line="66" w:lineRule="exact"/>
        <w:rPr>
          <w:rFonts w:ascii="Times New Roman" w:cs="Times New Roman" w:eastAsia="Times New Roman" w:hAnsi="Times New Roman"/>
          <w:sz w:val="20"/>
          <w:szCs w:val="20"/>
          <w:color w:val="auto"/>
        </w:rPr>
      </w:pPr>
    </w:p>
    <w:p>
      <w:pPr>
        <w:ind w:left="1100" w:hanging="488"/>
        <w:spacing w:after="0"/>
        <w:tabs>
          <w:tab w:leader="none" w:pos="110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pacing w:after="0" w:line="118" w:lineRule="exact"/>
        <w:rPr>
          <w:rFonts w:ascii="Times New Roman" w:cs="Times New Roman" w:eastAsia="Times New Roman" w:hAnsi="Times New Roman"/>
          <w:sz w:val="20"/>
          <w:szCs w:val="20"/>
          <w:color w:val="auto"/>
        </w:rPr>
      </w:pPr>
    </w:p>
    <w:p>
      <w:pPr>
        <w:ind w:left="1100" w:right="420"/>
        <w:spacing w:after="0" w:line="27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exhibits listed in the following Index to Exhibits are filed, furnished or incorporated by reference as part of this Annual Report</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EXHIBITS</w:t>
      </w:r>
    </w:p>
    <w:p>
      <w:pPr>
        <w:spacing w:after="0" w:line="276" w:lineRule="exact"/>
        <w:rPr>
          <w:sz w:val="20"/>
          <w:szCs w:val="20"/>
          <w:color w:val="auto"/>
        </w:rPr>
      </w:pPr>
    </w:p>
    <w:p>
      <w:pPr>
        <w:ind w:left="160"/>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Exhibit</w:t>
        <w:tab/>
        <w:t>Exhibit</w:t>
      </w:r>
    </w:p>
    <w:p>
      <w:pPr>
        <w:ind w:left="120"/>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2540</wp:posOffset>
            </wp:positionV>
            <wp:extent cx="6884670" cy="317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84670" cy="31750"/>
                    </a:xfrm>
                    <a:prstGeom prst="rect">
                      <a:avLst/>
                    </a:prstGeom>
                    <a:noFill/>
                  </pic:spPr>
                </pic:pic>
              </a:graphicData>
            </a:graphic>
          </wp:anchor>
        </w:drawing>
      </w:r>
    </w:p>
    <w:p>
      <w:pPr>
        <w:spacing w:after="0" w:line="113" w:lineRule="exact"/>
        <w:rPr>
          <w:sz w:val="20"/>
          <w:szCs w:val="20"/>
          <w:color w:val="auto"/>
        </w:rPr>
      </w:pPr>
    </w:p>
    <w:p>
      <w:pPr>
        <w:ind w:left="1080" w:right="180" w:hanging="835"/>
        <w:spacing w:after="0" w:line="279" w:lineRule="auto"/>
        <w:tabs>
          <w:tab w:leader="none" w:pos="106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color w:val="auto"/>
        </w:rPr>
        <w:t>Scheme Implementation Agreement (incorporated by reference to Exhibit 99.2 of Form 6-K of Avita Medical Limited dated April 20, 2020)</w:t>
      </w:r>
    </w:p>
    <w:p>
      <w:pPr>
        <w:spacing w:after="0" w:line="44" w:lineRule="exact"/>
        <w:rPr>
          <w:sz w:val="20"/>
          <w:szCs w:val="20"/>
          <w:color w:val="auto"/>
        </w:rPr>
      </w:pPr>
    </w:p>
    <w:p>
      <w:pPr>
        <w:ind w:left="240"/>
        <w:spacing w:after="0"/>
        <w:tabs>
          <w:tab w:leader="none" w:pos="106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color w:val="auto"/>
        </w:rPr>
        <w:t>Certificate of Incorporation (incorporated by reference to Exhibit 3.1 to the registrant’s Form 8-K12B filed on June 30,</w:t>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auto"/>
        </w:rPr>
        <w:t>2020)</w:t>
      </w:r>
    </w:p>
    <w:p>
      <w:pPr>
        <w:spacing w:after="0" w:line="120" w:lineRule="exact"/>
        <w:rPr>
          <w:sz w:val="20"/>
          <w:szCs w:val="20"/>
          <w:color w:val="auto"/>
        </w:rPr>
      </w:pPr>
    </w:p>
    <w:p>
      <w:pPr>
        <w:ind w:left="1080" w:right="380" w:hanging="835"/>
        <w:spacing w:after="0" w:line="279" w:lineRule="auto"/>
        <w:tabs>
          <w:tab w:leader="none" w:pos="106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color w:val="auto"/>
        </w:rPr>
        <w:t>Certificate of Amendment of Certificate of Incorporation (incorporated by reference to Exhibit 3.2 to the registrant’s Form 10-KT filed on February 28, 2022)</w:t>
      </w:r>
    </w:p>
    <w:p>
      <w:pPr>
        <w:spacing w:after="0" w:line="46" w:lineRule="exact"/>
        <w:rPr>
          <w:sz w:val="20"/>
          <w:szCs w:val="20"/>
          <w:color w:val="auto"/>
        </w:rPr>
      </w:pPr>
    </w:p>
    <w:p>
      <w:pPr>
        <w:ind w:left="1080" w:right="700" w:hanging="835"/>
        <w:spacing w:after="0" w:line="276" w:lineRule="auto"/>
        <w:tabs>
          <w:tab w:leader="none" w:pos="106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20"/>
          <w:szCs w:val="20"/>
          <w:color w:val="auto"/>
        </w:rPr>
        <w:t>Amended and Restated Bylaws (incorporated by reference to Exhibit 3.3 to the registrant’s Form 10-KT filed on February 28, 2022)</w:t>
      </w:r>
    </w:p>
    <w:p>
      <w:pPr>
        <w:spacing w:after="0" w:line="49" w:lineRule="exact"/>
        <w:rPr>
          <w:sz w:val="20"/>
          <w:szCs w:val="20"/>
          <w:color w:val="auto"/>
        </w:rPr>
      </w:pPr>
    </w:p>
    <w:p>
      <w:pPr>
        <w:ind w:left="240"/>
        <w:spacing w:after="0"/>
        <w:tabs>
          <w:tab w:leader="none" w:pos="106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19"/>
          <w:szCs w:val="19"/>
          <w:color w:val="auto"/>
        </w:rPr>
        <w:t>Description of Capital Stock**</w:t>
      </w:r>
    </w:p>
    <w:p>
      <w:pPr>
        <w:spacing w:after="0" w:line="120" w:lineRule="exact"/>
        <w:rPr>
          <w:sz w:val="20"/>
          <w:szCs w:val="20"/>
          <w:color w:val="auto"/>
        </w:rPr>
      </w:pPr>
    </w:p>
    <w:p>
      <w:pPr>
        <w:ind w:left="1080" w:right="240" w:hanging="935"/>
        <w:spacing w:after="0" w:line="279" w:lineRule="auto"/>
        <w:tabs>
          <w:tab w:leader="none" w:pos="106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20"/>
          <w:szCs w:val="20"/>
          <w:color w:val="auto"/>
        </w:rPr>
        <w:t>Employee Incentive Option Plan (incorporated by reference to Exhibit 4.1 of the Form 20-F of Avita Medical Limited filed September 27, 2019)†</w:t>
      </w:r>
    </w:p>
    <w:p>
      <w:pPr>
        <w:spacing w:after="0" w:line="46" w:lineRule="exact"/>
        <w:rPr>
          <w:sz w:val="20"/>
          <w:szCs w:val="20"/>
          <w:color w:val="auto"/>
        </w:rPr>
      </w:pPr>
    </w:p>
    <w:p>
      <w:pPr>
        <w:ind w:left="1080" w:right="720" w:hanging="935"/>
        <w:spacing w:after="0" w:line="279" w:lineRule="auto"/>
        <w:tabs>
          <w:tab w:leader="none" w:pos="106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20"/>
          <w:szCs w:val="20"/>
          <w:color w:val="auto"/>
        </w:rPr>
        <w:t>Employee Share Plan (incorporated by reference to Exhibit 4.2 of the Form 20-F of Avita Medical Limited filed September 27, 2019)†</w:t>
      </w:r>
    </w:p>
    <w:p>
      <w:pPr>
        <w:spacing w:after="0" w:line="44" w:lineRule="exact"/>
        <w:rPr>
          <w:sz w:val="20"/>
          <w:szCs w:val="20"/>
          <w:color w:val="auto"/>
        </w:rPr>
      </w:pPr>
    </w:p>
    <w:p>
      <w:pPr>
        <w:ind w:left="1080" w:right="20" w:hanging="935"/>
        <w:spacing w:after="0" w:line="259" w:lineRule="auto"/>
        <w:tabs>
          <w:tab w:leader="none" w:pos="106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20"/>
          <w:szCs w:val="20"/>
          <w:color w:val="auto"/>
        </w:rPr>
        <w:t>Award Contract dated September 29, 2015 by and between the registrant and the U.S. Department of Health and Human Services Biomedical Advanced Research and Development Authority (BARDA) (incorporated by reference to Exhibit 4.3 of the Form 20-F of Avita Medical Limited filed September 27, 2019)*</w:t>
      </w:r>
    </w:p>
    <w:p>
      <w:pPr>
        <w:spacing w:after="0" w:line="67" w:lineRule="exact"/>
        <w:rPr>
          <w:sz w:val="20"/>
          <w:szCs w:val="20"/>
          <w:color w:val="auto"/>
        </w:rPr>
      </w:pPr>
    </w:p>
    <w:p>
      <w:pPr>
        <w:ind w:left="1080" w:right="420" w:hanging="935"/>
        <w:spacing w:after="0" w:line="279" w:lineRule="auto"/>
        <w:tabs>
          <w:tab w:leader="none" w:pos="106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color w:val="auto"/>
        </w:rPr>
        <w:t>Award Contract dated September 29, 2015 by and between the registrant and BARDA (incorporated by reference to Exhibit 4.4 of the Form 20-F of Avita Medical Limited filed September 27, 2019) *</w:t>
      </w:r>
    </w:p>
    <w:p>
      <w:pPr>
        <w:spacing w:after="0" w:line="46" w:lineRule="exact"/>
        <w:rPr>
          <w:sz w:val="20"/>
          <w:szCs w:val="20"/>
          <w:color w:val="auto"/>
        </w:rPr>
      </w:pPr>
    </w:p>
    <w:p>
      <w:pPr>
        <w:ind w:left="1080" w:right="280" w:hanging="935"/>
        <w:spacing w:after="0" w:line="276" w:lineRule="auto"/>
        <w:tabs>
          <w:tab w:leader="none" w:pos="1060"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20"/>
          <w:szCs w:val="20"/>
          <w:color w:val="auto"/>
        </w:rPr>
        <w:t>Amendment of Solicitation/Modification of Contract dated June 24, 2016 by and between the registrant and BARDA (incorporated by reference to Exhibit 4.5 of the Form 20-F of Avita Medical Limited filed September 27, 2019) *</w:t>
      </w:r>
    </w:p>
    <w:p>
      <w:pPr>
        <w:spacing w:after="0" w:line="49" w:lineRule="exact"/>
        <w:rPr>
          <w:sz w:val="20"/>
          <w:szCs w:val="20"/>
          <w:color w:val="auto"/>
        </w:rPr>
      </w:pPr>
    </w:p>
    <w:p>
      <w:pPr>
        <w:jc w:val="both"/>
        <w:ind w:left="1080" w:right="540" w:hanging="935"/>
        <w:spacing w:after="0" w:line="259" w:lineRule="auto"/>
        <w:tabs>
          <w:tab w:leader="none" w:pos="106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20"/>
          <w:szCs w:val="20"/>
          <w:color w:val="auto"/>
        </w:rPr>
        <w:t>Amendment of Solicitation/Modification of Contract dated September 28, 2017 by and between the registrant and BARDA (incorporated by reference to Exhibit 4.6 of the Form 20-F of Avita Medical Limited filed September 27, 2019) *</w:t>
      </w:r>
    </w:p>
    <w:p>
      <w:pPr>
        <w:spacing w:after="0" w:line="67" w:lineRule="exact"/>
        <w:rPr>
          <w:sz w:val="20"/>
          <w:szCs w:val="20"/>
          <w:color w:val="auto"/>
        </w:rPr>
      </w:pPr>
    </w:p>
    <w:p>
      <w:pPr>
        <w:ind w:left="1080" w:right="420" w:hanging="935"/>
        <w:spacing w:after="0" w:line="276" w:lineRule="auto"/>
        <w:tabs>
          <w:tab w:leader="none" w:pos="1060" w:val="left"/>
        </w:tabs>
        <w:rPr>
          <w:sz w:val="20"/>
          <w:szCs w:val="20"/>
          <w:color w:val="auto"/>
        </w:rPr>
      </w:pPr>
      <w:r>
        <w:rPr>
          <w:rFonts w:ascii="Times New Roman" w:cs="Times New Roman" w:eastAsia="Times New Roman" w:hAnsi="Times New Roman"/>
          <w:sz w:val="20"/>
          <w:szCs w:val="20"/>
          <w:color w:val="auto"/>
        </w:rPr>
        <w:t>10.7</w:t>
      </w:r>
      <w:r>
        <w:rPr>
          <w:sz w:val="20"/>
          <w:szCs w:val="20"/>
          <w:color w:val="auto"/>
        </w:rPr>
        <w:tab/>
      </w:r>
      <w:r>
        <w:rPr>
          <w:rFonts w:ascii="Times New Roman" w:cs="Times New Roman" w:eastAsia="Times New Roman" w:hAnsi="Times New Roman"/>
          <w:sz w:val="20"/>
          <w:szCs w:val="20"/>
          <w:color w:val="auto"/>
        </w:rPr>
        <w:t>Amendment of Solicitation/Modification of Contract dated July 2, 2018 by and between the registrant and BARDA (incorporated by reference to Exhibit 4.7 of the Form 20-F of Avita Medical Limited filed September 27, 2019) *</w:t>
      </w:r>
    </w:p>
    <w:p>
      <w:pPr>
        <w:spacing w:after="0" w:line="49" w:lineRule="exact"/>
        <w:rPr>
          <w:sz w:val="20"/>
          <w:szCs w:val="20"/>
          <w:color w:val="auto"/>
        </w:rPr>
      </w:pPr>
    </w:p>
    <w:p>
      <w:pPr>
        <w:ind w:left="1080" w:right="160" w:hanging="935"/>
        <w:spacing w:after="0" w:line="279" w:lineRule="auto"/>
        <w:tabs>
          <w:tab w:leader="none" w:pos="1060" w:val="left"/>
        </w:tabs>
        <w:rPr>
          <w:sz w:val="20"/>
          <w:szCs w:val="20"/>
          <w:color w:val="auto"/>
        </w:rPr>
      </w:pP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20"/>
          <w:szCs w:val="20"/>
          <w:color w:val="auto"/>
        </w:rPr>
        <w:t>Lease Agreement between the registrant and Hartco Ventura Inc. dated January 25, 2018 (incorporated by reference to Exhibit 4.8 of the Form 20-F of Avita Medical Limited filed September 27, 2019)</w:t>
      </w:r>
    </w:p>
    <w:p>
      <w:pPr>
        <w:spacing w:after="0" w:line="46" w:lineRule="exact"/>
        <w:rPr>
          <w:sz w:val="20"/>
          <w:szCs w:val="20"/>
          <w:color w:val="auto"/>
        </w:rPr>
      </w:pPr>
    </w:p>
    <w:p>
      <w:pPr>
        <w:ind w:left="1080" w:right="780" w:hanging="936"/>
        <w:spacing w:after="0" w:line="306" w:lineRule="auto"/>
        <w:tabs>
          <w:tab w:leader="none" w:pos="1060" w:val="left"/>
        </w:tabs>
        <w:rPr>
          <w:sz w:val="20"/>
          <w:szCs w:val="20"/>
          <w:color w:val="auto"/>
        </w:rPr>
      </w:pPr>
      <w:r>
        <w:rPr>
          <w:rFonts w:ascii="Times New Roman" w:cs="Times New Roman" w:eastAsia="Times New Roman" w:hAnsi="Times New Roman"/>
          <w:sz w:val="20"/>
          <w:szCs w:val="20"/>
          <w:color w:val="auto"/>
        </w:rPr>
        <w:t>10.9</w:t>
      </w:r>
      <w:r>
        <w:rPr>
          <w:sz w:val="20"/>
          <w:szCs w:val="20"/>
          <w:color w:val="auto"/>
        </w:rPr>
        <w:tab/>
      </w:r>
      <w:r>
        <w:rPr>
          <w:rFonts w:ascii="Times New Roman" w:cs="Times New Roman" w:eastAsia="Times New Roman" w:hAnsi="Times New Roman"/>
          <w:sz w:val="19"/>
          <w:szCs w:val="19"/>
          <w:color w:val="auto"/>
        </w:rPr>
        <w:t>Lease Agreement between the registrant and RIF-Avenue Stanford LLC, dated October 3, 2016, as amended (incorporated by reference to Exhibit 4.9 of the Form 20-F of Avita Medical Limited filed September 27, 2019)</w:t>
      </w:r>
    </w:p>
    <w:p>
      <w:pPr>
        <w:sectPr>
          <w:pgSz w:w="11880" w:h="15480" w:orient="portrait"/>
          <w:cols w:equalWidth="0" w:num="1">
            <w:col w:w="10780"/>
          </w:cols>
          <w:pgMar w:left="540" w:top="884" w:right="560" w:bottom="0" w:gutter="0" w:footer="0" w:header="0"/>
        </w:sect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10780"/>
          </w:cols>
          <w:pgMar w:left="540" w:top="884" w:right="560" w:bottom="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231"/>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Exhibit</w:t>
            </w:r>
          </w:p>
        </w:tc>
      </w:tr>
      <w:tr>
        <w:trPr>
          <w:trHeight w:val="274"/>
        </w:trPr>
        <w:tc>
          <w:tcPr>
            <w:tcW w:w="8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310"/>
        </w:trPr>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10.10</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Third Amendment to the Lease Agreement between the registrant and RIF III-Avenue Stanford LLC, dated November</w:t>
            </w:r>
          </w:p>
        </w:tc>
      </w:tr>
      <w:tr>
        <w:trPr>
          <w:trHeight w:val="228"/>
        </w:trPr>
        <w:tc>
          <w:tcPr>
            <w:tcW w:w="860" w:type="dxa"/>
            <w:vAlign w:val="bottom"/>
          </w:tcPr>
          <w:p>
            <w:pPr>
              <w:spacing w:after="0"/>
              <w:rPr>
                <w:sz w:val="19"/>
                <w:szCs w:val="19"/>
                <w:color w:val="auto"/>
              </w:rPr>
            </w:pPr>
          </w:p>
        </w:tc>
        <w:tc>
          <w:tcPr>
            <w:tcW w:w="9820" w:type="dxa"/>
            <w:vAlign w:val="bottom"/>
          </w:tcPr>
          <w:p>
            <w:pPr>
              <w:ind w:left="100"/>
              <w:spacing w:after="0" w:line="228" w:lineRule="exact"/>
              <w:rPr>
                <w:sz w:val="20"/>
                <w:szCs w:val="20"/>
                <w:color w:val="auto"/>
              </w:rPr>
            </w:pPr>
            <w:r>
              <w:rPr>
                <w:rFonts w:ascii="Times New Roman" w:cs="Times New Roman" w:eastAsia="Times New Roman" w:hAnsi="Times New Roman"/>
                <w:sz w:val="20"/>
                <w:szCs w:val="20"/>
                <w:color w:val="auto"/>
              </w:rPr>
              <w:t>17, 2020, as amended) (incorporated by reference to Exhibit 10.10 to the registrant’s Form 10-KT filed on February 28,</w:t>
            </w:r>
          </w:p>
        </w:tc>
      </w:tr>
      <w:tr>
        <w:trPr>
          <w:trHeight w:val="267"/>
        </w:trPr>
        <w:tc>
          <w:tcPr>
            <w:tcW w:w="860" w:type="dxa"/>
            <w:vAlign w:val="bottom"/>
          </w:tcPr>
          <w:p>
            <w:pPr>
              <w:spacing w:after="0"/>
              <w:rPr>
                <w:sz w:val="23"/>
                <w:szCs w:val="23"/>
                <w:color w:val="auto"/>
              </w:rPr>
            </w:pP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2022)</w:t>
            </w:r>
          </w:p>
        </w:tc>
      </w:tr>
      <w:tr>
        <w:trPr>
          <w:trHeight w:val="314"/>
        </w:trPr>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10.11</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Executive Employment Agreement between the registrant and Dr. Michael Perry, dated November 12, 2019</w:t>
            </w:r>
          </w:p>
        </w:tc>
      </w:tr>
      <w:tr>
        <w:trPr>
          <w:trHeight w:val="267"/>
        </w:trPr>
        <w:tc>
          <w:tcPr>
            <w:tcW w:w="860" w:type="dxa"/>
            <w:vAlign w:val="bottom"/>
          </w:tcPr>
          <w:p>
            <w:pPr>
              <w:spacing w:after="0"/>
              <w:rPr>
                <w:sz w:val="23"/>
                <w:szCs w:val="23"/>
                <w:color w:val="auto"/>
              </w:rPr>
            </w:pP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(incorporated by reference to Exhibit 10.11 to the registrant’s Form 10-KT filed on February 28, 2022) †</w:t>
            </w:r>
          </w:p>
        </w:tc>
      </w:tr>
      <w:tr>
        <w:trPr>
          <w:trHeight w:val="314"/>
        </w:trPr>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10.12</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RSUs – Confirmatory Deed between the registrant and Dr. Michael Perry, dated November 12, 2019 (incorporated by</w:t>
            </w:r>
          </w:p>
        </w:tc>
      </w:tr>
      <w:tr>
        <w:trPr>
          <w:trHeight w:val="267"/>
        </w:trPr>
        <w:tc>
          <w:tcPr>
            <w:tcW w:w="860" w:type="dxa"/>
            <w:vAlign w:val="bottom"/>
          </w:tcPr>
          <w:p>
            <w:pPr>
              <w:spacing w:after="0"/>
              <w:rPr>
                <w:sz w:val="23"/>
                <w:szCs w:val="23"/>
                <w:color w:val="auto"/>
              </w:rPr>
            </w:pP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reference to Exhibit 10.12 to the registrant’s Form 10-KT filed on February 28, 2022) †</w:t>
            </w:r>
          </w:p>
        </w:tc>
      </w:tr>
      <w:tr>
        <w:trPr>
          <w:trHeight w:val="311"/>
        </w:trPr>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10.13</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Option Confirmatory Deed between the registrant and Dr. Michael Perry, dated November 12, 2019 (incorporated by</w:t>
            </w:r>
          </w:p>
        </w:tc>
      </w:tr>
      <w:tr>
        <w:trPr>
          <w:trHeight w:val="267"/>
        </w:trPr>
        <w:tc>
          <w:tcPr>
            <w:tcW w:w="860" w:type="dxa"/>
            <w:vAlign w:val="bottom"/>
          </w:tcPr>
          <w:p>
            <w:pPr>
              <w:spacing w:after="0"/>
              <w:rPr>
                <w:sz w:val="23"/>
                <w:szCs w:val="23"/>
                <w:color w:val="auto"/>
              </w:rPr>
            </w:pP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reference to Exhibit 10.13 to the registrant’s Form 10-KT filed on February 28, 2022) †</w:t>
            </w:r>
          </w:p>
        </w:tc>
      </w:tr>
      <w:tr>
        <w:trPr>
          <w:trHeight w:val="314"/>
        </w:trPr>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10.14</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Executive Employment Agreement between the registrant and Michael Holder, dated effective March 22, 2021</w:t>
            </w:r>
          </w:p>
        </w:tc>
      </w:tr>
      <w:tr>
        <w:trPr>
          <w:trHeight w:val="267"/>
        </w:trPr>
        <w:tc>
          <w:tcPr>
            <w:tcW w:w="860" w:type="dxa"/>
            <w:vAlign w:val="bottom"/>
          </w:tcPr>
          <w:p>
            <w:pPr>
              <w:spacing w:after="0"/>
              <w:rPr>
                <w:sz w:val="23"/>
                <w:szCs w:val="23"/>
                <w:color w:val="auto"/>
              </w:rPr>
            </w:pP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(incorporated by reference to Exhibit 10.14 to the registrant’s Form 10-KT filed on February 28, 2022) †</w:t>
            </w:r>
          </w:p>
        </w:tc>
      </w:tr>
      <w:tr>
        <w:trPr>
          <w:trHeight w:val="314"/>
        </w:trPr>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10.15</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Executive Employment Agreement between the registrant and Kathy McGee, dated effective December 1, 2020</w:t>
            </w:r>
          </w:p>
        </w:tc>
      </w:tr>
      <w:tr>
        <w:trPr>
          <w:trHeight w:val="267"/>
        </w:trPr>
        <w:tc>
          <w:tcPr>
            <w:tcW w:w="860" w:type="dxa"/>
            <w:vAlign w:val="bottom"/>
          </w:tcPr>
          <w:p>
            <w:pPr>
              <w:spacing w:after="0"/>
              <w:rPr>
                <w:sz w:val="23"/>
                <w:szCs w:val="23"/>
                <w:color w:val="auto"/>
              </w:rPr>
            </w:pP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(incorporated by reference to Exhibit 10.15 to the registrant’s Form 10-KT filed on February 28, 2022) †</w:t>
            </w:r>
          </w:p>
        </w:tc>
      </w:tr>
      <w:tr>
        <w:trPr>
          <w:trHeight w:val="311"/>
        </w:trPr>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10.16</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Executive Employment Agreement between the registrant and Erin Liberto, dated effective August 28, 2017</w:t>
            </w:r>
          </w:p>
        </w:tc>
      </w:tr>
      <w:tr>
        <w:trPr>
          <w:trHeight w:val="267"/>
        </w:trPr>
        <w:tc>
          <w:tcPr>
            <w:tcW w:w="860" w:type="dxa"/>
            <w:vAlign w:val="bottom"/>
          </w:tcPr>
          <w:p>
            <w:pPr>
              <w:spacing w:after="0"/>
              <w:rPr>
                <w:sz w:val="23"/>
                <w:szCs w:val="23"/>
                <w:color w:val="auto"/>
              </w:rPr>
            </w:pP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(incorporated by reference to Exhibit 10.16 to the registrant’s Form 10-KT filed on February 28, 2022) †</w:t>
            </w:r>
          </w:p>
        </w:tc>
      </w:tr>
      <w:tr>
        <w:trPr>
          <w:trHeight w:val="314"/>
        </w:trPr>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10.17</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Executive Employment Agreement between the registrant and Andrew Quick, dated effective April 1, 2019</w:t>
            </w:r>
          </w:p>
        </w:tc>
      </w:tr>
      <w:tr>
        <w:trPr>
          <w:trHeight w:val="267"/>
        </w:trPr>
        <w:tc>
          <w:tcPr>
            <w:tcW w:w="860" w:type="dxa"/>
            <w:vAlign w:val="bottom"/>
          </w:tcPr>
          <w:p>
            <w:pPr>
              <w:spacing w:after="0"/>
              <w:rPr>
                <w:sz w:val="23"/>
                <w:szCs w:val="23"/>
                <w:color w:val="auto"/>
              </w:rPr>
            </w:pP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(incorporated by reference to Exhibit 10.17 to the registrant’s Form 10-KT filed on February 28, 2022) †</w:t>
            </w:r>
          </w:p>
        </w:tc>
      </w:tr>
      <w:tr>
        <w:trPr>
          <w:trHeight w:val="314"/>
        </w:trPr>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10.18</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Executive Employment Agreement between the registrant and Donna Shiroma, dated effective June 25, 2018</w:t>
            </w:r>
          </w:p>
        </w:tc>
      </w:tr>
      <w:tr>
        <w:trPr>
          <w:trHeight w:val="267"/>
        </w:trPr>
        <w:tc>
          <w:tcPr>
            <w:tcW w:w="860" w:type="dxa"/>
            <w:vAlign w:val="bottom"/>
          </w:tcPr>
          <w:p>
            <w:pPr>
              <w:spacing w:after="0"/>
              <w:rPr>
                <w:sz w:val="23"/>
                <w:szCs w:val="23"/>
                <w:color w:val="auto"/>
              </w:rPr>
            </w:pP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(incorporated by reference to Exhibit 10.18 to the registrant’s Form 10-KT filed on February 28, 2022) †</w:t>
            </w:r>
          </w:p>
        </w:tc>
      </w:tr>
      <w:tr>
        <w:trPr>
          <w:trHeight w:val="348"/>
        </w:trPr>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10.19</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Form of Stock Option Grant**†</w:t>
            </w:r>
          </w:p>
        </w:tc>
      </w:tr>
      <w:tr>
        <w:trPr>
          <w:trHeight w:val="350"/>
        </w:trPr>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10.20</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Form of RSU Agreement**†</w:t>
            </w:r>
          </w:p>
        </w:tc>
      </w:tr>
      <w:tr>
        <w:trPr>
          <w:trHeight w:val="314"/>
        </w:trPr>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10.21</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2020 Omnibus Incentive Plan (incorporated by reference to Exhibit 10.29 to the registrant’s Form 10-KT filed on</w:t>
            </w:r>
          </w:p>
        </w:tc>
      </w:tr>
      <w:tr>
        <w:trPr>
          <w:trHeight w:val="267"/>
        </w:trPr>
        <w:tc>
          <w:tcPr>
            <w:tcW w:w="860" w:type="dxa"/>
            <w:vAlign w:val="bottom"/>
          </w:tcPr>
          <w:p>
            <w:pPr>
              <w:spacing w:after="0"/>
              <w:rPr>
                <w:sz w:val="23"/>
                <w:szCs w:val="23"/>
                <w:color w:val="auto"/>
              </w:rPr>
            </w:pP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February 28, 2022) †</w:t>
            </w:r>
          </w:p>
        </w:tc>
      </w:tr>
      <w:tr>
        <w:trPr>
          <w:trHeight w:val="314"/>
        </w:trPr>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10.22</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Fourth Amendment to the Lease Agreement between the registrant and RIF III-Avenue Stanford LLC, dated August 25,</w:t>
            </w:r>
          </w:p>
        </w:tc>
      </w:tr>
      <w:tr>
        <w:trPr>
          <w:trHeight w:val="228"/>
        </w:trPr>
        <w:tc>
          <w:tcPr>
            <w:tcW w:w="860" w:type="dxa"/>
            <w:vAlign w:val="bottom"/>
          </w:tcPr>
          <w:p>
            <w:pPr>
              <w:spacing w:after="0"/>
              <w:rPr>
                <w:sz w:val="19"/>
                <w:szCs w:val="19"/>
                <w:color w:val="auto"/>
              </w:rPr>
            </w:pPr>
          </w:p>
        </w:tc>
        <w:tc>
          <w:tcPr>
            <w:tcW w:w="9820" w:type="dxa"/>
            <w:vAlign w:val="bottom"/>
          </w:tcPr>
          <w:p>
            <w:pPr>
              <w:ind w:left="100"/>
              <w:spacing w:after="0" w:line="228" w:lineRule="exact"/>
              <w:rPr>
                <w:sz w:val="20"/>
                <w:szCs w:val="20"/>
                <w:color w:val="auto"/>
              </w:rPr>
            </w:pPr>
            <w:r>
              <w:rPr>
                <w:rFonts w:ascii="Times New Roman" w:cs="Times New Roman" w:eastAsia="Times New Roman" w:hAnsi="Times New Roman"/>
                <w:sz w:val="20"/>
                <w:szCs w:val="20"/>
                <w:color w:val="auto"/>
              </w:rPr>
              <w:t>2021, as amended) (incorporated by reference to Exhibit 10.30 to the registrant’s Form 10-KT filed on February 28,</w:t>
            </w:r>
          </w:p>
        </w:tc>
      </w:tr>
      <w:tr>
        <w:trPr>
          <w:trHeight w:val="267"/>
        </w:trPr>
        <w:tc>
          <w:tcPr>
            <w:tcW w:w="860" w:type="dxa"/>
            <w:vAlign w:val="bottom"/>
          </w:tcPr>
          <w:p>
            <w:pPr>
              <w:spacing w:after="0"/>
              <w:rPr>
                <w:sz w:val="23"/>
                <w:szCs w:val="23"/>
                <w:color w:val="auto"/>
              </w:rPr>
            </w:pP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2022)</w:t>
            </w:r>
          </w:p>
        </w:tc>
      </w:tr>
      <w:tr>
        <w:trPr>
          <w:trHeight w:val="350"/>
        </w:trPr>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10.23</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Stock Option Grant Agreement between the registrant and James Corbett, dated effective September 28, 2022.** †</w:t>
            </w:r>
          </w:p>
        </w:tc>
      </w:tr>
      <w:tr>
        <w:trPr>
          <w:trHeight w:val="314"/>
        </w:trPr>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10.24</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9"/>
              </w:rPr>
              <w:t>Fifth Amendment to the Lease Agreement between the registrant and 28159 Avenue Stanford Properties, LLC, (formerly</w:t>
            </w:r>
          </w:p>
        </w:tc>
      </w:tr>
      <w:tr>
        <w:trPr>
          <w:trHeight w:val="267"/>
        </w:trPr>
        <w:tc>
          <w:tcPr>
            <w:tcW w:w="860" w:type="dxa"/>
            <w:vAlign w:val="bottom"/>
          </w:tcPr>
          <w:p>
            <w:pPr>
              <w:spacing w:after="0"/>
              <w:rPr>
                <w:sz w:val="23"/>
                <w:szCs w:val="23"/>
                <w:color w:val="auto"/>
              </w:rPr>
            </w:pP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RIF III-Avenue Stanford LLC), dated January 26, 2023, as amended) **</w:t>
            </w:r>
          </w:p>
        </w:tc>
      </w:tr>
      <w:tr>
        <w:trPr>
          <w:trHeight w:val="254"/>
        </w:trPr>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21.1</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Subsidiaries of the Registrant (incorporated by reference to Exhibit 21.1 to the registrant’s Form 10-KT filed on</w:t>
            </w:r>
          </w:p>
        </w:tc>
      </w:tr>
      <w:tr>
        <w:trPr>
          <w:trHeight w:val="267"/>
        </w:trPr>
        <w:tc>
          <w:tcPr>
            <w:tcW w:w="860" w:type="dxa"/>
            <w:vAlign w:val="bottom"/>
          </w:tcPr>
          <w:p>
            <w:pPr>
              <w:spacing w:after="0"/>
              <w:rPr>
                <w:sz w:val="23"/>
                <w:szCs w:val="23"/>
                <w:color w:val="auto"/>
              </w:rPr>
            </w:pP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February 28, 2022)</w:t>
            </w:r>
          </w:p>
        </w:tc>
      </w:tr>
      <w:tr>
        <w:trPr>
          <w:trHeight w:val="348"/>
        </w:trPr>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23.1</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tc>
      </w:tr>
      <w:tr>
        <w:trPr>
          <w:trHeight w:val="350"/>
        </w:trPr>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31.1</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Certification of CEO pursuant to Section 302 of The Sarbanes-Oxley Act of 2002 **</w:t>
            </w:r>
          </w:p>
        </w:tc>
      </w:tr>
      <w:tr>
        <w:trPr>
          <w:trHeight w:val="350"/>
        </w:trPr>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31.2</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Certification of CFO pursuant to Section 302 of The Sarbanes-Oxley Act of 2002 **</w:t>
            </w:r>
          </w:p>
        </w:tc>
      </w:tr>
      <w:tr>
        <w:trPr>
          <w:trHeight w:val="350"/>
        </w:trPr>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32.1</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Certification of CEO and CFO pursuant to Section 906 of The Sarbanes-Oxley Act of 2002***</w:t>
            </w:r>
          </w:p>
        </w:tc>
      </w:tr>
      <w:tr>
        <w:trPr>
          <w:trHeight w:val="350"/>
        </w:trPr>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101.INS</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Inline XBRL Instance Document.</w:t>
            </w:r>
          </w:p>
        </w:tc>
      </w:tr>
      <w:tr>
        <w:trPr>
          <w:trHeight w:val="350"/>
        </w:trPr>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101.SCH</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348"/>
        </w:trPr>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101.CAL</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r>
      <w:tr>
        <w:trPr>
          <w:trHeight w:val="350"/>
        </w:trPr>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101.DEF</w:t>
            </w:r>
          </w:p>
        </w:tc>
        <w:tc>
          <w:tcPr>
            <w:tcW w:w="9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-7510145</wp:posOffset>
            </wp:positionV>
            <wp:extent cx="6884670" cy="317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84670" cy="31750"/>
                    </a:xfrm>
                    <a:prstGeom prst="rect">
                      <a:avLst/>
                    </a:prstGeom>
                    <a:noFill/>
                  </pic:spPr>
                </pic:pic>
              </a:graphicData>
            </a:graphic>
          </wp:anchor>
        </w:drawing>
      </w:r>
    </w:p>
    <w:p>
      <w:pPr>
        <w:sectPr>
          <w:pgSz w:w="11880" w:h="15480" w:orient="portrait"/>
          <w:cols w:equalWidth="0" w:num="1">
            <w:col w:w="10680"/>
          </w:cols>
          <w:pgMar w:left="660" w:top="8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58</w:t>
      </w:r>
    </w:p>
    <w:p>
      <w:pPr>
        <w:sectPr>
          <w:pgSz w:w="11880" w:h="15480" w:orient="portrait"/>
          <w:cols w:equalWidth="0" w:num="1">
            <w:col w:w="10680"/>
          </w:cols>
          <w:pgMar w:left="660" w:top="884" w:right="540" w:bottom="0" w:gutter="0" w:footer="0" w:header="0"/>
          <w:type w:val="continuous"/>
        </w:sectPr>
      </w:pPr>
    </w:p>
    <w:bookmarkStart w:id="64" w:name="page65"/>
    <w:bookmarkEnd w:id="64"/>
    <w:p>
      <w:pPr>
        <w:ind w:left="160"/>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Exhibit</w:t>
        <w:tab/>
        <w:t>Exhibit</w:t>
      </w:r>
    </w:p>
    <w:p>
      <w:pPr>
        <w:spacing w:after="0" w:line="1" w:lineRule="exact"/>
        <w:rPr>
          <w:sz w:val="20"/>
          <w:szCs w:val="20"/>
          <w:color w:val="auto"/>
        </w:rPr>
      </w:pPr>
    </w:p>
    <w:p>
      <w:pPr>
        <w:ind w:left="120"/>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2540</wp:posOffset>
            </wp:positionV>
            <wp:extent cx="6884670" cy="317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84670" cy="31750"/>
                    </a:xfrm>
                    <a:prstGeom prst="rect">
                      <a:avLst/>
                    </a:prstGeom>
                    <a:noFill/>
                  </pic:spPr>
                </pic:pic>
              </a:graphicData>
            </a:graphic>
          </wp:anchor>
        </w:drawing>
      </w:r>
    </w:p>
    <w:p>
      <w:pPr>
        <w:spacing w:after="0" w:line="104" w:lineRule="exact"/>
        <w:rPr>
          <w:sz w:val="20"/>
          <w:szCs w:val="20"/>
          <w:color w:val="auto"/>
        </w:rPr>
      </w:pPr>
    </w:p>
    <w:p>
      <w:pPr>
        <w:ind w:left="140"/>
        <w:spacing w:after="0"/>
        <w:tabs>
          <w:tab w:leader="none" w:pos="1060" w:val="left"/>
        </w:tabs>
        <w:rPr>
          <w:sz w:val="20"/>
          <w:szCs w:val="20"/>
          <w:color w:val="auto"/>
        </w:rPr>
      </w:pPr>
      <w:r>
        <w:rPr>
          <w:rFonts w:ascii="Times New Roman" w:cs="Times New Roman" w:eastAsia="Times New Roman" w:hAnsi="Times New Roman"/>
          <w:sz w:val="20"/>
          <w:szCs w:val="20"/>
          <w:color w:val="auto"/>
        </w:rPr>
        <w:t>101.LAB</w:t>
        <w:tab/>
        <w:t>Inline XBRL Taxonomy Extension Label Linkbase Document.</w:t>
      </w:r>
    </w:p>
    <w:p>
      <w:pPr>
        <w:spacing w:after="0" w:line="120" w:lineRule="exact"/>
        <w:rPr>
          <w:sz w:val="20"/>
          <w:szCs w:val="20"/>
          <w:color w:val="auto"/>
        </w:rPr>
      </w:pPr>
    </w:p>
    <w:p>
      <w:pPr>
        <w:ind w:left="140"/>
        <w:spacing w:after="0"/>
        <w:tabs>
          <w:tab w:leader="none" w:pos="1060" w:val="left"/>
        </w:tabs>
        <w:rPr>
          <w:sz w:val="20"/>
          <w:szCs w:val="20"/>
          <w:color w:val="auto"/>
        </w:rPr>
      </w:pPr>
      <w:r>
        <w:rPr>
          <w:rFonts w:ascii="Times New Roman" w:cs="Times New Roman" w:eastAsia="Times New Roman" w:hAnsi="Times New Roman"/>
          <w:sz w:val="20"/>
          <w:szCs w:val="20"/>
          <w:color w:val="auto"/>
        </w:rPr>
        <w:t>101.PRE</w:t>
      </w:r>
      <w:r>
        <w:rPr>
          <w:sz w:val="20"/>
          <w:szCs w:val="20"/>
          <w:color w:val="auto"/>
        </w:rPr>
        <w:tab/>
      </w:r>
      <w:r>
        <w:rPr>
          <w:rFonts w:ascii="Times New Roman" w:cs="Times New Roman" w:eastAsia="Times New Roman" w:hAnsi="Times New Roman"/>
          <w:sz w:val="19"/>
          <w:szCs w:val="19"/>
          <w:color w:val="auto"/>
        </w:rPr>
        <w:t>Inline XBRL Taxonomy Extension Presentation Linkbase Document.</w:t>
      </w:r>
    </w:p>
    <w:p>
      <w:pPr>
        <w:spacing w:after="0" w:line="116" w:lineRule="exact"/>
        <w:rPr>
          <w:sz w:val="20"/>
          <w:szCs w:val="20"/>
          <w:color w:val="auto"/>
        </w:rPr>
      </w:pPr>
    </w:p>
    <w:p>
      <w:pPr>
        <w:ind w:left="1080" w:hanging="936"/>
        <w:spacing w:after="0"/>
        <w:tabs>
          <w:tab w:leader="none" w:pos="108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p>
      <w:pPr>
        <w:spacing w:after="0" w:line="230" w:lineRule="exact"/>
        <w:rPr>
          <w:rFonts w:ascii="Times New Roman" w:cs="Times New Roman" w:eastAsia="Times New Roman" w:hAnsi="Times New Roman"/>
          <w:sz w:val="20"/>
          <w:szCs w:val="20"/>
          <w:color w:val="auto"/>
        </w:rPr>
      </w:pPr>
    </w:p>
    <w:p>
      <w:pPr>
        <w:ind w:left="480" w:hanging="480"/>
        <w:spacing w:after="0"/>
        <w:tabs>
          <w:tab w:leader="none" w:pos="4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contract or compensation plan or arrangement.</w:t>
      </w:r>
    </w:p>
    <w:p>
      <w:pPr>
        <w:ind w:left="480" w:hanging="480"/>
        <w:spacing w:after="0" w:line="239" w:lineRule="auto"/>
        <w:tabs>
          <w:tab w:leader="none" w:pos="4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identified confidential information has been redacted from this exhibit because it is both (i) not material and (ii) would be competitively harmful if publicly disclosed.</w:t>
      </w:r>
    </w:p>
    <w:p>
      <w:pPr>
        <w:ind w:left="480" w:hanging="480"/>
        <w:spacing w:after="0"/>
        <w:tabs>
          <w:tab w:leader="none" w:pos="4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ind w:left="480" w:hanging="480"/>
        <w:spacing w:after="0"/>
        <w:tabs>
          <w:tab w:leader="none" w:pos="48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Furnished herewith</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880" w:h="15480" w:orient="portrait"/>
          <w:cols w:equalWidth="0" w:num="1">
            <w:col w:w="10620"/>
          </w:cols>
          <w:pgMar w:left="540" w:top="884"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59</w:t>
      </w:r>
    </w:p>
    <w:p>
      <w:pPr>
        <w:sectPr>
          <w:pgSz w:w="11880" w:h="15480" w:orient="portrait"/>
          <w:cols w:equalWidth="0" w:num="1">
            <w:col w:w="10620"/>
          </w:cols>
          <w:pgMar w:left="540" w:top="884" w:right="720" w:bottom="0" w:gutter="0" w:footer="0" w:header="0"/>
          <w:type w:val="continuous"/>
        </w:sectPr>
      </w:pPr>
    </w:p>
    <w:bookmarkStart w:id="65" w:name="page66"/>
    <w:bookmarkEnd w:id="65"/>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9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b w:val="1"/>
          <w:bCs w:val="1"/>
          <w:color w:val="auto"/>
        </w:rPr>
        <w:t>AVITA Medical, Inc.</w:t>
      </w:r>
    </w:p>
    <w:p>
      <w:pPr>
        <w:spacing w:after="0" w:line="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(Registrant)</w:t>
      </w:r>
    </w:p>
    <w:p>
      <w:pPr>
        <w:spacing w:after="0" w:line="231" w:lineRule="exact"/>
        <w:rPr>
          <w:sz w:val="20"/>
          <w:szCs w:val="20"/>
          <w:color w:val="auto"/>
        </w:rPr>
      </w:pPr>
    </w:p>
    <w:p>
      <w:pPr>
        <w:ind w:left="5940" w:right="3320" w:hanging="5940"/>
        <w:spacing w:after="0" w:line="245" w:lineRule="auto"/>
        <w:tabs>
          <w:tab w:leader="none" w:pos="5920" w:val="left"/>
        </w:tabs>
        <w:rPr>
          <w:sz w:val="20"/>
          <w:szCs w:val="20"/>
          <w:color w:val="auto"/>
        </w:rPr>
      </w:pPr>
      <w:r>
        <w:rPr>
          <w:rFonts w:ascii="Times New Roman" w:cs="Times New Roman" w:eastAsia="Times New Roman" w:hAnsi="Times New Roman"/>
          <w:sz w:val="20"/>
          <w:szCs w:val="20"/>
          <w:color w:val="auto"/>
        </w:rPr>
        <w:t>Date: February 23, 2023</w:t>
      </w:r>
      <w:r>
        <w:rPr>
          <w:sz w:val="20"/>
          <w:szCs w:val="20"/>
          <w:color w:val="auto"/>
        </w:rPr>
        <w:tab/>
      </w:r>
      <w:r>
        <w:rPr>
          <w:rFonts w:ascii="Times New Roman" w:cs="Times New Roman" w:eastAsia="Times New Roman" w:hAnsi="Times New Roman"/>
          <w:sz w:val="20"/>
          <w:szCs w:val="20"/>
          <w:color w:val="auto"/>
        </w:rPr>
        <w:t>/s/ James Corbett James Corbett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-138430</wp:posOffset>
            </wp:positionV>
            <wp:extent cx="3086735"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086735" cy="6350"/>
                    </a:xfrm>
                    <a:prstGeom prst="rect">
                      <a:avLst/>
                    </a:prstGeom>
                    <a:noFill/>
                  </pic:spPr>
                </pic:pic>
              </a:graphicData>
            </a:graphic>
          </wp:anchor>
        </w:drawing>
      </w:r>
    </w:p>
    <w:p>
      <w:pPr>
        <w:ind w:left="5940"/>
        <w:spacing w:after="0"/>
        <w:rPr>
          <w:sz w:val="20"/>
          <w:szCs w:val="20"/>
          <w:color w:val="auto"/>
        </w:rPr>
      </w:pPr>
      <w:r>
        <w:rPr>
          <w:rFonts w:ascii="Times New Roman" w:cs="Times New Roman" w:eastAsia="Times New Roman" w:hAnsi="Times New Roman"/>
          <w:sz w:val="20"/>
          <w:szCs w:val="20"/>
          <w:color w:val="auto"/>
        </w:rPr>
        <w:t>Chief Executive Officer (Principal Executive Officer)</w:t>
      </w:r>
    </w:p>
    <w:p>
      <w:pPr>
        <w:spacing w:after="0" w:line="231"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20"/>
          <w:szCs w:val="20"/>
          <w:color w:val="auto"/>
        </w:rPr>
        <w:t>Date: February 23, 2023</w:t>
      </w:r>
      <w:r>
        <w:rPr>
          <w:sz w:val="20"/>
          <w:szCs w:val="20"/>
          <w:color w:val="auto"/>
        </w:rPr>
        <w:tab/>
      </w:r>
      <w:r>
        <w:rPr>
          <w:rFonts w:ascii="Times New Roman" w:cs="Times New Roman" w:eastAsia="Times New Roman" w:hAnsi="Times New Roman"/>
          <w:sz w:val="20"/>
          <w:szCs w:val="20"/>
          <w:color w:val="auto"/>
        </w:rPr>
        <w:t>/s/ Sean Ekins</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0"/>
          <w:szCs w:val="20"/>
          <w:color w:val="auto"/>
        </w:rPr>
        <w:t>Sean Ekins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-137795</wp:posOffset>
            </wp:positionV>
            <wp:extent cx="3086735"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086735" cy="6350"/>
                    </a:xfrm>
                    <a:prstGeom prst="rect">
                      <a:avLst/>
                    </a:prstGeom>
                    <a:noFill/>
                  </pic:spPr>
                </pic:pic>
              </a:graphicData>
            </a:graphic>
          </wp:anchor>
        </w:drawing>
      </w:r>
    </w:p>
    <w:p>
      <w:pPr>
        <w:ind w:left="5940"/>
        <w:spacing w:after="0"/>
        <w:rPr>
          <w:sz w:val="20"/>
          <w:szCs w:val="20"/>
          <w:color w:val="auto"/>
        </w:rPr>
      </w:pPr>
      <w:r>
        <w:rPr>
          <w:rFonts w:ascii="Times New Roman" w:cs="Times New Roman" w:eastAsia="Times New Roman" w:hAnsi="Times New Roman"/>
          <w:sz w:val="20"/>
          <w:szCs w:val="20"/>
          <w:color w:val="auto"/>
        </w:rPr>
        <w:t>Interim Chief Financial Officer</w:t>
      </w:r>
    </w:p>
    <w:p>
      <w:pPr>
        <w:spacing w:after="0" w:line="276"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5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Name</w:t>
            </w:r>
          </w:p>
        </w:tc>
        <w:tc>
          <w:tcPr>
            <w:tcW w:w="45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Title</w:t>
            </w:r>
          </w:p>
        </w:tc>
        <w:tc>
          <w:tcPr>
            <w:tcW w:w="2120" w:type="dxa"/>
            <w:vAlign w:val="bottom"/>
          </w:tcPr>
          <w:p>
            <w:pPr>
              <w:ind w:left="1160"/>
              <w:spacing w:after="0"/>
              <w:rPr>
                <w:sz w:val="20"/>
                <w:szCs w:val="20"/>
                <w:color w:val="auto"/>
              </w:rPr>
            </w:pPr>
            <w:r>
              <w:rPr>
                <w:rFonts w:ascii="Times New Roman" w:cs="Times New Roman" w:eastAsia="Times New Roman" w:hAnsi="Times New Roman"/>
                <w:sz w:val="20"/>
                <w:szCs w:val="20"/>
                <w:b w:val="1"/>
                <w:bCs w:val="1"/>
                <w:color w:val="auto"/>
              </w:rPr>
              <w:t>Date</w:t>
            </w:r>
          </w:p>
        </w:tc>
      </w:tr>
      <w:tr>
        <w:trPr>
          <w:trHeight w:val="240"/>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James Corbett</w:t>
            </w:r>
          </w:p>
        </w:tc>
        <w:tc>
          <w:tcPr>
            <w:tcW w:w="454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auto"/>
              </w:rPr>
              <w:t>Chief Executive Officer and Director</w:t>
            </w:r>
          </w:p>
        </w:tc>
        <w:tc>
          <w:tcPr>
            <w:tcW w:w="212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February 23, 2023</w:t>
            </w:r>
          </w:p>
        </w:tc>
      </w:tr>
      <w:tr>
        <w:trPr>
          <w:trHeight w:val="267"/>
        </w:trPr>
        <w:tc>
          <w:tcPr>
            <w:tcW w:w="3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James Corbett</w:t>
            </w:r>
          </w:p>
        </w:tc>
        <w:tc>
          <w:tcPr>
            <w:tcW w:w="454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w w:val="99"/>
              </w:rPr>
              <w:t>(Principal Executive Officer)</w:t>
            </w:r>
          </w:p>
        </w:tc>
        <w:tc>
          <w:tcPr>
            <w:tcW w:w="2120" w:type="dxa"/>
            <w:vAlign w:val="bottom"/>
          </w:tcPr>
          <w:p>
            <w:pPr>
              <w:spacing w:after="0"/>
              <w:rPr>
                <w:sz w:val="23"/>
                <w:szCs w:val="23"/>
                <w:color w:val="auto"/>
              </w:rPr>
            </w:pPr>
          </w:p>
        </w:tc>
      </w:tr>
      <w:tr>
        <w:trPr>
          <w:trHeight w:val="411"/>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Sean Ekins</w:t>
            </w:r>
          </w:p>
        </w:tc>
        <w:tc>
          <w:tcPr>
            <w:tcW w:w="454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auto"/>
                <w:w w:val="99"/>
              </w:rPr>
              <w:t>Interim Chief Financial Officer</w:t>
            </w:r>
          </w:p>
        </w:tc>
        <w:tc>
          <w:tcPr>
            <w:tcW w:w="212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February 23, 2023</w:t>
            </w:r>
          </w:p>
        </w:tc>
      </w:tr>
      <w:tr>
        <w:trPr>
          <w:trHeight w:val="267"/>
        </w:trPr>
        <w:tc>
          <w:tcPr>
            <w:tcW w:w="3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Sean Ekins</w:t>
            </w:r>
          </w:p>
        </w:tc>
        <w:tc>
          <w:tcPr>
            <w:tcW w:w="454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c>
          <w:tcPr>
            <w:tcW w:w="2120" w:type="dxa"/>
            <w:vAlign w:val="bottom"/>
          </w:tcPr>
          <w:p>
            <w:pPr>
              <w:spacing w:after="0"/>
              <w:rPr>
                <w:sz w:val="23"/>
                <w:szCs w:val="23"/>
                <w:color w:val="auto"/>
              </w:rPr>
            </w:pPr>
          </w:p>
        </w:tc>
      </w:tr>
      <w:tr>
        <w:trPr>
          <w:trHeight w:val="424"/>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Lou Panaccio</w:t>
            </w:r>
          </w:p>
        </w:tc>
        <w:tc>
          <w:tcPr>
            <w:tcW w:w="454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auto"/>
                <w:w w:val="98"/>
              </w:rPr>
              <w:t>Director</w:t>
            </w:r>
          </w:p>
        </w:tc>
        <w:tc>
          <w:tcPr>
            <w:tcW w:w="212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February 23, 2023</w:t>
            </w:r>
          </w:p>
        </w:tc>
      </w:tr>
      <w:tr>
        <w:trPr>
          <w:trHeight w:val="257"/>
        </w:trPr>
        <w:tc>
          <w:tcPr>
            <w:tcW w:w="3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Lou Panaccio</w:t>
            </w:r>
          </w:p>
        </w:tc>
        <w:tc>
          <w:tcPr>
            <w:tcW w:w="4540" w:type="dxa"/>
            <w:vAlign w:val="bottom"/>
          </w:tcPr>
          <w:p>
            <w:pPr>
              <w:spacing w:after="0"/>
              <w:rPr>
                <w:sz w:val="22"/>
                <w:szCs w:val="22"/>
                <w:color w:val="auto"/>
              </w:rPr>
            </w:pPr>
          </w:p>
        </w:tc>
        <w:tc>
          <w:tcPr>
            <w:tcW w:w="2120" w:type="dxa"/>
            <w:vAlign w:val="bottom"/>
          </w:tcPr>
          <w:p>
            <w:pPr>
              <w:spacing w:after="0"/>
              <w:rPr>
                <w:sz w:val="22"/>
                <w:szCs w:val="22"/>
                <w:color w:val="auto"/>
              </w:rPr>
            </w:pPr>
          </w:p>
        </w:tc>
      </w:tr>
      <w:tr>
        <w:trPr>
          <w:trHeight w:val="424"/>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Jeremy Curnock Cook</w:t>
            </w:r>
          </w:p>
        </w:tc>
        <w:tc>
          <w:tcPr>
            <w:tcW w:w="454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auto"/>
                <w:w w:val="98"/>
              </w:rPr>
              <w:t>Director</w:t>
            </w:r>
          </w:p>
        </w:tc>
        <w:tc>
          <w:tcPr>
            <w:tcW w:w="212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February 23, 2023</w:t>
            </w:r>
          </w:p>
        </w:tc>
      </w:tr>
      <w:tr>
        <w:trPr>
          <w:trHeight w:val="257"/>
        </w:trPr>
        <w:tc>
          <w:tcPr>
            <w:tcW w:w="3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Jeremy Curnock Cook</w:t>
            </w:r>
          </w:p>
        </w:tc>
        <w:tc>
          <w:tcPr>
            <w:tcW w:w="4540" w:type="dxa"/>
            <w:vAlign w:val="bottom"/>
          </w:tcPr>
          <w:p>
            <w:pPr>
              <w:spacing w:after="0"/>
              <w:rPr>
                <w:sz w:val="22"/>
                <w:szCs w:val="22"/>
                <w:color w:val="auto"/>
              </w:rPr>
            </w:pPr>
          </w:p>
        </w:tc>
        <w:tc>
          <w:tcPr>
            <w:tcW w:w="2120" w:type="dxa"/>
            <w:vAlign w:val="bottom"/>
          </w:tcPr>
          <w:p>
            <w:pPr>
              <w:spacing w:after="0"/>
              <w:rPr>
                <w:sz w:val="22"/>
                <w:szCs w:val="22"/>
                <w:color w:val="auto"/>
              </w:rPr>
            </w:pPr>
          </w:p>
        </w:tc>
      </w:tr>
      <w:tr>
        <w:trPr>
          <w:trHeight w:val="422"/>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Suzanne Crowe</w:t>
            </w:r>
          </w:p>
        </w:tc>
        <w:tc>
          <w:tcPr>
            <w:tcW w:w="4540" w:type="dxa"/>
            <w:vAlign w:val="bottom"/>
          </w:tcPr>
          <w:p>
            <w:pPr>
              <w:jc w:val="center"/>
              <w:ind w:right="60"/>
              <w:spacing w:after="0"/>
              <w:rPr>
                <w:sz w:val="20"/>
                <w:szCs w:val="20"/>
                <w:color w:val="auto"/>
              </w:rPr>
            </w:pPr>
            <w:r>
              <w:rPr>
                <w:rFonts w:ascii="Times New Roman" w:cs="Times New Roman" w:eastAsia="Times New Roman" w:hAnsi="Times New Roman"/>
                <w:sz w:val="20"/>
                <w:szCs w:val="20"/>
                <w:color w:val="auto"/>
                <w:w w:val="98"/>
              </w:rPr>
              <w:t>Director</w:t>
            </w:r>
          </w:p>
        </w:tc>
        <w:tc>
          <w:tcPr>
            <w:tcW w:w="212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February 23, 2023</w:t>
            </w:r>
          </w:p>
        </w:tc>
      </w:tr>
      <w:tr>
        <w:trPr>
          <w:trHeight w:val="257"/>
        </w:trPr>
        <w:tc>
          <w:tcPr>
            <w:tcW w:w="3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Suzanne Crowe</w:t>
            </w:r>
          </w:p>
        </w:tc>
        <w:tc>
          <w:tcPr>
            <w:tcW w:w="4540" w:type="dxa"/>
            <w:vAlign w:val="bottom"/>
          </w:tcPr>
          <w:p>
            <w:pPr>
              <w:spacing w:after="0"/>
              <w:rPr>
                <w:sz w:val="22"/>
                <w:szCs w:val="22"/>
                <w:color w:val="auto"/>
              </w:rPr>
            </w:pPr>
          </w:p>
        </w:tc>
        <w:tc>
          <w:tcPr>
            <w:tcW w:w="2120" w:type="dxa"/>
            <w:vAlign w:val="bottom"/>
          </w:tcPr>
          <w:p>
            <w:pPr>
              <w:spacing w:after="0"/>
              <w:rPr>
                <w:sz w:val="22"/>
                <w:szCs w:val="22"/>
                <w:color w:val="auto"/>
              </w:rPr>
            </w:pPr>
          </w:p>
        </w:tc>
      </w:tr>
      <w:tr>
        <w:trPr>
          <w:trHeight w:val="424"/>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Jan Stern Reed</w:t>
            </w:r>
          </w:p>
        </w:tc>
        <w:tc>
          <w:tcPr>
            <w:tcW w:w="45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2120" w:type="dxa"/>
            <w:vAlign w:val="bottom"/>
          </w:tcPr>
          <w:p>
            <w:pPr>
              <w:ind w:left="640"/>
              <w:spacing w:after="0"/>
              <w:rPr>
                <w:sz w:val="20"/>
                <w:szCs w:val="20"/>
                <w:color w:val="auto"/>
              </w:rPr>
            </w:pPr>
            <w:r>
              <w:rPr>
                <w:rFonts w:ascii="Times New Roman" w:cs="Times New Roman" w:eastAsia="Times New Roman" w:hAnsi="Times New Roman"/>
                <w:sz w:val="20"/>
                <w:szCs w:val="20"/>
                <w:color w:val="auto"/>
                <w:w w:val="99"/>
              </w:rPr>
              <w:t>February 23, 2023</w:t>
            </w:r>
          </w:p>
        </w:tc>
      </w:tr>
      <w:tr>
        <w:trPr>
          <w:trHeight w:val="257"/>
        </w:trPr>
        <w:tc>
          <w:tcPr>
            <w:tcW w:w="3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Jan Stern Reed</w:t>
            </w:r>
          </w:p>
        </w:tc>
        <w:tc>
          <w:tcPr>
            <w:tcW w:w="4540" w:type="dxa"/>
            <w:vAlign w:val="bottom"/>
          </w:tcPr>
          <w:p>
            <w:pPr>
              <w:spacing w:after="0"/>
              <w:rPr>
                <w:sz w:val="22"/>
                <w:szCs w:val="22"/>
                <w:color w:val="auto"/>
              </w:rPr>
            </w:pPr>
          </w:p>
        </w:tc>
        <w:tc>
          <w:tcPr>
            <w:tcW w:w="21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-2562225</wp:posOffset>
            </wp:positionV>
            <wp:extent cx="6884670" cy="317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84670" cy="31750"/>
                    </a:xfrm>
                    <a:prstGeom prst="rect">
                      <a:avLst/>
                    </a:prstGeom>
                    <a:noFill/>
                  </pic:spPr>
                </pic:pic>
              </a:graphicData>
            </a:graphic>
          </wp:anchor>
        </w:drawing>
      </w:r>
    </w:p>
    <w:p>
      <w:pPr>
        <w:sectPr>
          <w:pgSz w:w="11880" w:h="15480" w:orient="portrait"/>
          <w:cols w:equalWidth="0" w:num="1">
            <w:col w:w="10640"/>
          </w:cols>
          <w:pgMar w:left="540" w:top="884"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60</w:t>
      </w:r>
    </w:p>
    <w:p>
      <w:pPr>
        <w:sectPr>
          <w:pgSz w:w="11880" w:h="15480" w:orient="portrait"/>
          <w:cols w:equalWidth="0" w:num="1">
            <w:col w:w="10640"/>
          </w:cols>
          <w:pgMar w:left="540" w:top="884" w:right="700" w:bottom="0" w:gutter="0" w:footer="0" w:header="0"/>
          <w:type w:val="continuous"/>
        </w:sectPr>
      </w:pPr>
    </w:p>
    <w:bookmarkStart w:id="66" w:name="page67"/>
    <w:bookmarkEnd w:id="66"/>
    <w:p>
      <w:pPr>
        <w:ind w:left="278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(PCAOB ID Number 248).............................................................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Consolidated Balance Sheets as of December 31, 2022, December 31, 2021 and June 30, 2021 ................................................</w:t>
      </w:r>
    </w:p>
    <w:p>
      <w:pPr>
        <w:spacing w:after="0"/>
        <w:rPr>
          <w:sz w:val="20"/>
          <w:szCs w:val="20"/>
          <w:color w:val="auto"/>
        </w:rPr>
      </w:pPr>
      <w:r>
        <w:rPr>
          <w:rFonts w:ascii="Times New Roman" w:cs="Times New Roman" w:eastAsia="Times New Roman" w:hAnsi="Times New Roman"/>
          <w:sz w:val="20"/>
          <w:szCs w:val="20"/>
          <w:color w:val="auto"/>
        </w:rPr>
        <w:t>Consolidated Statements of Operations for the Year-Ended December 31, 2022, the Transition Period Ended December 31,</w:t>
      </w:r>
    </w:p>
    <w:p>
      <w:pPr>
        <w:ind w:left="240"/>
        <w:spacing w:after="0"/>
        <w:rPr>
          <w:sz w:val="20"/>
          <w:szCs w:val="20"/>
          <w:color w:val="auto"/>
        </w:rPr>
      </w:pPr>
      <w:r>
        <w:rPr>
          <w:rFonts w:ascii="Times New Roman" w:cs="Times New Roman" w:eastAsia="Times New Roman" w:hAnsi="Times New Roman"/>
          <w:sz w:val="20"/>
          <w:szCs w:val="20"/>
          <w:color w:val="auto"/>
        </w:rPr>
        <w:t>2021, and the Year-Ended June 30, 2021.................................................................................................................................</w:t>
      </w:r>
    </w:p>
    <w:p>
      <w:pPr>
        <w:spacing w:after="0" w:line="238" w:lineRule="auto"/>
        <w:rPr>
          <w:sz w:val="20"/>
          <w:szCs w:val="20"/>
          <w:color w:val="auto"/>
        </w:rPr>
      </w:pPr>
      <w:r>
        <w:rPr>
          <w:rFonts w:ascii="Times New Roman" w:cs="Times New Roman" w:eastAsia="Times New Roman" w:hAnsi="Times New Roman"/>
          <w:sz w:val="20"/>
          <w:szCs w:val="20"/>
          <w:color w:val="auto"/>
        </w:rPr>
        <w:t>Consolidated Statements of Comprehensive Loss for the Year-Ended December 31, 2022, the Transition Period Ended</w:t>
      </w:r>
    </w:p>
    <w:p>
      <w:pPr>
        <w:ind w:left="240"/>
        <w:spacing w:after="0"/>
        <w:rPr>
          <w:sz w:val="20"/>
          <w:szCs w:val="20"/>
          <w:color w:val="auto"/>
        </w:rPr>
      </w:pPr>
      <w:r>
        <w:rPr>
          <w:rFonts w:ascii="Times New Roman" w:cs="Times New Roman" w:eastAsia="Times New Roman" w:hAnsi="Times New Roman"/>
          <w:sz w:val="20"/>
          <w:szCs w:val="20"/>
          <w:color w:val="auto"/>
        </w:rPr>
        <w:t>December 31, 2021, and the Year-Ended June 30, 2021 .........................................................................................................</w:t>
      </w:r>
    </w:p>
    <w:p>
      <w:pPr>
        <w:spacing w:after="0"/>
        <w:rPr>
          <w:sz w:val="20"/>
          <w:szCs w:val="20"/>
          <w:color w:val="auto"/>
        </w:rPr>
      </w:pPr>
      <w:r>
        <w:rPr>
          <w:rFonts w:ascii="Times New Roman" w:cs="Times New Roman" w:eastAsia="Times New Roman" w:hAnsi="Times New Roman"/>
          <w:sz w:val="20"/>
          <w:szCs w:val="20"/>
          <w:color w:val="auto"/>
        </w:rPr>
        <w:t>Consolidated Statements of Shareholders’ Equity for the Year-Ended December 31, 2022, the Transition Period Ended</w:t>
      </w:r>
    </w:p>
    <w:p>
      <w:pPr>
        <w:ind w:left="240"/>
        <w:spacing w:after="0"/>
        <w:rPr>
          <w:sz w:val="20"/>
          <w:szCs w:val="20"/>
          <w:color w:val="auto"/>
        </w:rPr>
      </w:pPr>
      <w:r>
        <w:rPr>
          <w:rFonts w:ascii="Times New Roman" w:cs="Times New Roman" w:eastAsia="Times New Roman" w:hAnsi="Times New Roman"/>
          <w:sz w:val="20"/>
          <w:szCs w:val="20"/>
          <w:color w:val="auto"/>
        </w:rPr>
        <w:t>December 31, 2021 and the Year-Ended June 30, 2021 ..........................................................................................................</w:t>
      </w:r>
    </w:p>
    <w:p>
      <w:pPr>
        <w:spacing w:after="0"/>
        <w:rPr>
          <w:sz w:val="20"/>
          <w:szCs w:val="20"/>
          <w:color w:val="auto"/>
        </w:rPr>
      </w:pPr>
      <w:r>
        <w:rPr>
          <w:rFonts w:ascii="Times New Roman" w:cs="Times New Roman" w:eastAsia="Times New Roman" w:hAnsi="Times New Roman"/>
          <w:sz w:val="20"/>
          <w:szCs w:val="20"/>
          <w:color w:val="auto"/>
        </w:rPr>
        <w:t>Consolidated Statements of Cash Flows for the Year-Ended December 31, 2022, the Transition Period Ended December 31,</w:t>
      </w:r>
    </w:p>
    <w:p>
      <w:pPr>
        <w:ind w:left="240"/>
        <w:spacing w:after="0"/>
        <w:rPr>
          <w:sz w:val="20"/>
          <w:szCs w:val="20"/>
          <w:color w:val="auto"/>
        </w:rPr>
      </w:pPr>
      <w:r>
        <w:rPr>
          <w:rFonts w:ascii="Times New Roman" w:cs="Times New Roman" w:eastAsia="Times New Roman" w:hAnsi="Times New Roman"/>
          <w:sz w:val="20"/>
          <w:szCs w:val="20"/>
          <w:color w:val="auto"/>
        </w:rPr>
        <w:t>2021, and the Year-Ended June 30, 2021.................................................................................................................................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Notes to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12065</wp:posOffset>
            </wp:positionV>
            <wp:extent cx="407035" cy="120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07035" cy="12065"/>
                    </a:xfrm>
                    <a:prstGeom prst="rect">
                      <a:avLst/>
                    </a:prstGeom>
                    <a:noFill/>
                  </pic:spPr>
                </pic:pic>
              </a:graphicData>
            </a:graphic>
          </wp:anchor>
        </w:drawing>
      </w:r>
    </w:p>
    <w:p>
      <w:pPr>
        <w:spacing w:after="0" w:line="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F-2</w:t>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F-3</w:t>
      </w: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F-4</w:t>
      </w: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F-5</w:t>
      </w: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F-6</w:t>
      </w: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F-7</w:t>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F-8</w:t>
      </w:r>
    </w:p>
    <w:p>
      <w:pPr>
        <w:spacing w:after="0" w:line="219" w:lineRule="exact"/>
        <w:rPr>
          <w:sz w:val="20"/>
          <w:szCs w:val="20"/>
          <w:color w:val="auto"/>
        </w:rPr>
      </w:pPr>
    </w:p>
    <w:p>
      <w:pPr>
        <w:sectPr>
          <w:pgSz w:w="11880" w:h="15480" w:orient="portrait"/>
          <w:cols w:equalWidth="0" w:num="2">
            <w:col w:w="10020" w:space="300"/>
            <w:col w:w="480"/>
          </w:cols>
          <w:pgMar w:left="540" w:top="8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1880" w:h="15480" w:orient="portrait"/>
          <w:cols w:equalWidth="0" w:num="1">
            <w:col w:w="10800"/>
          </w:cols>
          <w:pgMar w:left="540" w:top="884" w:right="540" w:bottom="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Board of Directors and Shareholders</w:t>
      </w:r>
    </w:p>
    <w:p>
      <w:pPr>
        <w:spacing w:after="0"/>
        <w:rPr>
          <w:sz w:val="20"/>
          <w:szCs w:val="20"/>
          <w:color w:val="auto"/>
        </w:rPr>
      </w:pPr>
      <w:r>
        <w:rPr>
          <w:rFonts w:ascii="Times New Roman" w:cs="Times New Roman" w:eastAsia="Times New Roman" w:hAnsi="Times New Roman"/>
          <w:sz w:val="20"/>
          <w:szCs w:val="20"/>
          <w:color w:val="auto"/>
        </w:rPr>
        <w:t>AVITA Medical, Inc.</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39"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AVITA Medical, Inc. (a Delaware corporation) and subsidiaries (the “Company”) as of December 31, 2022, December 31, 2021 and June 30, 2021, the related consolidated statements of operations, comprehensive loss, changes in shareholders’ equity, and cash flows for the year ended December 31, 2022, the six-month period ended December 31, 2021, and the fiscal year ended June 30, 2021, and the related notes (collectively referred to as the “financial statements”). In our opinion, the financial statements present fairly, in all material respects, the financial position of the Company as of December 31, 2022, December 31, 2021 and June 30, 2021, and the results of its operations and its cash flows for the year ended December 31, 2022, the six-month period ended December 31, 2021, and the fiscal year ended June 30, 2021, in conformity with accounting principles generally accepted in the United States of America.</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34"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9"/>
          <w:szCs w:val="19"/>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0"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2020.</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Los Angeles, California</w:t>
      </w:r>
    </w:p>
    <w:p>
      <w:pPr>
        <w:spacing w:after="0"/>
        <w:rPr>
          <w:sz w:val="20"/>
          <w:szCs w:val="20"/>
          <w:color w:val="auto"/>
        </w:rPr>
      </w:pPr>
      <w:r>
        <w:rPr>
          <w:rFonts w:ascii="Times New Roman" w:cs="Times New Roman" w:eastAsia="Times New Roman" w:hAnsi="Times New Roman"/>
          <w:sz w:val="20"/>
          <w:szCs w:val="20"/>
          <w:color w:val="auto"/>
        </w:rPr>
        <w:t>February 23, 2023</w:t>
      </w:r>
    </w:p>
    <w:p>
      <w:pPr>
        <w:sectPr>
          <w:pgSz w:w="11880" w:h="15480" w:orient="portrait"/>
          <w:cols w:equalWidth="0" w:num="1">
            <w:col w:w="10780"/>
          </w:cols>
          <w:pgMar w:left="540" w:top="887"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F-2</w:t>
      </w:r>
    </w:p>
    <w:p>
      <w:pPr>
        <w:sectPr>
          <w:pgSz w:w="11880" w:h="15480" w:orient="portrait"/>
          <w:cols w:equalWidth="0" w:num="1">
            <w:col w:w="10780"/>
          </w:cols>
          <w:pgMar w:left="540" w:top="887" w:right="560" w:bottom="0"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20"/>
          <w:szCs w:val="20"/>
          <w:b w:val="1"/>
          <w:bCs w:val="1"/>
          <w:color w:val="auto"/>
        </w:rPr>
        <w:t>AVITA MEDICAL,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920" w:type="dxa"/>
            <w:vAlign w:val="bottom"/>
            <w:tcBorders>
              <w:bottom w:val="single" w:sz="8" w:color="D5EEEE"/>
            </w:tcBorders>
          </w:tcPr>
          <w:p>
            <w:pPr>
              <w:spacing w:after="0"/>
              <w:rPr>
                <w:sz w:val="16"/>
                <w:szCs w:val="16"/>
                <w:color w:val="auto"/>
              </w:rPr>
            </w:pPr>
          </w:p>
        </w:tc>
        <w:tc>
          <w:tcPr>
            <w:tcW w:w="120" w:type="dxa"/>
            <w:vAlign w:val="bottom"/>
            <w:tcBorders>
              <w:bottom w:val="single" w:sz="8" w:color="D5EEEE"/>
            </w:tcBorders>
          </w:tcPr>
          <w:p>
            <w:pPr>
              <w:spacing w:after="0"/>
              <w:rPr>
                <w:sz w:val="16"/>
                <w:szCs w:val="16"/>
                <w:color w:val="auto"/>
              </w:rPr>
            </w:pPr>
          </w:p>
        </w:tc>
        <w:tc>
          <w:tcPr>
            <w:tcW w:w="14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80" w:type="dxa"/>
            <w:vAlign w:val="bottom"/>
            <w:tcBorders>
              <w:bottom w:val="single" w:sz="8" w:color="D5EEEE"/>
            </w:tcBorders>
          </w:tcPr>
          <w:p>
            <w:pPr>
              <w:spacing w:after="0"/>
              <w:rPr>
                <w:sz w:val="16"/>
                <w:szCs w:val="16"/>
                <w:color w:val="auto"/>
              </w:rPr>
            </w:pPr>
          </w:p>
        </w:tc>
        <w:tc>
          <w:tcPr>
            <w:tcW w:w="120" w:type="dxa"/>
            <w:vAlign w:val="bottom"/>
            <w:tcBorders>
              <w:bottom w:val="single" w:sz="8" w:color="D5EEEE"/>
            </w:tcBorders>
          </w:tcPr>
          <w:p>
            <w:pPr>
              <w:spacing w:after="0"/>
              <w:rPr>
                <w:sz w:val="16"/>
                <w:szCs w:val="16"/>
                <w:color w:val="auto"/>
              </w:rPr>
            </w:pPr>
          </w:p>
        </w:tc>
        <w:tc>
          <w:tcPr>
            <w:tcW w:w="146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0" w:type="dxa"/>
            <w:vAlign w:val="bottom"/>
            <w:gridSpan w:val="2"/>
          </w:tcPr>
          <w:p>
            <w:pPr>
              <w:spacing w:after="0"/>
              <w:rPr>
                <w:sz w:val="16"/>
                <w:szCs w:val="16"/>
                <w:color w:val="auto"/>
              </w:rPr>
            </w:pPr>
          </w:p>
        </w:tc>
        <w:tc>
          <w:tcPr>
            <w:tcW w:w="100" w:type="dxa"/>
            <w:vAlign w:val="bottom"/>
            <w:tcBorders>
              <w:bottom w:val="single" w:sz="8" w:color="D5EEEE"/>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80" w:type="dxa"/>
            <w:vAlign w:val="bottom"/>
            <w:tcBorders>
              <w:bottom w:val="single" w:sz="8" w:color="D5EEEE"/>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D5EEEE"/>
          </w:tcPr>
          <w:p>
            <w:pPr>
              <w:spacing w:after="0"/>
              <w:rPr>
                <w:sz w:val="19"/>
                <w:szCs w:val="19"/>
                <w:color w:val="auto"/>
              </w:rPr>
            </w:pPr>
          </w:p>
        </w:tc>
        <w:tc>
          <w:tcPr>
            <w:tcW w:w="120" w:type="dxa"/>
            <w:vAlign w:val="bottom"/>
            <w:shd w:val="clear" w:color="auto" w:fill="D5EEEE"/>
          </w:tcPr>
          <w:p>
            <w:pPr>
              <w:spacing w:after="0"/>
              <w:rPr>
                <w:sz w:val="19"/>
                <w:szCs w:val="19"/>
                <w:color w:val="auto"/>
              </w:rPr>
            </w:pPr>
          </w:p>
        </w:tc>
        <w:tc>
          <w:tcPr>
            <w:tcW w:w="10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vMerge w:val="restart"/>
          </w:tcPr>
          <w:p>
            <w:pPr>
              <w:spacing w:after="0"/>
              <w:rPr>
                <w:sz w:val="19"/>
                <w:szCs w:val="19"/>
                <w:color w:val="auto"/>
              </w:rPr>
            </w:pPr>
          </w:p>
        </w:tc>
        <w:tc>
          <w:tcPr>
            <w:tcW w:w="200" w:type="dxa"/>
            <w:vAlign w:val="bottom"/>
            <w:gridSpan w:val="2"/>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18,164</w:t>
            </w: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55,511</w:t>
            </w:r>
          </w:p>
        </w:tc>
        <w:tc>
          <w:tcPr>
            <w:tcW w:w="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110,746</w:t>
            </w: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920" w:type="dxa"/>
            <w:vAlign w:val="bottom"/>
            <w:tcBorders>
              <w:bottom w:val="single" w:sz="8" w:color="D5EEEE"/>
            </w:tcBorders>
          </w:tcPr>
          <w:p>
            <w:pPr>
              <w:spacing w:after="0"/>
              <w:rPr>
                <w:sz w:val="19"/>
                <w:szCs w:val="19"/>
                <w:color w:val="auto"/>
              </w:rPr>
            </w:pPr>
          </w:p>
        </w:tc>
        <w:tc>
          <w:tcPr>
            <w:tcW w:w="1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Borders>
              <w:bottom w:val="single" w:sz="8" w:color="D5EEEE"/>
            </w:tcBorders>
            <w:vMerge w:val="continue"/>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120" w:type="dxa"/>
            <w:vAlign w:val="bottom"/>
            <w:vMerge w:val="continue"/>
          </w:tcPr>
          <w:p>
            <w:pPr>
              <w:spacing w:after="0"/>
              <w:rPr>
                <w:sz w:val="19"/>
                <w:szCs w:val="19"/>
                <w:color w:val="auto"/>
              </w:rPr>
            </w:pPr>
          </w:p>
        </w:tc>
        <w:tc>
          <w:tcPr>
            <w:tcW w:w="1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1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920" w:type="dxa"/>
            <w:vAlign w:val="bottom"/>
            <w:shd w:val="clear" w:color="auto" w:fill="D5EEEE"/>
          </w:tcPr>
          <w:p>
            <w:pPr>
              <w:spacing w:after="0"/>
              <w:rPr>
                <w:sz w:val="20"/>
                <w:szCs w:val="20"/>
                <w:color w:val="auto"/>
              </w:rPr>
            </w:pPr>
          </w:p>
        </w:tc>
        <w:tc>
          <w:tcPr>
            <w:tcW w:w="120" w:type="dxa"/>
            <w:vAlign w:val="bottom"/>
            <w:shd w:val="clear" w:color="auto" w:fill="D5EEE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61,178</w:t>
            </w:r>
          </w:p>
        </w:tc>
        <w:tc>
          <w:tcPr>
            <w:tcW w:w="20" w:type="dxa"/>
            <w:vAlign w:val="bottom"/>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Borders>
              <w:left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29,649</w:t>
            </w:r>
          </w:p>
        </w:tc>
        <w:tc>
          <w:tcPr>
            <w:tcW w:w="20" w:type="dxa"/>
            <w:vAlign w:val="bottom"/>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20" w:type="dxa"/>
            <w:vAlign w:val="bottom"/>
            <w:tcBorders>
              <w:bottom w:val="single" w:sz="8" w:color="D5EEEE"/>
            </w:tcBorders>
          </w:tcPr>
          <w:p>
            <w:pPr>
              <w:spacing w:after="0"/>
              <w:rPr>
                <w:sz w:val="20"/>
                <w:szCs w:val="20"/>
                <w:color w:val="auto"/>
              </w:rPr>
            </w:pPr>
          </w:p>
        </w:tc>
        <w:tc>
          <w:tcPr>
            <w:tcW w:w="12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3,515</w:t>
            </w:r>
          </w:p>
        </w:tc>
        <w:tc>
          <w:tcPr>
            <w:tcW w:w="20" w:type="dxa"/>
            <w:vAlign w:val="bottom"/>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3,118</w:t>
            </w:r>
          </w:p>
        </w:tc>
        <w:tc>
          <w:tcPr>
            <w:tcW w:w="20" w:type="dxa"/>
            <w:vAlign w:val="bottom"/>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3,467</w:t>
            </w:r>
          </w:p>
        </w:tc>
        <w:tc>
          <w:tcPr>
            <w:tcW w:w="20" w:type="dxa"/>
            <w:vAlign w:val="bottom"/>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920" w:type="dxa"/>
            <w:vAlign w:val="bottom"/>
            <w:shd w:val="clear" w:color="auto" w:fill="D5EEEE"/>
          </w:tcPr>
          <w:p>
            <w:pPr>
              <w:spacing w:after="0"/>
              <w:rPr>
                <w:sz w:val="20"/>
                <w:szCs w:val="20"/>
                <w:color w:val="auto"/>
              </w:rPr>
            </w:pPr>
          </w:p>
        </w:tc>
        <w:tc>
          <w:tcPr>
            <w:tcW w:w="120" w:type="dxa"/>
            <w:vAlign w:val="bottom"/>
            <w:shd w:val="clear" w:color="auto" w:fill="D5EEE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898</w:t>
            </w:r>
          </w:p>
        </w:tc>
        <w:tc>
          <w:tcPr>
            <w:tcW w:w="20" w:type="dxa"/>
            <w:vAlign w:val="bottom"/>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Borders>
              <w:left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308</w:t>
            </w:r>
          </w:p>
        </w:tc>
        <w:tc>
          <w:tcPr>
            <w:tcW w:w="20" w:type="dxa"/>
            <w:vAlign w:val="bottom"/>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3,936</w:t>
            </w:r>
          </w:p>
        </w:tc>
        <w:tc>
          <w:tcPr>
            <w:tcW w:w="20" w:type="dxa"/>
            <w:vAlign w:val="bottom"/>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20" w:type="dxa"/>
            <w:vAlign w:val="bottom"/>
            <w:tcBorders>
              <w:bottom w:val="single" w:sz="8" w:color="D5EEEE"/>
            </w:tcBorders>
          </w:tcPr>
          <w:p>
            <w:pPr>
              <w:spacing w:after="0"/>
              <w:rPr>
                <w:sz w:val="20"/>
                <w:szCs w:val="20"/>
                <w:color w:val="auto"/>
              </w:rPr>
            </w:pPr>
          </w:p>
        </w:tc>
        <w:tc>
          <w:tcPr>
            <w:tcW w:w="12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1,578</w:t>
            </w:r>
          </w:p>
        </w:tc>
        <w:tc>
          <w:tcPr>
            <w:tcW w:w="20" w:type="dxa"/>
            <w:vAlign w:val="bottom"/>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1,213</w:t>
            </w:r>
          </w:p>
        </w:tc>
        <w:tc>
          <w:tcPr>
            <w:tcW w:w="20" w:type="dxa"/>
            <w:vAlign w:val="bottom"/>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1,333</w:t>
            </w:r>
          </w:p>
        </w:tc>
        <w:tc>
          <w:tcPr>
            <w:tcW w:w="20" w:type="dxa"/>
            <w:vAlign w:val="bottom"/>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92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Borders>
              <w:left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201</w:t>
            </w:r>
          </w:p>
        </w:tc>
        <w:tc>
          <w:tcPr>
            <w:tcW w:w="20" w:type="dxa"/>
            <w:vAlign w:val="bottom"/>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201</w:t>
            </w:r>
          </w:p>
        </w:tc>
        <w:tc>
          <w:tcPr>
            <w:tcW w:w="20" w:type="dxa"/>
            <w:vAlign w:val="bottom"/>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920" w:type="dxa"/>
            <w:vAlign w:val="bottom"/>
            <w:tcBorders>
              <w:bottom w:val="single" w:sz="8" w:color="D5EEEE"/>
            </w:tcBorders>
          </w:tcPr>
          <w:p>
            <w:pPr>
              <w:spacing w:after="0"/>
              <w:rPr>
                <w:sz w:val="19"/>
                <w:szCs w:val="19"/>
                <w:color w:val="auto"/>
              </w:rPr>
            </w:pPr>
          </w:p>
        </w:tc>
        <w:tc>
          <w:tcPr>
            <w:tcW w:w="120" w:type="dxa"/>
            <w:vAlign w:val="bottom"/>
            <w:tcBorders>
              <w:bottom w:val="single" w:sz="8" w:color="D5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line="229" w:lineRule="exact"/>
              <w:rPr>
                <w:sz w:val="20"/>
                <w:szCs w:val="20"/>
                <w:color w:val="auto"/>
              </w:rPr>
            </w:pPr>
            <w:r>
              <w:rPr>
                <w:rFonts w:ascii="Times New Roman" w:cs="Times New Roman" w:eastAsia="Times New Roman" w:hAnsi="Times New Roman"/>
                <w:sz w:val="20"/>
                <w:szCs w:val="20"/>
                <w:color w:val="auto"/>
              </w:rPr>
              <w:t>2,125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120" w:type="dxa"/>
            <w:vAlign w:val="bottom"/>
            <w:tcBorders>
              <w:bottom w:val="single" w:sz="8" w:color="D5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rPr>
              <w:t>2,132</w:t>
            </w:r>
          </w:p>
        </w:tc>
        <w:tc>
          <w:tcPr>
            <w:tcW w:w="20" w:type="dxa"/>
            <w:vAlign w:val="bottom"/>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29" w:lineRule="exact"/>
              <w:rPr>
                <w:sz w:val="20"/>
                <w:szCs w:val="20"/>
                <w:color w:val="auto"/>
              </w:rPr>
            </w:pPr>
            <w:r>
              <w:rPr>
                <w:rFonts w:ascii="Times New Roman" w:cs="Times New Roman" w:eastAsia="Times New Roman" w:hAnsi="Times New Roman"/>
                <w:sz w:val="20"/>
                <w:szCs w:val="20"/>
                <w:color w:val="auto"/>
              </w:rPr>
              <w:t>1,647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92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87,458</w:t>
            </w:r>
          </w:p>
        </w:tc>
        <w:tc>
          <w:tcPr>
            <w:tcW w:w="20" w:type="dxa"/>
            <w:vAlign w:val="bottom"/>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Borders>
              <w:left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92,132</w:t>
            </w:r>
          </w:p>
        </w:tc>
        <w:tc>
          <w:tcPr>
            <w:tcW w:w="20" w:type="dxa"/>
            <w:vAlign w:val="bottom"/>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121,330</w:t>
            </w:r>
          </w:p>
        </w:tc>
        <w:tc>
          <w:tcPr>
            <w:tcW w:w="20" w:type="dxa"/>
            <w:vAlign w:val="bottom"/>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920" w:type="dxa"/>
            <w:vAlign w:val="bottom"/>
            <w:tcBorders>
              <w:bottom w:val="single" w:sz="8" w:color="D5EEEE"/>
            </w:tcBorders>
          </w:tcPr>
          <w:p>
            <w:pPr>
              <w:spacing w:after="0"/>
              <w:rPr>
                <w:sz w:val="20"/>
                <w:szCs w:val="20"/>
                <w:color w:val="auto"/>
              </w:rPr>
            </w:pPr>
          </w:p>
        </w:tc>
        <w:tc>
          <w:tcPr>
            <w:tcW w:w="12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6,930</w:t>
            </w:r>
          </w:p>
        </w:tc>
        <w:tc>
          <w:tcPr>
            <w:tcW w:w="20" w:type="dxa"/>
            <w:vAlign w:val="bottom"/>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19,692</w:t>
            </w:r>
          </w:p>
        </w:tc>
        <w:tc>
          <w:tcPr>
            <w:tcW w:w="20" w:type="dxa"/>
            <w:vAlign w:val="bottom"/>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920" w:type="dxa"/>
            <w:vAlign w:val="bottom"/>
            <w:shd w:val="clear" w:color="auto" w:fill="D5EEEE"/>
          </w:tcPr>
          <w:p>
            <w:pPr>
              <w:spacing w:after="0"/>
              <w:rPr>
                <w:sz w:val="20"/>
                <w:szCs w:val="20"/>
                <w:color w:val="auto"/>
              </w:rPr>
            </w:pPr>
          </w:p>
        </w:tc>
        <w:tc>
          <w:tcPr>
            <w:tcW w:w="120" w:type="dxa"/>
            <w:vAlign w:val="bottom"/>
            <w:shd w:val="clear" w:color="auto" w:fill="D5EEE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1,200</w:t>
            </w:r>
          </w:p>
        </w:tc>
        <w:tc>
          <w:tcPr>
            <w:tcW w:w="20" w:type="dxa"/>
            <w:vAlign w:val="bottom"/>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Borders>
              <w:left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1,262</w:t>
            </w:r>
          </w:p>
        </w:tc>
        <w:tc>
          <w:tcPr>
            <w:tcW w:w="20" w:type="dxa"/>
            <w:vAlign w:val="bottom"/>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1,458</w:t>
            </w:r>
          </w:p>
        </w:tc>
        <w:tc>
          <w:tcPr>
            <w:tcW w:w="20" w:type="dxa"/>
            <w:vAlign w:val="bottom"/>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20" w:type="dxa"/>
            <w:vAlign w:val="bottom"/>
            <w:tcBorders>
              <w:bottom w:val="single" w:sz="8" w:color="D5EEEE"/>
            </w:tcBorders>
          </w:tcPr>
          <w:p>
            <w:pPr>
              <w:spacing w:after="0"/>
              <w:rPr>
                <w:sz w:val="20"/>
                <w:szCs w:val="20"/>
                <w:color w:val="auto"/>
              </w:rPr>
            </w:pPr>
          </w:p>
        </w:tc>
        <w:tc>
          <w:tcPr>
            <w:tcW w:w="12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851</w:t>
            </w:r>
          </w:p>
        </w:tc>
        <w:tc>
          <w:tcPr>
            <w:tcW w:w="20" w:type="dxa"/>
            <w:vAlign w:val="bottom"/>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1,544</w:t>
            </w:r>
          </w:p>
        </w:tc>
        <w:tc>
          <w:tcPr>
            <w:tcW w:w="20" w:type="dxa"/>
            <w:vAlign w:val="bottom"/>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1,480</w:t>
            </w:r>
          </w:p>
        </w:tc>
        <w:tc>
          <w:tcPr>
            <w:tcW w:w="20" w:type="dxa"/>
            <w:vAlign w:val="bottom"/>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920" w:type="dxa"/>
            <w:vAlign w:val="bottom"/>
            <w:shd w:val="clear" w:color="auto" w:fill="D5EEEE"/>
          </w:tcPr>
          <w:p>
            <w:pPr>
              <w:spacing w:after="0"/>
              <w:rPr>
                <w:sz w:val="20"/>
                <w:szCs w:val="20"/>
                <w:color w:val="auto"/>
              </w:rPr>
            </w:pPr>
          </w:p>
        </w:tc>
        <w:tc>
          <w:tcPr>
            <w:tcW w:w="120" w:type="dxa"/>
            <w:vAlign w:val="bottom"/>
            <w:shd w:val="clear" w:color="auto" w:fill="D5EEE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1,238</w:t>
            </w:r>
          </w:p>
        </w:tc>
        <w:tc>
          <w:tcPr>
            <w:tcW w:w="20" w:type="dxa"/>
            <w:vAlign w:val="bottom"/>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Borders>
              <w:left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304</w:t>
            </w:r>
          </w:p>
        </w:tc>
        <w:tc>
          <w:tcPr>
            <w:tcW w:w="20" w:type="dxa"/>
            <w:vAlign w:val="bottom"/>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20" w:type="dxa"/>
            <w:vAlign w:val="bottom"/>
            <w:tcBorders>
              <w:bottom w:val="single" w:sz="8" w:color="D5EEEE"/>
            </w:tcBorders>
          </w:tcPr>
          <w:p>
            <w:pPr>
              <w:spacing w:after="0"/>
              <w:rPr>
                <w:sz w:val="20"/>
                <w:szCs w:val="20"/>
                <w:color w:val="auto"/>
              </w:rPr>
            </w:pPr>
          </w:p>
        </w:tc>
        <w:tc>
          <w:tcPr>
            <w:tcW w:w="12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465</w:t>
            </w:r>
          </w:p>
        </w:tc>
        <w:tc>
          <w:tcPr>
            <w:tcW w:w="20" w:type="dxa"/>
            <w:vAlign w:val="bottom"/>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443</w:t>
            </w:r>
          </w:p>
        </w:tc>
        <w:tc>
          <w:tcPr>
            <w:tcW w:w="20" w:type="dxa"/>
            <w:vAlign w:val="bottom"/>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w:t>
            </w:r>
          </w:p>
        </w:tc>
        <w:tc>
          <w:tcPr>
            <w:tcW w:w="20" w:type="dxa"/>
            <w:vAlign w:val="bottom"/>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920" w:type="dxa"/>
            <w:vAlign w:val="bottom"/>
            <w:tcBorders>
              <w:bottom w:val="single" w:sz="8" w:color="D5EEEE"/>
            </w:tcBorders>
            <w:shd w:val="clear" w:color="auto" w:fill="D5EEEE"/>
          </w:tcPr>
          <w:p>
            <w:pPr>
              <w:spacing w:after="0"/>
              <w:rPr>
                <w:sz w:val="19"/>
                <w:szCs w:val="19"/>
                <w:color w:val="auto"/>
              </w:rPr>
            </w:pPr>
          </w:p>
        </w:tc>
        <w:tc>
          <w:tcPr>
            <w:tcW w:w="120" w:type="dxa"/>
            <w:vAlign w:val="bottom"/>
            <w:tcBorders>
              <w:bottom w:val="single" w:sz="8" w:color="D5EEEE"/>
            </w:tcBorders>
            <w:shd w:val="clear" w:color="auto" w:fill="D5EEE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122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D5EEEE"/>
            </w:tcBorders>
            <w:shd w:val="clear" w:color="auto" w:fill="D5EEE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40" w:type="dxa"/>
            <w:vAlign w:val="bottom"/>
            <w:tcBorders>
              <w:left w:val="single" w:sz="8" w:color="D5EEEE"/>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638</w:t>
            </w:r>
          </w:p>
        </w:tc>
        <w:tc>
          <w:tcPr>
            <w:tcW w:w="20" w:type="dxa"/>
            <w:vAlign w:val="bottom"/>
          </w:tcPr>
          <w:p>
            <w:pPr>
              <w:spacing w:after="0"/>
              <w:rPr>
                <w:sz w:val="19"/>
                <w:szCs w:val="19"/>
                <w:color w:val="auto"/>
              </w:rPr>
            </w:pPr>
          </w:p>
        </w:tc>
        <w:tc>
          <w:tcPr>
            <w:tcW w:w="80" w:type="dxa"/>
            <w:vAlign w:val="bottom"/>
            <w:tcBorders>
              <w:bottom w:val="single" w:sz="8" w:color="D5EEEE"/>
            </w:tcBorders>
            <w:shd w:val="clear" w:color="auto" w:fill="D5EEE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761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D5EEEE"/>
            </w:tcBorders>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98,264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116,015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3"/>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125,501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920" w:type="dxa"/>
            <w:vAlign w:val="bottom"/>
            <w:tcBorders>
              <w:top w:val="single" w:sz="8" w:color="D5EEEE"/>
            </w:tcBorders>
            <w:shd w:val="clear" w:color="auto" w:fill="D5EEEE"/>
          </w:tcPr>
          <w:p>
            <w:pPr>
              <w:spacing w:after="0"/>
              <w:rPr>
                <w:sz w:val="20"/>
                <w:szCs w:val="20"/>
                <w:color w:val="auto"/>
              </w:rPr>
            </w:pPr>
          </w:p>
        </w:tc>
        <w:tc>
          <w:tcPr>
            <w:tcW w:w="120" w:type="dxa"/>
            <w:vAlign w:val="bottom"/>
            <w:tcBorders>
              <w:top w:val="single" w:sz="8" w:color="D5EEEE"/>
            </w:tcBorders>
            <w:shd w:val="clear" w:color="auto" w:fill="D5EEEE"/>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2"/>
            <w:vMerge w:val="restart"/>
          </w:tcPr>
          <w:p>
            <w:pPr>
              <w:spacing w:after="0"/>
              <w:rPr>
                <w:sz w:val="20"/>
                <w:szCs w:val="20"/>
                <w:color w:val="auto"/>
              </w:rPr>
            </w:pPr>
          </w:p>
        </w:tc>
        <w:tc>
          <w:tcPr>
            <w:tcW w:w="20" w:type="dxa"/>
            <w:vAlign w:val="bottom"/>
            <w:tcBorders>
              <w:top w:val="single" w:sz="8" w:color="auto"/>
            </w:tcBorders>
            <w:vMerge w:val="restart"/>
          </w:tcPr>
          <w:p>
            <w:pPr>
              <w:spacing w:after="0"/>
              <w:rPr>
                <w:sz w:val="20"/>
                <w:szCs w:val="20"/>
                <w:color w:val="auto"/>
              </w:rPr>
            </w:pPr>
          </w:p>
        </w:tc>
        <w:tc>
          <w:tcPr>
            <w:tcW w:w="80" w:type="dxa"/>
            <w:vAlign w:val="bottom"/>
            <w:tcBorders>
              <w:top w:val="single" w:sz="8" w:color="D5EEEE"/>
            </w:tcBorders>
          </w:tcPr>
          <w:p>
            <w:pPr>
              <w:spacing w:after="0"/>
              <w:rPr>
                <w:sz w:val="20"/>
                <w:szCs w:val="20"/>
                <w:color w:val="auto"/>
              </w:rPr>
            </w:pPr>
          </w:p>
        </w:tc>
        <w:tc>
          <w:tcPr>
            <w:tcW w:w="120" w:type="dxa"/>
            <w:vAlign w:val="bottom"/>
            <w:tcBorders>
              <w:top w:val="single" w:sz="8" w:color="D5EEEE"/>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vMerge w:val="restart"/>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D5EEEE"/>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vMerge w:val="restart"/>
          </w:tcPr>
          <w:p>
            <w:pPr>
              <w:spacing w:after="0"/>
              <w:rPr>
                <w:sz w:val="20"/>
                <w:szCs w:val="20"/>
                <w:color w:val="auto"/>
              </w:rPr>
            </w:pPr>
          </w:p>
        </w:tc>
        <w:tc>
          <w:tcPr>
            <w:tcW w:w="1020" w:type="dxa"/>
            <w:vAlign w:val="bottom"/>
            <w:tcBorders>
              <w:top w:val="single" w:sz="8" w:color="auto"/>
            </w:tcBorders>
            <w:vMerge w:val="restart"/>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D5EEEE"/>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20" w:type="dxa"/>
            <w:vAlign w:val="bottom"/>
            <w:tcBorders>
              <w:bottom w:val="single" w:sz="8" w:color="D5EEEE"/>
            </w:tcBorders>
          </w:tcPr>
          <w:p>
            <w:pPr>
              <w:spacing w:after="0"/>
              <w:rPr>
                <w:sz w:val="19"/>
                <w:szCs w:val="19"/>
                <w:color w:val="auto"/>
              </w:rPr>
            </w:pPr>
          </w:p>
        </w:tc>
        <w:tc>
          <w:tcPr>
            <w:tcW w:w="1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30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3,002</w:t>
            </w:r>
          </w:p>
        </w:tc>
        <w:tc>
          <w:tcPr>
            <w:tcW w:w="20" w:type="dxa"/>
            <w:vAlign w:val="bottom"/>
            <w:vMerge w:val="continue"/>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2,708</w:t>
            </w:r>
          </w:p>
        </w:tc>
        <w:tc>
          <w:tcPr>
            <w:tcW w:w="20" w:type="dxa"/>
            <w:vAlign w:val="bottom"/>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10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3,120</w:t>
            </w:r>
          </w:p>
        </w:tc>
        <w:tc>
          <w:tcPr>
            <w:tcW w:w="20" w:type="dxa"/>
            <w:vAlign w:val="bottom"/>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92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gridSpan w:val="2"/>
            <w:shd w:val="clear" w:color="auto" w:fill="D5EEEE"/>
          </w:tcPr>
          <w:p>
            <w:pPr>
              <w:jc w:val="right"/>
              <w:spacing w:after="0" w:line="229" w:lineRule="exact"/>
              <w:rPr>
                <w:sz w:val="20"/>
                <w:szCs w:val="20"/>
                <w:color w:val="auto"/>
              </w:rPr>
            </w:pPr>
            <w:r>
              <w:rPr>
                <w:rFonts w:ascii="Times New Roman" w:cs="Times New Roman" w:eastAsia="Times New Roman" w:hAnsi="Times New Roman"/>
                <w:sz w:val="20"/>
                <w:szCs w:val="20"/>
                <w:color w:val="auto"/>
              </w:rPr>
              <w:t>6,623</w:t>
            </w:r>
          </w:p>
        </w:tc>
        <w:tc>
          <w:tcPr>
            <w:tcW w:w="20" w:type="dxa"/>
            <w:vAlign w:val="bottom"/>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Borders>
              <w:left w:val="single" w:sz="8" w:color="D5EEEE"/>
            </w:tcBorders>
            <w:shd w:val="clear" w:color="auto" w:fill="D5EEEE"/>
          </w:tcPr>
          <w:p>
            <w:pPr>
              <w:jc w:val="right"/>
              <w:spacing w:after="0" w:line="229" w:lineRule="exact"/>
              <w:rPr>
                <w:sz w:val="20"/>
                <w:szCs w:val="20"/>
                <w:color w:val="auto"/>
              </w:rPr>
            </w:pPr>
            <w:r>
              <w:rPr>
                <w:rFonts w:ascii="Times New Roman" w:cs="Times New Roman" w:eastAsia="Times New Roman" w:hAnsi="Times New Roman"/>
                <w:sz w:val="20"/>
                <w:szCs w:val="20"/>
                <w:color w:val="auto"/>
              </w:rPr>
              <w:t>5,363</w:t>
            </w:r>
          </w:p>
        </w:tc>
        <w:tc>
          <w:tcPr>
            <w:tcW w:w="20" w:type="dxa"/>
            <w:vAlign w:val="bottom"/>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shd w:val="clear" w:color="auto" w:fill="D5EEEE"/>
          </w:tcPr>
          <w:p>
            <w:pPr>
              <w:jc w:val="right"/>
              <w:spacing w:after="0" w:line="229" w:lineRule="exact"/>
              <w:rPr>
                <w:sz w:val="20"/>
                <w:szCs w:val="20"/>
                <w:color w:val="auto"/>
              </w:rPr>
            </w:pPr>
            <w:r>
              <w:rPr>
                <w:rFonts w:ascii="Times New Roman" w:cs="Times New Roman" w:eastAsia="Times New Roman" w:hAnsi="Times New Roman"/>
                <w:sz w:val="20"/>
                <w:szCs w:val="20"/>
                <w:color w:val="auto"/>
              </w:rPr>
              <w:t>3,321</w:t>
            </w:r>
          </w:p>
        </w:tc>
        <w:tc>
          <w:tcPr>
            <w:tcW w:w="20" w:type="dxa"/>
            <w:vAlign w:val="bottom"/>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3"/>
                <w:szCs w:val="23"/>
                <w:color w:val="auto"/>
              </w:rPr>
            </w:pPr>
          </w:p>
        </w:tc>
        <w:tc>
          <w:tcPr>
            <w:tcW w:w="120" w:type="dxa"/>
            <w:vAlign w:val="bottom"/>
            <w:tcBorders>
              <w:bottom w:val="single" w:sz="8" w:color="D5EEEE"/>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1,068</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D5EEEE"/>
            </w:tcBorders>
          </w:tcPr>
          <w:p>
            <w:pPr>
              <w:spacing w:after="0"/>
              <w:rPr>
                <w:sz w:val="23"/>
                <w:szCs w:val="23"/>
                <w:color w:val="auto"/>
              </w:rPr>
            </w:pPr>
          </w:p>
        </w:tc>
        <w:tc>
          <w:tcPr>
            <w:tcW w:w="120" w:type="dxa"/>
            <w:vAlign w:val="bottom"/>
            <w:tcBorders>
              <w:bottom w:val="single" w:sz="8" w:color="D5EEEE"/>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bottom w:val="single" w:sz="8" w:color="D5EEEE"/>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949</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D5EEEE"/>
            </w:tcBorders>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5920" w:type="dxa"/>
            <w:vAlign w:val="bottom"/>
            <w:tcBorders>
              <w:top w:val="single" w:sz="8" w:color="D5EEEE"/>
            </w:tcBorders>
            <w:shd w:val="clear" w:color="auto" w:fill="D5EEEE"/>
          </w:tcPr>
          <w:p>
            <w:pPr>
              <w:spacing w:after="0"/>
              <w:rPr>
                <w:sz w:val="17"/>
                <w:szCs w:val="17"/>
                <w:color w:val="auto"/>
              </w:rPr>
            </w:pPr>
          </w:p>
        </w:tc>
        <w:tc>
          <w:tcPr>
            <w:tcW w:w="120" w:type="dxa"/>
            <w:vAlign w:val="bottom"/>
            <w:tcBorders>
              <w:top w:val="single" w:sz="8" w:color="D5EEEE"/>
            </w:tcBorders>
            <w:shd w:val="clear" w:color="auto" w:fill="D5EEEE"/>
          </w:tcPr>
          <w:p>
            <w:pPr>
              <w:spacing w:after="0"/>
              <w:rPr>
                <w:sz w:val="17"/>
                <w:szCs w:val="17"/>
                <w:color w:val="auto"/>
              </w:rPr>
            </w:pPr>
          </w:p>
        </w:tc>
        <w:tc>
          <w:tcPr>
            <w:tcW w:w="100" w:type="dxa"/>
            <w:vAlign w:val="bottom"/>
            <w:tcBorders>
              <w:top w:val="single" w:sz="8" w:color="D5EEEE"/>
            </w:tcBorders>
          </w:tcPr>
          <w:p>
            <w:pPr>
              <w:spacing w:after="0"/>
              <w:rPr>
                <w:sz w:val="17"/>
                <w:szCs w:val="17"/>
                <w:color w:val="auto"/>
              </w:rPr>
            </w:pPr>
          </w:p>
        </w:tc>
        <w:tc>
          <w:tcPr>
            <w:tcW w:w="20" w:type="dxa"/>
            <w:vAlign w:val="bottom"/>
            <w:tcBorders>
              <w:top w:val="single" w:sz="8" w:color="D5EEEE"/>
            </w:tcBorders>
          </w:tcPr>
          <w:p>
            <w:pPr>
              <w:spacing w:after="0"/>
              <w:rPr>
                <w:sz w:val="17"/>
                <w:szCs w:val="17"/>
                <w:color w:val="auto"/>
              </w:rPr>
            </w:pPr>
          </w:p>
        </w:tc>
        <w:tc>
          <w:tcPr>
            <w:tcW w:w="1320" w:type="dxa"/>
            <w:vAlign w:val="bottom"/>
            <w:tcBorders>
              <w:top w:val="single" w:sz="8" w:color="D5EEEE"/>
            </w:tcBorders>
            <w:gridSpan w:val="2"/>
            <w:shd w:val="clear" w:color="auto" w:fill="D5EEEE"/>
          </w:tcPr>
          <w:p>
            <w:pPr>
              <w:jc w:val="right"/>
              <w:spacing w:after="0" w:line="204" w:lineRule="exact"/>
              <w:rPr>
                <w:sz w:val="20"/>
                <w:szCs w:val="20"/>
                <w:color w:val="auto"/>
              </w:rPr>
            </w:pPr>
            <w:r>
              <w:rPr>
                <w:rFonts w:ascii="Times New Roman" w:cs="Times New Roman" w:eastAsia="Times New Roman" w:hAnsi="Times New Roman"/>
                <w:sz w:val="20"/>
                <w:szCs w:val="20"/>
                <w:color w:val="auto"/>
              </w:rPr>
              <w:t>10,693</w:t>
            </w:r>
          </w:p>
        </w:tc>
        <w:tc>
          <w:tcPr>
            <w:tcW w:w="20" w:type="dxa"/>
            <w:vAlign w:val="bottom"/>
            <w:tcBorders>
              <w:top w:val="single" w:sz="8" w:color="D5EEEE"/>
            </w:tcBorders>
          </w:tcPr>
          <w:p>
            <w:pPr>
              <w:spacing w:after="0"/>
              <w:rPr>
                <w:sz w:val="17"/>
                <w:szCs w:val="17"/>
                <w:color w:val="auto"/>
              </w:rPr>
            </w:pPr>
          </w:p>
        </w:tc>
        <w:tc>
          <w:tcPr>
            <w:tcW w:w="80" w:type="dxa"/>
            <w:vAlign w:val="bottom"/>
            <w:tcBorders>
              <w:top w:val="single" w:sz="8" w:color="D5EEEE"/>
            </w:tcBorders>
            <w:shd w:val="clear" w:color="auto" w:fill="D5EEEE"/>
          </w:tcPr>
          <w:p>
            <w:pPr>
              <w:spacing w:after="0"/>
              <w:rPr>
                <w:sz w:val="17"/>
                <w:szCs w:val="17"/>
                <w:color w:val="auto"/>
              </w:rPr>
            </w:pPr>
          </w:p>
        </w:tc>
        <w:tc>
          <w:tcPr>
            <w:tcW w:w="120" w:type="dxa"/>
            <w:vAlign w:val="bottom"/>
            <w:tcBorders>
              <w:top w:val="single" w:sz="8" w:color="D5EEEE"/>
            </w:tcBorders>
          </w:tcPr>
          <w:p>
            <w:pPr>
              <w:spacing w:after="0"/>
              <w:rPr>
                <w:sz w:val="17"/>
                <w:szCs w:val="17"/>
                <w:color w:val="auto"/>
              </w:rPr>
            </w:pPr>
          </w:p>
        </w:tc>
        <w:tc>
          <w:tcPr>
            <w:tcW w:w="100" w:type="dxa"/>
            <w:vAlign w:val="bottom"/>
            <w:tcBorders>
              <w:top w:val="single" w:sz="8" w:color="D5EEEE"/>
            </w:tcBorders>
          </w:tcPr>
          <w:p>
            <w:pPr>
              <w:spacing w:after="0"/>
              <w:rPr>
                <w:sz w:val="17"/>
                <w:szCs w:val="17"/>
                <w:color w:val="auto"/>
              </w:rPr>
            </w:pPr>
          </w:p>
        </w:tc>
        <w:tc>
          <w:tcPr>
            <w:tcW w:w="20" w:type="dxa"/>
            <w:vAlign w:val="bottom"/>
            <w:tcBorders>
              <w:top w:val="single" w:sz="8" w:color="D5EEEE"/>
            </w:tcBorders>
          </w:tcPr>
          <w:p>
            <w:pPr>
              <w:spacing w:after="0"/>
              <w:rPr>
                <w:sz w:val="17"/>
                <w:szCs w:val="17"/>
                <w:color w:val="auto"/>
              </w:rPr>
            </w:pPr>
          </w:p>
        </w:tc>
        <w:tc>
          <w:tcPr>
            <w:tcW w:w="1340" w:type="dxa"/>
            <w:vAlign w:val="bottom"/>
            <w:tcBorders>
              <w:left w:val="single" w:sz="8" w:color="D5EEEE"/>
            </w:tcBorders>
            <w:shd w:val="clear" w:color="auto" w:fill="D5EEEE"/>
          </w:tcPr>
          <w:p>
            <w:pPr>
              <w:jc w:val="right"/>
              <w:spacing w:after="0" w:line="204" w:lineRule="exact"/>
              <w:rPr>
                <w:sz w:val="20"/>
                <w:szCs w:val="20"/>
                <w:color w:val="auto"/>
              </w:rPr>
            </w:pPr>
            <w:r>
              <w:rPr>
                <w:rFonts w:ascii="Times New Roman" w:cs="Times New Roman" w:eastAsia="Times New Roman" w:hAnsi="Times New Roman"/>
                <w:sz w:val="20"/>
                <w:szCs w:val="20"/>
                <w:color w:val="auto"/>
              </w:rPr>
              <w:t>9,146</w:t>
            </w:r>
          </w:p>
        </w:tc>
        <w:tc>
          <w:tcPr>
            <w:tcW w:w="20" w:type="dxa"/>
            <w:vAlign w:val="bottom"/>
          </w:tcPr>
          <w:p>
            <w:pPr>
              <w:spacing w:after="0"/>
              <w:rPr>
                <w:sz w:val="17"/>
                <w:szCs w:val="17"/>
                <w:color w:val="auto"/>
              </w:rPr>
            </w:pPr>
          </w:p>
        </w:tc>
        <w:tc>
          <w:tcPr>
            <w:tcW w:w="80" w:type="dxa"/>
            <w:vAlign w:val="bottom"/>
            <w:tcBorders>
              <w:top w:val="single" w:sz="8" w:color="D5EEEE"/>
            </w:tcBorders>
            <w:shd w:val="clear" w:color="auto" w:fill="D5EEEE"/>
          </w:tcPr>
          <w:p>
            <w:pPr>
              <w:spacing w:after="0"/>
              <w:rPr>
                <w:sz w:val="17"/>
                <w:szCs w:val="17"/>
                <w:color w:val="auto"/>
              </w:rPr>
            </w:pPr>
          </w:p>
        </w:tc>
        <w:tc>
          <w:tcPr>
            <w:tcW w:w="100" w:type="dxa"/>
            <w:vAlign w:val="bottom"/>
            <w:tcBorders>
              <w:top w:val="single" w:sz="8" w:color="D5EEEE"/>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top w:val="single" w:sz="8" w:color="D5EEEE"/>
            </w:tcBorders>
            <w:shd w:val="clear" w:color="auto" w:fill="D5EEEE"/>
          </w:tcPr>
          <w:p>
            <w:pPr>
              <w:jc w:val="right"/>
              <w:spacing w:after="0" w:line="204" w:lineRule="exact"/>
              <w:rPr>
                <w:sz w:val="20"/>
                <w:szCs w:val="20"/>
                <w:color w:val="auto"/>
              </w:rPr>
            </w:pPr>
            <w:r>
              <w:rPr>
                <w:rFonts w:ascii="Times New Roman" w:cs="Times New Roman" w:eastAsia="Times New Roman" w:hAnsi="Times New Roman"/>
                <w:sz w:val="20"/>
                <w:szCs w:val="20"/>
                <w:color w:val="auto"/>
              </w:rPr>
              <w:t>7,390</w:t>
            </w:r>
          </w:p>
        </w:tc>
        <w:tc>
          <w:tcPr>
            <w:tcW w:w="20" w:type="dxa"/>
            <w:vAlign w:val="bottom"/>
            <w:tcBorders>
              <w:top w:val="single" w:sz="8" w:color="D5EEEE"/>
            </w:tcBorders>
          </w:tcPr>
          <w:p>
            <w:pPr>
              <w:spacing w:after="0"/>
              <w:rPr>
                <w:sz w:val="17"/>
                <w:szCs w:val="17"/>
                <w:color w:val="auto"/>
              </w:rPr>
            </w:pPr>
          </w:p>
        </w:tc>
        <w:tc>
          <w:tcPr>
            <w:tcW w:w="80" w:type="dxa"/>
            <w:vAlign w:val="bottom"/>
            <w:tcBorders>
              <w:top w:val="single" w:sz="8" w:color="D5EEEE"/>
            </w:tcBorders>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20" w:type="dxa"/>
            <w:vAlign w:val="bottom"/>
            <w:tcBorders>
              <w:bottom w:val="single" w:sz="8" w:color="D5EEEE"/>
            </w:tcBorders>
          </w:tcPr>
          <w:p>
            <w:pPr>
              <w:spacing w:after="0"/>
              <w:rPr>
                <w:sz w:val="20"/>
                <w:szCs w:val="20"/>
                <w:color w:val="auto"/>
              </w:rPr>
            </w:pPr>
          </w:p>
        </w:tc>
        <w:tc>
          <w:tcPr>
            <w:tcW w:w="12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1,270</w:t>
            </w:r>
          </w:p>
        </w:tc>
        <w:tc>
          <w:tcPr>
            <w:tcW w:w="20" w:type="dxa"/>
            <w:vAlign w:val="bottom"/>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w:t>
            </w:r>
          </w:p>
        </w:tc>
        <w:tc>
          <w:tcPr>
            <w:tcW w:w="20" w:type="dxa"/>
            <w:vAlign w:val="bottom"/>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920" w:type="dxa"/>
            <w:vAlign w:val="bottom"/>
            <w:shd w:val="clear" w:color="auto" w:fill="D5EEEE"/>
          </w:tcPr>
          <w:p>
            <w:pPr>
              <w:spacing w:after="0"/>
              <w:rPr>
                <w:sz w:val="20"/>
                <w:szCs w:val="20"/>
                <w:color w:val="auto"/>
              </w:rPr>
            </w:pPr>
          </w:p>
        </w:tc>
        <w:tc>
          <w:tcPr>
            <w:tcW w:w="120" w:type="dxa"/>
            <w:vAlign w:val="bottom"/>
            <w:shd w:val="clear" w:color="auto" w:fill="D5EEE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698</w:t>
            </w:r>
          </w:p>
        </w:tc>
        <w:tc>
          <w:tcPr>
            <w:tcW w:w="20" w:type="dxa"/>
            <w:vAlign w:val="bottom"/>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Borders>
              <w:left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952</w:t>
            </w:r>
          </w:p>
        </w:tc>
        <w:tc>
          <w:tcPr>
            <w:tcW w:w="20" w:type="dxa"/>
            <w:vAlign w:val="bottom"/>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1,075</w:t>
            </w:r>
          </w:p>
        </w:tc>
        <w:tc>
          <w:tcPr>
            <w:tcW w:w="20" w:type="dxa"/>
            <w:vAlign w:val="bottom"/>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20" w:type="dxa"/>
            <w:vAlign w:val="bottom"/>
            <w:tcBorders>
              <w:bottom w:val="single" w:sz="8" w:color="D5EEEE"/>
            </w:tcBorders>
          </w:tcPr>
          <w:p>
            <w:pPr>
              <w:spacing w:after="0"/>
              <w:rPr>
                <w:sz w:val="20"/>
                <w:szCs w:val="20"/>
                <w:color w:val="auto"/>
              </w:rPr>
            </w:pPr>
          </w:p>
        </w:tc>
        <w:tc>
          <w:tcPr>
            <w:tcW w:w="12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w:t>
            </w:r>
          </w:p>
        </w:tc>
        <w:tc>
          <w:tcPr>
            <w:tcW w:w="20" w:type="dxa"/>
            <w:vAlign w:val="bottom"/>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918</w:t>
            </w:r>
          </w:p>
        </w:tc>
        <w:tc>
          <w:tcPr>
            <w:tcW w:w="20" w:type="dxa"/>
            <w:vAlign w:val="bottom"/>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878</w:t>
            </w:r>
          </w:p>
        </w:tc>
        <w:tc>
          <w:tcPr>
            <w:tcW w:w="20" w:type="dxa"/>
            <w:vAlign w:val="bottom"/>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920" w:type="dxa"/>
            <w:vAlign w:val="bottom"/>
            <w:shd w:val="clear" w:color="auto" w:fill="D5EEEE"/>
          </w:tcPr>
          <w:p>
            <w:pPr>
              <w:spacing w:after="0"/>
              <w:rPr>
                <w:sz w:val="19"/>
                <w:szCs w:val="19"/>
                <w:color w:val="auto"/>
              </w:rPr>
            </w:pPr>
          </w:p>
        </w:tc>
        <w:tc>
          <w:tcPr>
            <w:tcW w:w="120" w:type="dxa"/>
            <w:vAlign w:val="bottom"/>
            <w:shd w:val="clear" w:color="auto" w:fill="D5EEE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40" w:type="dxa"/>
            <w:vAlign w:val="bottom"/>
            <w:tcBorders>
              <w:left w:val="single" w:sz="8" w:color="D5EEEE"/>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113</w:t>
            </w:r>
          </w:p>
        </w:tc>
        <w:tc>
          <w:tcPr>
            <w:tcW w:w="20" w:type="dxa"/>
            <w:vAlign w:val="bottom"/>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503</w:t>
            </w:r>
          </w:p>
        </w:tc>
        <w:tc>
          <w:tcPr>
            <w:tcW w:w="20" w:type="dxa"/>
            <w:vAlign w:val="bottom"/>
            <w:tcBorders>
              <w:bottom w:val="single" w:sz="8" w:color="auto"/>
            </w:tcBorders>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3"/>
                <w:szCs w:val="23"/>
                <w:color w:val="auto"/>
              </w:rPr>
            </w:pPr>
          </w:p>
        </w:tc>
        <w:tc>
          <w:tcPr>
            <w:tcW w:w="120" w:type="dxa"/>
            <w:vAlign w:val="bottom"/>
            <w:tcBorders>
              <w:bottom w:val="single" w:sz="8" w:color="D5EEEE"/>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12,967</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D5EEEE"/>
            </w:tcBorders>
          </w:tcPr>
          <w:p>
            <w:pPr>
              <w:spacing w:after="0"/>
              <w:rPr>
                <w:sz w:val="23"/>
                <w:szCs w:val="23"/>
                <w:color w:val="auto"/>
              </w:rPr>
            </w:pPr>
          </w:p>
        </w:tc>
        <w:tc>
          <w:tcPr>
            <w:tcW w:w="120" w:type="dxa"/>
            <w:vAlign w:val="bottom"/>
            <w:tcBorders>
              <w:bottom w:val="single" w:sz="8" w:color="D5EEEE"/>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11,391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bottom w:val="single" w:sz="8" w:color="D5EEEE"/>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9,846</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D5EEEE"/>
            </w:tcBorders>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5920" w:type="dxa"/>
            <w:vAlign w:val="bottom"/>
            <w:tcBorders>
              <w:top w:val="single" w:sz="8" w:color="D5EEEE"/>
            </w:tcBorders>
            <w:shd w:val="clear" w:color="auto" w:fill="D5EEEE"/>
          </w:tcPr>
          <w:p>
            <w:pPr>
              <w:spacing w:after="0"/>
              <w:rPr>
                <w:sz w:val="16"/>
                <w:szCs w:val="16"/>
                <w:color w:val="auto"/>
              </w:rPr>
            </w:pPr>
          </w:p>
        </w:tc>
        <w:tc>
          <w:tcPr>
            <w:tcW w:w="120" w:type="dxa"/>
            <w:vAlign w:val="bottom"/>
            <w:tcBorders>
              <w:top w:val="single" w:sz="8" w:color="D5EEEE"/>
            </w:tcBorders>
            <w:shd w:val="clear" w:color="auto" w:fill="D5EEEE"/>
          </w:tcPr>
          <w:p>
            <w:pPr>
              <w:spacing w:after="0"/>
              <w:rPr>
                <w:sz w:val="16"/>
                <w:szCs w:val="16"/>
                <w:color w:val="auto"/>
              </w:rPr>
            </w:pPr>
          </w:p>
        </w:tc>
        <w:tc>
          <w:tcPr>
            <w:tcW w:w="100" w:type="dxa"/>
            <w:vAlign w:val="bottom"/>
            <w:tcBorders>
              <w:top w:val="single" w:sz="8" w:color="D5EEEE"/>
            </w:tcBorders>
          </w:tcPr>
          <w:p>
            <w:pPr>
              <w:spacing w:after="0"/>
              <w:rPr>
                <w:sz w:val="16"/>
                <w:szCs w:val="16"/>
                <w:color w:val="auto"/>
              </w:rPr>
            </w:pPr>
          </w:p>
        </w:tc>
        <w:tc>
          <w:tcPr>
            <w:tcW w:w="20" w:type="dxa"/>
            <w:vAlign w:val="bottom"/>
            <w:tcBorders>
              <w:top w:val="single" w:sz="8" w:color="D5EEEE"/>
            </w:tcBorders>
          </w:tcPr>
          <w:p>
            <w:pPr>
              <w:spacing w:after="0"/>
              <w:rPr>
                <w:sz w:val="16"/>
                <w:szCs w:val="16"/>
                <w:color w:val="auto"/>
              </w:rPr>
            </w:pPr>
          </w:p>
        </w:tc>
        <w:tc>
          <w:tcPr>
            <w:tcW w:w="1320" w:type="dxa"/>
            <w:vAlign w:val="bottom"/>
            <w:tcBorders>
              <w:top w:val="single" w:sz="8" w:color="D5EEEE"/>
            </w:tcBorders>
            <w:gridSpan w:val="2"/>
            <w:shd w:val="clear" w:color="auto" w:fill="D5EEEE"/>
          </w:tcPr>
          <w:p>
            <w:pPr>
              <w:jc w:val="right"/>
              <w:spacing w:after="0" w:line="191" w:lineRule="exact"/>
              <w:rPr>
                <w:sz w:val="20"/>
                <w:szCs w:val="20"/>
                <w:color w:val="auto"/>
              </w:rPr>
            </w:pPr>
            <w:r>
              <w:rPr>
                <w:rFonts w:ascii="Times New Roman" w:cs="Times New Roman" w:eastAsia="Times New Roman" w:hAnsi="Times New Roman"/>
                <w:sz w:val="20"/>
                <w:szCs w:val="20"/>
                <w:color w:val="auto"/>
              </w:rPr>
              <w:t>557</w:t>
            </w:r>
          </w:p>
        </w:tc>
        <w:tc>
          <w:tcPr>
            <w:tcW w:w="20" w:type="dxa"/>
            <w:vAlign w:val="bottom"/>
            <w:tcBorders>
              <w:top w:val="single" w:sz="8" w:color="D5EEEE"/>
            </w:tcBorders>
          </w:tcPr>
          <w:p>
            <w:pPr>
              <w:spacing w:after="0"/>
              <w:rPr>
                <w:sz w:val="16"/>
                <w:szCs w:val="16"/>
                <w:color w:val="auto"/>
              </w:rPr>
            </w:pPr>
          </w:p>
        </w:tc>
        <w:tc>
          <w:tcPr>
            <w:tcW w:w="80" w:type="dxa"/>
            <w:vAlign w:val="bottom"/>
            <w:tcBorders>
              <w:top w:val="single" w:sz="8" w:color="D5EEEE"/>
            </w:tcBorders>
            <w:shd w:val="clear" w:color="auto" w:fill="D5EEEE"/>
          </w:tcPr>
          <w:p>
            <w:pPr>
              <w:spacing w:after="0"/>
              <w:rPr>
                <w:sz w:val="16"/>
                <w:szCs w:val="16"/>
                <w:color w:val="auto"/>
              </w:rPr>
            </w:pPr>
          </w:p>
        </w:tc>
        <w:tc>
          <w:tcPr>
            <w:tcW w:w="120" w:type="dxa"/>
            <w:vAlign w:val="bottom"/>
            <w:tcBorders>
              <w:top w:val="single" w:sz="8" w:color="D5EEEE"/>
            </w:tcBorders>
          </w:tcPr>
          <w:p>
            <w:pPr>
              <w:spacing w:after="0"/>
              <w:rPr>
                <w:sz w:val="16"/>
                <w:szCs w:val="16"/>
                <w:color w:val="auto"/>
              </w:rPr>
            </w:pPr>
          </w:p>
        </w:tc>
        <w:tc>
          <w:tcPr>
            <w:tcW w:w="100" w:type="dxa"/>
            <w:vAlign w:val="bottom"/>
            <w:tcBorders>
              <w:top w:val="single" w:sz="8" w:color="D5EEEE"/>
            </w:tcBorders>
          </w:tcPr>
          <w:p>
            <w:pPr>
              <w:spacing w:after="0"/>
              <w:rPr>
                <w:sz w:val="16"/>
                <w:szCs w:val="16"/>
                <w:color w:val="auto"/>
              </w:rPr>
            </w:pPr>
          </w:p>
        </w:tc>
        <w:tc>
          <w:tcPr>
            <w:tcW w:w="20" w:type="dxa"/>
            <w:vAlign w:val="bottom"/>
            <w:tcBorders>
              <w:top w:val="single" w:sz="8" w:color="D5EEEE"/>
            </w:tcBorders>
          </w:tcPr>
          <w:p>
            <w:pPr>
              <w:spacing w:after="0"/>
              <w:rPr>
                <w:sz w:val="16"/>
                <w:szCs w:val="16"/>
                <w:color w:val="auto"/>
              </w:rPr>
            </w:pPr>
          </w:p>
        </w:tc>
        <w:tc>
          <w:tcPr>
            <w:tcW w:w="1340" w:type="dxa"/>
            <w:vAlign w:val="bottom"/>
            <w:tcBorders>
              <w:left w:val="single" w:sz="8" w:color="D5EEEE"/>
            </w:tcBorders>
            <w:shd w:val="clear" w:color="auto" w:fill="D5EEEE"/>
          </w:tcPr>
          <w:p>
            <w:pPr>
              <w:jc w:val="right"/>
              <w:spacing w:after="0" w:line="191"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6"/>
                <w:szCs w:val="16"/>
                <w:color w:val="auto"/>
              </w:rPr>
            </w:pPr>
          </w:p>
        </w:tc>
        <w:tc>
          <w:tcPr>
            <w:tcW w:w="80" w:type="dxa"/>
            <w:vAlign w:val="bottom"/>
            <w:tcBorders>
              <w:top w:val="single" w:sz="8" w:color="D5EEEE"/>
            </w:tcBorders>
            <w:shd w:val="clear" w:color="auto" w:fill="D5EEEE"/>
          </w:tcPr>
          <w:p>
            <w:pPr>
              <w:spacing w:after="0"/>
              <w:rPr>
                <w:sz w:val="16"/>
                <w:szCs w:val="16"/>
                <w:color w:val="auto"/>
              </w:rPr>
            </w:pPr>
          </w:p>
        </w:tc>
        <w:tc>
          <w:tcPr>
            <w:tcW w:w="100" w:type="dxa"/>
            <w:vAlign w:val="bottom"/>
            <w:tcBorders>
              <w:top w:val="single" w:sz="8" w:color="D5EEEE"/>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Borders>
              <w:top w:val="single" w:sz="8" w:color="D5EEEE"/>
            </w:tcBorders>
            <w:shd w:val="clear" w:color="auto" w:fill="D5EEEE"/>
          </w:tcPr>
          <w:p>
            <w:pPr>
              <w:jc w:val="right"/>
              <w:spacing w:after="0" w:line="191"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top w:val="single" w:sz="8" w:color="D5EEEE"/>
            </w:tcBorders>
          </w:tcPr>
          <w:p>
            <w:pPr>
              <w:spacing w:after="0"/>
              <w:rPr>
                <w:sz w:val="16"/>
                <w:szCs w:val="16"/>
                <w:color w:val="auto"/>
              </w:rPr>
            </w:pPr>
          </w:p>
        </w:tc>
        <w:tc>
          <w:tcPr>
            <w:tcW w:w="80" w:type="dxa"/>
            <w:vAlign w:val="bottom"/>
            <w:tcBorders>
              <w:top w:val="single" w:sz="8" w:color="D5EEEE"/>
            </w:tcBorders>
            <w:shd w:val="clear" w:color="auto" w:fill="D5EEE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920" w:type="dxa"/>
            <w:vAlign w:val="bottom"/>
            <w:tcBorders>
              <w:bottom w:val="single" w:sz="8" w:color="D5EEEE"/>
            </w:tcBorders>
          </w:tcPr>
          <w:p>
            <w:pPr>
              <w:spacing w:after="0"/>
              <w:rPr>
                <w:sz w:val="21"/>
                <w:szCs w:val="21"/>
                <w:color w:val="auto"/>
              </w:rPr>
            </w:pPr>
          </w:p>
        </w:tc>
        <w:tc>
          <w:tcPr>
            <w:tcW w:w="12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5920" w:type="dxa"/>
            <w:vAlign w:val="bottom"/>
            <w:shd w:val="clear" w:color="auto" w:fill="D5EEEE"/>
          </w:tcPr>
          <w:p>
            <w:pPr>
              <w:spacing w:after="0"/>
              <w:rPr>
                <w:sz w:val="19"/>
                <w:szCs w:val="19"/>
                <w:color w:val="auto"/>
              </w:rPr>
            </w:pPr>
          </w:p>
        </w:tc>
        <w:tc>
          <w:tcPr>
            <w:tcW w:w="120" w:type="dxa"/>
            <w:vAlign w:val="bottom"/>
            <w:shd w:val="clear" w:color="auto" w:fill="D5EEE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5"/>
        </w:trPr>
        <w:tc>
          <w:tcPr>
            <w:tcW w:w="59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authorized, 25,208,436, 24,925,743 and 24,895,864 shares issued and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outstanding at December 31, 2022, December 31, 2021 and June 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9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2021, respectively</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5"/>
        </w:trPr>
        <w:tc>
          <w:tcPr>
            <w:tcW w:w="5920" w:type="dxa"/>
            <w:vAlign w:val="bottom"/>
            <w:tcBorders>
              <w:top w:val="single" w:sz="8" w:color="D5EEEE"/>
            </w:tcBorders>
            <w:shd w:val="clear" w:color="auto" w:fill="D5EEEE"/>
          </w:tcPr>
          <w:p>
            <w:pPr>
              <w:ind w:left="280"/>
              <w:spacing w:after="0"/>
              <w:rPr>
                <w:sz w:val="20"/>
                <w:szCs w:val="20"/>
                <w:color w:val="auto"/>
              </w:rPr>
            </w:pPr>
            <w:r>
              <w:rPr>
                <w:rFonts w:ascii="Times New Roman" w:cs="Times New Roman" w:eastAsia="Times New Roman" w:hAnsi="Times New Roman"/>
                <w:sz w:val="20"/>
                <w:szCs w:val="20"/>
                <w:color w:val="auto"/>
              </w:rPr>
              <w:t>authorized, no shares issued or outstanding at December 31, 2022,</w:t>
            </w:r>
          </w:p>
        </w:tc>
        <w:tc>
          <w:tcPr>
            <w:tcW w:w="120" w:type="dxa"/>
            <w:vAlign w:val="bottom"/>
            <w:tcBorders>
              <w:top w:val="single" w:sz="8" w:color="D5EEEE"/>
            </w:tcBorders>
            <w:shd w:val="clear" w:color="auto" w:fill="D5EEEE"/>
          </w:tcPr>
          <w:p>
            <w:pPr>
              <w:spacing w:after="0"/>
              <w:rPr>
                <w:sz w:val="24"/>
                <w:szCs w:val="24"/>
                <w:color w:val="auto"/>
              </w:rPr>
            </w:pPr>
          </w:p>
        </w:tc>
        <w:tc>
          <w:tcPr>
            <w:tcW w:w="100" w:type="dxa"/>
            <w:vAlign w:val="bottom"/>
            <w:tcBorders>
              <w:top w:val="single" w:sz="8" w:color="D5EEEE"/>
            </w:tcBorders>
          </w:tcPr>
          <w:p>
            <w:pPr>
              <w:spacing w:after="0"/>
              <w:rPr>
                <w:sz w:val="24"/>
                <w:szCs w:val="24"/>
                <w:color w:val="auto"/>
              </w:rPr>
            </w:pPr>
          </w:p>
        </w:tc>
        <w:tc>
          <w:tcPr>
            <w:tcW w:w="20" w:type="dxa"/>
            <w:vAlign w:val="bottom"/>
            <w:tcBorders>
              <w:top w:val="single" w:sz="8" w:color="D5EEEE"/>
            </w:tcBorders>
          </w:tcPr>
          <w:p>
            <w:pPr>
              <w:spacing w:after="0"/>
              <w:rPr>
                <w:sz w:val="24"/>
                <w:szCs w:val="24"/>
                <w:color w:val="auto"/>
              </w:rPr>
            </w:pPr>
          </w:p>
        </w:tc>
        <w:tc>
          <w:tcPr>
            <w:tcW w:w="20" w:type="dxa"/>
            <w:vAlign w:val="bottom"/>
            <w:tcBorders>
              <w:top w:val="single" w:sz="8" w:color="D5EEEE"/>
            </w:tcBorders>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D5EEEE"/>
            </w:tcBorders>
            <w:shd w:val="clear" w:color="auto" w:fill="D5EEE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D5EEEE"/>
            </w:tcBorders>
            <w:shd w:val="clear" w:color="auto" w:fill="D5EEEE"/>
          </w:tcPr>
          <w:p>
            <w:pPr>
              <w:spacing w:after="0"/>
              <w:rPr>
                <w:sz w:val="24"/>
                <w:szCs w:val="24"/>
                <w:color w:val="auto"/>
              </w:rPr>
            </w:pPr>
          </w:p>
        </w:tc>
        <w:tc>
          <w:tcPr>
            <w:tcW w:w="100" w:type="dxa"/>
            <w:vAlign w:val="bottom"/>
            <w:tcBorders>
              <w:top w:val="single" w:sz="8" w:color="D5EEEE"/>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D5EEEE"/>
            </w:tcBorders>
            <w:shd w:val="clear" w:color="auto" w:fill="D5EEEE"/>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20" w:type="dxa"/>
            <w:vAlign w:val="bottom"/>
            <w:shd w:val="clear" w:color="auto" w:fill="D5EEEE"/>
          </w:tcPr>
          <w:p>
            <w:pPr>
              <w:ind w:left="280"/>
              <w:spacing w:after="0"/>
              <w:rPr>
                <w:sz w:val="20"/>
                <w:szCs w:val="20"/>
                <w:color w:val="auto"/>
              </w:rPr>
            </w:pPr>
            <w:r>
              <w:rPr>
                <w:rFonts w:ascii="Times New Roman" w:cs="Times New Roman" w:eastAsia="Times New Roman" w:hAnsi="Times New Roman"/>
                <w:sz w:val="20"/>
                <w:szCs w:val="20"/>
                <w:color w:val="auto"/>
              </w:rPr>
              <w:t>December 31, 2021 and June 30, 2021.</w:t>
            </w:r>
          </w:p>
        </w:tc>
        <w:tc>
          <w:tcPr>
            <w:tcW w:w="120" w:type="dxa"/>
            <w:vAlign w:val="bottom"/>
            <w:shd w:val="clear" w:color="auto" w:fill="D5EEE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Borders>
              <w:left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9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auto"/>
              </w:rPr>
              <w:t>compensation plan</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gridSpan w:val="2"/>
          </w:tcPr>
          <w:p>
            <w:pPr>
              <w:spacing w:after="0"/>
              <w:rPr>
                <w:sz w:val="21"/>
                <w:szCs w:val="21"/>
                <w:color w:val="auto"/>
              </w:rPr>
            </w:pPr>
          </w:p>
        </w:tc>
        <w:tc>
          <w:tcPr>
            <w:tcW w:w="20" w:type="dxa"/>
            <w:vAlign w:val="bottom"/>
            <w:vMerge w:val="restart"/>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920" w:type="dxa"/>
            <w:vAlign w:val="bottom"/>
            <w:tcBorders>
              <w:bottom w:val="single" w:sz="8" w:color="D5EEEE"/>
            </w:tcBorders>
            <w:vMerge w:val="continue"/>
          </w:tcPr>
          <w:p>
            <w:pPr>
              <w:spacing w:after="0"/>
              <w:rPr>
                <w:sz w:val="20"/>
                <w:szCs w:val="20"/>
                <w:color w:val="auto"/>
              </w:rPr>
            </w:pPr>
          </w:p>
        </w:tc>
        <w:tc>
          <w:tcPr>
            <w:tcW w:w="12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20" w:type="dxa"/>
            <w:vAlign w:val="bottom"/>
            <w:vMerge w:val="continue"/>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920" w:type="dxa"/>
            <w:vAlign w:val="bottom"/>
            <w:shd w:val="clear" w:color="auto" w:fill="D5EEEE"/>
          </w:tcPr>
          <w:p>
            <w:pPr>
              <w:spacing w:after="0"/>
              <w:rPr>
                <w:sz w:val="20"/>
                <w:szCs w:val="20"/>
                <w:color w:val="auto"/>
              </w:rPr>
            </w:pPr>
          </w:p>
        </w:tc>
        <w:tc>
          <w:tcPr>
            <w:tcW w:w="120" w:type="dxa"/>
            <w:vAlign w:val="bottom"/>
            <w:shd w:val="clear" w:color="auto" w:fill="D5EEE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339,825</w:t>
            </w:r>
          </w:p>
        </w:tc>
        <w:tc>
          <w:tcPr>
            <w:tcW w:w="20" w:type="dxa"/>
            <w:vAlign w:val="bottom"/>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Borders>
              <w:left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332,484</w:t>
            </w:r>
          </w:p>
        </w:tc>
        <w:tc>
          <w:tcPr>
            <w:tcW w:w="20" w:type="dxa"/>
            <w:vAlign w:val="bottom"/>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328,889</w:t>
            </w:r>
          </w:p>
        </w:tc>
        <w:tc>
          <w:tcPr>
            <w:tcW w:w="20" w:type="dxa"/>
            <w:vAlign w:val="bottom"/>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20" w:type="dxa"/>
            <w:vAlign w:val="bottom"/>
            <w:tcBorders>
              <w:bottom w:val="single" w:sz="8" w:color="D5EEEE"/>
            </w:tcBorders>
          </w:tcPr>
          <w:p>
            <w:pPr>
              <w:spacing w:after="0"/>
              <w:rPr>
                <w:sz w:val="20"/>
                <w:szCs w:val="20"/>
                <w:color w:val="auto"/>
              </w:rPr>
            </w:pPr>
          </w:p>
        </w:tc>
        <w:tc>
          <w:tcPr>
            <w:tcW w:w="12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7,627</w:t>
            </w:r>
          </w:p>
        </w:tc>
        <w:tc>
          <w:tcPr>
            <w:tcW w:w="20" w:type="dxa"/>
            <w:vAlign w:val="bottom"/>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120" w:type="dxa"/>
            <w:vAlign w:val="bottom"/>
            <w:tcBorders>
              <w:bottom w:val="single" w:sz="8" w:color="D5EEEE"/>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8,060</w:t>
            </w:r>
          </w:p>
        </w:tc>
        <w:tc>
          <w:tcPr>
            <w:tcW w:w="20" w:type="dxa"/>
            <w:vAlign w:val="bottom"/>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8,259</w:t>
            </w:r>
          </w:p>
        </w:tc>
        <w:tc>
          <w:tcPr>
            <w:tcW w:w="20" w:type="dxa"/>
            <w:vAlign w:val="bottom"/>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920" w:type="dxa"/>
            <w:vAlign w:val="bottom"/>
            <w:shd w:val="clear" w:color="auto" w:fill="D5EEEE"/>
          </w:tcPr>
          <w:p>
            <w:pPr>
              <w:ind w:left="280"/>
              <w:spacing w:after="0" w:line="225" w:lineRule="exact"/>
              <w:rPr>
                <w:sz w:val="20"/>
                <w:szCs w:val="20"/>
                <w:color w:val="auto"/>
              </w:rPr>
            </w:pPr>
            <w:r>
              <w:rPr>
                <w:rFonts w:ascii="Times New Roman" w:cs="Times New Roman" w:eastAsia="Times New Roman" w:hAnsi="Times New Roman"/>
                <w:sz w:val="20"/>
                <w:szCs w:val="20"/>
                <w:color w:val="auto"/>
              </w:rPr>
              <w:t>Accumulated deficit</w:t>
            </w:r>
          </w:p>
        </w:tc>
        <w:tc>
          <w:tcPr>
            <w:tcW w:w="120" w:type="dxa"/>
            <w:vAlign w:val="bottom"/>
            <w:shd w:val="clear" w:color="auto" w:fill="D5EEE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(262,588)</w:t>
            </w:r>
          </w:p>
        </w:tc>
        <w:tc>
          <w:tcPr>
            <w:tcW w:w="20" w:type="dxa"/>
            <w:vAlign w:val="bottom"/>
            <w:tcBorders>
              <w:bottom w:val="single" w:sz="8" w:color="auto"/>
            </w:tcBorders>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120" w:type="dxa"/>
            <w:vAlign w:val="bottom"/>
            <w:shd w:val="clear" w:color="auto" w:fill="D5EEE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40" w:type="dxa"/>
            <w:vAlign w:val="bottom"/>
            <w:tcBorders>
              <w:left w:val="single" w:sz="8" w:color="D5EEEE"/>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(235,923)</w:t>
            </w:r>
          </w:p>
        </w:tc>
        <w:tc>
          <w:tcPr>
            <w:tcW w:w="20" w:type="dxa"/>
            <w:vAlign w:val="bottom"/>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(221,496</w:t>
            </w:r>
          </w:p>
        </w:tc>
        <w:tc>
          <w:tcPr>
            <w:tcW w:w="20" w:type="dxa"/>
            <w:vAlign w:val="bottom"/>
            <w:tcBorders>
              <w:bottom w:val="single" w:sz="8" w:color="auto"/>
            </w:tcBorders>
          </w:tcPr>
          <w:p>
            <w:pPr>
              <w:spacing w:after="0"/>
              <w:rPr>
                <w:sz w:val="19"/>
                <w:szCs w:val="19"/>
                <w:color w:val="auto"/>
              </w:rPr>
            </w:pPr>
          </w:p>
        </w:tc>
        <w:tc>
          <w:tcPr>
            <w:tcW w:w="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D5EEEE"/>
              </w:rPr>
              <w:t>)</w:t>
            </w:r>
          </w:p>
        </w:tc>
        <w:tc>
          <w:tcPr>
            <w:tcW w:w="0" w:type="dxa"/>
            <w:vAlign w:val="bottom"/>
          </w:tcPr>
          <w:p>
            <w:pPr>
              <w:spacing w:after="0"/>
              <w:rPr>
                <w:sz w:val="1"/>
                <w:szCs w:val="1"/>
                <w:color w:val="auto"/>
              </w:rPr>
            </w:pPr>
          </w:p>
        </w:tc>
      </w:tr>
      <w:tr>
        <w:trPr>
          <w:trHeight w:val="250"/>
        </w:trPr>
        <w:tc>
          <w:tcPr>
            <w:tcW w:w="5920" w:type="dxa"/>
            <w:vAlign w:val="bottom"/>
            <w:tcBorders>
              <w:bottom w:val="single" w:sz="8" w:color="D5EEEE"/>
            </w:tcBorders>
          </w:tcPr>
          <w:p>
            <w:pPr>
              <w:spacing w:after="0"/>
              <w:rPr>
                <w:sz w:val="21"/>
                <w:szCs w:val="21"/>
                <w:color w:val="auto"/>
              </w:rPr>
            </w:pPr>
          </w:p>
        </w:tc>
        <w:tc>
          <w:tcPr>
            <w:tcW w:w="120" w:type="dxa"/>
            <w:vAlign w:val="bottom"/>
            <w:tcBorders>
              <w:bottom w:val="single" w:sz="8" w:color="D5EEEE"/>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84,740</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120" w:type="dxa"/>
            <w:vAlign w:val="bottom"/>
            <w:tcBorders>
              <w:bottom w:val="single" w:sz="8" w:color="D5EEEE"/>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104,624</w:t>
            </w:r>
          </w:p>
        </w:tc>
        <w:tc>
          <w:tcPr>
            <w:tcW w:w="20" w:type="dxa"/>
            <w:vAlign w:val="bottom"/>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115,655</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20" w:type="dxa"/>
            <w:vAlign w:val="bottom"/>
            <w:tcBorders>
              <w:top w:val="single" w:sz="8" w:color="D5EEEE"/>
            </w:tcBorders>
            <w:vMerge w:val="restart"/>
            <w:shd w:val="clear" w:color="auto" w:fill="D5EEEE"/>
          </w:tcPr>
          <w:p>
            <w:pPr>
              <w:spacing w:after="0"/>
              <w:rPr>
                <w:sz w:val="20"/>
                <w:szCs w:val="20"/>
                <w:color w:val="auto"/>
              </w:rPr>
            </w:pPr>
            <w:r>
              <w:rPr>
                <w:rFonts w:ascii="Times New Roman" w:cs="Times New Roman" w:eastAsia="Times New Roman" w:hAnsi="Times New Roman"/>
                <w:sz w:val="20"/>
                <w:szCs w:val="20"/>
                <w:color w:val="auto"/>
              </w:rPr>
              <w:t>and shareholders' equity</w:t>
            </w:r>
          </w:p>
        </w:tc>
        <w:tc>
          <w:tcPr>
            <w:tcW w:w="12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D5EEEE"/>
            </w:tcBorders>
          </w:tcPr>
          <w:p>
            <w:pPr>
              <w:spacing w:after="0"/>
              <w:rPr>
                <w:sz w:val="18"/>
                <w:szCs w:val="18"/>
                <w:color w:val="auto"/>
              </w:rPr>
            </w:pPr>
          </w:p>
        </w:tc>
        <w:tc>
          <w:tcPr>
            <w:tcW w:w="20" w:type="dxa"/>
            <w:vAlign w:val="bottom"/>
            <w:tcBorders>
              <w:top w:val="single" w:sz="8" w:color="D5EEEE"/>
            </w:tcBorders>
            <w:vMerge w:val="restart"/>
          </w:tcPr>
          <w:p>
            <w:pPr>
              <w:spacing w:after="0"/>
              <w:rPr>
                <w:sz w:val="18"/>
                <w:szCs w:val="18"/>
                <w:color w:val="auto"/>
              </w:rPr>
            </w:pPr>
          </w:p>
        </w:tc>
        <w:tc>
          <w:tcPr>
            <w:tcW w:w="1320" w:type="dxa"/>
            <w:vAlign w:val="bottom"/>
            <w:tcBorders>
              <w:top w:val="single" w:sz="8" w:color="D5EEEE"/>
            </w:tcBorders>
            <w:gridSpan w:val="2"/>
            <w:vMerge w:val="restart"/>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98,264</w:t>
            </w:r>
          </w:p>
        </w:tc>
        <w:tc>
          <w:tcPr>
            <w:tcW w:w="20" w:type="dxa"/>
            <w:vAlign w:val="bottom"/>
            <w:tcBorders>
              <w:top w:val="single" w:sz="8" w:color="D5EEEE"/>
            </w:tcBorders>
            <w:vMerge w:val="restart"/>
            <w:shd w:val="clear" w:color="auto" w:fill="D5EEEE"/>
          </w:tcPr>
          <w:p>
            <w:pPr>
              <w:spacing w:after="0"/>
              <w:rPr>
                <w:sz w:val="18"/>
                <w:szCs w:val="18"/>
                <w:color w:val="auto"/>
              </w:rPr>
            </w:pPr>
          </w:p>
        </w:tc>
        <w:tc>
          <w:tcPr>
            <w:tcW w:w="80" w:type="dxa"/>
            <w:vAlign w:val="bottom"/>
            <w:tcBorders>
              <w:top w:val="single" w:sz="8" w:color="D5EEEE"/>
            </w:tcBorders>
            <w:shd w:val="clear" w:color="auto" w:fill="D5EEEE"/>
          </w:tcPr>
          <w:p>
            <w:pPr>
              <w:spacing w:after="0"/>
              <w:rPr>
                <w:sz w:val="18"/>
                <w:szCs w:val="18"/>
                <w:color w:val="auto"/>
              </w:rPr>
            </w:pPr>
          </w:p>
        </w:tc>
        <w:tc>
          <w:tcPr>
            <w:tcW w:w="120" w:type="dxa"/>
            <w:vAlign w:val="bottom"/>
            <w:tcBorders>
              <w:top w:val="single" w:sz="8" w:color="D5EEEE"/>
            </w:tcBorders>
            <w:vMerge w:val="restart"/>
          </w:tcPr>
          <w:p>
            <w:pPr>
              <w:spacing w:after="0"/>
              <w:rPr>
                <w:sz w:val="18"/>
                <w:szCs w:val="18"/>
                <w:color w:val="auto"/>
              </w:rPr>
            </w:pPr>
          </w:p>
        </w:tc>
        <w:tc>
          <w:tcPr>
            <w:tcW w:w="100" w:type="dxa"/>
            <w:vAlign w:val="bottom"/>
            <w:tcBorders>
              <w:top w:val="single" w:sz="8" w:color="D5EEEE"/>
            </w:tcBorders>
          </w:tcPr>
          <w:p>
            <w:pPr>
              <w:spacing w:after="0"/>
              <w:rPr>
                <w:sz w:val="18"/>
                <w:szCs w:val="18"/>
                <w:color w:val="auto"/>
              </w:rPr>
            </w:pPr>
          </w:p>
        </w:tc>
        <w:tc>
          <w:tcPr>
            <w:tcW w:w="20" w:type="dxa"/>
            <w:vAlign w:val="bottom"/>
            <w:tcBorders>
              <w:top w:val="single" w:sz="8" w:color="D5EEEE"/>
            </w:tcBorders>
          </w:tcPr>
          <w:p>
            <w:pPr>
              <w:spacing w:after="0"/>
              <w:rPr>
                <w:sz w:val="18"/>
                <w:szCs w:val="18"/>
                <w:color w:val="auto"/>
              </w:rPr>
            </w:pPr>
          </w:p>
        </w:tc>
        <w:tc>
          <w:tcPr>
            <w:tcW w:w="1340" w:type="dxa"/>
            <w:vAlign w:val="bottom"/>
            <w:tcBorders>
              <w:top w:val="single" w:sz="8" w:color="D5EEEE"/>
              <w:left w:val="single" w:sz="8" w:color="D5EEEE"/>
            </w:tcBorders>
            <w:vMerge w:val="restart"/>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116,015</w:t>
            </w:r>
          </w:p>
        </w:tc>
        <w:tc>
          <w:tcPr>
            <w:tcW w:w="20" w:type="dxa"/>
            <w:vAlign w:val="bottom"/>
          </w:tcPr>
          <w:p>
            <w:pPr>
              <w:spacing w:after="0"/>
              <w:rPr>
                <w:sz w:val="18"/>
                <w:szCs w:val="18"/>
                <w:color w:val="auto"/>
              </w:rPr>
            </w:pPr>
          </w:p>
        </w:tc>
        <w:tc>
          <w:tcPr>
            <w:tcW w:w="8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D5EEEE"/>
            </w:tcBorders>
            <w:vMerge w:val="restart"/>
          </w:tcPr>
          <w:p>
            <w:pPr>
              <w:spacing w:after="0"/>
              <w:rPr>
                <w:sz w:val="18"/>
                <w:szCs w:val="18"/>
                <w:color w:val="auto"/>
              </w:rPr>
            </w:pPr>
          </w:p>
        </w:tc>
        <w:tc>
          <w:tcPr>
            <w:tcW w:w="200" w:type="dxa"/>
            <w:vAlign w:val="bottom"/>
            <w:gridSpan w:val="2"/>
            <w:vMerge w:val="restart"/>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1020" w:type="dxa"/>
            <w:vAlign w:val="bottom"/>
            <w:tcBorders>
              <w:top w:val="single" w:sz="8" w:color="D5EEEE"/>
            </w:tcBorders>
            <w:vMerge w:val="restart"/>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125,501</w:t>
            </w:r>
          </w:p>
        </w:tc>
        <w:tc>
          <w:tcPr>
            <w:tcW w:w="20" w:type="dxa"/>
            <w:vAlign w:val="bottom"/>
            <w:tcBorders>
              <w:top w:val="single" w:sz="8" w:color="D5EEEE"/>
            </w:tcBorders>
            <w:shd w:val="clear" w:color="auto" w:fill="D5EEEE"/>
          </w:tcPr>
          <w:p>
            <w:pPr>
              <w:spacing w:after="0"/>
              <w:rPr>
                <w:sz w:val="18"/>
                <w:szCs w:val="18"/>
                <w:color w:val="auto"/>
              </w:rPr>
            </w:pPr>
          </w:p>
        </w:tc>
        <w:tc>
          <w:tcPr>
            <w:tcW w:w="80" w:type="dxa"/>
            <w:vAlign w:val="bottom"/>
            <w:tcBorders>
              <w:top w:val="single" w:sz="8" w:color="D5EEEE"/>
            </w:tcBorders>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20" w:type="dxa"/>
            <w:vAlign w:val="bottom"/>
            <w:vMerge w:val="continue"/>
            <w:shd w:val="clear" w:color="auto" w:fill="D5EEEE"/>
          </w:tcPr>
          <w:p>
            <w:pPr>
              <w:spacing w:after="0"/>
              <w:rPr>
                <w:sz w:val="20"/>
                <w:szCs w:val="20"/>
                <w:color w:val="auto"/>
              </w:rPr>
            </w:pPr>
          </w:p>
        </w:tc>
        <w:tc>
          <w:tcPr>
            <w:tcW w:w="120" w:type="dxa"/>
            <w:vAlign w:val="bottom"/>
            <w:shd w:val="clear" w:color="auto" w:fill="D5EEEE"/>
          </w:tcPr>
          <w:p>
            <w:pPr>
              <w:spacing w:after="0"/>
              <w:rPr>
                <w:sz w:val="20"/>
                <w:szCs w:val="20"/>
                <w:color w:val="auto"/>
              </w:rPr>
            </w:pPr>
          </w:p>
        </w:tc>
        <w:tc>
          <w:tcPr>
            <w:tcW w:w="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vMerge w:val="continue"/>
          </w:tcPr>
          <w:p>
            <w:pPr>
              <w:spacing w:after="0"/>
              <w:rPr>
                <w:sz w:val="20"/>
                <w:szCs w:val="20"/>
                <w:color w:val="auto"/>
              </w:rPr>
            </w:pPr>
          </w:p>
        </w:tc>
        <w:tc>
          <w:tcPr>
            <w:tcW w:w="1320" w:type="dxa"/>
            <w:vAlign w:val="bottom"/>
            <w:gridSpan w:val="2"/>
            <w:vMerge w:val="continue"/>
            <w:shd w:val="clear" w:color="auto" w:fill="D5EEEE"/>
          </w:tcPr>
          <w:p>
            <w:pPr>
              <w:spacing w:after="0"/>
              <w:rPr>
                <w:sz w:val="20"/>
                <w:szCs w:val="20"/>
                <w:color w:val="auto"/>
              </w:rPr>
            </w:pPr>
          </w:p>
        </w:tc>
        <w:tc>
          <w:tcPr>
            <w:tcW w:w="20" w:type="dxa"/>
            <w:vAlign w:val="bottom"/>
            <w:vMerge w:val="continue"/>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120" w:type="dxa"/>
            <w:vAlign w:val="bottom"/>
            <w:vMerge w:val="continue"/>
          </w:tcPr>
          <w:p>
            <w:pPr>
              <w:spacing w:after="0"/>
              <w:rPr>
                <w:sz w:val="20"/>
                <w:szCs w:val="20"/>
                <w:color w:val="auto"/>
              </w:rPr>
            </w:pPr>
          </w:p>
        </w:tc>
        <w:tc>
          <w:tcPr>
            <w:tcW w:w="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Pr>
          <w:p>
            <w:pPr>
              <w:spacing w:after="0"/>
              <w:rPr>
                <w:sz w:val="20"/>
                <w:szCs w:val="20"/>
                <w:color w:val="auto"/>
              </w:rPr>
            </w:pPr>
          </w:p>
        </w:tc>
        <w:tc>
          <w:tcPr>
            <w:tcW w:w="1340" w:type="dxa"/>
            <w:vAlign w:val="bottom"/>
            <w:tcBorders>
              <w:left w:val="single" w:sz="8" w:color="D5EEEE"/>
            </w:tcBorders>
            <w:vMerge w:val="continue"/>
            <w:shd w:val="clear" w:color="auto" w:fill="D5EEE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100" w:type="dxa"/>
            <w:vAlign w:val="bottom"/>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vMerge w:val="continue"/>
          </w:tcPr>
          <w:p>
            <w:pPr>
              <w:spacing w:after="0"/>
              <w:rPr>
                <w:sz w:val="20"/>
                <w:szCs w:val="20"/>
                <w:color w:val="auto"/>
              </w:rPr>
            </w:pPr>
          </w:p>
        </w:tc>
        <w:tc>
          <w:tcPr>
            <w:tcW w:w="1020" w:type="dxa"/>
            <w:vAlign w:val="bottom"/>
            <w:vMerge w:val="continue"/>
            <w:shd w:val="clear" w:color="auto" w:fill="D5EEEE"/>
          </w:tcPr>
          <w:p>
            <w:pPr>
              <w:spacing w:after="0"/>
              <w:rPr>
                <w:sz w:val="20"/>
                <w:szCs w:val="20"/>
                <w:color w:val="auto"/>
              </w:rPr>
            </w:pPr>
          </w:p>
        </w:tc>
        <w:tc>
          <w:tcPr>
            <w:tcW w:w="2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5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-6986905</wp:posOffset>
            </wp:positionV>
            <wp:extent cx="6884670" cy="71469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84670" cy="714692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form part of the consolidated financial statements</w:t>
      </w:r>
    </w:p>
    <w:p>
      <w:pPr>
        <w:sectPr>
          <w:pgSz w:w="11880" w:h="15480" w:orient="portrait"/>
          <w:cols w:equalWidth="0" w:num="1">
            <w:col w:w="10800"/>
          </w:cols>
          <w:pgMar w:left="540" w:top="8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w:t>
      </w:r>
    </w:p>
    <w:p>
      <w:pPr>
        <w:sectPr>
          <w:pgSz w:w="11880" w:h="15480" w:orient="portrait"/>
          <w:cols w:equalWidth="0" w:num="1">
            <w:col w:w="10800"/>
          </w:cols>
          <w:pgMar w:left="540" w:top="884" w:right="540" w:bottom="0"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20"/>
          <w:szCs w:val="20"/>
          <w:b w:val="1"/>
          <w:bCs w:val="1"/>
          <w:color w:val="auto"/>
        </w:rPr>
        <w:t>AVITA MEDICAL,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8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Year-Ended</w:t>
            </w:r>
          </w:p>
        </w:tc>
        <w:tc>
          <w:tcPr>
            <w:tcW w:w="100" w:type="dxa"/>
            <w:vAlign w:val="bottom"/>
          </w:tcPr>
          <w:p>
            <w:pPr>
              <w:spacing w:after="0"/>
              <w:rPr>
                <w:sz w:val="19"/>
                <w:szCs w:val="19"/>
                <w:color w:val="auto"/>
              </w:rPr>
            </w:pPr>
          </w:p>
        </w:tc>
        <w:tc>
          <w:tcPr>
            <w:tcW w:w="272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Transition Period</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Year-Ended</w:t>
            </w:r>
          </w:p>
        </w:tc>
        <w:tc>
          <w:tcPr>
            <w:tcW w:w="0" w:type="dxa"/>
            <w:vAlign w:val="bottom"/>
          </w:tcPr>
          <w:p>
            <w:pPr>
              <w:spacing w:after="0"/>
              <w:rPr>
                <w:sz w:val="1"/>
                <w:szCs w:val="1"/>
                <w:color w:val="auto"/>
              </w:rPr>
            </w:pPr>
          </w:p>
        </w:tc>
      </w:tr>
      <w:tr>
        <w:trPr>
          <w:trHeight w:val="208"/>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3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July 1 - December 31, 2021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20" w:type="dxa"/>
            <w:vAlign w:val="bottom"/>
            <w:tcBorders>
              <w:bottom w:val="single" w:sz="8" w:color="D5EEEE"/>
            </w:tcBorders>
          </w:tcPr>
          <w:p>
            <w:pPr>
              <w:spacing w:after="0"/>
              <w:rPr>
                <w:sz w:val="17"/>
                <w:szCs w:val="17"/>
                <w:color w:val="auto"/>
              </w:rPr>
            </w:pPr>
          </w:p>
        </w:tc>
        <w:tc>
          <w:tcPr>
            <w:tcW w:w="20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64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20" w:type="dxa"/>
            <w:vAlign w:val="bottom"/>
            <w:tcBorders>
              <w:bottom w:val="single" w:sz="8" w:color="D5EEEE"/>
            </w:tcBorders>
          </w:tcPr>
          <w:p>
            <w:pPr>
              <w:spacing w:after="0"/>
              <w:rPr>
                <w:sz w:val="17"/>
                <w:szCs w:val="17"/>
                <w:color w:val="auto"/>
              </w:rPr>
            </w:pPr>
          </w:p>
        </w:tc>
        <w:tc>
          <w:tcPr>
            <w:tcW w:w="200" w:type="dxa"/>
            <w:vAlign w:val="bottom"/>
            <w:tcBorders>
              <w:bottom w:val="single" w:sz="8" w:color="D5EEEE"/>
            </w:tcBorders>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Borders>
              <w:bottom w:val="single" w:sz="8" w:color="D5EEEE"/>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2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34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D5EEEE"/>
          </w:tcPr>
          <w:p>
            <w:pPr>
              <w:spacing w:after="0"/>
              <w:rPr>
                <w:sz w:val="17"/>
                <w:szCs w:val="17"/>
                <w:color w:val="auto"/>
              </w:rPr>
            </w:pPr>
          </w:p>
        </w:tc>
        <w:tc>
          <w:tcPr>
            <w:tcW w:w="200" w:type="dxa"/>
            <w:vAlign w:val="bottom"/>
            <w:shd w:val="clear" w:color="auto" w:fill="D5EEEE"/>
          </w:tcPr>
          <w:p>
            <w:pPr>
              <w:spacing w:after="0"/>
              <w:rPr>
                <w:sz w:val="17"/>
                <w:szCs w:val="17"/>
                <w:color w:val="auto"/>
              </w:rPr>
            </w:pPr>
          </w:p>
        </w:tc>
        <w:tc>
          <w:tcPr>
            <w:tcW w:w="100" w:type="dxa"/>
            <w:vAlign w:val="bottom"/>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shd w:val="clear" w:color="auto" w:fill="D5EEEE"/>
              </w:rPr>
              <w:t>$</w:t>
            </w:r>
          </w:p>
        </w:tc>
        <w:tc>
          <w:tcPr>
            <w:tcW w:w="20" w:type="dxa"/>
            <w:vAlign w:val="bottom"/>
          </w:tcPr>
          <w:p>
            <w:pPr>
              <w:spacing w:after="0"/>
              <w:rPr>
                <w:sz w:val="17"/>
                <w:szCs w:val="17"/>
                <w:color w:val="auto"/>
              </w:rPr>
            </w:pPr>
          </w:p>
        </w:tc>
        <w:tc>
          <w:tcPr>
            <w:tcW w:w="1640" w:type="dxa"/>
            <w:vAlign w:val="bottom"/>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34,421</w:t>
            </w:r>
          </w:p>
        </w:tc>
        <w:tc>
          <w:tcPr>
            <w:tcW w:w="20" w:type="dxa"/>
            <w:vAlign w:val="bottom"/>
            <w:shd w:val="clear" w:color="auto" w:fill="D5EEEE"/>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380" w:type="dxa"/>
            <w:vAlign w:val="bottom"/>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13,956</w:t>
            </w:r>
          </w:p>
        </w:tc>
        <w:tc>
          <w:tcPr>
            <w:tcW w:w="40" w:type="dxa"/>
            <w:vAlign w:val="bottom"/>
            <w:tcBorders>
              <w:left w:val="single" w:sz="8" w:color="D5EEEE"/>
            </w:tcBorders>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0" w:type="dxa"/>
            <w:vAlign w:val="bottom"/>
          </w:tcPr>
          <w:p>
            <w:pPr>
              <w:spacing w:after="0"/>
              <w:rPr>
                <w:sz w:val="17"/>
                <w:szCs w:val="17"/>
                <w:color w:val="auto"/>
              </w:rPr>
            </w:pPr>
          </w:p>
        </w:tc>
        <w:tc>
          <w:tcPr>
            <w:tcW w:w="1340" w:type="dxa"/>
            <w:vAlign w:val="bottom"/>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29,23</w:t>
            </w:r>
          </w:p>
        </w:tc>
        <w:tc>
          <w:tcPr>
            <w:tcW w:w="2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12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Borders>
              <w:bottom w:val="single" w:sz="8" w:color="D5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(6,041</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200" w:type="dxa"/>
            <w:vAlign w:val="bottom"/>
            <w:tcBorders>
              <w:bottom w:val="single" w:sz="8" w:color="D5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40" w:type="dxa"/>
            <w:vAlign w:val="bottom"/>
          </w:tcPr>
          <w:p>
            <w:pPr>
              <w:spacing w:after="0"/>
              <w:rPr>
                <w:sz w:val="19"/>
                <w:szCs w:val="19"/>
                <w:color w:val="auto"/>
              </w:rPr>
            </w:pPr>
          </w:p>
        </w:tc>
        <w:tc>
          <w:tcPr>
            <w:tcW w:w="8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220" w:type="dxa"/>
            <w:vAlign w:val="bottom"/>
            <w:tcBorders>
              <w:bottom w:val="single" w:sz="8" w:color="D5EEEE"/>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120" w:type="dxa"/>
            <w:vAlign w:val="bottom"/>
            <w:shd w:val="clear" w:color="auto" w:fill="D5EEEE"/>
          </w:tcPr>
          <w:p>
            <w:pPr>
              <w:spacing w:after="0"/>
              <w:rPr>
                <w:sz w:val="18"/>
                <w:szCs w:val="18"/>
                <w:color w:val="auto"/>
              </w:rPr>
            </w:pPr>
          </w:p>
        </w:tc>
        <w:tc>
          <w:tcPr>
            <w:tcW w:w="200" w:type="dxa"/>
            <w:vAlign w:val="bottom"/>
            <w:shd w:val="clear" w:color="auto" w:fill="D5EEE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28,380</w:t>
            </w:r>
          </w:p>
        </w:tc>
        <w:tc>
          <w:tcPr>
            <w:tcW w:w="20" w:type="dxa"/>
            <w:vAlign w:val="bottom"/>
            <w:tcBorders>
              <w:bottom w:val="single" w:sz="8" w:color="auto"/>
            </w:tcBorders>
          </w:tcPr>
          <w:p>
            <w:pPr>
              <w:spacing w:after="0"/>
              <w:rPr>
                <w:sz w:val="18"/>
                <w:szCs w:val="18"/>
                <w:color w:val="auto"/>
              </w:rPr>
            </w:pPr>
          </w:p>
        </w:tc>
        <w:tc>
          <w:tcPr>
            <w:tcW w:w="120" w:type="dxa"/>
            <w:vAlign w:val="bottom"/>
            <w:shd w:val="clear" w:color="auto" w:fill="D5EEE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12,051</w:t>
            </w:r>
          </w:p>
        </w:tc>
        <w:tc>
          <w:tcPr>
            <w:tcW w:w="40" w:type="dxa"/>
            <w:vAlign w:val="bottom"/>
          </w:tcPr>
          <w:p>
            <w:pPr>
              <w:spacing w:after="0"/>
              <w:rPr>
                <w:sz w:val="18"/>
                <w:szCs w:val="18"/>
                <w:color w:val="auto"/>
              </w:rPr>
            </w:pPr>
          </w:p>
        </w:tc>
        <w:tc>
          <w:tcPr>
            <w:tcW w:w="80" w:type="dxa"/>
            <w:vAlign w:val="bottom"/>
            <w:shd w:val="clear" w:color="auto" w:fill="D5EEE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20" w:type="dxa"/>
            <w:vAlign w:val="bottom"/>
            <w:tcBorders>
              <w:bottom w:val="single" w:sz="8" w:color="auto"/>
            </w:tcBorders>
          </w:tcPr>
          <w:p>
            <w:pPr>
              <w:spacing w:after="0"/>
              <w:rPr>
                <w:sz w:val="18"/>
                <w:szCs w:val="18"/>
                <w:color w:val="auto"/>
              </w:rPr>
            </w:pPr>
          </w:p>
        </w:tc>
        <w:tc>
          <w:tcPr>
            <w:tcW w:w="100" w:type="dxa"/>
            <w:vAlign w:val="bottom"/>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20" w:type="dxa"/>
            <w:vAlign w:val="bottom"/>
            <w:tcBorders>
              <w:bottom w:val="single" w:sz="8" w:color="D5EEEE"/>
            </w:tcBorders>
          </w:tcPr>
          <w:p>
            <w:pPr>
              <w:spacing w:after="0"/>
              <w:rPr>
                <w:sz w:val="18"/>
                <w:szCs w:val="18"/>
                <w:color w:val="auto"/>
              </w:rPr>
            </w:pPr>
          </w:p>
        </w:tc>
        <w:tc>
          <w:tcPr>
            <w:tcW w:w="200" w:type="dxa"/>
            <w:vAlign w:val="bottom"/>
            <w:tcBorders>
              <w:bottom w:val="single" w:sz="8" w:color="D5EEEE"/>
            </w:tcBorders>
          </w:tcPr>
          <w:p>
            <w:pPr>
              <w:spacing w:after="0"/>
              <w:rPr>
                <w:sz w:val="18"/>
                <w:szCs w:val="18"/>
                <w:color w:val="auto"/>
              </w:rPr>
            </w:pPr>
          </w:p>
        </w:tc>
        <w:tc>
          <w:tcPr>
            <w:tcW w:w="100" w:type="dxa"/>
            <w:vAlign w:val="bottom"/>
            <w:tcBorders>
              <w:bottom w:val="single" w:sz="8" w:color="D5EEEE"/>
            </w:tcBorders>
          </w:tcPr>
          <w:p>
            <w:pPr>
              <w:spacing w:after="0"/>
              <w:rPr>
                <w:sz w:val="18"/>
                <w:szCs w:val="18"/>
                <w:color w:val="auto"/>
              </w:rPr>
            </w:pPr>
          </w:p>
        </w:tc>
        <w:tc>
          <w:tcPr>
            <w:tcW w:w="20" w:type="dxa"/>
            <w:vAlign w:val="bottom"/>
            <w:tcBorders>
              <w:bottom w:val="single" w:sz="8" w:color="D5EEEE"/>
            </w:tcBorders>
          </w:tcPr>
          <w:p>
            <w:pPr>
              <w:spacing w:after="0"/>
              <w:rPr>
                <w:sz w:val="18"/>
                <w:szCs w:val="18"/>
                <w:color w:val="auto"/>
              </w:rPr>
            </w:pPr>
          </w:p>
        </w:tc>
        <w:tc>
          <w:tcPr>
            <w:tcW w:w="16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20" w:type="dxa"/>
            <w:vAlign w:val="bottom"/>
            <w:tcBorders>
              <w:bottom w:val="single" w:sz="8" w:color="D5EEEE"/>
            </w:tcBorders>
          </w:tcPr>
          <w:p>
            <w:pPr>
              <w:spacing w:after="0"/>
              <w:rPr>
                <w:sz w:val="18"/>
                <w:szCs w:val="18"/>
                <w:color w:val="auto"/>
              </w:rPr>
            </w:pPr>
          </w:p>
        </w:tc>
        <w:tc>
          <w:tcPr>
            <w:tcW w:w="120" w:type="dxa"/>
            <w:vAlign w:val="bottom"/>
            <w:tcBorders>
              <w:bottom w:val="single" w:sz="8" w:color="D5EEEE"/>
            </w:tcBorders>
          </w:tcPr>
          <w:p>
            <w:pPr>
              <w:spacing w:after="0"/>
              <w:rPr>
                <w:sz w:val="18"/>
                <w:szCs w:val="18"/>
                <w:color w:val="auto"/>
              </w:rPr>
            </w:pPr>
          </w:p>
        </w:tc>
        <w:tc>
          <w:tcPr>
            <w:tcW w:w="200" w:type="dxa"/>
            <w:vAlign w:val="bottom"/>
            <w:tcBorders>
              <w:bottom w:val="single" w:sz="8" w:color="D5EEEE"/>
            </w:tcBorders>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D5EEEE"/>
            </w:tcBorders>
          </w:tcPr>
          <w:p>
            <w:pPr>
              <w:spacing w:after="0"/>
              <w:rPr>
                <w:sz w:val="18"/>
                <w:szCs w:val="18"/>
                <w:color w:val="auto"/>
              </w:rPr>
            </w:pPr>
          </w:p>
        </w:tc>
        <w:tc>
          <w:tcPr>
            <w:tcW w:w="80" w:type="dxa"/>
            <w:vAlign w:val="bottom"/>
            <w:tcBorders>
              <w:bottom w:val="single" w:sz="8" w:color="D5EEEE"/>
            </w:tcBorders>
          </w:tcPr>
          <w:p>
            <w:pPr>
              <w:spacing w:after="0"/>
              <w:rPr>
                <w:sz w:val="18"/>
                <w:szCs w:val="18"/>
                <w:color w:val="auto"/>
              </w:rPr>
            </w:pPr>
          </w:p>
        </w:tc>
        <w:tc>
          <w:tcPr>
            <w:tcW w:w="20" w:type="dxa"/>
            <w:vAlign w:val="bottom"/>
            <w:tcBorders>
              <w:bottom w:val="single" w:sz="8" w:color="D5EEEE"/>
            </w:tcBorders>
          </w:tcPr>
          <w:p>
            <w:pPr>
              <w:spacing w:after="0"/>
              <w:rPr>
                <w:sz w:val="18"/>
                <w:szCs w:val="18"/>
                <w:color w:val="auto"/>
              </w:rPr>
            </w:pPr>
          </w:p>
        </w:tc>
        <w:tc>
          <w:tcPr>
            <w:tcW w:w="1340" w:type="dxa"/>
            <w:vAlign w:val="bottom"/>
            <w:tcBorders>
              <w:bottom w:val="single" w:sz="8" w:color="D5EEEE"/>
            </w:tcBorders>
          </w:tcPr>
          <w:p>
            <w:pPr>
              <w:jc w:val="right"/>
              <w:ind w:right="10"/>
              <w:spacing w:after="0"/>
              <w:rPr>
                <w:sz w:val="20"/>
                <w:szCs w:val="20"/>
                <w:color w:val="auto"/>
              </w:rPr>
            </w:pPr>
            <w:r>
              <w:rPr>
                <w:rFonts w:ascii="Times New Roman" w:cs="Times New Roman" w:eastAsia="Times New Roman" w:hAnsi="Times New Roman"/>
                <w:sz w:val="18"/>
                <w:szCs w:val="18"/>
                <w:color w:val="auto"/>
              </w:rPr>
              <w:t>2,05</w:t>
            </w:r>
          </w:p>
        </w:tc>
        <w:tc>
          <w:tcPr>
            <w:tcW w:w="20" w:type="dxa"/>
            <w:vAlign w:val="bottom"/>
            <w:tcBorders>
              <w:bottom w:val="single" w:sz="8" w:color="D5EEEE"/>
            </w:tcBorders>
          </w:tcPr>
          <w:p>
            <w:pPr>
              <w:spacing w:after="0"/>
              <w:rPr>
                <w:sz w:val="18"/>
                <w:szCs w:val="18"/>
                <w:color w:val="auto"/>
              </w:rPr>
            </w:pPr>
          </w:p>
        </w:tc>
        <w:tc>
          <w:tcPr>
            <w:tcW w:w="100" w:type="dxa"/>
            <w:vAlign w:val="bottom"/>
            <w:tcBorders>
              <w:bottom w:val="single" w:sz="8" w:color="D5EEEE"/>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120" w:type="dxa"/>
            <w:vAlign w:val="bottom"/>
            <w:shd w:val="clear" w:color="auto" w:fill="D5EEEE"/>
          </w:tcPr>
          <w:p>
            <w:pPr>
              <w:spacing w:after="0"/>
              <w:rPr>
                <w:sz w:val="17"/>
                <w:szCs w:val="17"/>
                <w:color w:val="auto"/>
              </w:rPr>
            </w:pPr>
          </w:p>
        </w:tc>
        <w:tc>
          <w:tcPr>
            <w:tcW w:w="200" w:type="dxa"/>
            <w:vAlign w:val="bottom"/>
            <w:shd w:val="clear" w:color="auto" w:fill="D5EEE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16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13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tcBorders>
              <w:bottom w:val="single" w:sz="8" w:color="D5EEEE"/>
            </w:tcBorders>
            <w:vMerge w:val="continue"/>
          </w:tcPr>
          <w:p>
            <w:pPr>
              <w:spacing w:after="0"/>
              <w:rPr>
                <w:sz w:val="17"/>
                <w:szCs w:val="17"/>
                <w:color w:val="auto"/>
              </w:rPr>
            </w:pPr>
          </w:p>
        </w:tc>
        <w:tc>
          <w:tcPr>
            <w:tcW w:w="200" w:type="dxa"/>
            <w:vAlign w:val="bottom"/>
            <w:tcBorders>
              <w:bottom w:val="single" w:sz="8" w:color="D5EEEE"/>
            </w:tcBorders>
            <w:vMerge w:val="continue"/>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vMerge w:val="continue"/>
          </w:tcPr>
          <w:p>
            <w:pPr>
              <w:spacing w:after="0"/>
              <w:rPr>
                <w:sz w:val="17"/>
                <w:szCs w:val="17"/>
                <w:color w:val="auto"/>
              </w:rPr>
            </w:pPr>
          </w:p>
        </w:tc>
        <w:tc>
          <w:tcPr>
            <w:tcW w:w="1640" w:type="dxa"/>
            <w:vAlign w:val="bottom"/>
            <w:tcBorders>
              <w:bottom w:val="single" w:sz="8" w:color="D5EEEE"/>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(21,913</w:t>
            </w:r>
          </w:p>
        </w:tc>
        <w:tc>
          <w:tcPr>
            <w:tcW w:w="20" w:type="dxa"/>
            <w:vAlign w:val="bottom"/>
            <w:tcBorders>
              <w:bottom w:val="single" w:sz="8" w:color="D5EEEE"/>
            </w:tcBorders>
            <w:vMerge w:val="continue"/>
          </w:tcPr>
          <w:p>
            <w:pPr>
              <w:spacing w:after="0"/>
              <w:rPr>
                <w:sz w:val="17"/>
                <w:szCs w:val="17"/>
                <w:color w:val="auto"/>
              </w:rPr>
            </w:pPr>
          </w:p>
        </w:tc>
        <w:tc>
          <w:tcPr>
            <w:tcW w:w="120" w:type="dxa"/>
            <w:vAlign w:val="bottom"/>
            <w:tcBorders>
              <w:bottom w:val="single" w:sz="8" w:color="D5EEEE"/>
            </w:tcBorders>
            <w:vMerge w:val="continue"/>
          </w:tcPr>
          <w:p>
            <w:pPr>
              <w:spacing w:after="0"/>
              <w:rPr>
                <w:sz w:val="17"/>
                <w:szCs w:val="17"/>
                <w:color w:val="auto"/>
              </w:rPr>
            </w:pPr>
          </w:p>
        </w:tc>
        <w:tc>
          <w:tcPr>
            <w:tcW w:w="200" w:type="dxa"/>
            <w:vAlign w:val="bottom"/>
            <w:tcBorders>
              <w:bottom w:val="single" w:sz="8" w:color="D5EEEE"/>
            </w:tcBorders>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(8,472</w:t>
            </w:r>
          </w:p>
        </w:tc>
        <w:tc>
          <w:tcPr>
            <w:tcW w:w="40" w:type="dxa"/>
            <w:vAlign w:val="bottom"/>
            <w:vMerge w:val="continue"/>
          </w:tcPr>
          <w:p>
            <w:pPr>
              <w:spacing w:after="0"/>
              <w:rPr>
                <w:sz w:val="17"/>
                <w:szCs w:val="17"/>
                <w:color w:val="auto"/>
              </w:rPr>
            </w:pPr>
          </w:p>
        </w:tc>
        <w:tc>
          <w:tcPr>
            <w:tcW w:w="80" w:type="dxa"/>
            <w:vAlign w:val="bottom"/>
            <w:tcBorders>
              <w:bottom w:val="single" w:sz="8" w:color="D5EEEE"/>
            </w:tcBorders>
            <w:vMerge w:val="continue"/>
          </w:tcPr>
          <w:p>
            <w:pPr>
              <w:spacing w:after="0"/>
              <w:rPr>
                <w:sz w:val="17"/>
                <w:szCs w:val="17"/>
                <w:color w:val="auto"/>
              </w:rPr>
            </w:pPr>
          </w:p>
        </w:tc>
        <w:tc>
          <w:tcPr>
            <w:tcW w:w="22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vMerge w:val="continue"/>
          </w:tcPr>
          <w:p>
            <w:pPr>
              <w:spacing w:after="0"/>
              <w:rPr>
                <w:sz w:val="17"/>
                <w:szCs w:val="17"/>
                <w:color w:val="auto"/>
              </w:rPr>
            </w:pPr>
          </w:p>
        </w:tc>
        <w:tc>
          <w:tcPr>
            <w:tcW w:w="1340" w:type="dxa"/>
            <w:vAlign w:val="bottom"/>
            <w:tcBorders>
              <w:bottom w:val="single" w:sz="8" w:color="D5EEEE"/>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(14,660)</w:t>
            </w:r>
          </w:p>
        </w:tc>
        <w:tc>
          <w:tcPr>
            <w:tcW w:w="20" w:type="dxa"/>
            <w:vAlign w:val="bottom"/>
            <w:tcBorders>
              <w:bottom w:val="single" w:sz="8" w:color="D5EEEE"/>
            </w:tcBorders>
            <w:vMerge w:val="continue"/>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120" w:type="dxa"/>
            <w:vAlign w:val="bottom"/>
            <w:shd w:val="clear" w:color="auto" w:fill="D5EEEE"/>
          </w:tcPr>
          <w:p>
            <w:pPr>
              <w:ind w:left="280"/>
              <w:spacing w:after="0" w:line="201" w:lineRule="exact"/>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shd w:val="clear" w:color="auto" w:fill="D5EEE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shd w:val="clear" w:color="auto" w:fill="D5EEEE"/>
          </w:tcPr>
          <w:p>
            <w:pPr>
              <w:jc w:val="right"/>
              <w:spacing w:after="0" w:line="201" w:lineRule="exact"/>
              <w:rPr>
                <w:sz w:val="20"/>
                <w:szCs w:val="20"/>
                <w:color w:val="auto"/>
              </w:rPr>
            </w:pPr>
            <w:r>
              <w:rPr>
                <w:rFonts w:ascii="Times New Roman" w:cs="Times New Roman" w:eastAsia="Times New Roman" w:hAnsi="Times New Roman"/>
                <w:sz w:val="18"/>
                <w:szCs w:val="18"/>
                <w:color w:val="auto"/>
              </w:rPr>
              <w:t>(23,330</w:t>
            </w:r>
          </w:p>
        </w:tc>
        <w:tc>
          <w:tcPr>
            <w:tcW w:w="20" w:type="dxa"/>
            <w:vAlign w:val="bottom"/>
          </w:tcPr>
          <w:p>
            <w:pPr>
              <w:spacing w:after="0"/>
              <w:rPr>
                <w:sz w:val="17"/>
                <w:szCs w:val="17"/>
                <w:color w:val="auto"/>
              </w:rPr>
            </w:pP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5EEEE"/>
              </w:rPr>
              <w:t>)</w:t>
            </w:r>
          </w:p>
        </w:tc>
        <w:tc>
          <w:tcPr>
            <w:tcW w:w="200" w:type="dxa"/>
            <w:vAlign w:val="bottom"/>
            <w:shd w:val="clear" w:color="auto" w:fill="D5EEEE"/>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shd w:val="clear" w:color="auto" w:fill="D5EEEE"/>
          </w:tcPr>
          <w:p>
            <w:pPr>
              <w:jc w:val="right"/>
              <w:spacing w:after="0" w:line="201" w:lineRule="exact"/>
              <w:rPr>
                <w:sz w:val="20"/>
                <w:szCs w:val="20"/>
                <w:color w:val="auto"/>
              </w:rPr>
            </w:pPr>
            <w:r>
              <w:rPr>
                <w:rFonts w:ascii="Times New Roman" w:cs="Times New Roman" w:eastAsia="Times New Roman" w:hAnsi="Times New Roman"/>
                <w:sz w:val="18"/>
                <w:szCs w:val="18"/>
                <w:color w:val="auto"/>
              </w:rPr>
              <w:t>(10,996</w:t>
            </w:r>
          </w:p>
        </w:tc>
        <w:tc>
          <w:tcPr>
            <w:tcW w:w="40" w:type="dxa"/>
            <w:vAlign w:val="bottom"/>
          </w:tcPr>
          <w:p>
            <w:pPr>
              <w:spacing w:after="0"/>
              <w:rPr>
                <w:sz w:val="17"/>
                <w:szCs w:val="17"/>
                <w:color w:val="auto"/>
              </w:rPr>
            </w:pPr>
          </w:p>
        </w:tc>
        <w:tc>
          <w:tcPr>
            <w:tcW w:w="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D5EEEE"/>
              </w:rPr>
              <w:t>)</w:t>
            </w:r>
          </w:p>
        </w:tc>
        <w:tc>
          <w:tcPr>
            <w:tcW w:w="220" w:type="dxa"/>
            <w:vAlign w:val="bottom"/>
            <w:shd w:val="clear" w:color="auto" w:fill="D5EEE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shd w:val="clear" w:color="auto" w:fill="D5EEEE"/>
          </w:tcPr>
          <w:p>
            <w:pPr>
              <w:jc w:val="right"/>
              <w:spacing w:after="0" w:line="201" w:lineRule="exact"/>
              <w:rPr>
                <w:sz w:val="20"/>
                <w:szCs w:val="20"/>
                <w:color w:val="auto"/>
              </w:rPr>
            </w:pPr>
            <w:r>
              <w:rPr>
                <w:rFonts w:ascii="Times New Roman" w:cs="Times New Roman" w:eastAsia="Times New Roman" w:hAnsi="Times New Roman"/>
                <w:sz w:val="18"/>
                <w:szCs w:val="18"/>
                <w:color w:val="auto"/>
              </w:rPr>
              <w:t>(22,400)</w:t>
            </w:r>
          </w:p>
        </w:tc>
        <w:tc>
          <w:tcPr>
            <w:tcW w:w="20" w:type="dxa"/>
            <w:vAlign w:val="bottom"/>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120" w:type="dxa"/>
            <w:vAlign w:val="bottom"/>
            <w:tcBorders>
              <w:bottom w:val="single" w:sz="8" w:color="D5EEEE"/>
            </w:tcBorders>
          </w:tcPr>
          <w:p>
            <w:pPr>
              <w:ind w:left="2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tcBorders>
              <w:bottom w:val="single" w:sz="8" w:color="D5EEEE"/>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(13,857</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200" w:type="dxa"/>
            <w:vAlign w:val="bottom"/>
            <w:tcBorders>
              <w:bottom w:val="single" w:sz="8" w:color="D5EEEE"/>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(7,586</w:t>
            </w:r>
          </w:p>
        </w:tc>
        <w:tc>
          <w:tcPr>
            <w:tcW w:w="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220" w:type="dxa"/>
            <w:vAlign w:val="bottom"/>
            <w:tcBorders>
              <w:bottom w:val="single" w:sz="8" w:color="D5EEEE"/>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(14,818)</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120" w:type="dxa"/>
            <w:vAlign w:val="bottom"/>
            <w:tcBorders>
              <w:top w:val="single" w:sz="8" w:color="D5EEEE"/>
            </w:tcBorders>
            <w:shd w:val="clear" w:color="auto" w:fill="D5EEEE"/>
          </w:tcPr>
          <w:p>
            <w:pPr>
              <w:spacing w:after="0" w:line="186" w:lineRule="exact"/>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D5EEEE"/>
            </w:tcBorders>
            <w:shd w:val="clear" w:color="auto" w:fill="D5EEEE"/>
          </w:tcPr>
          <w:p>
            <w:pPr>
              <w:spacing w:after="0"/>
              <w:rPr>
                <w:sz w:val="16"/>
                <w:szCs w:val="16"/>
                <w:color w:val="auto"/>
              </w:rPr>
            </w:pPr>
          </w:p>
        </w:tc>
        <w:tc>
          <w:tcPr>
            <w:tcW w:w="100" w:type="dxa"/>
            <w:vAlign w:val="bottom"/>
            <w:tcBorders>
              <w:top w:val="single" w:sz="8" w:color="D5EEEE"/>
              <w:bottom w:val="single" w:sz="8" w:color="auto"/>
            </w:tcBorders>
          </w:tcPr>
          <w:p>
            <w:pPr>
              <w:spacing w:after="0"/>
              <w:rPr>
                <w:sz w:val="16"/>
                <w:szCs w:val="16"/>
                <w:color w:val="auto"/>
              </w:rPr>
            </w:pPr>
          </w:p>
        </w:tc>
        <w:tc>
          <w:tcPr>
            <w:tcW w:w="20" w:type="dxa"/>
            <w:vAlign w:val="bottom"/>
            <w:tcBorders>
              <w:top w:val="single" w:sz="8" w:color="D5EEEE"/>
              <w:bottom w:val="single" w:sz="8" w:color="auto"/>
            </w:tcBorders>
          </w:tcPr>
          <w:p>
            <w:pPr>
              <w:spacing w:after="0"/>
              <w:rPr>
                <w:sz w:val="16"/>
                <w:szCs w:val="16"/>
                <w:color w:val="auto"/>
              </w:rPr>
            </w:pPr>
          </w:p>
        </w:tc>
        <w:tc>
          <w:tcPr>
            <w:tcW w:w="1640" w:type="dxa"/>
            <w:vAlign w:val="bottom"/>
            <w:tcBorders>
              <w:top w:val="single" w:sz="8" w:color="D5EEEE"/>
              <w:bottom w:val="single" w:sz="8" w:color="auto"/>
            </w:tcBorders>
            <w:shd w:val="clear" w:color="auto" w:fill="D5EEEE"/>
          </w:tcPr>
          <w:p>
            <w:pPr>
              <w:jc w:val="right"/>
              <w:spacing w:after="0" w:line="186" w:lineRule="exact"/>
              <w:rPr>
                <w:sz w:val="20"/>
                <w:szCs w:val="20"/>
                <w:color w:val="auto"/>
              </w:rPr>
            </w:pPr>
            <w:r>
              <w:rPr>
                <w:rFonts w:ascii="Times New Roman" w:cs="Times New Roman" w:eastAsia="Times New Roman" w:hAnsi="Times New Roman"/>
                <w:sz w:val="18"/>
                <w:szCs w:val="18"/>
                <w:color w:val="auto"/>
              </w:rPr>
              <w:t>(59,100</w:t>
            </w:r>
          </w:p>
        </w:tc>
        <w:tc>
          <w:tcPr>
            <w:tcW w:w="20" w:type="dxa"/>
            <w:vAlign w:val="bottom"/>
            <w:tcBorders>
              <w:top w:val="single" w:sz="8" w:color="D5EEEE"/>
              <w:bottom w:val="single" w:sz="8" w:color="auto"/>
            </w:tcBorders>
          </w:tcPr>
          <w:p>
            <w:pPr>
              <w:spacing w:after="0"/>
              <w:rPr>
                <w:sz w:val="16"/>
                <w:szCs w:val="16"/>
                <w:color w:val="auto"/>
              </w:rPr>
            </w:pPr>
          </w:p>
        </w:tc>
        <w:tc>
          <w:tcPr>
            <w:tcW w:w="120" w:type="dxa"/>
            <w:vAlign w:val="bottom"/>
            <w:tcBorders>
              <w:top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5EEEE"/>
              </w:rPr>
              <w:t>)</w:t>
            </w:r>
          </w:p>
        </w:tc>
        <w:tc>
          <w:tcPr>
            <w:tcW w:w="200" w:type="dxa"/>
            <w:vAlign w:val="bottom"/>
            <w:tcBorders>
              <w:top w:val="single" w:sz="8" w:color="D5EEEE"/>
            </w:tcBorders>
            <w:shd w:val="clear" w:color="auto" w:fill="D5EEE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shd w:val="clear" w:color="auto" w:fill="D5EEEE"/>
          </w:tcPr>
          <w:p>
            <w:pPr>
              <w:jc w:val="right"/>
              <w:spacing w:after="0" w:line="186" w:lineRule="exact"/>
              <w:rPr>
                <w:sz w:val="20"/>
                <w:szCs w:val="20"/>
                <w:color w:val="auto"/>
              </w:rPr>
            </w:pPr>
            <w:r>
              <w:rPr>
                <w:rFonts w:ascii="Times New Roman" w:cs="Times New Roman" w:eastAsia="Times New Roman" w:hAnsi="Times New Roman"/>
                <w:sz w:val="18"/>
                <w:szCs w:val="18"/>
                <w:color w:val="auto"/>
              </w:rPr>
              <w:t>(27,054</w:t>
            </w:r>
          </w:p>
        </w:tc>
        <w:tc>
          <w:tcPr>
            <w:tcW w:w="40" w:type="dxa"/>
            <w:vAlign w:val="bottom"/>
          </w:tcPr>
          <w:p>
            <w:pPr>
              <w:spacing w:after="0"/>
              <w:rPr>
                <w:sz w:val="16"/>
                <w:szCs w:val="16"/>
                <w:color w:val="auto"/>
              </w:rPr>
            </w:pPr>
          </w:p>
        </w:tc>
        <w:tc>
          <w:tcPr>
            <w:tcW w:w="80" w:type="dxa"/>
            <w:vAlign w:val="bottom"/>
            <w:tcBorders>
              <w:top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D5EEEE"/>
              </w:rPr>
              <w:t>)</w:t>
            </w:r>
          </w:p>
        </w:tc>
        <w:tc>
          <w:tcPr>
            <w:tcW w:w="220" w:type="dxa"/>
            <w:vAlign w:val="bottom"/>
            <w:tcBorders>
              <w:top w:val="single" w:sz="8" w:color="D5EEEE"/>
            </w:tcBorders>
            <w:shd w:val="clear" w:color="auto" w:fill="D5EEEE"/>
          </w:tcPr>
          <w:p>
            <w:pPr>
              <w:spacing w:after="0"/>
              <w:rPr>
                <w:sz w:val="16"/>
                <w:szCs w:val="16"/>
                <w:color w:val="auto"/>
              </w:rPr>
            </w:pPr>
          </w:p>
        </w:tc>
        <w:tc>
          <w:tcPr>
            <w:tcW w:w="80" w:type="dxa"/>
            <w:vAlign w:val="bottom"/>
            <w:tcBorders>
              <w:top w:val="single" w:sz="8" w:color="D5EEEE"/>
              <w:bottom w:val="single" w:sz="8" w:color="auto"/>
            </w:tcBorders>
          </w:tcPr>
          <w:p>
            <w:pPr>
              <w:spacing w:after="0"/>
              <w:rPr>
                <w:sz w:val="16"/>
                <w:szCs w:val="16"/>
                <w:color w:val="auto"/>
              </w:rPr>
            </w:pPr>
          </w:p>
        </w:tc>
        <w:tc>
          <w:tcPr>
            <w:tcW w:w="20" w:type="dxa"/>
            <w:vAlign w:val="bottom"/>
            <w:tcBorders>
              <w:top w:val="single" w:sz="8" w:color="D5EEEE"/>
              <w:bottom w:val="single" w:sz="8" w:color="auto"/>
            </w:tcBorders>
          </w:tcPr>
          <w:p>
            <w:pPr>
              <w:spacing w:after="0"/>
              <w:rPr>
                <w:sz w:val="16"/>
                <w:szCs w:val="16"/>
                <w:color w:val="auto"/>
              </w:rPr>
            </w:pPr>
          </w:p>
        </w:tc>
        <w:tc>
          <w:tcPr>
            <w:tcW w:w="1340" w:type="dxa"/>
            <w:vAlign w:val="bottom"/>
            <w:tcBorders>
              <w:top w:val="single" w:sz="8" w:color="D5EEEE"/>
              <w:bottom w:val="single" w:sz="8" w:color="auto"/>
            </w:tcBorders>
            <w:shd w:val="clear" w:color="auto" w:fill="D5EEEE"/>
          </w:tcPr>
          <w:p>
            <w:pPr>
              <w:jc w:val="right"/>
              <w:spacing w:after="0" w:line="186" w:lineRule="exact"/>
              <w:rPr>
                <w:sz w:val="20"/>
                <w:szCs w:val="20"/>
                <w:color w:val="auto"/>
              </w:rPr>
            </w:pPr>
            <w:r>
              <w:rPr>
                <w:rFonts w:ascii="Times New Roman" w:cs="Times New Roman" w:eastAsia="Times New Roman" w:hAnsi="Times New Roman"/>
                <w:sz w:val="18"/>
                <w:szCs w:val="18"/>
                <w:color w:val="auto"/>
              </w:rPr>
              <w:t>(51,878)</w:t>
            </w:r>
          </w:p>
        </w:tc>
        <w:tc>
          <w:tcPr>
            <w:tcW w:w="20" w:type="dxa"/>
            <w:vAlign w:val="bottom"/>
            <w:tcBorders>
              <w:top w:val="single" w:sz="8" w:color="D5EEEE"/>
              <w:bottom w:val="single" w:sz="8" w:color="auto"/>
            </w:tcBorders>
          </w:tcPr>
          <w:p>
            <w:pPr>
              <w:spacing w:after="0"/>
              <w:rPr>
                <w:sz w:val="16"/>
                <w:szCs w:val="16"/>
                <w:color w:val="auto"/>
              </w:rPr>
            </w:pPr>
          </w:p>
        </w:tc>
        <w:tc>
          <w:tcPr>
            <w:tcW w:w="100" w:type="dxa"/>
            <w:vAlign w:val="bottom"/>
            <w:tcBorders>
              <w:top w:val="single" w:sz="8" w:color="D5EEEE"/>
            </w:tcBorders>
            <w:shd w:val="clear" w:color="auto" w:fill="D5EEE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2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00" w:type="dxa"/>
            <w:vAlign w:val="bottom"/>
            <w:tcBorders>
              <w:bottom w:val="single" w:sz="8" w:color="D5EEEE"/>
            </w:tcBorders>
          </w:tcPr>
          <w:p>
            <w:pPr>
              <w:spacing w:after="0"/>
              <w:rPr>
                <w:sz w:val="18"/>
                <w:szCs w:val="18"/>
                <w:color w:val="auto"/>
              </w:rPr>
            </w:pPr>
          </w:p>
        </w:tc>
        <w:tc>
          <w:tcPr>
            <w:tcW w:w="100" w:type="dxa"/>
            <w:vAlign w:val="bottom"/>
            <w:tcBorders>
              <w:bottom w:val="single" w:sz="8" w:color="D5EEEE"/>
            </w:tcBorders>
          </w:tcPr>
          <w:p>
            <w:pPr>
              <w:spacing w:after="0"/>
              <w:rPr>
                <w:sz w:val="18"/>
                <w:szCs w:val="18"/>
                <w:color w:val="auto"/>
              </w:rPr>
            </w:pPr>
          </w:p>
        </w:tc>
        <w:tc>
          <w:tcPr>
            <w:tcW w:w="20" w:type="dxa"/>
            <w:vAlign w:val="bottom"/>
            <w:tcBorders>
              <w:bottom w:val="single" w:sz="8" w:color="D5EEEE"/>
            </w:tcBorders>
          </w:tcPr>
          <w:p>
            <w:pPr>
              <w:spacing w:after="0"/>
              <w:rPr>
                <w:sz w:val="18"/>
                <w:szCs w:val="18"/>
                <w:color w:val="auto"/>
              </w:rPr>
            </w:pPr>
          </w:p>
        </w:tc>
        <w:tc>
          <w:tcPr>
            <w:tcW w:w="16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(27,505</w:t>
            </w:r>
          </w:p>
        </w:tc>
        <w:tc>
          <w:tcPr>
            <w:tcW w:w="20" w:type="dxa"/>
            <w:vAlign w:val="bottom"/>
            <w:tcBorders>
              <w:bottom w:val="single" w:sz="8" w:color="D5EEEE"/>
            </w:tcBorders>
          </w:tcPr>
          <w:p>
            <w:pPr>
              <w:spacing w:after="0"/>
              <w:rPr>
                <w:sz w:val="18"/>
                <w:szCs w:val="18"/>
                <w:color w:val="auto"/>
              </w:rPr>
            </w:pPr>
          </w:p>
        </w:tc>
        <w:tc>
          <w:tcPr>
            <w:tcW w:w="12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200" w:type="dxa"/>
            <w:vAlign w:val="bottom"/>
            <w:tcBorders>
              <w:bottom w:val="single" w:sz="8" w:color="D5EEEE"/>
            </w:tcBorders>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(14,423</w:t>
            </w:r>
          </w:p>
        </w:tc>
        <w:tc>
          <w:tcPr>
            <w:tcW w:w="40" w:type="dxa"/>
            <w:vAlign w:val="bottom"/>
          </w:tcPr>
          <w:p>
            <w:pPr>
              <w:spacing w:after="0"/>
              <w:rPr>
                <w:sz w:val="18"/>
                <w:szCs w:val="18"/>
                <w:color w:val="auto"/>
              </w:rPr>
            </w:pPr>
          </w:p>
        </w:tc>
        <w:tc>
          <w:tcPr>
            <w:tcW w:w="8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220" w:type="dxa"/>
            <w:vAlign w:val="bottom"/>
            <w:tcBorders>
              <w:bottom w:val="single" w:sz="8" w:color="D5EEEE"/>
            </w:tcBorders>
          </w:tcPr>
          <w:p>
            <w:pPr>
              <w:spacing w:after="0"/>
              <w:rPr>
                <w:sz w:val="18"/>
                <w:szCs w:val="18"/>
                <w:color w:val="auto"/>
              </w:rPr>
            </w:pPr>
          </w:p>
        </w:tc>
        <w:tc>
          <w:tcPr>
            <w:tcW w:w="80" w:type="dxa"/>
            <w:vAlign w:val="bottom"/>
            <w:tcBorders>
              <w:bottom w:val="single" w:sz="8" w:color="D5EEEE"/>
            </w:tcBorders>
          </w:tcPr>
          <w:p>
            <w:pPr>
              <w:spacing w:after="0"/>
              <w:rPr>
                <w:sz w:val="18"/>
                <w:szCs w:val="18"/>
                <w:color w:val="auto"/>
              </w:rPr>
            </w:pPr>
          </w:p>
        </w:tc>
        <w:tc>
          <w:tcPr>
            <w:tcW w:w="20" w:type="dxa"/>
            <w:vAlign w:val="bottom"/>
            <w:tcBorders>
              <w:bottom w:val="single" w:sz="8" w:color="D5EEEE"/>
            </w:tcBorders>
          </w:tcPr>
          <w:p>
            <w:pPr>
              <w:spacing w:after="0"/>
              <w:rPr>
                <w:sz w:val="18"/>
                <w:szCs w:val="18"/>
                <w:color w:val="auto"/>
              </w:rPr>
            </w:pPr>
          </w:p>
        </w:tc>
        <w:tc>
          <w:tcPr>
            <w:tcW w:w="13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(26,540)</w:t>
            </w:r>
          </w:p>
        </w:tc>
        <w:tc>
          <w:tcPr>
            <w:tcW w:w="20" w:type="dxa"/>
            <w:vAlign w:val="bottom"/>
            <w:tcBorders>
              <w:bottom w:val="single" w:sz="8" w:color="D5EEEE"/>
            </w:tcBorders>
          </w:tcPr>
          <w:p>
            <w:pPr>
              <w:spacing w:after="0"/>
              <w:rPr>
                <w:sz w:val="18"/>
                <w:szCs w:val="18"/>
                <w:color w:val="auto"/>
              </w:rPr>
            </w:pPr>
          </w:p>
        </w:tc>
        <w:tc>
          <w:tcPr>
            <w:tcW w:w="100" w:type="dxa"/>
            <w:vAlign w:val="bottom"/>
            <w:tcBorders>
              <w:bottom w:val="single" w:sz="8" w:color="D5EEEE"/>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20" w:type="dxa"/>
            <w:vAlign w:val="bottom"/>
            <w:shd w:val="clear" w:color="auto" w:fill="D5EEEE"/>
          </w:tcPr>
          <w:p>
            <w:pPr>
              <w:spacing w:after="0" w:line="201" w:lineRule="exact"/>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D5EEE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shd w:val="clear" w:color="auto" w:fill="D5EEEE"/>
          </w:tcPr>
          <w:p>
            <w:pPr>
              <w:jc w:val="right"/>
              <w:spacing w:after="0" w:line="201"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5EEEE"/>
              </w:rPr>
              <w:t>)</w:t>
            </w:r>
          </w:p>
        </w:tc>
        <w:tc>
          <w:tcPr>
            <w:tcW w:w="200" w:type="dxa"/>
            <w:vAlign w:val="bottom"/>
            <w:shd w:val="clear" w:color="auto" w:fill="D5EEEE"/>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18"/>
                <w:szCs w:val="18"/>
                <w:color w:val="auto"/>
              </w:rPr>
            </w:pPr>
          </w:p>
        </w:tc>
        <w:tc>
          <w:tcPr>
            <w:tcW w:w="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D5EEEE"/>
              </w:rPr>
              <w:t>)</w:t>
            </w:r>
          </w:p>
        </w:tc>
        <w:tc>
          <w:tcPr>
            <w:tcW w:w="220" w:type="dxa"/>
            <w:vAlign w:val="bottom"/>
            <w:shd w:val="clear" w:color="auto" w:fill="D5EEE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shd w:val="clear" w:color="auto" w:fill="D5EEEE"/>
          </w:tcPr>
          <w:p>
            <w:pPr>
              <w:jc w:val="right"/>
              <w:spacing w:after="0" w:line="201"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100" w:type="dxa"/>
            <w:vAlign w:val="bottom"/>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20" w:type="dxa"/>
            <w:vAlign w:val="bottom"/>
            <w:tcBorders>
              <w:bottom w:val="single" w:sz="8" w:color="D5EEEE"/>
            </w:tcBorders>
          </w:tcPr>
          <w:p>
            <w:pPr>
              <w:spacing w:after="0"/>
              <w:rPr>
                <w:sz w:val="19"/>
                <w:szCs w:val="19"/>
                <w:color w:val="auto"/>
              </w:rPr>
            </w:pPr>
          </w:p>
        </w:tc>
        <w:tc>
          <w:tcPr>
            <w:tcW w:w="200" w:type="dxa"/>
            <w:vAlign w:val="bottom"/>
            <w:tcBorders>
              <w:bottom w:val="single" w:sz="8" w:color="D5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D5EEEE"/>
            </w:tcBorders>
          </w:tcPr>
          <w:p>
            <w:pPr>
              <w:spacing w:after="0"/>
              <w:rPr>
                <w:sz w:val="19"/>
                <w:szCs w:val="19"/>
                <w:color w:val="auto"/>
              </w:rPr>
            </w:pPr>
          </w:p>
        </w:tc>
        <w:tc>
          <w:tcPr>
            <w:tcW w:w="200" w:type="dxa"/>
            <w:vAlign w:val="bottom"/>
            <w:tcBorders>
              <w:bottom w:val="single" w:sz="8" w:color="D5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D5EEEE"/>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120" w:type="dxa"/>
            <w:vAlign w:val="bottom"/>
            <w:tcBorders>
              <w:top w:val="single" w:sz="8" w:color="D5EEEE"/>
            </w:tcBorders>
            <w:shd w:val="clear" w:color="auto" w:fill="D5EEEE"/>
          </w:tcPr>
          <w:p>
            <w:pPr>
              <w:spacing w:after="0" w:line="188" w:lineRule="exact"/>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Borders>
              <w:top w:val="single" w:sz="8" w:color="D5EEEE"/>
            </w:tcBorders>
            <w:shd w:val="clear" w:color="auto" w:fill="D5EEEE"/>
          </w:tcPr>
          <w:p>
            <w:pPr>
              <w:spacing w:after="0"/>
              <w:rPr>
                <w:sz w:val="16"/>
                <w:szCs w:val="16"/>
                <w:color w:val="auto"/>
              </w:rPr>
            </w:pPr>
          </w:p>
        </w:tc>
        <w:tc>
          <w:tcPr>
            <w:tcW w:w="100" w:type="dxa"/>
            <w:vAlign w:val="bottom"/>
            <w:tcBorders>
              <w:top w:val="single" w:sz="8" w:color="D5EEEE"/>
            </w:tcBorders>
          </w:tcPr>
          <w:p>
            <w:pPr>
              <w:spacing w:after="0"/>
              <w:rPr>
                <w:sz w:val="16"/>
                <w:szCs w:val="16"/>
                <w:color w:val="auto"/>
              </w:rPr>
            </w:pPr>
          </w:p>
        </w:tc>
        <w:tc>
          <w:tcPr>
            <w:tcW w:w="20" w:type="dxa"/>
            <w:vAlign w:val="bottom"/>
            <w:tcBorders>
              <w:top w:val="single" w:sz="8" w:color="D5EEEE"/>
            </w:tcBorders>
          </w:tcPr>
          <w:p>
            <w:pPr>
              <w:spacing w:after="0"/>
              <w:rPr>
                <w:sz w:val="16"/>
                <w:szCs w:val="16"/>
                <w:color w:val="auto"/>
              </w:rPr>
            </w:pPr>
          </w:p>
        </w:tc>
        <w:tc>
          <w:tcPr>
            <w:tcW w:w="1640" w:type="dxa"/>
            <w:vAlign w:val="bottom"/>
            <w:tcBorders>
              <w:top w:val="single" w:sz="8" w:color="D5EEEE"/>
            </w:tcBorders>
            <w:shd w:val="clear" w:color="auto" w:fill="D5EEEE"/>
          </w:tcPr>
          <w:p>
            <w:pPr>
              <w:jc w:val="right"/>
              <w:spacing w:after="0" w:line="188" w:lineRule="exact"/>
              <w:rPr>
                <w:sz w:val="20"/>
                <w:szCs w:val="20"/>
                <w:color w:val="auto"/>
              </w:rPr>
            </w:pPr>
            <w:r>
              <w:rPr>
                <w:rFonts w:ascii="Times New Roman" w:cs="Times New Roman" w:eastAsia="Times New Roman" w:hAnsi="Times New Roman"/>
                <w:sz w:val="18"/>
                <w:szCs w:val="18"/>
                <w:color w:val="auto"/>
              </w:rPr>
              <w:t>(26,629</w:t>
            </w:r>
          </w:p>
        </w:tc>
        <w:tc>
          <w:tcPr>
            <w:tcW w:w="20" w:type="dxa"/>
            <w:vAlign w:val="bottom"/>
            <w:tcBorders>
              <w:top w:val="single" w:sz="8" w:color="D5EEEE"/>
            </w:tcBorders>
          </w:tcPr>
          <w:p>
            <w:pPr>
              <w:spacing w:after="0"/>
              <w:rPr>
                <w:sz w:val="16"/>
                <w:szCs w:val="16"/>
                <w:color w:val="auto"/>
              </w:rPr>
            </w:pPr>
          </w:p>
        </w:tc>
        <w:tc>
          <w:tcPr>
            <w:tcW w:w="120" w:type="dxa"/>
            <w:vAlign w:val="bottom"/>
            <w:tcBorders>
              <w:top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5EEEE"/>
              </w:rPr>
              <w:t>)</w:t>
            </w:r>
          </w:p>
        </w:tc>
        <w:tc>
          <w:tcPr>
            <w:tcW w:w="200" w:type="dxa"/>
            <w:vAlign w:val="bottom"/>
            <w:tcBorders>
              <w:top w:val="single" w:sz="8" w:color="D5EEEE"/>
            </w:tcBorders>
            <w:shd w:val="clear" w:color="auto" w:fill="D5EEEE"/>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shd w:val="clear" w:color="auto" w:fill="D5EEEE"/>
          </w:tcPr>
          <w:p>
            <w:pPr>
              <w:jc w:val="right"/>
              <w:spacing w:after="0" w:line="188" w:lineRule="exact"/>
              <w:rPr>
                <w:sz w:val="20"/>
                <w:szCs w:val="20"/>
                <w:color w:val="auto"/>
              </w:rPr>
            </w:pPr>
            <w:r>
              <w:rPr>
                <w:rFonts w:ascii="Times New Roman" w:cs="Times New Roman" w:eastAsia="Times New Roman" w:hAnsi="Times New Roman"/>
                <w:sz w:val="18"/>
                <w:szCs w:val="18"/>
                <w:color w:val="auto"/>
              </w:rPr>
              <w:t>(14,402</w:t>
            </w:r>
          </w:p>
        </w:tc>
        <w:tc>
          <w:tcPr>
            <w:tcW w:w="40" w:type="dxa"/>
            <w:vAlign w:val="bottom"/>
          </w:tcPr>
          <w:p>
            <w:pPr>
              <w:spacing w:after="0"/>
              <w:rPr>
                <w:sz w:val="16"/>
                <w:szCs w:val="16"/>
                <w:color w:val="auto"/>
              </w:rPr>
            </w:pPr>
          </w:p>
        </w:tc>
        <w:tc>
          <w:tcPr>
            <w:tcW w:w="80" w:type="dxa"/>
            <w:vAlign w:val="bottom"/>
            <w:tcBorders>
              <w:top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D5EEEE"/>
              </w:rPr>
              <w:t>)</w:t>
            </w:r>
          </w:p>
        </w:tc>
        <w:tc>
          <w:tcPr>
            <w:tcW w:w="220" w:type="dxa"/>
            <w:vAlign w:val="bottom"/>
            <w:tcBorders>
              <w:top w:val="single" w:sz="8" w:color="D5EEEE"/>
            </w:tcBorders>
            <w:shd w:val="clear" w:color="auto" w:fill="D5EEEE"/>
          </w:tcPr>
          <w:p>
            <w:pPr>
              <w:spacing w:after="0"/>
              <w:rPr>
                <w:sz w:val="16"/>
                <w:szCs w:val="16"/>
                <w:color w:val="auto"/>
              </w:rPr>
            </w:pPr>
          </w:p>
        </w:tc>
        <w:tc>
          <w:tcPr>
            <w:tcW w:w="80" w:type="dxa"/>
            <w:vAlign w:val="bottom"/>
            <w:tcBorders>
              <w:top w:val="single" w:sz="8" w:color="D5EEEE"/>
            </w:tcBorders>
          </w:tcPr>
          <w:p>
            <w:pPr>
              <w:spacing w:after="0"/>
              <w:rPr>
                <w:sz w:val="16"/>
                <w:szCs w:val="16"/>
                <w:color w:val="auto"/>
              </w:rPr>
            </w:pPr>
          </w:p>
        </w:tc>
        <w:tc>
          <w:tcPr>
            <w:tcW w:w="20" w:type="dxa"/>
            <w:vAlign w:val="bottom"/>
            <w:tcBorders>
              <w:top w:val="single" w:sz="8" w:color="D5EEEE"/>
            </w:tcBorders>
          </w:tcPr>
          <w:p>
            <w:pPr>
              <w:spacing w:after="0"/>
              <w:rPr>
                <w:sz w:val="16"/>
                <w:szCs w:val="16"/>
                <w:color w:val="auto"/>
              </w:rPr>
            </w:pPr>
          </w:p>
        </w:tc>
        <w:tc>
          <w:tcPr>
            <w:tcW w:w="1340" w:type="dxa"/>
            <w:vAlign w:val="bottom"/>
            <w:tcBorders>
              <w:top w:val="single" w:sz="8" w:color="D5EEEE"/>
            </w:tcBorders>
            <w:shd w:val="clear" w:color="auto" w:fill="D5EEEE"/>
          </w:tcPr>
          <w:p>
            <w:pPr>
              <w:jc w:val="right"/>
              <w:spacing w:after="0" w:line="188" w:lineRule="exact"/>
              <w:rPr>
                <w:sz w:val="20"/>
                <w:szCs w:val="20"/>
                <w:color w:val="auto"/>
              </w:rPr>
            </w:pPr>
            <w:r>
              <w:rPr>
                <w:rFonts w:ascii="Times New Roman" w:cs="Times New Roman" w:eastAsia="Times New Roman" w:hAnsi="Times New Roman"/>
                <w:sz w:val="18"/>
                <w:szCs w:val="18"/>
                <w:color w:val="auto"/>
              </w:rPr>
              <w:t>(26,545)</w:t>
            </w:r>
          </w:p>
        </w:tc>
        <w:tc>
          <w:tcPr>
            <w:tcW w:w="20" w:type="dxa"/>
            <w:vAlign w:val="bottom"/>
            <w:tcBorders>
              <w:top w:val="single" w:sz="8" w:color="D5EEEE"/>
            </w:tcBorders>
          </w:tcPr>
          <w:p>
            <w:pPr>
              <w:spacing w:after="0"/>
              <w:rPr>
                <w:sz w:val="16"/>
                <w:szCs w:val="16"/>
                <w:color w:val="auto"/>
              </w:rPr>
            </w:pPr>
          </w:p>
        </w:tc>
        <w:tc>
          <w:tcPr>
            <w:tcW w:w="100" w:type="dxa"/>
            <w:vAlign w:val="bottom"/>
            <w:tcBorders>
              <w:top w:val="single" w:sz="8" w:color="D5EEEE"/>
            </w:tcBorders>
            <w:shd w:val="clear" w:color="auto" w:fill="D5EEE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8"/>
                <w:szCs w:val="18"/>
                <w:color w:val="auto"/>
              </w:rPr>
              <w:t>Provision for income tax</w:t>
            </w:r>
          </w:p>
        </w:tc>
        <w:tc>
          <w:tcPr>
            <w:tcW w:w="200" w:type="dxa"/>
            <w:vAlign w:val="bottom"/>
            <w:tcBorders>
              <w:bottom w:val="single" w:sz="8" w:color="D5EEEE"/>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200" w:type="dxa"/>
            <w:vAlign w:val="bottom"/>
            <w:tcBorders>
              <w:bottom w:val="single" w:sz="8" w:color="D5EEEE"/>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220" w:type="dxa"/>
            <w:vAlign w:val="bottom"/>
            <w:tcBorders>
              <w:bottom w:val="single" w:sz="8" w:color="D5EEEE"/>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120" w:type="dxa"/>
            <w:vAlign w:val="bottom"/>
            <w:tcBorders>
              <w:top w:val="single" w:sz="8" w:color="D5EEEE"/>
            </w:tcBorders>
            <w:shd w:val="clear" w:color="auto" w:fill="D5EEEE"/>
          </w:tcPr>
          <w:p>
            <w:pPr>
              <w:spacing w:after="0" w:line="186" w:lineRule="exact"/>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D5EEEE"/>
            </w:tcBorders>
            <w:shd w:val="clear" w:color="auto" w:fill="D5EEEE"/>
          </w:tcPr>
          <w:p>
            <w:pPr>
              <w:spacing w:after="0"/>
              <w:rPr>
                <w:sz w:val="16"/>
                <w:szCs w:val="16"/>
                <w:color w:val="auto"/>
              </w:rPr>
            </w:pPr>
          </w:p>
        </w:tc>
        <w:tc>
          <w:tcPr>
            <w:tcW w:w="100" w:type="dxa"/>
            <w:vAlign w:val="bottom"/>
            <w:tcBorders>
              <w:top w:val="single" w:sz="8" w:color="D5EEEE"/>
            </w:tcBorders>
            <w:shd w:val="clear" w:color="auto" w:fill="D5EEEE"/>
          </w:tcPr>
          <w:p>
            <w:pPr>
              <w:jc w:val="right"/>
              <w:spacing w:after="0" w:line="186" w:lineRule="exact"/>
              <w:rPr>
                <w:sz w:val="20"/>
                <w:szCs w:val="20"/>
                <w:color w:val="auto"/>
              </w:rPr>
            </w:pPr>
            <w:r>
              <w:rPr>
                <w:rFonts w:ascii="Times New Roman" w:cs="Times New Roman" w:eastAsia="Times New Roman" w:hAnsi="Times New Roman"/>
                <w:sz w:val="18"/>
                <w:szCs w:val="18"/>
                <w:color w:val="auto"/>
                <w:w w:val="88"/>
                <w:shd w:val="clear" w:color="auto" w:fill="D5EEEE"/>
              </w:rPr>
              <w:t>$</w:t>
            </w:r>
          </w:p>
        </w:tc>
        <w:tc>
          <w:tcPr>
            <w:tcW w:w="20" w:type="dxa"/>
            <w:vAlign w:val="bottom"/>
            <w:tcBorders>
              <w:top w:val="single" w:sz="8" w:color="D5EEEE"/>
            </w:tcBorders>
          </w:tcPr>
          <w:p>
            <w:pPr>
              <w:spacing w:after="0"/>
              <w:rPr>
                <w:sz w:val="16"/>
                <w:szCs w:val="16"/>
                <w:color w:val="auto"/>
              </w:rPr>
            </w:pPr>
          </w:p>
        </w:tc>
        <w:tc>
          <w:tcPr>
            <w:tcW w:w="1640" w:type="dxa"/>
            <w:vAlign w:val="bottom"/>
            <w:tcBorders>
              <w:top w:val="single" w:sz="8" w:color="D5EEEE"/>
            </w:tcBorders>
            <w:shd w:val="clear" w:color="auto" w:fill="D5EEEE"/>
          </w:tcPr>
          <w:p>
            <w:pPr>
              <w:jc w:val="right"/>
              <w:spacing w:after="0" w:line="186" w:lineRule="exact"/>
              <w:rPr>
                <w:sz w:val="20"/>
                <w:szCs w:val="20"/>
                <w:color w:val="auto"/>
              </w:rPr>
            </w:pPr>
            <w:r>
              <w:rPr>
                <w:rFonts w:ascii="Times New Roman" w:cs="Times New Roman" w:eastAsia="Times New Roman" w:hAnsi="Times New Roman"/>
                <w:sz w:val="18"/>
                <w:szCs w:val="18"/>
                <w:color w:val="auto"/>
              </w:rPr>
              <w:t>(26,665</w:t>
            </w:r>
          </w:p>
        </w:tc>
        <w:tc>
          <w:tcPr>
            <w:tcW w:w="20" w:type="dxa"/>
            <w:vAlign w:val="bottom"/>
            <w:tcBorders>
              <w:top w:val="single" w:sz="8" w:color="D5EEEE"/>
            </w:tcBorders>
            <w:shd w:val="clear" w:color="auto" w:fill="D5EEEE"/>
          </w:tcPr>
          <w:p>
            <w:pPr>
              <w:spacing w:after="0"/>
              <w:rPr>
                <w:sz w:val="16"/>
                <w:szCs w:val="16"/>
                <w:color w:val="auto"/>
              </w:rPr>
            </w:pPr>
          </w:p>
        </w:tc>
        <w:tc>
          <w:tcPr>
            <w:tcW w:w="120" w:type="dxa"/>
            <w:vAlign w:val="bottom"/>
            <w:tcBorders>
              <w:top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5EEEE"/>
              </w:rPr>
              <w:t>)</w:t>
            </w:r>
          </w:p>
        </w:tc>
        <w:tc>
          <w:tcPr>
            <w:tcW w:w="200" w:type="dxa"/>
            <w:vAlign w:val="bottom"/>
            <w:tcBorders>
              <w:top w:val="single" w:sz="8" w:color="D5EEEE"/>
            </w:tcBorders>
            <w:shd w:val="clear" w:color="auto" w:fill="D5EEEE"/>
          </w:tcPr>
          <w:p>
            <w:pPr>
              <w:spacing w:after="0"/>
              <w:rPr>
                <w:sz w:val="16"/>
                <w:szCs w:val="16"/>
                <w:color w:val="auto"/>
              </w:rPr>
            </w:pPr>
          </w:p>
        </w:tc>
        <w:tc>
          <w:tcPr>
            <w:tcW w:w="100" w:type="dxa"/>
            <w:vAlign w:val="bottom"/>
            <w:shd w:val="clear" w:color="auto" w:fill="D5EEEE"/>
          </w:tcPr>
          <w:p>
            <w:pPr>
              <w:jc w:val="right"/>
              <w:spacing w:after="0" w:line="185" w:lineRule="exact"/>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380" w:type="dxa"/>
            <w:vAlign w:val="bottom"/>
            <w:tcBorders>
              <w:top w:val="single" w:sz="8" w:color="D5EEEE"/>
            </w:tcBorders>
            <w:shd w:val="clear" w:color="auto" w:fill="D5EEEE"/>
          </w:tcPr>
          <w:p>
            <w:pPr>
              <w:jc w:val="right"/>
              <w:spacing w:after="0" w:line="186" w:lineRule="exact"/>
              <w:rPr>
                <w:sz w:val="20"/>
                <w:szCs w:val="20"/>
                <w:color w:val="auto"/>
              </w:rPr>
            </w:pPr>
            <w:r>
              <w:rPr>
                <w:rFonts w:ascii="Times New Roman" w:cs="Times New Roman" w:eastAsia="Times New Roman" w:hAnsi="Times New Roman"/>
                <w:sz w:val="18"/>
                <w:szCs w:val="18"/>
                <w:color w:val="auto"/>
              </w:rPr>
              <w:t>(14,427</w:t>
            </w:r>
          </w:p>
        </w:tc>
        <w:tc>
          <w:tcPr>
            <w:tcW w:w="40" w:type="dxa"/>
            <w:vAlign w:val="bottom"/>
            <w:tcBorders>
              <w:left w:val="single" w:sz="8" w:color="D5EEEE"/>
            </w:tcBorders>
          </w:tcPr>
          <w:p>
            <w:pPr>
              <w:spacing w:after="0"/>
              <w:rPr>
                <w:sz w:val="16"/>
                <w:szCs w:val="16"/>
                <w:color w:val="auto"/>
              </w:rPr>
            </w:pPr>
          </w:p>
        </w:tc>
        <w:tc>
          <w:tcPr>
            <w:tcW w:w="80" w:type="dxa"/>
            <w:vAlign w:val="bottom"/>
            <w:tcBorders>
              <w:top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D5EEEE"/>
              </w:rPr>
              <w:t>)</w:t>
            </w:r>
          </w:p>
        </w:tc>
        <w:tc>
          <w:tcPr>
            <w:tcW w:w="220" w:type="dxa"/>
            <w:vAlign w:val="bottom"/>
            <w:tcBorders>
              <w:top w:val="single" w:sz="8" w:color="D5EEEE"/>
            </w:tcBorders>
            <w:shd w:val="clear" w:color="auto" w:fill="D5EEEE"/>
          </w:tcPr>
          <w:p>
            <w:pPr>
              <w:spacing w:after="0"/>
              <w:rPr>
                <w:sz w:val="16"/>
                <w:szCs w:val="16"/>
                <w:color w:val="auto"/>
              </w:rPr>
            </w:pPr>
          </w:p>
        </w:tc>
        <w:tc>
          <w:tcPr>
            <w:tcW w:w="80" w:type="dxa"/>
            <w:vAlign w:val="bottom"/>
            <w:tcBorders>
              <w:top w:val="single" w:sz="8" w:color="D5EEEE"/>
            </w:tcBorders>
            <w:shd w:val="clear" w:color="auto" w:fill="D5EEEE"/>
          </w:tcPr>
          <w:p>
            <w:pPr>
              <w:jc w:val="right"/>
              <w:spacing w:after="0" w:line="185" w:lineRule="exact"/>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0" w:type="dxa"/>
            <w:vAlign w:val="bottom"/>
            <w:tcBorders>
              <w:top w:val="single" w:sz="8" w:color="D5EEEE"/>
            </w:tcBorders>
          </w:tcPr>
          <w:p>
            <w:pPr>
              <w:spacing w:after="0"/>
              <w:rPr>
                <w:sz w:val="16"/>
                <w:szCs w:val="16"/>
                <w:color w:val="auto"/>
              </w:rPr>
            </w:pPr>
          </w:p>
        </w:tc>
        <w:tc>
          <w:tcPr>
            <w:tcW w:w="1340" w:type="dxa"/>
            <w:vAlign w:val="bottom"/>
            <w:tcBorders>
              <w:top w:val="single" w:sz="8" w:color="D5EEEE"/>
            </w:tcBorders>
            <w:shd w:val="clear" w:color="auto" w:fill="D5EEEE"/>
          </w:tcPr>
          <w:p>
            <w:pPr>
              <w:jc w:val="right"/>
              <w:spacing w:after="0" w:line="186" w:lineRule="exact"/>
              <w:rPr>
                <w:sz w:val="20"/>
                <w:szCs w:val="20"/>
                <w:color w:val="auto"/>
              </w:rPr>
            </w:pPr>
            <w:r>
              <w:rPr>
                <w:rFonts w:ascii="Times New Roman" w:cs="Times New Roman" w:eastAsia="Times New Roman" w:hAnsi="Times New Roman"/>
                <w:sz w:val="18"/>
                <w:szCs w:val="18"/>
                <w:color w:val="auto"/>
              </w:rPr>
              <w:t>(26,583)</w:t>
            </w:r>
          </w:p>
        </w:tc>
        <w:tc>
          <w:tcPr>
            <w:tcW w:w="20" w:type="dxa"/>
            <w:vAlign w:val="bottom"/>
            <w:tcBorders>
              <w:top w:val="single" w:sz="8" w:color="D5EEEE"/>
            </w:tcBorders>
            <w:shd w:val="clear" w:color="auto" w:fill="D5EEEE"/>
          </w:tcPr>
          <w:p>
            <w:pPr>
              <w:spacing w:after="0"/>
              <w:rPr>
                <w:sz w:val="16"/>
                <w:szCs w:val="16"/>
                <w:color w:val="auto"/>
              </w:rPr>
            </w:pPr>
          </w:p>
        </w:tc>
        <w:tc>
          <w:tcPr>
            <w:tcW w:w="100" w:type="dxa"/>
            <w:vAlign w:val="bottom"/>
            <w:tcBorders>
              <w:top w:val="single" w:sz="8" w:color="D5EEEE"/>
            </w:tcBorders>
            <w:shd w:val="clear" w:color="auto" w:fill="D5EEEE"/>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4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0" w:type="dxa"/>
            <w:vAlign w:val="bottom"/>
            <w:gridSpan w:val="4"/>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500" w:type="dxa"/>
            <w:vAlign w:val="bottom"/>
            <w:gridSpan w:val="3"/>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gridSpan w:val="3"/>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4320" w:type="dxa"/>
            <w:vAlign w:val="bottom"/>
            <w:tcBorders>
              <w:bottom w:val="single" w:sz="8" w:color="D5EEEE"/>
            </w:tcBorders>
            <w:gridSpan w:val="2"/>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780" w:type="dxa"/>
            <w:vAlign w:val="bottom"/>
            <w:tcBorders>
              <w:bottom w:val="single" w:sz="8" w:color="D5EEEE"/>
            </w:tcBorders>
            <w:gridSpan w:val="3"/>
          </w:tcPr>
          <w:p>
            <w:pPr>
              <w:spacing w:after="0"/>
              <w:rPr>
                <w:sz w:val="17"/>
                <w:szCs w:val="17"/>
                <w:color w:val="auto"/>
              </w:rPr>
            </w:pPr>
          </w:p>
        </w:tc>
        <w:tc>
          <w:tcPr>
            <w:tcW w:w="200" w:type="dxa"/>
            <w:vAlign w:val="bottom"/>
            <w:tcBorders>
              <w:bottom w:val="single" w:sz="8" w:color="D5EEEE"/>
            </w:tcBorders>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Borders>
              <w:bottom w:val="single" w:sz="8" w:color="D5EEEE"/>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2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460" w:type="dxa"/>
            <w:vAlign w:val="bottom"/>
            <w:tcBorders>
              <w:bottom w:val="single" w:sz="8" w:color="D5EEEE"/>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D5EEEE"/>
          </w:tcPr>
          <w:p>
            <w:pPr>
              <w:ind w:left="280"/>
              <w:spacing w:after="0" w:line="203" w:lineRule="exact"/>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D5EEEE"/>
          </w:tcPr>
          <w:p>
            <w:pPr>
              <w:spacing w:after="0"/>
              <w:rPr>
                <w:sz w:val="17"/>
                <w:szCs w:val="17"/>
                <w:color w:val="auto"/>
              </w:rPr>
            </w:pPr>
          </w:p>
        </w:tc>
        <w:tc>
          <w:tcPr>
            <w:tcW w:w="100" w:type="dxa"/>
            <w:vAlign w:val="bottom"/>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shd w:val="clear" w:color="auto" w:fill="D5EEEE"/>
              </w:rPr>
              <w:t>$</w:t>
            </w:r>
          </w:p>
        </w:tc>
        <w:tc>
          <w:tcPr>
            <w:tcW w:w="20" w:type="dxa"/>
            <w:vAlign w:val="bottom"/>
          </w:tcPr>
          <w:p>
            <w:pPr>
              <w:spacing w:after="0"/>
              <w:rPr>
                <w:sz w:val="17"/>
                <w:szCs w:val="17"/>
                <w:color w:val="auto"/>
              </w:rPr>
            </w:pPr>
          </w:p>
        </w:tc>
        <w:tc>
          <w:tcPr>
            <w:tcW w:w="1640" w:type="dxa"/>
            <w:vAlign w:val="bottom"/>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(1.07</w:t>
            </w:r>
          </w:p>
        </w:tc>
        <w:tc>
          <w:tcPr>
            <w:tcW w:w="20" w:type="dxa"/>
            <w:vAlign w:val="bottom"/>
            <w:shd w:val="clear" w:color="auto" w:fill="D5EEEE"/>
          </w:tcPr>
          <w:p>
            <w:pPr>
              <w:spacing w:after="0"/>
              <w:rPr>
                <w:sz w:val="17"/>
                <w:szCs w:val="17"/>
                <w:color w:val="auto"/>
              </w:rPr>
            </w:pP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5EEEE"/>
              </w:rPr>
              <w:t>)</w:t>
            </w:r>
          </w:p>
        </w:tc>
        <w:tc>
          <w:tcPr>
            <w:tcW w:w="200" w:type="dxa"/>
            <w:vAlign w:val="bottom"/>
            <w:shd w:val="clear" w:color="auto" w:fill="D5EEEE"/>
          </w:tcPr>
          <w:p>
            <w:pPr>
              <w:spacing w:after="0"/>
              <w:rPr>
                <w:sz w:val="17"/>
                <w:szCs w:val="17"/>
                <w:color w:val="auto"/>
              </w:rPr>
            </w:pPr>
          </w:p>
        </w:tc>
        <w:tc>
          <w:tcPr>
            <w:tcW w:w="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380" w:type="dxa"/>
            <w:vAlign w:val="bottom"/>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(0.58</w:t>
            </w:r>
          </w:p>
        </w:tc>
        <w:tc>
          <w:tcPr>
            <w:tcW w:w="40" w:type="dxa"/>
            <w:vAlign w:val="bottom"/>
            <w:tcBorders>
              <w:left w:val="single" w:sz="8" w:color="D5EEEE"/>
            </w:tcBorders>
          </w:tcPr>
          <w:p>
            <w:pPr>
              <w:spacing w:after="0"/>
              <w:rPr>
                <w:sz w:val="17"/>
                <w:szCs w:val="17"/>
                <w:color w:val="auto"/>
              </w:rPr>
            </w:pPr>
          </w:p>
        </w:tc>
        <w:tc>
          <w:tcPr>
            <w:tcW w:w="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D5EEEE"/>
              </w:rPr>
              <w:t>)</w:t>
            </w:r>
          </w:p>
        </w:tc>
        <w:tc>
          <w:tcPr>
            <w:tcW w:w="220" w:type="dxa"/>
            <w:vAlign w:val="bottom"/>
            <w:shd w:val="clear" w:color="auto" w:fill="D5EEEE"/>
          </w:tcPr>
          <w:p>
            <w:pPr>
              <w:spacing w:after="0"/>
              <w:rPr>
                <w:sz w:val="17"/>
                <w:szCs w:val="17"/>
                <w:color w:val="auto"/>
              </w:rPr>
            </w:pPr>
          </w:p>
        </w:tc>
        <w:tc>
          <w:tcPr>
            <w:tcW w:w="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0" w:type="dxa"/>
            <w:vAlign w:val="bottom"/>
          </w:tcPr>
          <w:p>
            <w:pPr>
              <w:spacing w:after="0"/>
              <w:rPr>
                <w:sz w:val="17"/>
                <w:szCs w:val="17"/>
                <w:color w:val="auto"/>
              </w:rPr>
            </w:pPr>
          </w:p>
        </w:tc>
        <w:tc>
          <w:tcPr>
            <w:tcW w:w="1360" w:type="dxa"/>
            <w:vAlign w:val="bottom"/>
            <w:gridSpan w:val="2"/>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120" w:type="dxa"/>
            <w:vAlign w:val="bottom"/>
            <w:tcBorders>
              <w:bottom w:val="single" w:sz="8" w:color="D5EEEE"/>
            </w:tcBorders>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highlight w:val="white"/>
                <w:w w:val="88"/>
              </w:rPr>
              <w:t>$</w:t>
            </w:r>
          </w:p>
        </w:tc>
        <w:tc>
          <w:tcPr>
            <w:tcW w:w="20" w:type="dxa"/>
            <w:vAlign w:val="bottom"/>
            <w:tcBorders>
              <w:bottom w:val="single" w:sz="8" w:color="D5EEEE"/>
            </w:tcBorders>
          </w:tcPr>
          <w:p>
            <w:pPr>
              <w:spacing w:after="0"/>
              <w:rPr>
                <w:sz w:val="19"/>
                <w:szCs w:val="19"/>
                <w:color w:val="auto"/>
              </w:rPr>
            </w:pPr>
          </w:p>
        </w:tc>
        <w:tc>
          <w:tcPr>
            <w:tcW w:w="16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Borders>
              <w:bottom w:val="single" w:sz="8" w:color="D5EEEE"/>
            </w:tcBorders>
          </w:tcPr>
          <w:p>
            <w:pPr>
              <w:spacing w:after="0"/>
              <w:rPr>
                <w:sz w:val="19"/>
                <w:szCs w:val="19"/>
                <w:color w:val="auto"/>
              </w:rPr>
            </w:pPr>
          </w:p>
        </w:tc>
        <w:tc>
          <w:tcPr>
            <w:tcW w:w="12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200" w:type="dxa"/>
            <w:vAlign w:val="bottom"/>
            <w:tcBorders>
              <w:bottom w:val="single" w:sz="8" w:color="D5EEEE"/>
            </w:tcBorders>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2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20" w:type="dxa"/>
            <w:vAlign w:val="bottom"/>
            <w:tcBorders>
              <w:bottom w:val="single" w:sz="8" w:color="D5EEEE"/>
            </w:tcBorders>
          </w:tcPr>
          <w:p>
            <w:pPr>
              <w:spacing w:after="0"/>
              <w:rPr>
                <w:sz w:val="19"/>
                <w:szCs w:val="19"/>
                <w:color w:val="auto"/>
              </w:rPr>
            </w:pPr>
          </w:p>
        </w:tc>
        <w:tc>
          <w:tcPr>
            <w:tcW w:w="1360" w:type="dxa"/>
            <w:vAlign w:val="bottom"/>
            <w:tcBorders>
              <w:bottom w:val="single" w:sz="8" w:color="D5EEEE"/>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4120" w:type="dxa"/>
            <w:vAlign w:val="bottom"/>
            <w:shd w:val="clear" w:color="auto" w:fill="D5EEEE"/>
          </w:tcPr>
          <w:p>
            <w:pPr>
              <w:spacing w:after="0"/>
              <w:rPr>
                <w:sz w:val="24"/>
                <w:szCs w:val="24"/>
                <w:color w:val="auto"/>
              </w:rPr>
            </w:pPr>
          </w:p>
        </w:tc>
        <w:tc>
          <w:tcPr>
            <w:tcW w:w="200" w:type="dxa"/>
            <w:vAlign w:val="bottom"/>
            <w:shd w:val="clear" w:color="auto" w:fill="D5EEE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64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vMerge w:val="restart"/>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134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120" w:type="dxa"/>
            <w:vAlign w:val="bottom"/>
            <w:tcBorders>
              <w:bottom w:val="single" w:sz="8" w:color="D5EEEE"/>
            </w:tcBorders>
          </w:tcPr>
          <w:p>
            <w:pPr>
              <w:spacing w:after="0"/>
              <w:rPr>
                <w:sz w:val="17"/>
                <w:szCs w:val="17"/>
                <w:color w:val="auto"/>
              </w:rPr>
            </w:pPr>
          </w:p>
        </w:tc>
        <w:tc>
          <w:tcPr>
            <w:tcW w:w="20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vMerge w:val="continue"/>
          </w:tcPr>
          <w:p>
            <w:pPr>
              <w:spacing w:after="0"/>
              <w:rPr>
                <w:sz w:val="17"/>
                <w:szCs w:val="17"/>
                <w:color w:val="auto"/>
              </w:rPr>
            </w:pPr>
          </w:p>
        </w:tc>
        <w:tc>
          <w:tcPr>
            <w:tcW w:w="1640" w:type="dxa"/>
            <w:vAlign w:val="bottom"/>
            <w:tcBorders>
              <w:bottom w:val="single" w:sz="8" w:color="D5EEEE"/>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25,000,180</w:t>
            </w:r>
          </w:p>
        </w:tc>
        <w:tc>
          <w:tcPr>
            <w:tcW w:w="20" w:type="dxa"/>
            <w:vAlign w:val="bottom"/>
            <w:tcBorders>
              <w:bottom w:val="single" w:sz="8" w:color="D5EEEE"/>
            </w:tcBorders>
          </w:tcPr>
          <w:p>
            <w:pPr>
              <w:spacing w:after="0"/>
              <w:rPr>
                <w:sz w:val="17"/>
                <w:szCs w:val="17"/>
                <w:color w:val="auto"/>
              </w:rPr>
            </w:pPr>
          </w:p>
        </w:tc>
        <w:tc>
          <w:tcPr>
            <w:tcW w:w="120" w:type="dxa"/>
            <w:vAlign w:val="bottom"/>
            <w:tcBorders>
              <w:bottom w:val="single" w:sz="8" w:color="D5EEEE"/>
            </w:tcBorders>
          </w:tcPr>
          <w:p>
            <w:pPr>
              <w:spacing w:after="0"/>
              <w:rPr>
                <w:sz w:val="17"/>
                <w:szCs w:val="17"/>
                <w:color w:val="auto"/>
              </w:rPr>
            </w:pPr>
          </w:p>
        </w:tc>
        <w:tc>
          <w:tcPr>
            <w:tcW w:w="200" w:type="dxa"/>
            <w:vAlign w:val="bottom"/>
            <w:tcBorders>
              <w:bottom w:val="single" w:sz="8" w:color="D5EEEE"/>
            </w:tcBorders>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24,915,414</w:t>
            </w:r>
          </w:p>
        </w:tc>
        <w:tc>
          <w:tcPr>
            <w:tcW w:w="40" w:type="dxa"/>
            <w:vAlign w:val="bottom"/>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2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vMerge w:val="continue"/>
          </w:tcPr>
          <w:p>
            <w:pPr>
              <w:spacing w:after="0"/>
              <w:rPr>
                <w:sz w:val="17"/>
                <w:szCs w:val="17"/>
                <w:color w:val="auto"/>
              </w:rPr>
            </w:pPr>
          </w:p>
        </w:tc>
        <w:tc>
          <w:tcPr>
            <w:tcW w:w="1340" w:type="dxa"/>
            <w:vAlign w:val="bottom"/>
            <w:tcBorders>
              <w:bottom w:val="single" w:sz="8" w:color="D5EEEE"/>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22,674,313</w:t>
            </w:r>
          </w:p>
        </w:tc>
        <w:tc>
          <w:tcPr>
            <w:tcW w:w="20" w:type="dxa"/>
            <w:vAlign w:val="bottom"/>
            <w:tcBorders>
              <w:bottom w:val="single" w:sz="8" w:color="D5EEEE"/>
            </w:tcBorders>
            <w:vMerge w:val="continue"/>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D5EEEE"/>
          </w:tcPr>
          <w:p>
            <w:pPr>
              <w:spacing w:after="0"/>
              <w:rPr>
                <w:sz w:val="17"/>
                <w:szCs w:val="17"/>
                <w:color w:val="auto"/>
              </w:rPr>
            </w:pPr>
          </w:p>
        </w:tc>
        <w:tc>
          <w:tcPr>
            <w:tcW w:w="200" w:type="dxa"/>
            <w:vAlign w:val="bottom"/>
            <w:shd w:val="clear" w:color="auto" w:fill="D5EEE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25,000,180</w:t>
            </w:r>
          </w:p>
        </w:tc>
        <w:tc>
          <w:tcPr>
            <w:tcW w:w="20" w:type="dxa"/>
            <w:vAlign w:val="bottom"/>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24,915,414</w:t>
            </w:r>
          </w:p>
        </w:tc>
        <w:tc>
          <w:tcPr>
            <w:tcW w:w="40" w:type="dxa"/>
            <w:vAlign w:val="bottom"/>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22,674,313</w:t>
            </w:r>
          </w:p>
        </w:tc>
        <w:tc>
          <w:tcPr>
            <w:tcW w:w="20" w:type="dxa"/>
            <w:vAlign w:val="bottom"/>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-3354705</wp:posOffset>
            </wp:positionV>
            <wp:extent cx="6884670" cy="33680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84670" cy="3368040"/>
                    </a:xfrm>
                    <a:prstGeom prst="rect">
                      <a:avLst/>
                    </a:prstGeom>
                    <a:noFill/>
                  </pic:spPr>
                </pic:pic>
              </a:graphicData>
            </a:graphic>
          </wp:anchor>
        </w:drawing>
      </w:r>
    </w:p>
    <w:p>
      <w:pPr>
        <w:spacing w:after="0" w:line="20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0"/>
          <w:szCs w:val="20"/>
          <w:color w:val="auto"/>
        </w:rPr>
        <w:t>The accompanying notes form part of the consolidated financial statements</w:t>
      </w:r>
    </w:p>
    <w:p>
      <w:pPr>
        <w:sectPr>
          <w:pgSz w:w="11880" w:h="15480" w:orient="portrait"/>
          <w:cols w:equalWidth="0" w:num="1">
            <w:col w:w="10800"/>
          </w:cols>
          <w:pgMar w:left="540" w:top="8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1880" w:h="15480" w:orient="portrait"/>
          <w:cols w:equalWidth="0" w:num="1">
            <w:col w:w="10800"/>
          </w:cols>
          <w:pgMar w:left="540" w:top="884" w:right="540" w:bottom="0"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20"/>
          <w:szCs w:val="20"/>
          <w:b w:val="1"/>
          <w:bCs w:val="1"/>
          <w:color w:val="auto"/>
        </w:rPr>
        <w:t>AVITA MEDICAL,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Loss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Year-Ended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2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Transition Period</w:t>
            </w:r>
          </w:p>
        </w:tc>
        <w:tc>
          <w:tcPr>
            <w:tcW w:w="100" w:type="dxa"/>
            <w:vAlign w:val="bottom"/>
          </w:tcPr>
          <w:p>
            <w:pPr>
              <w:spacing w:after="0"/>
              <w:rPr>
                <w:sz w:val="19"/>
                <w:szCs w:val="19"/>
                <w:color w:val="auto"/>
              </w:rPr>
            </w:pPr>
          </w:p>
        </w:tc>
        <w:tc>
          <w:tcPr>
            <w:tcW w:w="15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Year-Ended</w:t>
            </w:r>
          </w:p>
        </w:tc>
        <w:tc>
          <w:tcPr>
            <w:tcW w:w="0" w:type="dxa"/>
            <w:vAlign w:val="bottom"/>
          </w:tcPr>
          <w:p>
            <w:pPr>
              <w:spacing w:after="0"/>
              <w:rPr>
                <w:sz w:val="1"/>
                <w:szCs w:val="1"/>
                <w:color w:val="auto"/>
              </w:rPr>
            </w:pPr>
          </w:p>
        </w:tc>
      </w:tr>
      <w:tr>
        <w:trPr>
          <w:trHeight w:val="208"/>
        </w:trPr>
        <w:tc>
          <w:tcPr>
            <w:tcW w:w="4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Borders>
              <w:top w:val="single" w:sz="8" w:color="auto"/>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300" w:type="dxa"/>
            <w:vAlign w:val="bottom"/>
          </w:tcPr>
          <w:p>
            <w:pPr>
              <w:spacing w:after="0"/>
              <w:rPr>
                <w:sz w:val="18"/>
                <w:szCs w:val="18"/>
                <w:color w:val="auto"/>
              </w:rPr>
            </w:pPr>
          </w:p>
        </w:tc>
        <w:tc>
          <w:tcPr>
            <w:tcW w:w="2140" w:type="dxa"/>
            <w:vAlign w:val="bottom"/>
            <w:tcBorders>
              <w:top w:val="single" w:sz="8" w:color="auto"/>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July 1 - December 31, 2021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June 30, 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600" w:type="dxa"/>
            <w:vAlign w:val="bottom"/>
            <w:tcBorders>
              <w:bottom w:val="single" w:sz="8" w:color="D5EEEE"/>
            </w:tcBorders>
          </w:tcPr>
          <w:p>
            <w:pPr>
              <w:spacing w:after="0"/>
              <w:rPr>
                <w:sz w:val="16"/>
                <w:szCs w:val="16"/>
                <w:color w:val="auto"/>
              </w:rPr>
            </w:pPr>
          </w:p>
        </w:tc>
        <w:tc>
          <w:tcPr>
            <w:tcW w:w="200" w:type="dxa"/>
            <w:vAlign w:val="bottom"/>
            <w:tcBorders>
              <w:bottom w:val="single" w:sz="8" w:color="D5EEEE"/>
            </w:tcBorders>
          </w:tcPr>
          <w:p>
            <w:pPr>
              <w:spacing w:after="0"/>
              <w:rPr>
                <w:sz w:val="16"/>
                <w:szCs w:val="16"/>
                <w:color w:val="auto"/>
              </w:rPr>
            </w:pPr>
          </w:p>
        </w:tc>
        <w:tc>
          <w:tcPr>
            <w:tcW w:w="100" w:type="dxa"/>
            <w:vAlign w:val="bottom"/>
            <w:tcBorders>
              <w:bottom w:val="single" w:sz="8" w:color="D5EEEE"/>
            </w:tcBorders>
          </w:tcPr>
          <w:p>
            <w:pPr>
              <w:spacing w:after="0"/>
              <w:rPr>
                <w:sz w:val="16"/>
                <w:szCs w:val="16"/>
                <w:color w:val="auto"/>
              </w:rPr>
            </w:pPr>
          </w:p>
        </w:tc>
        <w:tc>
          <w:tcPr>
            <w:tcW w:w="20" w:type="dxa"/>
            <w:vAlign w:val="bottom"/>
            <w:tcBorders>
              <w:bottom w:val="single" w:sz="8" w:color="D5EEEE"/>
            </w:tcBorders>
          </w:tcPr>
          <w:p>
            <w:pPr>
              <w:spacing w:after="0"/>
              <w:rPr>
                <w:sz w:val="16"/>
                <w:szCs w:val="16"/>
                <w:color w:val="auto"/>
              </w:rPr>
            </w:pPr>
          </w:p>
        </w:tc>
        <w:tc>
          <w:tcPr>
            <w:tcW w:w="1500" w:type="dxa"/>
            <w:vAlign w:val="bottom"/>
            <w:tcBorders>
              <w:bottom w:val="single" w:sz="8" w:color="D5EEEE"/>
            </w:tcBorders>
          </w:tcPr>
          <w:p>
            <w:pPr>
              <w:spacing w:after="0"/>
              <w:rPr>
                <w:sz w:val="16"/>
                <w:szCs w:val="16"/>
                <w:color w:val="auto"/>
              </w:rPr>
            </w:pPr>
          </w:p>
        </w:tc>
        <w:tc>
          <w:tcPr>
            <w:tcW w:w="20" w:type="dxa"/>
            <w:vAlign w:val="bottom"/>
            <w:tcBorders>
              <w:bottom w:val="single" w:sz="8" w:color="D5EEEE"/>
            </w:tcBorders>
          </w:tcPr>
          <w:p>
            <w:pPr>
              <w:spacing w:after="0"/>
              <w:rPr>
                <w:sz w:val="16"/>
                <w:szCs w:val="16"/>
                <w:color w:val="auto"/>
              </w:rPr>
            </w:pPr>
          </w:p>
        </w:tc>
        <w:tc>
          <w:tcPr>
            <w:tcW w:w="300" w:type="dxa"/>
            <w:vAlign w:val="bottom"/>
            <w:tcBorders>
              <w:bottom w:val="single" w:sz="8" w:color="D5EEEE"/>
            </w:tcBorders>
          </w:tcPr>
          <w:p>
            <w:pPr>
              <w:spacing w:after="0"/>
              <w:rPr>
                <w:sz w:val="16"/>
                <w:szCs w:val="16"/>
                <w:color w:val="auto"/>
              </w:rPr>
            </w:pPr>
          </w:p>
        </w:tc>
        <w:tc>
          <w:tcPr>
            <w:tcW w:w="100" w:type="dxa"/>
            <w:vAlign w:val="bottom"/>
            <w:tcBorders>
              <w:bottom w:val="single" w:sz="8" w:color="D5EEEE"/>
            </w:tcBorders>
          </w:tcPr>
          <w:p>
            <w:pPr>
              <w:spacing w:after="0"/>
              <w:rPr>
                <w:sz w:val="16"/>
                <w:szCs w:val="16"/>
                <w:color w:val="auto"/>
              </w:rPr>
            </w:pPr>
          </w:p>
        </w:tc>
        <w:tc>
          <w:tcPr>
            <w:tcW w:w="20" w:type="dxa"/>
            <w:vAlign w:val="bottom"/>
            <w:tcBorders>
              <w:bottom w:val="single" w:sz="8" w:color="D5EEEE"/>
            </w:tcBorders>
          </w:tcPr>
          <w:p>
            <w:pPr>
              <w:spacing w:after="0"/>
              <w:rPr>
                <w:sz w:val="16"/>
                <w:szCs w:val="16"/>
                <w:color w:val="auto"/>
              </w:rPr>
            </w:pPr>
          </w:p>
        </w:tc>
        <w:tc>
          <w:tcPr>
            <w:tcW w:w="2000" w:type="dxa"/>
            <w:vAlign w:val="bottom"/>
            <w:tcBorders>
              <w:bottom w:val="single" w:sz="8" w:color="D5EEEE"/>
            </w:tcBorders>
          </w:tcPr>
          <w:p>
            <w:pPr>
              <w:spacing w:after="0"/>
              <w:rPr>
                <w:sz w:val="16"/>
                <w:szCs w:val="16"/>
                <w:color w:val="auto"/>
              </w:rPr>
            </w:pPr>
          </w:p>
        </w:tc>
        <w:tc>
          <w:tcPr>
            <w:tcW w:w="120" w:type="dxa"/>
            <w:vAlign w:val="bottom"/>
            <w:tcBorders>
              <w:bottom w:val="single" w:sz="8" w:color="D5EEEE"/>
            </w:tcBorders>
            <w:gridSpan w:val="2"/>
          </w:tcPr>
          <w:p>
            <w:pPr>
              <w:spacing w:after="0"/>
              <w:rPr>
                <w:sz w:val="16"/>
                <w:szCs w:val="16"/>
                <w:color w:val="auto"/>
              </w:rPr>
            </w:pPr>
          </w:p>
        </w:tc>
        <w:tc>
          <w:tcPr>
            <w:tcW w:w="20" w:type="dxa"/>
            <w:vAlign w:val="bottom"/>
            <w:vMerge w:val="restart"/>
          </w:tcPr>
          <w:p>
            <w:pPr>
              <w:spacing w:after="0"/>
              <w:rPr>
                <w:sz w:val="16"/>
                <w:szCs w:val="16"/>
                <w:color w:val="auto"/>
              </w:rPr>
            </w:pPr>
          </w:p>
        </w:tc>
        <w:tc>
          <w:tcPr>
            <w:tcW w:w="180" w:type="dxa"/>
            <w:vAlign w:val="bottom"/>
            <w:tcBorders>
              <w:bottom w:val="single" w:sz="8" w:color="D5EEEE"/>
            </w:tcBorders>
          </w:tcPr>
          <w:p>
            <w:pPr>
              <w:spacing w:after="0"/>
              <w:rPr>
                <w:sz w:val="16"/>
                <w:szCs w:val="16"/>
                <w:color w:val="auto"/>
              </w:rPr>
            </w:pPr>
          </w:p>
        </w:tc>
        <w:tc>
          <w:tcPr>
            <w:tcW w:w="100" w:type="dxa"/>
            <w:vAlign w:val="bottom"/>
            <w:tcBorders>
              <w:bottom w:val="single" w:sz="8" w:color="D5EEEE"/>
            </w:tcBorders>
          </w:tcPr>
          <w:p>
            <w:pPr>
              <w:spacing w:after="0"/>
              <w:rPr>
                <w:sz w:val="16"/>
                <w:szCs w:val="16"/>
                <w:color w:val="auto"/>
              </w:rPr>
            </w:pPr>
          </w:p>
        </w:tc>
        <w:tc>
          <w:tcPr>
            <w:tcW w:w="1400" w:type="dxa"/>
            <w:vAlign w:val="bottom"/>
            <w:tcBorders>
              <w:bottom w:val="single" w:sz="8" w:color="D5EEEE"/>
            </w:tcBorders>
          </w:tcPr>
          <w:p>
            <w:pPr>
              <w:spacing w:after="0"/>
              <w:rPr>
                <w:sz w:val="16"/>
                <w:szCs w:val="16"/>
                <w:color w:val="auto"/>
              </w:rPr>
            </w:pPr>
          </w:p>
        </w:tc>
        <w:tc>
          <w:tcPr>
            <w:tcW w:w="20" w:type="dxa"/>
            <w:vAlign w:val="bottom"/>
            <w:tcBorders>
              <w:bottom w:val="single" w:sz="8" w:color="D5EEEE"/>
            </w:tcBorders>
          </w:tcPr>
          <w:p>
            <w:pPr>
              <w:spacing w:after="0"/>
              <w:rPr>
                <w:sz w:val="16"/>
                <w:szCs w:val="16"/>
                <w:color w:val="auto"/>
              </w:rPr>
            </w:pPr>
          </w:p>
        </w:tc>
        <w:tc>
          <w:tcPr>
            <w:tcW w:w="100" w:type="dxa"/>
            <w:vAlign w:val="bottom"/>
            <w:tcBorders>
              <w:bottom w:val="single" w:sz="8" w:color="D5EEEE"/>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60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Net loss</w:t>
            </w:r>
          </w:p>
        </w:tc>
        <w:tc>
          <w:tcPr>
            <w:tcW w:w="200" w:type="dxa"/>
            <w:vAlign w:val="bottom"/>
            <w:shd w:val="clear" w:color="auto" w:fill="D5EEEE"/>
          </w:tcPr>
          <w:p>
            <w:pPr>
              <w:spacing w:after="0"/>
              <w:rPr>
                <w:sz w:val="19"/>
                <w:szCs w:val="19"/>
                <w:color w:val="auto"/>
              </w:rPr>
            </w:pPr>
          </w:p>
        </w:tc>
        <w:tc>
          <w:tcPr>
            <w:tcW w:w="10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Pr>
          <w:p>
            <w:pPr>
              <w:spacing w:after="0"/>
              <w:rPr>
                <w:sz w:val="19"/>
                <w:szCs w:val="19"/>
                <w:color w:val="auto"/>
              </w:rPr>
            </w:pPr>
          </w:p>
        </w:tc>
        <w:tc>
          <w:tcPr>
            <w:tcW w:w="150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(26,665)</w:t>
            </w:r>
          </w:p>
        </w:tc>
        <w:tc>
          <w:tcPr>
            <w:tcW w:w="20" w:type="dxa"/>
            <w:vAlign w:val="bottom"/>
            <w:shd w:val="clear" w:color="auto" w:fill="D5EEEE"/>
          </w:tcPr>
          <w:p>
            <w:pPr>
              <w:spacing w:after="0"/>
              <w:rPr>
                <w:sz w:val="19"/>
                <w:szCs w:val="19"/>
                <w:color w:val="auto"/>
              </w:rPr>
            </w:pPr>
          </w:p>
        </w:tc>
        <w:tc>
          <w:tcPr>
            <w:tcW w:w="300" w:type="dxa"/>
            <w:vAlign w:val="bottom"/>
            <w:tcBorders>
              <w:right w:val="single" w:sz="8" w:color="D5EEEE"/>
            </w:tcBorders>
            <w:shd w:val="clear" w:color="auto" w:fill="D5EEEE"/>
          </w:tcPr>
          <w:p>
            <w:pPr>
              <w:spacing w:after="0"/>
              <w:rPr>
                <w:sz w:val="19"/>
                <w:szCs w:val="19"/>
                <w:color w:val="auto"/>
              </w:rPr>
            </w:pPr>
          </w:p>
        </w:tc>
        <w:tc>
          <w:tcPr>
            <w:tcW w:w="10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Pr>
          <w:p>
            <w:pPr>
              <w:spacing w:after="0"/>
              <w:rPr>
                <w:sz w:val="19"/>
                <w:szCs w:val="19"/>
                <w:color w:val="auto"/>
              </w:rPr>
            </w:pPr>
          </w:p>
        </w:tc>
        <w:tc>
          <w:tcPr>
            <w:tcW w:w="200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(14,427)</w:t>
            </w:r>
          </w:p>
        </w:tc>
        <w:tc>
          <w:tcPr>
            <w:tcW w:w="2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20" w:type="dxa"/>
            <w:vAlign w:val="bottom"/>
            <w:vMerge w:val="continue"/>
          </w:tcPr>
          <w:p>
            <w:pPr>
              <w:spacing w:after="0"/>
              <w:rPr>
                <w:sz w:val="19"/>
                <w:szCs w:val="19"/>
                <w:color w:val="auto"/>
              </w:rPr>
            </w:pPr>
          </w:p>
        </w:tc>
        <w:tc>
          <w:tcPr>
            <w:tcW w:w="180" w:type="dxa"/>
            <w:vAlign w:val="bottom"/>
            <w:tcBorders>
              <w:right w:val="single" w:sz="8" w:color="D5EEEE"/>
            </w:tcBorders>
            <w:shd w:val="clear" w:color="auto" w:fill="D5EEEE"/>
          </w:tcPr>
          <w:p>
            <w:pPr>
              <w:spacing w:after="0"/>
              <w:rPr>
                <w:sz w:val="19"/>
                <w:szCs w:val="19"/>
                <w:color w:val="auto"/>
              </w:rPr>
            </w:pPr>
          </w:p>
        </w:tc>
        <w:tc>
          <w:tcPr>
            <w:tcW w:w="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140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(26,583)</w:t>
            </w:r>
          </w:p>
        </w:tc>
        <w:tc>
          <w:tcPr>
            <w:tcW w:w="2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600" w:type="dxa"/>
            <w:vAlign w:val="bottom"/>
            <w:tcBorders>
              <w:bottom w:val="single" w:sz="8" w:color="D5EEEE"/>
            </w:tcBorders>
          </w:tcPr>
          <w:p>
            <w:pPr>
              <w:spacing w:after="0"/>
              <w:rPr>
                <w:sz w:val="21"/>
                <w:szCs w:val="21"/>
                <w:color w:val="auto"/>
              </w:rPr>
            </w:pPr>
          </w:p>
        </w:tc>
        <w:tc>
          <w:tcPr>
            <w:tcW w:w="20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50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20" w:type="dxa"/>
            <w:vAlign w:val="bottom"/>
            <w:tcBorders>
              <w:bottom w:val="single" w:sz="8" w:color="D5EEEE"/>
            </w:tcBorders>
          </w:tcPr>
          <w:p>
            <w:pPr>
              <w:spacing w:after="0"/>
              <w:rPr>
                <w:sz w:val="21"/>
                <w:szCs w:val="21"/>
                <w:color w:val="auto"/>
              </w:rPr>
            </w:pPr>
          </w:p>
        </w:tc>
        <w:tc>
          <w:tcPr>
            <w:tcW w:w="30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200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1400" w:type="dxa"/>
            <w:vAlign w:val="bottom"/>
            <w:tcBorders>
              <w:bottom w:val="single" w:sz="8" w:color="D5EEEE"/>
            </w:tcBorders>
          </w:tcPr>
          <w:p>
            <w:pPr>
              <w:jc w:val="right"/>
              <w:ind w:right="4"/>
              <w:spacing w:after="0"/>
              <w:rPr>
                <w:sz w:val="20"/>
                <w:szCs w:val="20"/>
                <w:color w:val="auto"/>
              </w:rPr>
            </w:pPr>
            <w:r>
              <w:rPr>
                <w:rFonts w:ascii="Times New Roman" w:cs="Times New Roman" w:eastAsia="Times New Roman" w:hAnsi="Times New Roman"/>
                <w:sz w:val="20"/>
                <w:szCs w:val="20"/>
                <w:color w:val="auto"/>
              </w:rPr>
              <w:t>11</w:t>
            </w: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600" w:type="dxa"/>
            <w:vAlign w:val="bottom"/>
            <w:shd w:val="clear" w:color="auto" w:fill="D5EEEE"/>
          </w:tcPr>
          <w:p>
            <w:pPr>
              <w:spacing w:after="0"/>
              <w:rPr>
                <w:sz w:val="19"/>
                <w:szCs w:val="19"/>
                <w:color w:val="auto"/>
              </w:rPr>
            </w:pPr>
          </w:p>
        </w:tc>
        <w:tc>
          <w:tcPr>
            <w:tcW w:w="200" w:type="dxa"/>
            <w:vAlign w:val="bottom"/>
            <w:shd w:val="clear" w:color="auto" w:fill="D5EEE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(322)</w:t>
            </w:r>
          </w:p>
        </w:tc>
        <w:tc>
          <w:tcPr>
            <w:tcW w:w="20" w:type="dxa"/>
            <w:vAlign w:val="bottom"/>
            <w:tcBorders>
              <w:bottom w:val="single" w:sz="8" w:color="auto"/>
            </w:tcBorders>
            <w:shd w:val="clear" w:color="auto" w:fill="D5EEEE"/>
          </w:tcPr>
          <w:p>
            <w:pPr>
              <w:spacing w:after="0"/>
              <w:rPr>
                <w:sz w:val="19"/>
                <w:szCs w:val="19"/>
                <w:color w:val="auto"/>
              </w:rPr>
            </w:pPr>
          </w:p>
        </w:tc>
        <w:tc>
          <w:tcPr>
            <w:tcW w:w="300" w:type="dxa"/>
            <w:vAlign w:val="bottom"/>
            <w:tcBorders>
              <w:right w:val="single" w:sz="8" w:color="D5EEEE"/>
            </w:tcBorders>
            <w:shd w:val="clear" w:color="auto" w:fill="D5EEE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(104)</w:t>
            </w:r>
          </w:p>
        </w:tc>
        <w:tc>
          <w:tcPr>
            <w:tcW w:w="20" w:type="dxa"/>
            <w:vAlign w:val="bottom"/>
            <w:tcBorders>
              <w:bottom w:val="single" w:sz="8" w:color="auto"/>
            </w:tcBorders>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right w:val="single" w:sz="8" w:color="D5EEEE"/>
            </w:tcBorders>
            <w:shd w:val="clear" w:color="auto" w:fill="D5EEE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shd w:val="clear" w:color="auto" w:fill="D5EEE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600" w:type="dxa"/>
            <w:vAlign w:val="bottom"/>
          </w:tcPr>
          <w:p>
            <w:pPr>
              <w:spacing w:after="0"/>
              <w:rPr>
                <w:sz w:val="20"/>
                <w:szCs w:val="20"/>
                <w:color w:val="auto"/>
              </w:rPr>
            </w:pPr>
            <w:r>
              <w:rPr>
                <w:rFonts w:ascii="Times New Roman" w:cs="Times New Roman" w:eastAsia="Times New Roman" w:hAnsi="Times New Roman"/>
                <w:sz w:val="20"/>
                <w:szCs w:val="20"/>
                <w:color w:val="auto"/>
              </w:rPr>
              <w:t>Comprehensive loss</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(27,098)</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Borders>
              <w:bottom w:val="single" w:sz="8" w:color="auto"/>
            </w:tcBorders>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(14,626)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(26,470)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-922020</wp:posOffset>
            </wp:positionV>
            <wp:extent cx="6884670" cy="9537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84670" cy="953770"/>
                    </a:xfrm>
                    <a:prstGeom prst="rect">
                      <a:avLst/>
                    </a:prstGeom>
                    <a:noFill/>
                  </pic:spPr>
                </pic:pic>
              </a:graphicData>
            </a:graphic>
          </wp:anchor>
        </w:drawing>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form part of the consolidated financial statements</w:t>
      </w:r>
    </w:p>
    <w:p>
      <w:pPr>
        <w:sectPr>
          <w:pgSz w:w="11880" w:h="15480" w:orient="portrait"/>
          <w:cols w:equalWidth="0" w:num="1">
            <w:col w:w="10800"/>
          </w:cols>
          <w:pgMar w:left="540" w:top="8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w:t>
      </w:r>
    </w:p>
    <w:p>
      <w:pPr>
        <w:sectPr>
          <w:pgSz w:w="11880" w:h="15480" w:orient="portrait"/>
          <w:cols w:equalWidth="0" w:num="1">
            <w:col w:w="10800"/>
          </w:cols>
          <w:pgMar w:left="540" w:top="884" w:right="540" w:bottom="0"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20"/>
          <w:szCs w:val="20"/>
          <w:b w:val="1"/>
          <w:bCs w:val="1"/>
          <w:color w:val="auto"/>
        </w:rPr>
        <w:t>AVITA MEDICAL,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Shareholders’ Equity</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shares)</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common</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stock held</w:t>
            </w: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by the</w:t>
            </w:r>
          </w:p>
        </w:tc>
        <w:tc>
          <w:tcPr>
            <w:tcW w:w="100" w:type="dxa"/>
            <w:vAlign w:val="bottom"/>
          </w:tcPr>
          <w:p>
            <w:pPr>
              <w:spacing w:after="0"/>
              <w:rPr>
                <w:sz w:val="17"/>
                <w:szCs w:val="17"/>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17"/>
                <w:szCs w:val="17"/>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28"/>
        </w:trPr>
        <w:tc>
          <w:tcPr>
            <w:tcW w:w="3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NQDC</w:t>
            </w:r>
          </w:p>
        </w:tc>
        <w:tc>
          <w:tcPr>
            <w:tcW w:w="10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19"/>
                <w:szCs w:val="19"/>
                <w:color w:val="auto"/>
              </w:rPr>
            </w:pPr>
          </w:p>
        </w:tc>
        <w:tc>
          <w:tcPr>
            <w:tcW w:w="126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Gain (Loss)</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0"/>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2020</w:t>
            </w:r>
          </w:p>
        </w:tc>
        <w:tc>
          <w:tcPr>
            <w:tcW w:w="60" w:type="dxa"/>
            <w:vAlign w:val="bottom"/>
          </w:tcPr>
          <w:p>
            <w:pPr>
              <w:spacing w:after="0" w:line="20" w:lineRule="exact"/>
              <w:rPr>
                <w:sz w:val="1"/>
                <w:szCs w:val="1"/>
                <w:color w:val="auto"/>
              </w:rPr>
            </w:pPr>
          </w:p>
        </w:tc>
        <w:tc>
          <w:tcPr>
            <w:tcW w:w="100" w:type="dxa"/>
            <w:vAlign w:val="bottom"/>
            <w:tcBorders>
              <w:top w:val="single" w:sz="8" w:color="auto"/>
            </w:tcBorders>
            <w:gridSpan w:val="2"/>
          </w:tcPr>
          <w:p>
            <w:pPr>
              <w:spacing w:after="0" w:line="20" w:lineRule="exact"/>
              <w:rPr>
                <w:sz w:val="1"/>
                <w:szCs w:val="1"/>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highlight w:val="white"/>
                <w:w w:val="93"/>
              </w:rPr>
              <w:t>21,467,912</w:t>
            </w:r>
          </w:p>
        </w:tc>
        <w:tc>
          <w:tcPr>
            <w:tcW w:w="8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259,165</w:t>
            </w:r>
          </w:p>
        </w:tc>
        <w:tc>
          <w:tcPr>
            <w:tcW w:w="140" w:type="dxa"/>
            <w:vAlign w:val="bottom"/>
          </w:tcPr>
          <w:p>
            <w:pPr>
              <w:spacing w:after="0" w:line="20" w:lineRule="exact"/>
              <w:rPr>
                <w:sz w:val="1"/>
                <w:szCs w:val="1"/>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8,146</w:t>
            </w:r>
          </w:p>
        </w:tc>
        <w:tc>
          <w:tcPr>
            <w:tcW w:w="14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(194,913)</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72,401</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6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112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60" w:type="dxa"/>
            <w:vAlign w:val="bottom"/>
            <w:gridSpan w:val="2"/>
            <w:vMerge w:val="continue"/>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60" w:type="dxa"/>
            <w:vAlign w:val="bottom"/>
            <w:tcBorders>
              <w:top w:val="single" w:sz="8" w:color="D5EEEE"/>
            </w:tcBorders>
            <w:gridSpan w:val="2"/>
            <w:shd w:val="clear" w:color="auto" w:fill="D5EEEE"/>
          </w:tcPr>
          <w:p>
            <w:pPr>
              <w:spacing w:after="0" w:line="198" w:lineRule="exact"/>
              <w:rPr>
                <w:sz w:val="20"/>
                <w:szCs w:val="20"/>
                <w:color w:val="auto"/>
              </w:rPr>
            </w:pPr>
            <w:r>
              <w:rPr>
                <w:rFonts w:ascii="Times New Roman" w:cs="Times New Roman" w:eastAsia="Times New Roman" w:hAnsi="Times New Roman"/>
                <w:sz w:val="18"/>
                <w:szCs w:val="18"/>
                <w:color w:val="auto"/>
              </w:rPr>
              <w:t>Net loss</w:t>
            </w:r>
          </w:p>
        </w:tc>
        <w:tc>
          <w:tcPr>
            <w:tcW w:w="60" w:type="dxa"/>
            <w:vAlign w:val="bottom"/>
            <w:tcBorders>
              <w:top w:val="single" w:sz="8" w:color="D5EEEE"/>
            </w:tcBorders>
          </w:tcPr>
          <w:p>
            <w:pPr>
              <w:spacing w:after="0"/>
              <w:rPr>
                <w:sz w:val="17"/>
                <w:szCs w:val="17"/>
                <w:color w:val="auto"/>
              </w:rPr>
            </w:pPr>
          </w:p>
        </w:tc>
        <w:tc>
          <w:tcPr>
            <w:tcW w:w="80" w:type="dxa"/>
            <w:vAlign w:val="bottom"/>
            <w:tcBorders>
              <w:top w:val="single" w:sz="8" w:color="D5EEEE"/>
            </w:tcBorders>
          </w:tcPr>
          <w:p>
            <w:pPr>
              <w:spacing w:after="0"/>
              <w:rPr>
                <w:sz w:val="17"/>
                <w:szCs w:val="17"/>
                <w:color w:val="auto"/>
              </w:rPr>
            </w:pPr>
          </w:p>
        </w:tc>
        <w:tc>
          <w:tcPr>
            <w:tcW w:w="20" w:type="dxa"/>
            <w:vAlign w:val="bottom"/>
            <w:tcBorders>
              <w:top w:val="single" w:sz="8" w:color="D5EEEE"/>
            </w:tcBorders>
          </w:tcPr>
          <w:p>
            <w:pPr>
              <w:spacing w:after="0"/>
              <w:rPr>
                <w:sz w:val="17"/>
                <w:szCs w:val="17"/>
                <w:color w:val="auto"/>
              </w:rPr>
            </w:pPr>
          </w:p>
        </w:tc>
        <w:tc>
          <w:tcPr>
            <w:tcW w:w="20" w:type="dxa"/>
            <w:vAlign w:val="bottom"/>
            <w:tcBorders>
              <w:top w:val="single" w:sz="8" w:color="D5EEEE"/>
            </w:tcBorders>
          </w:tcPr>
          <w:p>
            <w:pPr>
              <w:spacing w:after="0"/>
              <w:rPr>
                <w:sz w:val="17"/>
                <w:szCs w:val="17"/>
                <w:color w:val="auto"/>
              </w:rPr>
            </w:pPr>
          </w:p>
        </w:tc>
        <w:tc>
          <w:tcPr>
            <w:tcW w:w="8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D5EEEE"/>
            </w:tcBorders>
          </w:tcPr>
          <w:p>
            <w:pPr>
              <w:spacing w:after="0"/>
              <w:rPr>
                <w:sz w:val="17"/>
                <w:szCs w:val="17"/>
                <w:color w:val="auto"/>
              </w:rPr>
            </w:pPr>
          </w:p>
        </w:tc>
        <w:tc>
          <w:tcPr>
            <w:tcW w:w="100" w:type="dxa"/>
            <w:vAlign w:val="bottom"/>
            <w:tcBorders>
              <w:top w:val="single" w:sz="8" w:color="D5EEEE"/>
            </w:tcBorders>
          </w:tcPr>
          <w:p>
            <w:pPr>
              <w:spacing w:after="0"/>
              <w:rPr>
                <w:sz w:val="17"/>
                <w:szCs w:val="17"/>
                <w:color w:val="auto"/>
              </w:rPr>
            </w:pPr>
          </w:p>
        </w:tc>
        <w:tc>
          <w:tcPr>
            <w:tcW w:w="460" w:type="dxa"/>
            <w:vAlign w:val="bottom"/>
            <w:tcBorders>
              <w:top w:val="single" w:sz="8" w:color="D5EEEE"/>
            </w:tcBorders>
          </w:tcPr>
          <w:p>
            <w:pPr>
              <w:spacing w:after="0"/>
              <w:rPr>
                <w:sz w:val="17"/>
                <w:szCs w:val="17"/>
                <w:color w:val="auto"/>
              </w:rPr>
            </w:pPr>
          </w:p>
        </w:tc>
        <w:tc>
          <w:tcPr>
            <w:tcW w:w="220" w:type="dxa"/>
            <w:vAlign w:val="bottom"/>
            <w:tcBorders>
              <w:top w:val="single" w:sz="8" w:color="D5EEEE"/>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D5EEEE"/>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top w:val="single" w:sz="8" w:color="D5EEEE"/>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D5EEEE"/>
            </w:tcBorders>
          </w:tcPr>
          <w:p>
            <w:pPr>
              <w:spacing w:after="0"/>
              <w:rPr>
                <w:sz w:val="17"/>
                <w:szCs w:val="17"/>
                <w:color w:val="auto"/>
              </w:rPr>
            </w:pPr>
          </w:p>
        </w:tc>
        <w:tc>
          <w:tcPr>
            <w:tcW w:w="100" w:type="dxa"/>
            <w:vAlign w:val="bottom"/>
            <w:tcBorders>
              <w:top w:val="single" w:sz="8" w:color="D5EEEE"/>
            </w:tcBorders>
          </w:tcPr>
          <w:p>
            <w:pPr>
              <w:spacing w:after="0"/>
              <w:rPr>
                <w:sz w:val="17"/>
                <w:szCs w:val="17"/>
                <w:color w:val="auto"/>
              </w:rPr>
            </w:pPr>
          </w:p>
        </w:tc>
        <w:tc>
          <w:tcPr>
            <w:tcW w:w="740" w:type="dxa"/>
            <w:vAlign w:val="bottom"/>
            <w:tcBorders>
              <w:top w:val="single" w:sz="8" w:color="D5EEEE"/>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D5EE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Borders>
              <w:top w:val="single" w:sz="8" w:color="D5EEEE"/>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D5EEEE"/>
            </w:tcBorders>
          </w:tcPr>
          <w:p>
            <w:pPr>
              <w:spacing w:after="0"/>
              <w:rPr>
                <w:sz w:val="17"/>
                <w:szCs w:val="17"/>
                <w:color w:val="auto"/>
              </w:rPr>
            </w:pPr>
          </w:p>
        </w:tc>
        <w:tc>
          <w:tcPr>
            <w:tcW w:w="140" w:type="dxa"/>
            <w:vAlign w:val="bottom"/>
            <w:tcBorders>
              <w:top w:val="single" w:sz="8" w:color="D5EEEE"/>
            </w:tcBorders>
          </w:tcPr>
          <w:p>
            <w:pPr>
              <w:spacing w:after="0"/>
              <w:rPr>
                <w:sz w:val="17"/>
                <w:szCs w:val="17"/>
                <w:color w:val="auto"/>
              </w:rPr>
            </w:pPr>
          </w:p>
        </w:tc>
        <w:tc>
          <w:tcPr>
            <w:tcW w:w="40" w:type="dxa"/>
            <w:vAlign w:val="bottom"/>
            <w:tcBorders>
              <w:top w:val="single" w:sz="8" w:color="D5EEEE"/>
            </w:tcBorders>
          </w:tcPr>
          <w:p>
            <w:pPr>
              <w:spacing w:after="0"/>
              <w:rPr>
                <w:sz w:val="17"/>
                <w:szCs w:val="17"/>
                <w:color w:val="auto"/>
              </w:rPr>
            </w:pPr>
          </w:p>
        </w:tc>
        <w:tc>
          <w:tcPr>
            <w:tcW w:w="9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(26,583)</w:t>
            </w:r>
          </w:p>
        </w:tc>
        <w:tc>
          <w:tcPr>
            <w:tcW w:w="20" w:type="dxa"/>
            <w:vAlign w:val="bottom"/>
            <w:tcBorders>
              <w:top w:val="single" w:sz="8" w:color="D5EEEE"/>
            </w:tcBorders>
          </w:tcPr>
          <w:p>
            <w:pPr>
              <w:spacing w:after="0"/>
              <w:rPr>
                <w:sz w:val="17"/>
                <w:szCs w:val="17"/>
                <w:color w:val="auto"/>
              </w:rPr>
            </w:pPr>
          </w:p>
        </w:tc>
        <w:tc>
          <w:tcPr>
            <w:tcW w:w="140" w:type="dxa"/>
            <w:vAlign w:val="bottom"/>
            <w:tcBorders>
              <w:top w:val="single" w:sz="8" w:color="D5EEEE"/>
            </w:tcBorders>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(26,583)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under direct</w:t>
            </w:r>
          </w:p>
        </w:tc>
        <w:tc>
          <w:tcPr>
            <w:tcW w:w="20" w:type="dxa"/>
            <w:vAlign w:val="bottom"/>
          </w:tcPr>
          <w:p>
            <w:pPr>
              <w:spacing w:after="0"/>
              <w:rPr>
                <w:sz w:val="19"/>
                <w:szCs w:val="19"/>
                <w:color w:val="auto"/>
              </w:rPr>
            </w:pPr>
          </w:p>
        </w:tc>
        <w:tc>
          <w:tcPr>
            <w:tcW w:w="140" w:type="dxa"/>
            <w:vAlign w:val="bottom"/>
            <w:gridSpan w:val="2"/>
            <w:vMerge w:val="restart"/>
          </w:tcPr>
          <w:p>
            <w:pPr>
              <w:spacing w:after="0"/>
              <w:rPr>
                <w:sz w:val="19"/>
                <w:szCs w:val="19"/>
                <w:color w:val="auto"/>
              </w:rPr>
            </w:pPr>
          </w:p>
        </w:tc>
        <w:tc>
          <w:tcPr>
            <w:tcW w:w="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3,214,250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69,106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69,106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placement</w:t>
            </w:r>
          </w:p>
        </w:tc>
        <w:tc>
          <w:tcPr>
            <w:tcW w:w="20" w:type="dxa"/>
            <w:vAlign w:val="bottom"/>
          </w:tcPr>
          <w:p>
            <w:pPr>
              <w:spacing w:after="0"/>
              <w:rPr>
                <w:sz w:val="17"/>
                <w:szCs w:val="17"/>
                <w:color w:val="auto"/>
              </w:rPr>
            </w:pPr>
          </w:p>
        </w:tc>
        <w:tc>
          <w:tcPr>
            <w:tcW w:w="140" w:type="dxa"/>
            <w:vAlign w:val="bottom"/>
            <w:tcBorders>
              <w:bottom w:val="single" w:sz="8" w:color="D5EEEE"/>
            </w:tcBorders>
            <w:gridSpan w:val="2"/>
            <w:vMerge w:val="continue"/>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460" w:type="dxa"/>
            <w:vAlign w:val="bottom"/>
            <w:tcBorders>
              <w:bottom w:val="single" w:sz="8" w:color="D5EEEE"/>
            </w:tcBorders>
          </w:tcPr>
          <w:p>
            <w:pPr>
              <w:spacing w:after="0"/>
              <w:rPr>
                <w:sz w:val="17"/>
                <w:szCs w:val="17"/>
                <w:color w:val="auto"/>
              </w:rPr>
            </w:pPr>
          </w:p>
        </w:tc>
        <w:tc>
          <w:tcPr>
            <w:tcW w:w="220" w:type="dxa"/>
            <w:vAlign w:val="bottom"/>
            <w:tcBorders>
              <w:bottom w:val="single" w:sz="8" w:color="D5EEEE"/>
            </w:tcBorders>
            <w:vMerge w:val="continue"/>
          </w:tcPr>
          <w:p>
            <w:pPr>
              <w:spacing w:after="0"/>
              <w:rPr>
                <w:sz w:val="17"/>
                <w:szCs w:val="17"/>
                <w:color w:val="auto"/>
              </w:rPr>
            </w:pPr>
          </w:p>
        </w:tc>
        <w:tc>
          <w:tcPr>
            <w:tcW w:w="60" w:type="dxa"/>
            <w:vAlign w:val="bottom"/>
            <w:tcBorders>
              <w:bottom w:val="single" w:sz="8" w:color="D5EEEE"/>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880" w:type="dxa"/>
            <w:vAlign w:val="bottom"/>
            <w:tcBorders>
              <w:bottom w:val="single" w:sz="8" w:color="D5EEEE"/>
            </w:tcBorders>
            <w:vMerge w:val="continue"/>
          </w:tcPr>
          <w:p>
            <w:pPr>
              <w:spacing w:after="0"/>
              <w:rPr>
                <w:sz w:val="17"/>
                <w:szCs w:val="17"/>
                <w:color w:val="auto"/>
              </w:rPr>
            </w:pPr>
          </w:p>
        </w:tc>
        <w:tc>
          <w:tcPr>
            <w:tcW w:w="12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740" w:type="dxa"/>
            <w:vAlign w:val="bottom"/>
            <w:tcBorders>
              <w:bottom w:val="single" w:sz="8" w:color="D5EEEE"/>
            </w:tcBorders>
            <w:vMerge w:val="continue"/>
          </w:tcPr>
          <w:p>
            <w:pPr>
              <w:spacing w:after="0"/>
              <w:rPr>
                <w:sz w:val="17"/>
                <w:szCs w:val="17"/>
                <w:color w:val="auto"/>
              </w:rPr>
            </w:pPr>
          </w:p>
        </w:tc>
        <w:tc>
          <w:tcPr>
            <w:tcW w:w="140" w:type="dxa"/>
            <w:vAlign w:val="bottom"/>
            <w:tcBorders>
              <w:bottom w:val="single" w:sz="8" w:color="D5EEEE"/>
            </w:tcBorders>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140" w:type="dxa"/>
            <w:vAlign w:val="bottom"/>
            <w:tcBorders>
              <w:bottom w:val="single" w:sz="8" w:color="D5EEEE"/>
            </w:tcBorders>
          </w:tcPr>
          <w:p>
            <w:pPr>
              <w:spacing w:after="0"/>
              <w:rPr>
                <w:sz w:val="17"/>
                <w:szCs w:val="17"/>
                <w:color w:val="auto"/>
              </w:rPr>
            </w:pPr>
          </w:p>
        </w:tc>
        <w:tc>
          <w:tcPr>
            <w:tcW w:w="140" w:type="dxa"/>
            <w:vAlign w:val="bottom"/>
            <w:tcBorders>
              <w:bottom w:val="single" w:sz="8" w:color="D5EEEE"/>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40" w:type="dxa"/>
            <w:vAlign w:val="bottom"/>
            <w:tcBorders>
              <w:bottom w:val="single" w:sz="8" w:color="D5EEEE"/>
            </w:tcBorders>
          </w:tcPr>
          <w:p>
            <w:pPr>
              <w:spacing w:after="0"/>
              <w:rPr>
                <w:sz w:val="17"/>
                <w:szCs w:val="17"/>
                <w:color w:val="auto"/>
              </w:rPr>
            </w:pPr>
          </w:p>
        </w:tc>
        <w:tc>
          <w:tcPr>
            <w:tcW w:w="940" w:type="dxa"/>
            <w:vAlign w:val="bottom"/>
            <w:tcBorders>
              <w:bottom w:val="single" w:sz="8" w:color="D5EEEE"/>
            </w:tcBorders>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040" w:type="dxa"/>
            <w:vAlign w:val="bottom"/>
            <w:shd w:val="clear" w:color="auto" w:fill="D5EEEE"/>
          </w:tcPr>
          <w:p>
            <w:pPr>
              <w:spacing w:after="0" w:line="201" w:lineRule="exact"/>
              <w:rPr>
                <w:sz w:val="20"/>
                <w:szCs w:val="20"/>
                <w:color w:val="auto"/>
              </w:rPr>
            </w:pPr>
            <w:r>
              <w:rPr>
                <w:rFonts w:ascii="Times New Roman" w:cs="Times New Roman" w:eastAsia="Times New Roman" w:hAnsi="Times New Roman"/>
                <w:sz w:val="18"/>
                <w:szCs w:val="18"/>
                <w:color w:val="auto"/>
              </w:rPr>
              <w:t>Issuance costs associated with direct</w:t>
            </w:r>
          </w:p>
        </w:tc>
        <w:tc>
          <w:tcPr>
            <w:tcW w:w="20" w:type="dxa"/>
            <w:vAlign w:val="bottom"/>
          </w:tcPr>
          <w:p>
            <w:pPr>
              <w:spacing w:after="0"/>
              <w:rPr>
                <w:sz w:val="17"/>
                <w:szCs w:val="17"/>
                <w:color w:val="auto"/>
              </w:rPr>
            </w:pPr>
          </w:p>
        </w:tc>
        <w:tc>
          <w:tcPr>
            <w:tcW w:w="10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(5,109)</w:t>
            </w:r>
          </w:p>
        </w:tc>
        <w:tc>
          <w:tcPr>
            <w:tcW w:w="80" w:type="dxa"/>
            <w:vAlign w:val="bottom"/>
          </w:tcPr>
          <w:p>
            <w:pPr>
              <w:spacing w:after="0"/>
              <w:rPr>
                <w:sz w:val="17"/>
                <w:szCs w:val="17"/>
                <w:color w:val="auto"/>
              </w:rPr>
            </w:pPr>
          </w:p>
        </w:tc>
        <w:tc>
          <w:tcPr>
            <w:tcW w:w="1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(5,109)</w:t>
            </w:r>
          </w:p>
        </w:tc>
        <w:tc>
          <w:tcPr>
            <w:tcW w:w="0" w:type="dxa"/>
            <w:vAlign w:val="bottom"/>
          </w:tcPr>
          <w:p>
            <w:pPr>
              <w:spacing w:after="0"/>
              <w:rPr>
                <w:sz w:val="1"/>
                <w:szCs w:val="1"/>
                <w:color w:val="auto"/>
              </w:rPr>
            </w:pPr>
          </w:p>
        </w:tc>
      </w:tr>
      <w:tr>
        <w:trPr>
          <w:trHeight w:val="204"/>
        </w:trPr>
        <w:tc>
          <w:tcPr>
            <w:tcW w:w="30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placement</w:t>
            </w:r>
          </w:p>
        </w:tc>
        <w:tc>
          <w:tcPr>
            <w:tcW w:w="20" w:type="dxa"/>
            <w:vAlign w:val="bottom"/>
          </w:tcPr>
          <w:p>
            <w:pPr>
              <w:spacing w:after="0"/>
              <w:rPr>
                <w:sz w:val="17"/>
                <w:szCs w:val="17"/>
                <w:color w:val="auto"/>
              </w:rPr>
            </w:pPr>
          </w:p>
        </w:tc>
        <w:tc>
          <w:tcPr>
            <w:tcW w:w="1020" w:type="dxa"/>
            <w:vAlign w:val="bottom"/>
            <w:gridSpan w:val="5"/>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6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Exercise of stock options</w:t>
            </w:r>
          </w:p>
        </w:tc>
        <w:tc>
          <w:tcPr>
            <w:tcW w:w="140" w:type="dxa"/>
            <w:vAlign w:val="bottom"/>
            <w:tcBorders>
              <w:top w:val="single" w:sz="8" w:color="D5EEEE"/>
            </w:tcBorders>
            <w:gridSpan w:val="2"/>
          </w:tcPr>
          <w:p>
            <w:pPr>
              <w:spacing w:after="0"/>
              <w:rPr>
                <w:sz w:val="17"/>
                <w:szCs w:val="17"/>
                <w:color w:val="auto"/>
              </w:rPr>
            </w:pPr>
          </w:p>
        </w:tc>
        <w:tc>
          <w:tcPr>
            <w:tcW w:w="88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14,359</w:t>
            </w:r>
          </w:p>
        </w:tc>
        <w:tc>
          <w:tcPr>
            <w:tcW w:w="80" w:type="dxa"/>
            <w:vAlign w:val="bottom"/>
            <w:tcBorders>
              <w:top w:val="single" w:sz="8" w:color="D5EEEE"/>
            </w:tcBorders>
          </w:tcPr>
          <w:p>
            <w:pPr>
              <w:spacing w:after="0"/>
              <w:rPr>
                <w:sz w:val="17"/>
                <w:szCs w:val="17"/>
                <w:color w:val="auto"/>
              </w:rPr>
            </w:pPr>
          </w:p>
        </w:tc>
        <w:tc>
          <w:tcPr>
            <w:tcW w:w="100" w:type="dxa"/>
            <w:vAlign w:val="bottom"/>
            <w:tcBorders>
              <w:top w:val="single" w:sz="8" w:color="D5EEEE"/>
            </w:tcBorders>
          </w:tcPr>
          <w:p>
            <w:pPr>
              <w:spacing w:after="0"/>
              <w:rPr>
                <w:sz w:val="17"/>
                <w:szCs w:val="17"/>
                <w:color w:val="auto"/>
              </w:rPr>
            </w:pPr>
          </w:p>
        </w:tc>
        <w:tc>
          <w:tcPr>
            <w:tcW w:w="460" w:type="dxa"/>
            <w:vAlign w:val="bottom"/>
            <w:tcBorders>
              <w:top w:val="single" w:sz="8" w:color="D5EEEE"/>
            </w:tcBorders>
          </w:tcPr>
          <w:p>
            <w:pPr>
              <w:spacing w:after="0"/>
              <w:rPr>
                <w:sz w:val="17"/>
                <w:szCs w:val="17"/>
                <w:color w:val="auto"/>
              </w:rPr>
            </w:pPr>
          </w:p>
        </w:tc>
        <w:tc>
          <w:tcPr>
            <w:tcW w:w="220" w:type="dxa"/>
            <w:vAlign w:val="bottom"/>
            <w:tcBorders>
              <w:top w:val="single" w:sz="8" w:color="D5EEEE"/>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D5EEEE"/>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top w:val="single" w:sz="8" w:color="D5EEEE"/>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D5EEEE"/>
            </w:tcBorders>
          </w:tcPr>
          <w:p>
            <w:pPr>
              <w:spacing w:after="0"/>
              <w:rPr>
                <w:sz w:val="17"/>
                <w:szCs w:val="17"/>
                <w:color w:val="auto"/>
              </w:rPr>
            </w:pPr>
          </w:p>
        </w:tc>
        <w:tc>
          <w:tcPr>
            <w:tcW w:w="100" w:type="dxa"/>
            <w:vAlign w:val="bottom"/>
            <w:tcBorders>
              <w:top w:val="single" w:sz="8" w:color="D5EEEE"/>
            </w:tcBorders>
          </w:tcPr>
          <w:p>
            <w:pPr>
              <w:spacing w:after="0"/>
              <w:rPr>
                <w:sz w:val="17"/>
                <w:szCs w:val="17"/>
                <w:color w:val="auto"/>
              </w:rPr>
            </w:pPr>
          </w:p>
        </w:tc>
        <w:tc>
          <w:tcPr>
            <w:tcW w:w="740" w:type="dxa"/>
            <w:vAlign w:val="bottom"/>
            <w:tcBorders>
              <w:top w:val="single" w:sz="8" w:color="D5EEEE"/>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w:t>
            </w:r>
          </w:p>
        </w:tc>
        <w:tc>
          <w:tcPr>
            <w:tcW w:w="140" w:type="dxa"/>
            <w:vAlign w:val="bottom"/>
            <w:tcBorders>
              <w:top w:val="single" w:sz="8" w:color="D5EEEE"/>
            </w:tcBorders>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D5EEEE"/>
            </w:tcBorders>
          </w:tcPr>
          <w:p>
            <w:pPr>
              <w:spacing w:after="0"/>
              <w:rPr>
                <w:sz w:val="17"/>
                <w:szCs w:val="17"/>
                <w:color w:val="auto"/>
              </w:rPr>
            </w:pPr>
          </w:p>
        </w:tc>
        <w:tc>
          <w:tcPr>
            <w:tcW w:w="140" w:type="dxa"/>
            <w:vAlign w:val="bottom"/>
            <w:tcBorders>
              <w:top w:val="single" w:sz="8" w:color="D5EEEE"/>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D5EEEE"/>
            </w:tcBorders>
          </w:tcPr>
          <w:p>
            <w:pPr>
              <w:spacing w:after="0"/>
              <w:rPr>
                <w:sz w:val="17"/>
                <w:szCs w:val="17"/>
                <w:color w:val="auto"/>
              </w:rPr>
            </w:pPr>
          </w:p>
        </w:tc>
        <w:tc>
          <w:tcPr>
            <w:tcW w:w="140" w:type="dxa"/>
            <w:vAlign w:val="bottom"/>
            <w:tcBorders>
              <w:top w:val="single" w:sz="8" w:color="D5EEEE"/>
            </w:tcBorders>
          </w:tcPr>
          <w:p>
            <w:pPr>
              <w:spacing w:after="0"/>
              <w:rPr>
                <w:sz w:val="17"/>
                <w:szCs w:val="17"/>
                <w:color w:val="auto"/>
              </w:rPr>
            </w:pPr>
          </w:p>
        </w:tc>
        <w:tc>
          <w:tcPr>
            <w:tcW w:w="940" w:type="dxa"/>
            <w:vAlign w:val="bottom"/>
            <w:tcBorders>
              <w:top w:val="single" w:sz="8" w:color="D5EEEE"/>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199,343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0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Translation gain</w:t>
            </w:r>
          </w:p>
        </w:tc>
        <w:tc>
          <w:tcPr>
            <w:tcW w:w="140" w:type="dxa"/>
            <w:vAlign w:val="bottom"/>
            <w:tcBorders>
              <w:top w:val="single" w:sz="8" w:color="D5EEEE"/>
            </w:tcBorders>
            <w:gridSpan w:val="2"/>
          </w:tcPr>
          <w:p>
            <w:pPr>
              <w:spacing w:after="0"/>
              <w:rPr>
                <w:sz w:val="17"/>
                <w:szCs w:val="17"/>
                <w:color w:val="auto"/>
              </w:rPr>
            </w:pPr>
          </w:p>
        </w:tc>
        <w:tc>
          <w:tcPr>
            <w:tcW w:w="88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D5EEEE"/>
            </w:tcBorders>
          </w:tcPr>
          <w:p>
            <w:pPr>
              <w:spacing w:after="0"/>
              <w:rPr>
                <w:sz w:val="17"/>
                <w:szCs w:val="17"/>
                <w:color w:val="auto"/>
              </w:rPr>
            </w:pPr>
          </w:p>
        </w:tc>
        <w:tc>
          <w:tcPr>
            <w:tcW w:w="100" w:type="dxa"/>
            <w:vAlign w:val="bottom"/>
            <w:tcBorders>
              <w:top w:val="single" w:sz="8" w:color="D5EEEE"/>
            </w:tcBorders>
          </w:tcPr>
          <w:p>
            <w:pPr>
              <w:spacing w:after="0"/>
              <w:rPr>
                <w:sz w:val="17"/>
                <w:szCs w:val="17"/>
                <w:color w:val="auto"/>
              </w:rPr>
            </w:pPr>
          </w:p>
        </w:tc>
        <w:tc>
          <w:tcPr>
            <w:tcW w:w="460" w:type="dxa"/>
            <w:vAlign w:val="bottom"/>
            <w:tcBorders>
              <w:top w:val="single" w:sz="8" w:color="D5EEEE"/>
            </w:tcBorders>
          </w:tcPr>
          <w:p>
            <w:pPr>
              <w:spacing w:after="0"/>
              <w:rPr>
                <w:sz w:val="17"/>
                <w:szCs w:val="17"/>
                <w:color w:val="auto"/>
              </w:rPr>
            </w:pPr>
          </w:p>
        </w:tc>
        <w:tc>
          <w:tcPr>
            <w:tcW w:w="220" w:type="dxa"/>
            <w:vAlign w:val="bottom"/>
            <w:tcBorders>
              <w:top w:val="single" w:sz="8" w:color="D5EEEE"/>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D5EEEE"/>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top w:val="single" w:sz="8" w:color="D5EEEE"/>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D5EEEE"/>
            </w:tcBorders>
          </w:tcPr>
          <w:p>
            <w:pPr>
              <w:spacing w:after="0"/>
              <w:rPr>
                <w:sz w:val="17"/>
                <w:szCs w:val="17"/>
                <w:color w:val="auto"/>
              </w:rPr>
            </w:pPr>
          </w:p>
        </w:tc>
        <w:tc>
          <w:tcPr>
            <w:tcW w:w="100" w:type="dxa"/>
            <w:vAlign w:val="bottom"/>
            <w:tcBorders>
              <w:top w:val="single" w:sz="8" w:color="D5EEEE"/>
            </w:tcBorders>
          </w:tcPr>
          <w:p>
            <w:pPr>
              <w:spacing w:after="0"/>
              <w:rPr>
                <w:sz w:val="17"/>
                <w:szCs w:val="17"/>
                <w:color w:val="auto"/>
              </w:rPr>
            </w:pPr>
          </w:p>
        </w:tc>
        <w:tc>
          <w:tcPr>
            <w:tcW w:w="740" w:type="dxa"/>
            <w:vAlign w:val="bottom"/>
            <w:tcBorders>
              <w:top w:val="single" w:sz="8" w:color="D5EEEE"/>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D5EEEE"/>
            </w:tcBorders>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auto"/>
              </w:rPr>
              <w:t>113</w:t>
            </w:r>
          </w:p>
        </w:tc>
        <w:tc>
          <w:tcPr>
            <w:tcW w:w="140" w:type="dxa"/>
            <w:vAlign w:val="bottom"/>
            <w:tcBorders>
              <w:top w:val="single" w:sz="8" w:color="D5EEEE"/>
            </w:tcBorders>
          </w:tcPr>
          <w:p>
            <w:pPr>
              <w:spacing w:after="0"/>
              <w:rPr>
                <w:sz w:val="17"/>
                <w:szCs w:val="17"/>
                <w:color w:val="auto"/>
              </w:rPr>
            </w:pPr>
          </w:p>
        </w:tc>
        <w:tc>
          <w:tcPr>
            <w:tcW w:w="140" w:type="dxa"/>
            <w:vAlign w:val="bottom"/>
            <w:tcBorders>
              <w:top w:val="single" w:sz="8" w:color="D5EEEE"/>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D5EEEE"/>
            </w:tcBorders>
          </w:tcPr>
          <w:p>
            <w:pPr>
              <w:spacing w:after="0"/>
              <w:rPr>
                <w:sz w:val="17"/>
                <w:szCs w:val="17"/>
                <w:color w:val="auto"/>
              </w:rPr>
            </w:pPr>
          </w:p>
        </w:tc>
        <w:tc>
          <w:tcPr>
            <w:tcW w:w="140" w:type="dxa"/>
            <w:vAlign w:val="bottom"/>
            <w:tcBorders>
              <w:top w:val="single" w:sz="8" w:color="D5EEEE"/>
            </w:tcBorders>
          </w:tcPr>
          <w:p>
            <w:pPr>
              <w:spacing w:after="0"/>
              <w:rPr>
                <w:sz w:val="17"/>
                <w:szCs w:val="17"/>
                <w:color w:val="auto"/>
              </w:rPr>
            </w:pPr>
          </w:p>
        </w:tc>
        <w:tc>
          <w:tcPr>
            <w:tcW w:w="940" w:type="dxa"/>
            <w:vAlign w:val="bottom"/>
            <w:tcBorders>
              <w:top w:val="single" w:sz="8" w:color="D5EEEE"/>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60" w:type="dxa"/>
            <w:vAlign w:val="bottom"/>
          </w:tcPr>
          <w:p>
            <w:pPr>
              <w:spacing w:after="0" w:line="20" w:lineRule="exact"/>
              <w:rPr>
                <w:sz w:val="1"/>
                <w:szCs w:val="1"/>
                <w:color w:val="auto"/>
              </w:rPr>
            </w:pPr>
          </w:p>
        </w:tc>
        <w:tc>
          <w:tcPr>
            <w:tcW w:w="100" w:type="dxa"/>
            <w:vAlign w:val="bottom"/>
            <w:tcBorders>
              <w:top w:val="single" w:sz="8" w:color="auto"/>
            </w:tcBorders>
            <w:gridSpan w:val="2"/>
          </w:tcPr>
          <w:p>
            <w:pPr>
              <w:spacing w:after="0" w:line="20" w:lineRule="exact"/>
              <w:rPr>
                <w:sz w:val="1"/>
                <w:szCs w:val="1"/>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highlight w:val="white"/>
                <w:w w:val="93"/>
              </w:rPr>
              <w:t>24,895,864</w:t>
            </w:r>
          </w:p>
        </w:tc>
        <w:tc>
          <w:tcPr>
            <w:tcW w:w="8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328,889</w:t>
            </w:r>
          </w:p>
        </w:tc>
        <w:tc>
          <w:tcPr>
            <w:tcW w:w="140" w:type="dxa"/>
            <w:vAlign w:val="bottom"/>
          </w:tcPr>
          <w:p>
            <w:pPr>
              <w:spacing w:after="0" w:line="20" w:lineRule="exact"/>
              <w:rPr>
                <w:sz w:val="1"/>
                <w:szCs w:val="1"/>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8,259</w:t>
            </w:r>
          </w:p>
        </w:tc>
        <w:tc>
          <w:tcPr>
            <w:tcW w:w="14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(221,496)</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115,655</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6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112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60" w:type="dxa"/>
            <w:vAlign w:val="bottom"/>
            <w:gridSpan w:val="2"/>
            <w:vMerge w:val="continue"/>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06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Net loss</w:t>
            </w:r>
          </w:p>
        </w:tc>
        <w:tc>
          <w:tcPr>
            <w:tcW w:w="60" w:type="dxa"/>
            <w:vAlign w:val="bottom"/>
            <w:tcBorders>
              <w:top w:val="single" w:sz="8" w:color="D5EEEE"/>
            </w:tcBorders>
          </w:tcPr>
          <w:p>
            <w:pPr>
              <w:spacing w:after="0"/>
              <w:rPr>
                <w:sz w:val="16"/>
                <w:szCs w:val="16"/>
                <w:color w:val="auto"/>
              </w:rPr>
            </w:pPr>
          </w:p>
        </w:tc>
        <w:tc>
          <w:tcPr>
            <w:tcW w:w="100" w:type="dxa"/>
            <w:vAlign w:val="bottom"/>
            <w:tcBorders>
              <w:top w:val="single" w:sz="8" w:color="D5EEEE"/>
            </w:tcBorders>
            <w:gridSpan w:val="2"/>
          </w:tcPr>
          <w:p>
            <w:pPr>
              <w:spacing w:after="0"/>
              <w:rPr>
                <w:sz w:val="16"/>
                <w:szCs w:val="16"/>
                <w:color w:val="auto"/>
              </w:rPr>
            </w:pPr>
          </w:p>
        </w:tc>
        <w:tc>
          <w:tcPr>
            <w:tcW w:w="20" w:type="dxa"/>
            <w:vAlign w:val="bottom"/>
            <w:tcBorders>
              <w:top w:val="single" w:sz="8" w:color="D5EEEE"/>
            </w:tcBorders>
          </w:tcPr>
          <w:p>
            <w:pPr>
              <w:spacing w:after="0"/>
              <w:rPr>
                <w:sz w:val="16"/>
                <w:szCs w:val="16"/>
                <w:color w:val="auto"/>
              </w:rPr>
            </w:pPr>
          </w:p>
        </w:tc>
        <w:tc>
          <w:tcPr>
            <w:tcW w:w="8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D5EEEE"/>
            </w:tcBorders>
          </w:tcPr>
          <w:p>
            <w:pPr>
              <w:spacing w:after="0"/>
              <w:rPr>
                <w:sz w:val="16"/>
                <w:szCs w:val="16"/>
                <w:color w:val="auto"/>
              </w:rPr>
            </w:pPr>
          </w:p>
        </w:tc>
        <w:tc>
          <w:tcPr>
            <w:tcW w:w="100" w:type="dxa"/>
            <w:vAlign w:val="bottom"/>
            <w:tcBorders>
              <w:top w:val="single" w:sz="8" w:color="D5EEEE"/>
            </w:tcBorders>
          </w:tcPr>
          <w:p>
            <w:pPr>
              <w:spacing w:after="0"/>
              <w:rPr>
                <w:sz w:val="16"/>
                <w:szCs w:val="16"/>
                <w:color w:val="auto"/>
              </w:rPr>
            </w:pPr>
          </w:p>
        </w:tc>
        <w:tc>
          <w:tcPr>
            <w:tcW w:w="460" w:type="dxa"/>
            <w:vAlign w:val="bottom"/>
            <w:tcBorders>
              <w:top w:val="single" w:sz="8" w:color="D5EEEE"/>
            </w:tcBorders>
          </w:tcPr>
          <w:p>
            <w:pPr>
              <w:spacing w:after="0"/>
              <w:rPr>
                <w:sz w:val="16"/>
                <w:szCs w:val="16"/>
                <w:color w:val="auto"/>
              </w:rPr>
            </w:pPr>
          </w:p>
        </w:tc>
        <w:tc>
          <w:tcPr>
            <w:tcW w:w="220" w:type="dxa"/>
            <w:vAlign w:val="bottom"/>
            <w:tcBorders>
              <w:top w:val="single" w:sz="8" w:color="D5EEEE"/>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D5EEEE"/>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Borders>
              <w:top w:val="single" w:sz="8" w:color="D5EEEE"/>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D5EEEE"/>
            </w:tcBorders>
          </w:tcPr>
          <w:p>
            <w:pPr>
              <w:spacing w:after="0"/>
              <w:rPr>
                <w:sz w:val="16"/>
                <w:szCs w:val="16"/>
                <w:color w:val="auto"/>
              </w:rPr>
            </w:pPr>
          </w:p>
        </w:tc>
        <w:tc>
          <w:tcPr>
            <w:tcW w:w="100" w:type="dxa"/>
            <w:vAlign w:val="bottom"/>
            <w:tcBorders>
              <w:top w:val="single" w:sz="8" w:color="D5EEEE"/>
            </w:tcBorders>
          </w:tcPr>
          <w:p>
            <w:pPr>
              <w:spacing w:after="0"/>
              <w:rPr>
                <w:sz w:val="16"/>
                <w:szCs w:val="16"/>
                <w:color w:val="auto"/>
              </w:rPr>
            </w:pPr>
          </w:p>
        </w:tc>
        <w:tc>
          <w:tcPr>
            <w:tcW w:w="740" w:type="dxa"/>
            <w:vAlign w:val="bottom"/>
            <w:tcBorders>
              <w:top w:val="single" w:sz="8" w:color="D5EEEE"/>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D5EEEE"/>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Borders>
              <w:top w:val="single" w:sz="8" w:color="D5EEEE"/>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D5EEEE"/>
            </w:tcBorders>
          </w:tcPr>
          <w:p>
            <w:pPr>
              <w:spacing w:after="0"/>
              <w:rPr>
                <w:sz w:val="16"/>
                <w:szCs w:val="16"/>
                <w:color w:val="auto"/>
              </w:rPr>
            </w:pPr>
          </w:p>
        </w:tc>
        <w:tc>
          <w:tcPr>
            <w:tcW w:w="140" w:type="dxa"/>
            <w:vAlign w:val="bottom"/>
            <w:tcBorders>
              <w:top w:val="single" w:sz="8" w:color="D5EEEE"/>
            </w:tcBorders>
          </w:tcPr>
          <w:p>
            <w:pPr>
              <w:spacing w:after="0"/>
              <w:rPr>
                <w:sz w:val="16"/>
                <w:szCs w:val="16"/>
                <w:color w:val="auto"/>
              </w:rPr>
            </w:pPr>
          </w:p>
        </w:tc>
        <w:tc>
          <w:tcPr>
            <w:tcW w:w="40" w:type="dxa"/>
            <w:vAlign w:val="bottom"/>
            <w:tcBorders>
              <w:top w:val="single" w:sz="8" w:color="D5EEEE"/>
            </w:tcBorders>
          </w:tcPr>
          <w:p>
            <w:pPr>
              <w:spacing w:after="0"/>
              <w:rPr>
                <w:sz w:val="16"/>
                <w:szCs w:val="16"/>
                <w:color w:val="auto"/>
              </w:rPr>
            </w:pPr>
          </w:p>
        </w:tc>
        <w:tc>
          <w:tcPr>
            <w:tcW w:w="9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(14,427)</w:t>
            </w:r>
          </w:p>
        </w:tc>
        <w:tc>
          <w:tcPr>
            <w:tcW w:w="20" w:type="dxa"/>
            <w:vAlign w:val="bottom"/>
            <w:tcBorders>
              <w:top w:val="single" w:sz="8" w:color="D5EEEE"/>
            </w:tcBorders>
          </w:tcPr>
          <w:p>
            <w:pPr>
              <w:spacing w:after="0"/>
              <w:rPr>
                <w:sz w:val="16"/>
                <w:szCs w:val="16"/>
                <w:color w:val="auto"/>
              </w:rPr>
            </w:pPr>
          </w:p>
        </w:tc>
        <w:tc>
          <w:tcPr>
            <w:tcW w:w="140" w:type="dxa"/>
            <w:vAlign w:val="bottom"/>
            <w:tcBorders>
              <w:top w:val="single" w:sz="8" w:color="D5EEEE"/>
            </w:tcBorders>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Borders>
              <w:top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(14,427)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6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Exercise of stock options</w:t>
            </w:r>
          </w:p>
        </w:tc>
        <w:tc>
          <w:tcPr>
            <w:tcW w:w="140" w:type="dxa"/>
            <w:vAlign w:val="bottom"/>
            <w:tcBorders>
              <w:top w:val="single" w:sz="8" w:color="D5EEEE"/>
            </w:tcBorders>
            <w:gridSpan w:val="2"/>
          </w:tcPr>
          <w:p>
            <w:pPr>
              <w:spacing w:after="0"/>
              <w:rPr>
                <w:sz w:val="17"/>
                <w:szCs w:val="17"/>
                <w:color w:val="auto"/>
              </w:rPr>
            </w:pPr>
          </w:p>
        </w:tc>
        <w:tc>
          <w:tcPr>
            <w:tcW w:w="88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1,125</w:t>
            </w:r>
          </w:p>
        </w:tc>
        <w:tc>
          <w:tcPr>
            <w:tcW w:w="80" w:type="dxa"/>
            <w:vAlign w:val="bottom"/>
            <w:tcBorders>
              <w:top w:val="single" w:sz="8" w:color="D5EEEE"/>
            </w:tcBorders>
          </w:tcPr>
          <w:p>
            <w:pPr>
              <w:spacing w:after="0"/>
              <w:rPr>
                <w:sz w:val="17"/>
                <w:szCs w:val="17"/>
                <w:color w:val="auto"/>
              </w:rPr>
            </w:pPr>
          </w:p>
        </w:tc>
        <w:tc>
          <w:tcPr>
            <w:tcW w:w="100" w:type="dxa"/>
            <w:vAlign w:val="bottom"/>
            <w:tcBorders>
              <w:top w:val="single" w:sz="8" w:color="D5EEEE"/>
            </w:tcBorders>
          </w:tcPr>
          <w:p>
            <w:pPr>
              <w:spacing w:after="0"/>
              <w:rPr>
                <w:sz w:val="17"/>
                <w:szCs w:val="17"/>
                <w:color w:val="auto"/>
              </w:rPr>
            </w:pPr>
          </w:p>
        </w:tc>
        <w:tc>
          <w:tcPr>
            <w:tcW w:w="460" w:type="dxa"/>
            <w:vAlign w:val="bottom"/>
            <w:tcBorders>
              <w:top w:val="single" w:sz="8" w:color="D5EEEE"/>
            </w:tcBorders>
          </w:tcPr>
          <w:p>
            <w:pPr>
              <w:spacing w:after="0"/>
              <w:rPr>
                <w:sz w:val="17"/>
                <w:szCs w:val="17"/>
                <w:color w:val="auto"/>
              </w:rPr>
            </w:pPr>
          </w:p>
        </w:tc>
        <w:tc>
          <w:tcPr>
            <w:tcW w:w="220" w:type="dxa"/>
            <w:vAlign w:val="bottom"/>
            <w:tcBorders>
              <w:top w:val="single" w:sz="8" w:color="D5EEEE"/>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D5EEEE"/>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top w:val="single" w:sz="8" w:color="D5EEEE"/>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D5EEEE"/>
            </w:tcBorders>
          </w:tcPr>
          <w:p>
            <w:pPr>
              <w:spacing w:after="0"/>
              <w:rPr>
                <w:sz w:val="17"/>
                <w:szCs w:val="17"/>
                <w:color w:val="auto"/>
              </w:rPr>
            </w:pPr>
          </w:p>
        </w:tc>
        <w:tc>
          <w:tcPr>
            <w:tcW w:w="100" w:type="dxa"/>
            <w:vAlign w:val="bottom"/>
            <w:tcBorders>
              <w:top w:val="single" w:sz="8" w:color="D5EEEE"/>
            </w:tcBorders>
          </w:tcPr>
          <w:p>
            <w:pPr>
              <w:spacing w:after="0"/>
              <w:rPr>
                <w:sz w:val="17"/>
                <w:szCs w:val="17"/>
                <w:color w:val="auto"/>
              </w:rPr>
            </w:pPr>
          </w:p>
        </w:tc>
        <w:tc>
          <w:tcPr>
            <w:tcW w:w="740" w:type="dxa"/>
            <w:vAlign w:val="bottom"/>
            <w:tcBorders>
              <w:top w:val="single" w:sz="8" w:color="D5EEEE"/>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top w:val="single" w:sz="8" w:color="D5EEEE"/>
            </w:tcBorders>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D5EEEE"/>
            </w:tcBorders>
          </w:tcPr>
          <w:p>
            <w:pPr>
              <w:spacing w:after="0"/>
              <w:rPr>
                <w:sz w:val="17"/>
                <w:szCs w:val="17"/>
                <w:color w:val="auto"/>
              </w:rPr>
            </w:pPr>
          </w:p>
        </w:tc>
        <w:tc>
          <w:tcPr>
            <w:tcW w:w="140" w:type="dxa"/>
            <w:vAlign w:val="bottom"/>
            <w:tcBorders>
              <w:top w:val="single" w:sz="8" w:color="D5EEEE"/>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D5EEEE"/>
            </w:tcBorders>
          </w:tcPr>
          <w:p>
            <w:pPr>
              <w:spacing w:after="0"/>
              <w:rPr>
                <w:sz w:val="17"/>
                <w:szCs w:val="17"/>
                <w:color w:val="auto"/>
              </w:rPr>
            </w:pPr>
          </w:p>
        </w:tc>
        <w:tc>
          <w:tcPr>
            <w:tcW w:w="140" w:type="dxa"/>
            <w:vAlign w:val="bottom"/>
            <w:tcBorders>
              <w:top w:val="single" w:sz="8" w:color="D5EEEE"/>
            </w:tcBorders>
          </w:tcPr>
          <w:p>
            <w:pPr>
              <w:spacing w:after="0"/>
              <w:rPr>
                <w:sz w:val="17"/>
                <w:szCs w:val="17"/>
                <w:color w:val="auto"/>
              </w:rPr>
            </w:pPr>
          </w:p>
        </w:tc>
        <w:tc>
          <w:tcPr>
            <w:tcW w:w="940" w:type="dxa"/>
            <w:vAlign w:val="bottom"/>
            <w:tcBorders>
              <w:top w:val="single" w:sz="8" w:color="D5EEEE"/>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28,754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Translation loss</w:t>
            </w:r>
          </w:p>
        </w:tc>
        <w:tc>
          <w:tcPr>
            <w:tcW w:w="140" w:type="dxa"/>
            <w:vAlign w:val="bottom"/>
            <w:tcBorders>
              <w:top w:val="single" w:sz="8" w:color="D5EEEE"/>
            </w:tcBorders>
            <w:gridSpan w:val="2"/>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D5EEEE"/>
            </w:tcBorders>
          </w:tcPr>
          <w:p>
            <w:pPr>
              <w:spacing w:after="0"/>
              <w:rPr>
                <w:sz w:val="19"/>
                <w:szCs w:val="19"/>
                <w:color w:val="auto"/>
              </w:rPr>
            </w:pPr>
          </w:p>
        </w:tc>
        <w:tc>
          <w:tcPr>
            <w:tcW w:w="100" w:type="dxa"/>
            <w:vAlign w:val="bottom"/>
            <w:tcBorders>
              <w:top w:val="single" w:sz="8" w:color="D5EEEE"/>
            </w:tcBorders>
          </w:tcPr>
          <w:p>
            <w:pPr>
              <w:spacing w:after="0"/>
              <w:rPr>
                <w:sz w:val="19"/>
                <w:szCs w:val="19"/>
                <w:color w:val="auto"/>
              </w:rPr>
            </w:pPr>
          </w:p>
        </w:tc>
        <w:tc>
          <w:tcPr>
            <w:tcW w:w="460" w:type="dxa"/>
            <w:vAlign w:val="bottom"/>
            <w:tcBorders>
              <w:top w:val="single" w:sz="8" w:color="D5EEEE"/>
            </w:tcBorders>
          </w:tcPr>
          <w:p>
            <w:pPr>
              <w:spacing w:after="0"/>
              <w:rPr>
                <w:sz w:val="19"/>
                <w:szCs w:val="19"/>
                <w:color w:val="auto"/>
              </w:rPr>
            </w:pPr>
          </w:p>
        </w:tc>
        <w:tc>
          <w:tcPr>
            <w:tcW w:w="220" w:type="dxa"/>
            <w:vAlign w:val="bottom"/>
            <w:tcBorders>
              <w:top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D5EEEE"/>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top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D5EEEE"/>
            </w:tcBorders>
          </w:tcPr>
          <w:p>
            <w:pPr>
              <w:spacing w:after="0"/>
              <w:rPr>
                <w:sz w:val="19"/>
                <w:szCs w:val="19"/>
                <w:color w:val="auto"/>
              </w:rPr>
            </w:pPr>
          </w:p>
        </w:tc>
        <w:tc>
          <w:tcPr>
            <w:tcW w:w="100" w:type="dxa"/>
            <w:vAlign w:val="bottom"/>
            <w:tcBorders>
              <w:top w:val="single" w:sz="8" w:color="D5EEEE"/>
            </w:tcBorders>
          </w:tcPr>
          <w:p>
            <w:pPr>
              <w:spacing w:after="0"/>
              <w:rPr>
                <w:sz w:val="19"/>
                <w:szCs w:val="19"/>
                <w:color w:val="auto"/>
              </w:rPr>
            </w:pPr>
          </w:p>
        </w:tc>
        <w:tc>
          <w:tcPr>
            <w:tcW w:w="740" w:type="dxa"/>
            <w:vAlign w:val="bottom"/>
            <w:tcBorders>
              <w:top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D5EEEE"/>
            </w:tcBorders>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Borders>
              <w:top w:val="single" w:sz="8" w:color="D5EEEE"/>
            </w:tcBorders>
          </w:tcPr>
          <w:p>
            <w:pPr>
              <w:spacing w:after="0"/>
              <w:rPr>
                <w:sz w:val="19"/>
                <w:szCs w:val="19"/>
                <w:color w:val="auto"/>
              </w:rPr>
            </w:pPr>
          </w:p>
        </w:tc>
        <w:tc>
          <w:tcPr>
            <w:tcW w:w="140" w:type="dxa"/>
            <w:vAlign w:val="bottom"/>
            <w:tcBorders>
              <w:top w:val="single" w:sz="8" w:color="D5EEEE"/>
            </w:tcBorders>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D5EEEE"/>
            </w:tcBorders>
          </w:tcPr>
          <w:p>
            <w:pPr>
              <w:spacing w:after="0"/>
              <w:rPr>
                <w:sz w:val="19"/>
                <w:szCs w:val="19"/>
                <w:color w:val="auto"/>
              </w:rPr>
            </w:pPr>
          </w:p>
        </w:tc>
        <w:tc>
          <w:tcPr>
            <w:tcW w:w="140" w:type="dxa"/>
            <w:vAlign w:val="bottom"/>
            <w:tcBorders>
              <w:top w:val="single" w:sz="8" w:color="D5EEEE"/>
            </w:tcBorders>
          </w:tcPr>
          <w:p>
            <w:pPr>
              <w:spacing w:after="0"/>
              <w:rPr>
                <w:sz w:val="19"/>
                <w:szCs w:val="19"/>
                <w:color w:val="auto"/>
              </w:rPr>
            </w:pPr>
          </w:p>
        </w:tc>
        <w:tc>
          <w:tcPr>
            <w:tcW w:w="940" w:type="dxa"/>
            <w:vAlign w:val="bottom"/>
            <w:tcBorders>
              <w:top w:val="single" w:sz="8" w:color="D5EEEE"/>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loss on marketable</w:t>
            </w:r>
          </w:p>
        </w:tc>
        <w:tc>
          <w:tcPr>
            <w:tcW w:w="20" w:type="dxa"/>
            <w:vAlign w:val="bottom"/>
          </w:tcPr>
          <w:p>
            <w:pPr>
              <w:spacing w:after="0"/>
              <w:rPr>
                <w:sz w:val="17"/>
                <w:szCs w:val="17"/>
                <w:color w:val="auto"/>
              </w:rPr>
            </w:pPr>
          </w:p>
        </w:tc>
        <w:tc>
          <w:tcPr>
            <w:tcW w:w="10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6"/>
        </w:trPr>
        <w:tc>
          <w:tcPr>
            <w:tcW w:w="30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securities, net of tax</w:t>
            </w:r>
          </w:p>
        </w:tc>
        <w:tc>
          <w:tcPr>
            <w:tcW w:w="20" w:type="dxa"/>
            <w:vAlign w:val="bottom"/>
          </w:tcPr>
          <w:p>
            <w:pPr>
              <w:spacing w:after="0"/>
              <w:rPr>
                <w:sz w:val="17"/>
                <w:szCs w:val="17"/>
                <w:color w:val="auto"/>
              </w:rPr>
            </w:pPr>
          </w:p>
        </w:tc>
        <w:tc>
          <w:tcPr>
            <w:tcW w:w="1020" w:type="dxa"/>
            <w:vAlign w:val="bottom"/>
            <w:gridSpan w:val="5"/>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60" w:type="dxa"/>
            <w:vAlign w:val="bottom"/>
            <w:tcBorders>
              <w:top w:val="single" w:sz="8" w:color="D5EEEE"/>
            </w:tcBorders>
          </w:tcPr>
          <w:p>
            <w:pPr>
              <w:spacing w:after="0"/>
              <w:rPr>
                <w:sz w:val="18"/>
                <w:szCs w:val="18"/>
                <w:color w:val="auto"/>
              </w:rPr>
            </w:pPr>
          </w:p>
        </w:tc>
        <w:tc>
          <w:tcPr>
            <w:tcW w:w="100" w:type="dxa"/>
            <w:vAlign w:val="bottom"/>
            <w:tcBorders>
              <w:top w:val="single" w:sz="8" w:color="auto"/>
            </w:tcBorders>
            <w:gridSpan w:val="2"/>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3"/>
                <w:shd w:val="clear" w:color="auto" w:fill="D5EEEE"/>
              </w:rPr>
              <w:t>24,925,743</w:t>
            </w:r>
          </w:p>
        </w:tc>
        <w:tc>
          <w:tcPr>
            <w:tcW w:w="80" w:type="dxa"/>
            <w:vAlign w:val="bottom"/>
            <w:tcBorders>
              <w:top w:val="single" w:sz="8" w:color="D5EEEE"/>
            </w:tcBorders>
          </w:tcPr>
          <w:p>
            <w:pPr>
              <w:spacing w:after="0"/>
              <w:rPr>
                <w:sz w:val="18"/>
                <w:szCs w:val="18"/>
                <w:color w:val="auto"/>
              </w:rPr>
            </w:pPr>
          </w:p>
        </w:tc>
        <w:tc>
          <w:tcPr>
            <w:tcW w:w="100" w:type="dxa"/>
            <w:vAlign w:val="bottom"/>
            <w:tcBorders>
              <w:top w:val="single" w:sz="8" w:color="D5EEEE"/>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880" w:type="dxa"/>
            <w:vAlign w:val="bottom"/>
            <w:tcBorders>
              <w:top w:val="single" w:sz="8" w:color="D5EEEE"/>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D5EEEE"/>
            </w:tcBorders>
          </w:tcPr>
          <w:p>
            <w:pPr>
              <w:spacing w:after="0"/>
              <w:rPr>
                <w:sz w:val="18"/>
                <w:szCs w:val="18"/>
                <w:color w:val="auto"/>
              </w:rPr>
            </w:pPr>
          </w:p>
        </w:tc>
        <w:tc>
          <w:tcPr>
            <w:tcW w:w="100" w:type="dxa"/>
            <w:vAlign w:val="bottom"/>
            <w:tcBorders>
              <w:top w:val="single" w:sz="8" w:color="D5EEEE"/>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D5EEEE"/>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332,484</w:t>
            </w:r>
          </w:p>
        </w:tc>
        <w:tc>
          <w:tcPr>
            <w:tcW w:w="140" w:type="dxa"/>
            <w:vAlign w:val="bottom"/>
            <w:tcBorders>
              <w:top w:val="single" w:sz="8" w:color="D5EEEE"/>
            </w:tcBorders>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 w:type="dxa"/>
            <w:vAlign w:val="bottom"/>
          </w:tcPr>
          <w:p>
            <w:pPr>
              <w:spacing w:after="0"/>
              <w:rPr>
                <w:sz w:val="18"/>
                <w:szCs w:val="18"/>
                <w:color w:val="auto"/>
              </w:rPr>
            </w:pPr>
          </w:p>
        </w:tc>
        <w:tc>
          <w:tcPr>
            <w:tcW w:w="1060" w:type="dxa"/>
            <w:vAlign w:val="bottom"/>
            <w:tcBorders>
              <w:top w:val="single" w:sz="8" w:color="D5EEEE"/>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8,060</w:t>
            </w:r>
          </w:p>
        </w:tc>
        <w:tc>
          <w:tcPr>
            <w:tcW w:w="140" w:type="dxa"/>
            <w:vAlign w:val="bottom"/>
            <w:tcBorders>
              <w:top w:val="single" w:sz="8" w:color="D5EEEE"/>
            </w:tcBorders>
          </w:tcPr>
          <w:p>
            <w:pPr>
              <w:spacing w:after="0"/>
              <w:rPr>
                <w:sz w:val="18"/>
                <w:szCs w:val="18"/>
                <w:color w:val="auto"/>
              </w:rPr>
            </w:pPr>
          </w:p>
        </w:tc>
        <w:tc>
          <w:tcPr>
            <w:tcW w:w="140" w:type="dxa"/>
            <w:vAlign w:val="bottom"/>
            <w:tcBorders>
              <w:top w:val="single" w:sz="8" w:color="D5EEEE"/>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(235,923)</w:t>
            </w:r>
          </w:p>
        </w:tc>
        <w:tc>
          <w:tcPr>
            <w:tcW w:w="20" w:type="dxa"/>
            <w:vAlign w:val="bottom"/>
          </w:tcPr>
          <w:p>
            <w:pPr>
              <w:spacing w:after="0"/>
              <w:rPr>
                <w:sz w:val="18"/>
                <w:szCs w:val="18"/>
                <w:color w:val="auto"/>
              </w:rPr>
            </w:pPr>
          </w:p>
        </w:tc>
        <w:tc>
          <w:tcPr>
            <w:tcW w:w="140" w:type="dxa"/>
            <w:vAlign w:val="bottom"/>
            <w:tcBorders>
              <w:top w:val="single" w:sz="8" w:color="D5EEEE"/>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104,624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60" w:type="dxa"/>
            <w:vAlign w:val="bottom"/>
          </w:tcPr>
          <w:p>
            <w:pPr>
              <w:spacing w:after="0"/>
              <w:rPr>
                <w:sz w:val="2"/>
                <w:szCs w:val="2"/>
                <w:color w:val="auto"/>
              </w:rPr>
            </w:pPr>
          </w:p>
        </w:tc>
        <w:tc>
          <w:tcPr>
            <w:tcW w:w="9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(26,665)</w:t>
            </w: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6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4"/>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(26,665)</w:t>
            </w: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0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6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Share-based compensation</w:t>
            </w:r>
          </w:p>
        </w:tc>
        <w:tc>
          <w:tcPr>
            <w:tcW w:w="140" w:type="dxa"/>
            <w:vAlign w:val="bottom"/>
            <w:tcBorders>
              <w:top w:val="single" w:sz="8" w:color="D5EEEE"/>
            </w:tcBorders>
            <w:gridSpan w:val="2"/>
          </w:tcPr>
          <w:p>
            <w:pPr>
              <w:spacing w:after="0"/>
              <w:rPr>
                <w:sz w:val="17"/>
                <w:szCs w:val="17"/>
                <w:color w:val="auto"/>
              </w:rPr>
            </w:pPr>
          </w:p>
        </w:tc>
        <w:tc>
          <w:tcPr>
            <w:tcW w:w="88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D5EEEE"/>
            </w:tcBorders>
          </w:tcPr>
          <w:p>
            <w:pPr>
              <w:spacing w:after="0"/>
              <w:rPr>
                <w:sz w:val="17"/>
                <w:szCs w:val="17"/>
                <w:color w:val="auto"/>
              </w:rPr>
            </w:pPr>
          </w:p>
        </w:tc>
        <w:tc>
          <w:tcPr>
            <w:tcW w:w="100" w:type="dxa"/>
            <w:vAlign w:val="bottom"/>
            <w:tcBorders>
              <w:top w:val="single" w:sz="8" w:color="D5EEEE"/>
            </w:tcBorders>
          </w:tcPr>
          <w:p>
            <w:pPr>
              <w:spacing w:after="0"/>
              <w:rPr>
                <w:sz w:val="17"/>
                <w:szCs w:val="17"/>
                <w:color w:val="auto"/>
              </w:rPr>
            </w:pPr>
          </w:p>
        </w:tc>
        <w:tc>
          <w:tcPr>
            <w:tcW w:w="460" w:type="dxa"/>
            <w:vAlign w:val="bottom"/>
            <w:tcBorders>
              <w:top w:val="single" w:sz="8" w:color="D5EEEE"/>
            </w:tcBorders>
          </w:tcPr>
          <w:p>
            <w:pPr>
              <w:spacing w:after="0"/>
              <w:rPr>
                <w:sz w:val="17"/>
                <w:szCs w:val="17"/>
                <w:color w:val="auto"/>
              </w:rPr>
            </w:pPr>
          </w:p>
        </w:tc>
        <w:tc>
          <w:tcPr>
            <w:tcW w:w="220" w:type="dxa"/>
            <w:vAlign w:val="bottom"/>
            <w:tcBorders>
              <w:top w:val="single" w:sz="8" w:color="D5EEEE"/>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D5EEEE"/>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top w:val="single" w:sz="8" w:color="D5EEEE"/>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D5EEEE"/>
            </w:tcBorders>
          </w:tcPr>
          <w:p>
            <w:pPr>
              <w:spacing w:after="0"/>
              <w:rPr>
                <w:sz w:val="17"/>
                <w:szCs w:val="17"/>
                <w:color w:val="auto"/>
              </w:rPr>
            </w:pPr>
          </w:p>
        </w:tc>
        <w:tc>
          <w:tcPr>
            <w:tcW w:w="100" w:type="dxa"/>
            <w:vAlign w:val="bottom"/>
            <w:tcBorders>
              <w:top w:val="single" w:sz="8" w:color="D5EEEE"/>
            </w:tcBorders>
          </w:tcPr>
          <w:p>
            <w:pPr>
              <w:spacing w:after="0"/>
              <w:rPr>
                <w:sz w:val="17"/>
                <w:szCs w:val="17"/>
                <w:color w:val="auto"/>
              </w:rPr>
            </w:pPr>
          </w:p>
        </w:tc>
        <w:tc>
          <w:tcPr>
            <w:tcW w:w="740" w:type="dxa"/>
            <w:vAlign w:val="bottom"/>
            <w:tcBorders>
              <w:top w:val="single" w:sz="8" w:color="D5EEEE"/>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6,527</w:t>
            </w:r>
          </w:p>
        </w:tc>
        <w:tc>
          <w:tcPr>
            <w:tcW w:w="140" w:type="dxa"/>
            <w:vAlign w:val="bottom"/>
            <w:tcBorders>
              <w:top w:val="single" w:sz="8" w:color="D5EEEE"/>
            </w:tcBorders>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D5EEEE"/>
            </w:tcBorders>
          </w:tcPr>
          <w:p>
            <w:pPr>
              <w:spacing w:after="0"/>
              <w:rPr>
                <w:sz w:val="17"/>
                <w:szCs w:val="17"/>
                <w:color w:val="auto"/>
              </w:rPr>
            </w:pPr>
          </w:p>
        </w:tc>
        <w:tc>
          <w:tcPr>
            <w:tcW w:w="140" w:type="dxa"/>
            <w:vAlign w:val="bottom"/>
            <w:tcBorders>
              <w:top w:val="single" w:sz="8" w:color="D5EEEE"/>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D5EEEE"/>
            </w:tcBorders>
          </w:tcPr>
          <w:p>
            <w:pPr>
              <w:spacing w:after="0"/>
              <w:rPr>
                <w:sz w:val="17"/>
                <w:szCs w:val="17"/>
                <w:color w:val="auto"/>
              </w:rPr>
            </w:pPr>
          </w:p>
        </w:tc>
        <w:tc>
          <w:tcPr>
            <w:tcW w:w="140" w:type="dxa"/>
            <w:vAlign w:val="bottom"/>
            <w:tcBorders>
              <w:top w:val="single" w:sz="8" w:color="D5EEEE"/>
            </w:tcBorders>
          </w:tcPr>
          <w:p>
            <w:pPr>
              <w:spacing w:after="0"/>
              <w:rPr>
                <w:sz w:val="17"/>
                <w:szCs w:val="17"/>
                <w:color w:val="auto"/>
              </w:rPr>
            </w:pPr>
          </w:p>
        </w:tc>
        <w:tc>
          <w:tcPr>
            <w:tcW w:w="940" w:type="dxa"/>
            <w:vAlign w:val="bottom"/>
            <w:tcBorders>
              <w:top w:val="single" w:sz="8" w:color="D5EEEE"/>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6,527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150,125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40" w:type="dxa"/>
            <w:vAlign w:val="bottom"/>
            <w:tcBorders>
              <w:top w:val="single" w:sz="8" w:color="D5EEEE"/>
            </w:tcBorders>
            <w:gridSpan w:val="2"/>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114,641</w:t>
            </w:r>
          </w:p>
        </w:tc>
        <w:tc>
          <w:tcPr>
            <w:tcW w:w="80" w:type="dxa"/>
            <w:vAlign w:val="bottom"/>
            <w:tcBorders>
              <w:top w:val="single" w:sz="8" w:color="D5EEEE"/>
            </w:tcBorders>
          </w:tcPr>
          <w:p>
            <w:pPr>
              <w:spacing w:after="0"/>
              <w:rPr>
                <w:sz w:val="19"/>
                <w:szCs w:val="19"/>
                <w:color w:val="auto"/>
              </w:rPr>
            </w:pPr>
          </w:p>
        </w:tc>
        <w:tc>
          <w:tcPr>
            <w:tcW w:w="100" w:type="dxa"/>
            <w:vAlign w:val="bottom"/>
            <w:tcBorders>
              <w:top w:val="single" w:sz="8" w:color="D5EEEE"/>
            </w:tcBorders>
          </w:tcPr>
          <w:p>
            <w:pPr>
              <w:spacing w:after="0"/>
              <w:rPr>
                <w:sz w:val="19"/>
                <w:szCs w:val="19"/>
                <w:color w:val="auto"/>
              </w:rPr>
            </w:pPr>
          </w:p>
        </w:tc>
        <w:tc>
          <w:tcPr>
            <w:tcW w:w="460" w:type="dxa"/>
            <w:vAlign w:val="bottom"/>
            <w:tcBorders>
              <w:top w:val="single" w:sz="8" w:color="D5EEEE"/>
            </w:tcBorders>
          </w:tcPr>
          <w:p>
            <w:pPr>
              <w:spacing w:after="0"/>
              <w:rPr>
                <w:sz w:val="19"/>
                <w:szCs w:val="19"/>
                <w:color w:val="auto"/>
              </w:rPr>
            </w:pPr>
          </w:p>
        </w:tc>
        <w:tc>
          <w:tcPr>
            <w:tcW w:w="220" w:type="dxa"/>
            <w:vAlign w:val="bottom"/>
            <w:tcBorders>
              <w:top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D5EEEE"/>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top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D5EEEE"/>
            </w:tcBorders>
          </w:tcPr>
          <w:p>
            <w:pPr>
              <w:spacing w:after="0"/>
              <w:rPr>
                <w:sz w:val="19"/>
                <w:szCs w:val="19"/>
                <w:color w:val="auto"/>
              </w:rPr>
            </w:pPr>
          </w:p>
        </w:tc>
        <w:tc>
          <w:tcPr>
            <w:tcW w:w="100" w:type="dxa"/>
            <w:vAlign w:val="bottom"/>
            <w:tcBorders>
              <w:top w:val="single" w:sz="8" w:color="D5EEEE"/>
            </w:tcBorders>
          </w:tcPr>
          <w:p>
            <w:pPr>
              <w:spacing w:after="0"/>
              <w:rPr>
                <w:sz w:val="19"/>
                <w:szCs w:val="19"/>
                <w:color w:val="auto"/>
              </w:rPr>
            </w:pPr>
          </w:p>
        </w:tc>
        <w:tc>
          <w:tcPr>
            <w:tcW w:w="740" w:type="dxa"/>
            <w:vAlign w:val="bottom"/>
            <w:tcBorders>
              <w:top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D5EEEE"/>
            </w:tcBorders>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D5EEEE"/>
            </w:tcBorders>
          </w:tcPr>
          <w:p>
            <w:pPr>
              <w:spacing w:after="0"/>
              <w:rPr>
                <w:sz w:val="19"/>
                <w:szCs w:val="19"/>
                <w:color w:val="auto"/>
              </w:rPr>
            </w:pPr>
          </w:p>
        </w:tc>
        <w:tc>
          <w:tcPr>
            <w:tcW w:w="140" w:type="dxa"/>
            <w:vAlign w:val="bottom"/>
            <w:tcBorders>
              <w:top w:val="single" w:sz="8" w:color="D5EEEE"/>
            </w:tcBorders>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D5EEEE"/>
            </w:tcBorders>
          </w:tcPr>
          <w:p>
            <w:pPr>
              <w:spacing w:after="0"/>
              <w:rPr>
                <w:sz w:val="19"/>
                <w:szCs w:val="19"/>
                <w:color w:val="auto"/>
              </w:rPr>
            </w:pPr>
          </w:p>
        </w:tc>
        <w:tc>
          <w:tcPr>
            <w:tcW w:w="140" w:type="dxa"/>
            <w:vAlign w:val="bottom"/>
            <w:tcBorders>
              <w:top w:val="single" w:sz="8" w:color="D5EEEE"/>
            </w:tcBorders>
          </w:tcPr>
          <w:p>
            <w:pPr>
              <w:spacing w:after="0"/>
              <w:rPr>
                <w:sz w:val="19"/>
                <w:szCs w:val="19"/>
                <w:color w:val="auto"/>
              </w:rPr>
            </w:pPr>
          </w:p>
        </w:tc>
        <w:tc>
          <w:tcPr>
            <w:tcW w:w="940" w:type="dxa"/>
            <w:vAlign w:val="bottom"/>
            <w:tcBorders>
              <w:top w:val="single" w:sz="8" w:color="D5EEEE"/>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Company common stock held by the</w:t>
            </w:r>
          </w:p>
        </w:tc>
        <w:tc>
          <w:tcPr>
            <w:tcW w:w="20" w:type="dxa"/>
            <w:vAlign w:val="bottom"/>
          </w:tcPr>
          <w:p>
            <w:pPr>
              <w:spacing w:after="0"/>
              <w:rPr>
                <w:sz w:val="17"/>
                <w:szCs w:val="17"/>
                <w:color w:val="auto"/>
              </w:rPr>
            </w:pPr>
          </w:p>
        </w:tc>
        <w:tc>
          <w:tcPr>
            <w:tcW w:w="140" w:type="dxa"/>
            <w:vAlign w:val="bottom"/>
            <w:gridSpan w:val="2"/>
            <w:vMerge w:val="restart"/>
          </w:tcPr>
          <w:p>
            <w:pPr>
              <w:spacing w:after="0"/>
              <w:rPr>
                <w:sz w:val="17"/>
                <w:szCs w:val="17"/>
                <w:color w:val="auto"/>
              </w:rPr>
            </w:pPr>
          </w:p>
        </w:tc>
        <w:tc>
          <w:tcPr>
            <w:tcW w:w="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17,927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10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NQDC</w:t>
            </w:r>
          </w:p>
        </w:tc>
        <w:tc>
          <w:tcPr>
            <w:tcW w:w="20" w:type="dxa"/>
            <w:vAlign w:val="bottom"/>
          </w:tcPr>
          <w:p>
            <w:pPr>
              <w:spacing w:after="0"/>
              <w:rPr>
                <w:sz w:val="17"/>
                <w:szCs w:val="17"/>
                <w:color w:val="auto"/>
              </w:rPr>
            </w:pPr>
          </w:p>
        </w:tc>
        <w:tc>
          <w:tcPr>
            <w:tcW w:w="140" w:type="dxa"/>
            <w:vAlign w:val="bottom"/>
            <w:tcBorders>
              <w:bottom w:val="single" w:sz="8" w:color="D5EEEE"/>
            </w:tcBorders>
            <w:gridSpan w:val="2"/>
            <w:vMerge w:val="continue"/>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460" w:type="dxa"/>
            <w:vAlign w:val="bottom"/>
            <w:tcBorders>
              <w:bottom w:val="single" w:sz="8" w:color="D5EEEE"/>
            </w:tcBorders>
          </w:tcPr>
          <w:p>
            <w:pPr>
              <w:spacing w:after="0"/>
              <w:rPr>
                <w:sz w:val="17"/>
                <w:szCs w:val="17"/>
                <w:color w:val="auto"/>
              </w:rPr>
            </w:pPr>
          </w:p>
        </w:tc>
        <w:tc>
          <w:tcPr>
            <w:tcW w:w="220" w:type="dxa"/>
            <w:vAlign w:val="bottom"/>
            <w:tcBorders>
              <w:bottom w:val="single" w:sz="8" w:color="D5EEEE"/>
            </w:tcBorders>
            <w:vMerge w:val="continue"/>
          </w:tcPr>
          <w:p>
            <w:pPr>
              <w:spacing w:after="0"/>
              <w:rPr>
                <w:sz w:val="17"/>
                <w:szCs w:val="17"/>
                <w:color w:val="auto"/>
              </w:rPr>
            </w:pPr>
          </w:p>
        </w:tc>
        <w:tc>
          <w:tcPr>
            <w:tcW w:w="60" w:type="dxa"/>
            <w:vAlign w:val="bottom"/>
            <w:tcBorders>
              <w:bottom w:val="single" w:sz="8" w:color="D5EEEE"/>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1000" w:type="dxa"/>
            <w:vAlign w:val="bottom"/>
            <w:tcBorders>
              <w:bottom w:val="single" w:sz="8" w:color="D5EEEE"/>
            </w:tcBorders>
            <w:gridSpan w:val="2"/>
            <w:vMerge w:val="continue"/>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740" w:type="dxa"/>
            <w:vAlign w:val="bottom"/>
            <w:tcBorders>
              <w:bottom w:val="single" w:sz="8" w:color="D5EEEE"/>
            </w:tcBorders>
            <w:vMerge w:val="continue"/>
          </w:tcPr>
          <w:p>
            <w:pPr>
              <w:spacing w:after="0"/>
              <w:rPr>
                <w:sz w:val="17"/>
                <w:szCs w:val="17"/>
                <w:color w:val="auto"/>
              </w:rPr>
            </w:pPr>
          </w:p>
        </w:tc>
        <w:tc>
          <w:tcPr>
            <w:tcW w:w="140" w:type="dxa"/>
            <w:vAlign w:val="bottom"/>
            <w:tcBorders>
              <w:bottom w:val="single" w:sz="8" w:color="D5EEEE"/>
            </w:tcBorders>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140" w:type="dxa"/>
            <w:vAlign w:val="bottom"/>
            <w:tcBorders>
              <w:bottom w:val="single" w:sz="8" w:color="D5EEEE"/>
            </w:tcBorders>
          </w:tcPr>
          <w:p>
            <w:pPr>
              <w:spacing w:after="0"/>
              <w:rPr>
                <w:sz w:val="17"/>
                <w:szCs w:val="17"/>
                <w:color w:val="auto"/>
              </w:rPr>
            </w:pPr>
          </w:p>
        </w:tc>
        <w:tc>
          <w:tcPr>
            <w:tcW w:w="140" w:type="dxa"/>
            <w:vAlign w:val="bottom"/>
            <w:tcBorders>
              <w:bottom w:val="single" w:sz="8" w:color="D5EEEE"/>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40" w:type="dxa"/>
            <w:vAlign w:val="bottom"/>
            <w:tcBorders>
              <w:bottom w:val="single" w:sz="8" w:color="D5EEEE"/>
            </w:tcBorders>
          </w:tcPr>
          <w:p>
            <w:pPr>
              <w:spacing w:after="0"/>
              <w:rPr>
                <w:sz w:val="17"/>
                <w:szCs w:val="17"/>
                <w:color w:val="auto"/>
              </w:rPr>
            </w:pPr>
          </w:p>
        </w:tc>
        <w:tc>
          <w:tcPr>
            <w:tcW w:w="940" w:type="dxa"/>
            <w:vAlign w:val="bottom"/>
            <w:tcBorders>
              <w:bottom w:val="single" w:sz="8" w:color="D5EEEE"/>
            </w:tcBorders>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shd w:val="clear" w:color="auto" w:fill="D5EEEE"/>
          </w:tcPr>
          <w:p>
            <w:pPr>
              <w:spacing w:after="0" w:line="203" w:lineRule="exact"/>
              <w:rPr>
                <w:sz w:val="20"/>
                <w:szCs w:val="20"/>
                <w:color w:val="auto"/>
              </w:rPr>
            </w:pPr>
            <w:r>
              <w:rPr>
                <w:rFonts w:ascii="Times New Roman" w:cs="Times New Roman" w:eastAsia="Times New Roman" w:hAnsi="Times New Roman"/>
                <w:sz w:val="18"/>
                <w:szCs w:val="18"/>
                <w:color w:val="auto"/>
              </w:rPr>
              <w:t>Change in classification of deferred</w:t>
            </w:r>
          </w:p>
        </w:tc>
        <w:tc>
          <w:tcPr>
            <w:tcW w:w="20" w:type="dxa"/>
            <w:vAlign w:val="bottom"/>
          </w:tcPr>
          <w:p>
            <w:pPr>
              <w:spacing w:after="0"/>
              <w:rPr>
                <w:sz w:val="17"/>
                <w:szCs w:val="17"/>
                <w:color w:val="auto"/>
              </w:rPr>
            </w:pPr>
          </w:p>
        </w:tc>
        <w:tc>
          <w:tcPr>
            <w:tcW w:w="10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Pr>
          <w:p>
            <w:pPr>
              <w:spacing w:after="0"/>
              <w:rPr>
                <w:sz w:val="17"/>
                <w:szCs w:val="17"/>
                <w:color w:val="auto"/>
              </w:rPr>
            </w:pPr>
          </w:p>
        </w:tc>
        <w:tc>
          <w:tcPr>
            <w:tcW w:w="1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02"/>
        </w:trPr>
        <w:tc>
          <w:tcPr>
            <w:tcW w:w="30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compensation share awards</w:t>
            </w:r>
          </w:p>
        </w:tc>
        <w:tc>
          <w:tcPr>
            <w:tcW w:w="20" w:type="dxa"/>
            <w:vAlign w:val="bottom"/>
          </w:tcPr>
          <w:p>
            <w:pPr>
              <w:spacing w:after="0"/>
              <w:rPr>
                <w:sz w:val="17"/>
                <w:szCs w:val="17"/>
                <w:color w:val="auto"/>
              </w:rPr>
            </w:pPr>
          </w:p>
        </w:tc>
        <w:tc>
          <w:tcPr>
            <w:tcW w:w="1020" w:type="dxa"/>
            <w:vAlign w:val="bottom"/>
            <w:gridSpan w:val="5"/>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redemption value of share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awards in NQDC plan</w:t>
            </w:r>
          </w:p>
        </w:tc>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5"/>
        </w:trPr>
        <w:tc>
          <w:tcPr>
            <w:tcW w:w="306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Other comprehensive loss</w:t>
            </w:r>
          </w:p>
        </w:tc>
        <w:tc>
          <w:tcPr>
            <w:tcW w:w="140" w:type="dxa"/>
            <w:vAlign w:val="bottom"/>
            <w:tcBorders>
              <w:top w:val="single" w:sz="8" w:color="D5EEEE"/>
            </w:tcBorders>
            <w:gridSpan w:val="2"/>
          </w:tcPr>
          <w:p>
            <w:pPr>
              <w:spacing w:after="0"/>
              <w:rPr>
                <w:sz w:val="17"/>
                <w:szCs w:val="17"/>
                <w:color w:val="auto"/>
              </w:rPr>
            </w:pPr>
          </w:p>
        </w:tc>
        <w:tc>
          <w:tcPr>
            <w:tcW w:w="88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D5EEEE"/>
            </w:tcBorders>
          </w:tcPr>
          <w:p>
            <w:pPr>
              <w:spacing w:after="0"/>
              <w:rPr>
                <w:sz w:val="17"/>
                <w:szCs w:val="17"/>
                <w:color w:val="auto"/>
              </w:rPr>
            </w:pPr>
          </w:p>
        </w:tc>
        <w:tc>
          <w:tcPr>
            <w:tcW w:w="100" w:type="dxa"/>
            <w:vAlign w:val="bottom"/>
            <w:tcBorders>
              <w:top w:val="single" w:sz="8" w:color="D5EEEE"/>
            </w:tcBorders>
          </w:tcPr>
          <w:p>
            <w:pPr>
              <w:spacing w:after="0"/>
              <w:rPr>
                <w:sz w:val="17"/>
                <w:szCs w:val="17"/>
                <w:color w:val="auto"/>
              </w:rPr>
            </w:pPr>
          </w:p>
        </w:tc>
        <w:tc>
          <w:tcPr>
            <w:tcW w:w="460" w:type="dxa"/>
            <w:vAlign w:val="bottom"/>
            <w:tcBorders>
              <w:top w:val="single" w:sz="8" w:color="D5EEEE"/>
            </w:tcBorders>
          </w:tcPr>
          <w:p>
            <w:pPr>
              <w:spacing w:after="0"/>
              <w:rPr>
                <w:sz w:val="17"/>
                <w:szCs w:val="17"/>
                <w:color w:val="auto"/>
              </w:rPr>
            </w:pPr>
          </w:p>
        </w:tc>
        <w:tc>
          <w:tcPr>
            <w:tcW w:w="220" w:type="dxa"/>
            <w:vAlign w:val="bottom"/>
            <w:tcBorders>
              <w:top w:val="single" w:sz="8" w:color="D5EEEE"/>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D5EEEE"/>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top w:val="single" w:sz="8" w:color="D5EEEE"/>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D5EEEE"/>
            </w:tcBorders>
          </w:tcPr>
          <w:p>
            <w:pPr>
              <w:spacing w:after="0"/>
              <w:rPr>
                <w:sz w:val="17"/>
                <w:szCs w:val="17"/>
                <w:color w:val="auto"/>
              </w:rPr>
            </w:pPr>
          </w:p>
        </w:tc>
        <w:tc>
          <w:tcPr>
            <w:tcW w:w="100" w:type="dxa"/>
            <w:vAlign w:val="bottom"/>
            <w:tcBorders>
              <w:top w:val="single" w:sz="8" w:color="D5EEEE"/>
            </w:tcBorders>
          </w:tcPr>
          <w:p>
            <w:pPr>
              <w:spacing w:after="0"/>
              <w:rPr>
                <w:sz w:val="17"/>
                <w:szCs w:val="17"/>
                <w:color w:val="auto"/>
              </w:rPr>
            </w:pPr>
          </w:p>
        </w:tc>
        <w:tc>
          <w:tcPr>
            <w:tcW w:w="740" w:type="dxa"/>
            <w:vAlign w:val="bottom"/>
            <w:tcBorders>
              <w:top w:val="single" w:sz="8" w:color="D5EEEE"/>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D5EEEE"/>
            </w:tcBorders>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(433)</w:t>
            </w:r>
          </w:p>
        </w:tc>
        <w:tc>
          <w:tcPr>
            <w:tcW w:w="140" w:type="dxa"/>
            <w:vAlign w:val="bottom"/>
            <w:tcBorders>
              <w:top w:val="single" w:sz="8" w:color="D5EEEE"/>
            </w:tcBorders>
          </w:tcPr>
          <w:p>
            <w:pPr>
              <w:spacing w:after="0"/>
              <w:rPr>
                <w:sz w:val="17"/>
                <w:szCs w:val="17"/>
                <w:color w:val="auto"/>
              </w:rPr>
            </w:pPr>
          </w:p>
        </w:tc>
        <w:tc>
          <w:tcPr>
            <w:tcW w:w="140" w:type="dxa"/>
            <w:vAlign w:val="bottom"/>
            <w:tcBorders>
              <w:top w:val="single" w:sz="8" w:color="D5EEEE"/>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D5EEEE"/>
            </w:tcBorders>
          </w:tcPr>
          <w:p>
            <w:pPr>
              <w:spacing w:after="0"/>
              <w:rPr>
                <w:sz w:val="17"/>
                <w:szCs w:val="17"/>
                <w:color w:val="auto"/>
              </w:rPr>
            </w:pPr>
          </w:p>
        </w:tc>
        <w:tc>
          <w:tcPr>
            <w:tcW w:w="140" w:type="dxa"/>
            <w:vAlign w:val="bottom"/>
            <w:tcBorders>
              <w:top w:val="single" w:sz="8" w:color="D5EEEE"/>
            </w:tcBorders>
          </w:tcPr>
          <w:p>
            <w:pPr>
              <w:spacing w:after="0"/>
              <w:rPr>
                <w:sz w:val="17"/>
                <w:szCs w:val="17"/>
                <w:color w:val="auto"/>
              </w:rPr>
            </w:pPr>
          </w:p>
        </w:tc>
        <w:tc>
          <w:tcPr>
            <w:tcW w:w="1020" w:type="dxa"/>
            <w:vAlign w:val="bottom"/>
            <w:tcBorders>
              <w:top w:val="single" w:sz="8" w:color="D5EEEE"/>
            </w:tcBorders>
            <w:gridSpan w:val="3"/>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09"/>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60" w:type="dxa"/>
            <w:vAlign w:val="bottom"/>
          </w:tcPr>
          <w:p>
            <w:pPr>
              <w:spacing w:after="0"/>
              <w:rPr>
                <w:sz w:val="18"/>
                <w:szCs w:val="18"/>
                <w:color w:val="auto"/>
              </w:rPr>
            </w:pPr>
          </w:p>
        </w:tc>
        <w:tc>
          <w:tcPr>
            <w:tcW w:w="100" w:type="dxa"/>
            <w:vAlign w:val="bottom"/>
            <w:tcBorders>
              <w:top w:val="single" w:sz="8" w:color="auto"/>
            </w:tcBorders>
            <w:gridSpan w:val="2"/>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highlight w:val="white"/>
                <w:w w:val="93"/>
              </w:rPr>
              <w:t>25,208,436</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(127)</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339,825</w:t>
            </w:r>
          </w:p>
        </w:tc>
        <w:tc>
          <w:tcPr>
            <w:tcW w:w="1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7,627</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(262,588)</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84,740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30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-5132070</wp:posOffset>
            </wp:positionV>
            <wp:extent cx="6884670" cy="52768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84670" cy="527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form part of the consolidated financial statements</w:t>
      </w:r>
    </w:p>
    <w:p>
      <w:pPr>
        <w:sectPr>
          <w:pgSz w:w="11880" w:h="15480" w:orient="portrait"/>
          <w:cols w:equalWidth="0" w:num="1">
            <w:col w:w="10800"/>
          </w:cols>
          <w:pgMar w:left="540" w:top="88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F-6</w:t>
      </w:r>
    </w:p>
    <w:p>
      <w:pPr>
        <w:sectPr>
          <w:pgSz w:w="11880" w:h="15480" w:orient="portrait"/>
          <w:cols w:equalWidth="0" w:num="1">
            <w:col w:w="10800"/>
          </w:cols>
          <w:pgMar w:left="540" w:top="884" w:right="540" w:bottom="0" w:gutter="0" w:footer="0" w:header="0"/>
          <w:type w:val="continuous"/>
        </w:sectPr>
      </w:pPr>
    </w:p>
    <w:bookmarkStart w:id="72" w:name="page73"/>
    <w:bookmarkEnd w:id="72"/>
    <w:p>
      <w:pPr>
        <w:jc w:val="center"/>
        <w:spacing w:after="0"/>
        <w:rPr>
          <w:sz w:val="20"/>
          <w:szCs w:val="20"/>
          <w:color w:val="auto"/>
        </w:rPr>
      </w:pPr>
      <w:r>
        <w:rPr>
          <w:rFonts w:ascii="Times New Roman" w:cs="Times New Roman" w:eastAsia="Times New Roman" w:hAnsi="Times New Roman"/>
          <w:sz w:val="20"/>
          <w:szCs w:val="20"/>
          <w:b w:val="1"/>
          <w:bCs w:val="1"/>
          <w:color w:val="auto"/>
        </w:rPr>
        <w:t>AVITA MEDICAL,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0" w:type="dxa"/>
            <w:vAlign w:val="bottom"/>
          </w:tcPr>
          <w:p>
            <w:pPr>
              <w:spacing w:after="0"/>
              <w:rPr>
                <w:sz w:val="1"/>
                <w:szCs w:val="1"/>
                <w:color w:val="auto"/>
              </w:rPr>
            </w:pPr>
          </w:p>
        </w:tc>
      </w:tr>
      <w:tr>
        <w:trPr>
          <w:trHeight w:val="228"/>
        </w:trPr>
        <w:tc>
          <w:tcPr>
            <w:tcW w:w="6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Year-Ended</w:t>
            </w:r>
          </w:p>
        </w:tc>
        <w:tc>
          <w:tcPr>
            <w:tcW w:w="19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w w:val="99"/>
              </w:rPr>
              <w:t>Transition Period Ended</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186"/>
        </w:trPr>
        <w:tc>
          <w:tcPr>
            <w:tcW w:w="6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tcBorders>
            <w:gridSpan w:val="4"/>
          </w:tcPr>
          <w:p>
            <w:pPr>
              <w:jc w:val="center"/>
              <w:ind w:right="20"/>
              <w:spacing w:after="0" w:line="186"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140"/>
              <w:spacing w:after="0" w:line="186"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3"/>
          </w:tcPr>
          <w:p>
            <w:pPr>
              <w:jc w:val="center"/>
              <w:ind w:right="100"/>
              <w:spacing w:after="0" w:line="186"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340" w:type="dxa"/>
            <w:vAlign w:val="bottom"/>
            <w:tcBorders>
              <w:bottom w:val="single" w:sz="8" w:color="D5EEEE"/>
            </w:tcBorders>
          </w:tcPr>
          <w:p>
            <w:pPr>
              <w:spacing w:after="0"/>
              <w:rPr>
                <w:sz w:val="19"/>
                <w:szCs w:val="19"/>
                <w:color w:val="auto"/>
              </w:rPr>
            </w:pPr>
          </w:p>
        </w:tc>
        <w:tc>
          <w:tcPr>
            <w:tcW w:w="120" w:type="dxa"/>
            <w:vAlign w:val="bottom"/>
            <w:tcBorders>
              <w:bottom w:val="single" w:sz="8" w:color="D5EEEE"/>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0" w:type="dxa"/>
            <w:vAlign w:val="bottom"/>
            <w:tcBorders>
              <w:bottom w:val="single" w:sz="8" w:color="D5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D5EEEE"/>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D5EEEE"/>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8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vMerge w:val="restart"/>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(26,665)</w:t>
            </w: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(14,427)</w:t>
            </w:r>
          </w:p>
        </w:tc>
        <w:tc>
          <w:tcPr>
            <w:tcW w:w="20" w:type="dxa"/>
            <w:vAlign w:val="bottom"/>
            <w:vMerge w:val="restart"/>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(26,583)</w:t>
            </w: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340" w:type="dxa"/>
            <w:vAlign w:val="bottom"/>
            <w:tcBorders>
              <w:bottom w:val="single" w:sz="8" w:color="D5EEEE"/>
            </w:tcBorders>
            <w:vMerge w:val="continue"/>
          </w:tcPr>
          <w:p>
            <w:pPr>
              <w:spacing w:after="0"/>
              <w:rPr>
                <w:sz w:val="17"/>
                <w:szCs w:val="17"/>
                <w:color w:val="auto"/>
              </w:rPr>
            </w:pPr>
          </w:p>
        </w:tc>
        <w:tc>
          <w:tcPr>
            <w:tcW w:w="120" w:type="dxa"/>
            <w:vAlign w:val="bottom"/>
            <w:tcBorders>
              <w:bottom w:val="single" w:sz="8" w:color="D5EEEE"/>
            </w:tcBorders>
            <w:vMerge w:val="continue"/>
          </w:tcPr>
          <w:p>
            <w:pPr>
              <w:spacing w:after="0"/>
              <w:rPr>
                <w:sz w:val="17"/>
                <w:szCs w:val="17"/>
                <w:color w:val="auto"/>
              </w:rPr>
            </w:pPr>
          </w:p>
        </w:tc>
        <w:tc>
          <w:tcPr>
            <w:tcW w:w="8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20" w:type="dxa"/>
            <w:vAlign w:val="bottom"/>
            <w:tcBorders>
              <w:bottom w:val="single" w:sz="8" w:color="D5EEEE"/>
            </w:tcBorders>
            <w:vMerge w:val="continue"/>
          </w:tcPr>
          <w:p>
            <w:pPr>
              <w:spacing w:after="0"/>
              <w:rPr>
                <w:sz w:val="17"/>
                <w:szCs w:val="17"/>
                <w:color w:val="auto"/>
              </w:rPr>
            </w:pPr>
          </w:p>
        </w:tc>
        <w:tc>
          <w:tcPr>
            <w:tcW w:w="1040" w:type="dxa"/>
            <w:vAlign w:val="bottom"/>
            <w:tcBorders>
              <w:bottom w:val="single" w:sz="8" w:color="D5EEEE"/>
            </w:tcBorders>
            <w:vMerge w:val="continue"/>
          </w:tcPr>
          <w:p>
            <w:pPr>
              <w:spacing w:after="0"/>
              <w:rPr>
                <w:sz w:val="17"/>
                <w:szCs w:val="17"/>
                <w:color w:val="auto"/>
              </w:rPr>
            </w:pPr>
          </w:p>
        </w:tc>
        <w:tc>
          <w:tcPr>
            <w:tcW w:w="20" w:type="dxa"/>
            <w:vAlign w:val="bottom"/>
            <w:tcBorders>
              <w:bottom w:val="single" w:sz="8" w:color="D5EEEE"/>
            </w:tcBorders>
            <w:vMerge w:val="continue"/>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200" w:type="dxa"/>
            <w:vAlign w:val="bottom"/>
            <w:tcBorders>
              <w:bottom w:val="single" w:sz="8" w:color="D5EEEE"/>
            </w:tcBorders>
            <w:vMerge w:val="continue"/>
          </w:tcPr>
          <w:p>
            <w:pPr>
              <w:spacing w:after="0"/>
              <w:rPr>
                <w:sz w:val="17"/>
                <w:szCs w:val="17"/>
                <w:color w:val="auto"/>
              </w:rPr>
            </w:pPr>
          </w:p>
        </w:tc>
        <w:tc>
          <w:tcPr>
            <w:tcW w:w="100" w:type="dxa"/>
            <w:vAlign w:val="bottom"/>
            <w:tcBorders>
              <w:bottom w:val="single" w:sz="8" w:color="D5EEEE"/>
            </w:tcBorders>
          </w:tcPr>
          <w:p>
            <w:pPr>
              <w:spacing w:after="0" w:line="201" w:lineRule="exact"/>
              <w:rPr>
                <w:sz w:val="20"/>
                <w:szCs w:val="20"/>
                <w:color w:val="auto"/>
              </w:rPr>
            </w:pPr>
            <w:r>
              <w:rPr>
                <w:rFonts w:ascii="Times New Roman" w:cs="Times New Roman" w:eastAsia="Times New Roman" w:hAnsi="Times New Roman"/>
                <w:sz w:val="18"/>
                <w:szCs w:val="18"/>
                <w:color w:val="auto"/>
                <w:highlight w:val="white"/>
                <w:w w:val="88"/>
              </w:rPr>
              <w:t>$</w:t>
            </w:r>
          </w:p>
        </w:tc>
        <w:tc>
          <w:tcPr>
            <w:tcW w:w="20" w:type="dxa"/>
            <w:vAlign w:val="bottom"/>
            <w:tcBorders>
              <w:bottom w:val="single" w:sz="8" w:color="D5EEEE"/>
            </w:tcBorders>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20" w:type="dxa"/>
            <w:vAlign w:val="bottom"/>
            <w:tcBorders>
              <w:bottom w:val="single" w:sz="8" w:color="D5EEEE"/>
            </w:tcBorders>
            <w:vMerge w:val="continue"/>
          </w:tcPr>
          <w:p>
            <w:pPr>
              <w:spacing w:after="0"/>
              <w:rPr>
                <w:sz w:val="17"/>
                <w:szCs w:val="17"/>
                <w:color w:val="auto"/>
              </w:rPr>
            </w:pPr>
          </w:p>
        </w:tc>
        <w:tc>
          <w:tcPr>
            <w:tcW w:w="740" w:type="dxa"/>
            <w:vAlign w:val="bottom"/>
            <w:tcBorders>
              <w:bottom w:val="single" w:sz="8" w:color="D5EEEE"/>
            </w:tcBorders>
            <w:vMerge w:val="continue"/>
          </w:tcPr>
          <w:p>
            <w:pPr>
              <w:spacing w:after="0"/>
              <w:rPr>
                <w:sz w:val="17"/>
                <w:szCs w:val="17"/>
                <w:color w:val="auto"/>
              </w:rPr>
            </w:pPr>
          </w:p>
        </w:tc>
        <w:tc>
          <w:tcPr>
            <w:tcW w:w="20" w:type="dxa"/>
            <w:vAlign w:val="bottom"/>
            <w:tcBorders>
              <w:bottom w:val="single" w:sz="8" w:color="D5EEEE"/>
            </w:tcBorders>
            <w:vMerge w:val="continue"/>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D5EEEE"/>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10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740" w:type="dxa"/>
            <w:vAlign w:val="bottom"/>
            <w:vMerge w:val="restart"/>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340" w:type="dxa"/>
            <w:vAlign w:val="bottom"/>
            <w:tcBorders>
              <w:bottom w:val="single" w:sz="8" w:color="D5EEEE"/>
            </w:tcBorders>
          </w:tcPr>
          <w:p>
            <w:pPr>
              <w:spacing w:after="0"/>
              <w:rPr>
                <w:sz w:val="17"/>
                <w:szCs w:val="17"/>
                <w:color w:val="auto"/>
              </w:rPr>
            </w:pPr>
          </w:p>
        </w:tc>
        <w:tc>
          <w:tcPr>
            <w:tcW w:w="12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vMerge w:val="continue"/>
          </w:tcPr>
          <w:p>
            <w:pPr>
              <w:spacing w:after="0"/>
              <w:rPr>
                <w:sz w:val="17"/>
                <w:szCs w:val="17"/>
                <w:color w:val="auto"/>
              </w:rPr>
            </w:pPr>
          </w:p>
        </w:tc>
        <w:tc>
          <w:tcPr>
            <w:tcW w:w="1040" w:type="dxa"/>
            <w:vAlign w:val="bottom"/>
            <w:tcBorders>
              <w:bottom w:val="single" w:sz="8" w:color="D5EEEE"/>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568</w:t>
            </w:r>
          </w:p>
        </w:tc>
        <w:tc>
          <w:tcPr>
            <w:tcW w:w="20" w:type="dxa"/>
            <w:vAlign w:val="bottom"/>
            <w:tcBorders>
              <w:bottom w:val="single" w:sz="8" w:color="D5EEEE"/>
            </w:tcBorders>
            <w:vMerge w:val="continue"/>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20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4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330</w:t>
            </w:r>
          </w:p>
        </w:tc>
        <w:tc>
          <w:tcPr>
            <w:tcW w:w="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2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vMerge w:val="continue"/>
          </w:tcPr>
          <w:p>
            <w:pPr>
              <w:spacing w:after="0"/>
              <w:rPr>
                <w:sz w:val="17"/>
                <w:szCs w:val="17"/>
                <w:color w:val="auto"/>
              </w:rPr>
            </w:pPr>
          </w:p>
        </w:tc>
        <w:tc>
          <w:tcPr>
            <w:tcW w:w="740" w:type="dxa"/>
            <w:vAlign w:val="bottom"/>
            <w:tcBorders>
              <w:bottom w:val="single" w:sz="8" w:color="D5EEEE"/>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71</w:t>
            </w:r>
          </w:p>
        </w:tc>
        <w:tc>
          <w:tcPr>
            <w:tcW w:w="2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340" w:type="dxa"/>
            <w:vAlign w:val="bottom"/>
            <w:shd w:val="clear" w:color="auto" w:fill="D5EEEE"/>
          </w:tcPr>
          <w:p>
            <w:pPr>
              <w:spacing w:after="0"/>
              <w:rPr>
                <w:sz w:val="18"/>
                <w:szCs w:val="18"/>
                <w:color w:val="auto"/>
              </w:rPr>
            </w:pPr>
          </w:p>
        </w:tc>
        <w:tc>
          <w:tcPr>
            <w:tcW w:w="120" w:type="dxa"/>
            <w:vAlign w:val="bottom"/>
            <w:shd w:val="clear" w:color="auto" w:fill="D5EEE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6,998</w:t>
            </w:r>
          </w:p>
        </w:tc>
        <w:tc>
          <w:tcPr>
            <w:tcW w:w="20" w:type="dxa"/>
            <w:vAlign w:val="bottom"/>
          </w:tcPr>
          <w:p>
            <w:pPr>
              <w:spacing w:after="0"/>
              <w:rPr>
                <w:sz w:val="18"/>
                <w:szCs w:val="18"/>
                <w:color w:val="auto"/>
              </w:rPr>
            </w:pPr>
          </w:p>
        </w:tc>
        <w:tc>
          <w:tcPr>
            <w:tcW w:w="100" w:type="dxa"/>
            <w:vAlign w:val="bottom"/>
            <w:shd w:val="clear" w:color="auto" w:fill="D5EEE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Borders>
              <w:left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shd w:val="clear" w:color="auto" w:fill="D5EEE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5,66</w:t>
            </w:r>
          </w:p>
        </w:tc>
        <w:tc>
          <w:tcPr>
            <w:tcW w:w="20" w:type="dxa"/>
            <w:vAlign w:val="bottom"/>
            <w:shd w:val="clear" w:color="auto" w:fill="D5EEEE"/>
          </w:tcPr>
          <w:p>
            <w:pPr>
              <w:spacing w:after="0"/>
              <w:rPr>
                <w:sz w:val="18"/>
                <w:szCs w:val="18"/>
                <w:color w:val="auto"/>
              </w:rPr>
            </w:pPr>
          </w:p>
        </w:tc>
        <w:tc>
          <w:tcPr>
            <w:tcW w:w="100" w:type="dxa"/>
            <w:vAlign w:val="bottom"/>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340" w:type="dxa"/>
            <w:vAlign w:val="bottom"/>
            <w:tcBorders>
              <w:bottom w:val="single" w:sz="8" w:color="D5EEEE"/>
            </w:tcBorders>
          </w:tcPr>
          <w:p>
            <w:pPr>
              <w:spacing w:after="0"/>
              <w:rPr>
                <w:sz w:val="17"/>
                <w:szCs w:val="17"/>
                <w:color w:val="auto"/>
              </w:rPr>
            </w:pPr>
          </w:p>
        </w:tc>
        <w:tc>
          <w:tcPr>
            <w:tcW w:w="12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0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20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2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7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340" w:type="dxa"/>
            <w:vAlign w:val="bottom"/>
            <w:shd w:val="clear" w:color="auto" w:fill="D5EEEE"/>
          </w:tcPr>
          <w:p>
            <w:pPr>
              <w:spacing w:after="0"/>
              <w:rPr>
                <w:sz w:val="18"/>
                <w:szCs w:val="18"/>
                <w:color w:val="auto"/>
              </w:rPr>
            </w:pPr>
          </w:p>
        </w:tc>
        <w:tc>
          <w:tcPr>
            <w:tcW w:w="120" w:type="dxa"/>
            <w:vAlign w:val="bottom"/>
            <w:shd w:val="clear" w:color="auto" w:fill="D5EEE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100" w:type="dxa"/>
            <w:vAlign w:val="bottom"/>
            <w:shd w:val="clear" w:color="auto" w:fill="D5EEE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Borders>
              <w:left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shd w:val="clear" w:color="auto" w:fill="D5EEE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shd w:val="clear" w:color="auto" w:fill="D5EEEE"/>
          </w:tcPr>
          <w:p>
            <w:pPr>
              <w:spacing w:after="0"/>
              <w:rPr>
                <w:sz w:val="18"/>
                <w:szCs w:val="18"/>
                <w:color w:val="auto"/>
              </w:rPr>
            </w:pPr>
          </w:p>
        </w:tc>
        <w:tc>
          <w:tcPr>
            <w:tcW w:w="100" w:type="dxa"/>
            <w:vAlign w:val="bottom"/>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340" w:type="dxa"/>
            <w:vAlign w:val="bottom"/>
            <w:tcBorders>
              <w:bottom w:val="single" w:sz="8" w:color="D5EEEE"/>
            </w:tcBorders>
          </w:tcPr>
          <w:p>
            <w:pPr>
              <w:spacing w:after="0"/>
              <w:rPr>
                <w:sz w:val="17"/>
                <w:szCs w:val="17"/>
                <w:color w:val="auto"/>
              </w:rPr>
            </w:pPr>
          </w:p>
        </w:tc>
        <w:tc>
          <w:tcPr>
            <w:tcW w:w="12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0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20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2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74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340" w:type="dxa"/>
            <w:vAlign w:val="bottom"/>
            <w:shd w:val="clear" w:color="auto" w:fill="D5EEEE"/>
          </w:tcPr>
          <w:p>
            <w:pPr>
              <w:spacing w:after="0"/>
              <w:rPr>
                <w:sz w:val="18"/>
                <w:szCs w:val="18"/>
                <w:color w:val="auto"/>
              </w:rPr>
            </w:pPr>
          </w:p>
        </w:tc>
        <w:tc>
          <w:tcPr>
            <w:tcW w:w="120" w:type="dxa"/>
            <w:vAlign w:val="bottom"/>
            <w:shd w:val="clear" w:color="auto" w:fill="D5EEE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c>
          <w:tcPr>
            <w:tcW w:w="100" w:type="dxa"/>
            <w:vAlign w:val="bottom"/>
            <w:shd w:val="clear" w:color="auto" w:fill="D5EEEE"/>
          </w:tcPr>
          <w:p>
            <w:pPr>
              <w:spacing w:after="0"/>
              <w:rPr>
                <w:sz w:val="18"/>
                <w:szCs w:val="18"/>
                <w:color w:val="auto"/>
              </w:rPr>
            </w:pPr>
          </w:p>
        </w:tc>
        <w:tc>
          <w:tcPr>
            <w:tcW w:w="200" w:type="dxa"/>
            <w:vAlign w:val="bottom"/>
            <w:shd w:val="clear" w:color="auto" w:fill="D5EEE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Borders>
              <w:left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shd w:val="clear" w:color="auto" w:fill="D5EEEE"/>
          </w:tcPr>
          <w:p>
            <w:pPr>
              <w:spacing w:after="0"/>
              <w:rPr>
                <w:sz w:val="18"/>
                <w:szCs w:val="18"/>
                <w:color w:val="auto"/>
              </w:rPr>
            </w:pPr>
          </w:p>
        </w:tc>
        <w:tc>
          <w:tcPr>
            <w:tcW w:w="220" w:type="dxa"/>
            <w:vAlign w:val="bottom"/>
            <w:shd w:val="clear" w:color="auto" w:fill="D5EEE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D5EEEE"/>
          </w:tcPr>
          <w:p>
            <w:pPr>
              <w:spacing w:after="0"/>
              <w:rPr>
                <w:sz w:val="18"/>
                <w:szCs w:val="18"/>
                <w:color w:val="auto"/>
              </w:rPr>
            </w:pPr>
          </w:p>
        </w:tc>
        <w:tc>
          <w:tcPr>
            <w:tcW w:w="100" w:type="dxa"/>
            <w:vAlign w:val="bottom"/>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340" w:type="dxa"/>
            <w:vAlign w:val="bottom"/>
            <w:tcBorders>
              <w:bottom w:val="single" w:sz="8" w:color="D5EEEE"/>
            </w:tcBorders>
          </w:tcPr>
          <w:p>
            <w:pPr>
              <w:spacing w:after="0"/>
              <w:rPr>
                <w:sz w:val="17"/>
                <w:szCs w:val="17"/>
                <w:color w:val="auto"/>
              </w:rPr>
            </w:pPr>
          </w:p>
        </w:tc>
        <w:tc>
          <w:tcPr>
            <w:tcW w:w="12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0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20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2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7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340" w:type="dxa"/>
            <w:vAlign w:val="bottom"/>
            <w:shd w:val="clear" w:color="auto" w:fill="D5EEEE"/>
          </w:tcPr>
          <w:p>
            <w:pPr>
              <w:spacing w:after="0"/>
              <w:rPr>
                <w:sz w:val="18"/>
                <w:szCs w:val="18"/>
                <w:color w:val="auto"/>
              </w:rPr>
            </w:pPr>
          </w:p>
        </w:tc>
        <w:tc>
          <w:tcPr>
            <w:tcW w:w="120" w:type="dxa"/>
            <w:vAlign w:val="bottom"/>
            <w:shd w:val="clear" w:color="auto" w:fill="D5EEE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130</w:t>
            </w:r>
          </w:p>
        </w:tc>
        <w:tc>
          <w:tcPr>
            <w:tcW w:w="20" w:type="dxa"/>
            <w:vAlign w:val="bottom"/>
          </w:tcPr>
          <w:p>
            <w:pPr>
              <w:spacing w:after="0"/>
              <w:rPr>
                <w:sz w:val="18"/>
                <w:szCs w:val="18"/>
                <w:color w:val="auto"/>
              </w:rPr>
            </w:pPr>
          </w:p>
        </w:tc>
        <w:tc>
          <w:tcPr>
            <w:tcW w:w="100" w:type="dxa"/>
            <w:vAlign w:val="bottom"/>
            <w:shd w:val="clear" w:color="auto" w:fill="D5EEE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Borders>
              <w:left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shd w:val="clear" w:color="auto" w:fill="D5EEEE"/>
          </w:tcPr>
          <w:p>
            <w:pPr>
              <w:spacing w:after="0"/>
              <w:rPr>
                <w:sz w:val="18"/>
                <w:szCs w:val="18"/>
                <w:color w:val="auto"/>
              </w:rPr>
            </w:pPr>
          </w:p>
        </w:tc>
        <w:tc>
          <w:tcPr>
            <w:tcW w:w="220" w:type="dxa"/>
            <w:vAlign w:val="bottom"/>
            <w:shd w:val="clear" w:color="auto" w:fill="D5EEE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shd w:val="clear" w:color="auto" w:fill="D5EEEE"/>
          </w:tcPr>
          <w:p>
            <w:pPr>
              <w:spacing w:after="0"/>
              <w:rPr>
                <w:sz w:val="18"/>
                <w:szCs w:val="18"/>
                <w:color w:val="auto"/>
              </w:rPr>
            </w:pPr>
          </w:p>
        </w:tc>
        <w:tc>
          <w:tcPr>
            <w:tcW w:w="100" w:type="dxa"/>
            <w:vAlign w:val="bottom"/>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340" w:type="dxa"/>
            <w:vAlign w:val="bottom"/>
            <w:tcBorders>
              <w:bottom w:val="single" w:sz="8" w:color="D5EEEE"/>
            </w:tcBorders>
          </w:tcPr>
          <w:p>
            <w:pPr>
              <w:spacing w:after="0"/>
              <w:rPr>
                <w:sz w:val="17"/>
                <w:szCs w:val="17"/>
                <w:color w:val="auto"/>
              </w:rPr>
            </w:pPr>
          </w:p>
        </w:tc>
        <w:tc>
          <w:tcPr>
            <w:tcW w:w="12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0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20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7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D5EEEE"/>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gridSpan w:val="3"/>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gridSpan w:val="4"/>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40" w:type="dxa"/>
            <w:vAlign w:val="bottom"/>
            <w:tcBorders>
              <w:top w:val="single" w:sz="8" w:color="D5EEEE"/>
              <w:bottom w:val="single" w:sz="8" w:color="D5EEEE"/>
            </w:tcBorders>
          </w:tcPr>
          <w:p>
            <w:pPr>
              <w:spacing w:after="0"/>
              <w:rPr>
                <w:sz w:val="17"/>
                <w:szCs w:val="17"/>
                <w:color w:val="auto"/>
              </w:rPr>
            </w:pPr>
          </w:p>
        </w:tc>
        <w:tc>
          <w:tcPr>
            <w:tcW w:w="120" w:type="dxa"/>
            <w:vAlign w:val="bottom"/>
            <w:tcBorders>
              <w:top w:val="single" w:sz="8" w:color="D5EEEE"/>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040" w:type="dxa"/>
            <w:vAlign w:val="bottom"/>
            <w:tcBorders>
              <w:bottom w:val="single" w:sz="8" w:color="D5EEEE"/>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(281)</w:t>
            </w:r>
          </w:p>
        </w:tc>
        <w:tc>
          <w:tcPr>
            <w:tcW w:w="2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20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4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2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740" w:type="dxa"/>
            <w:vAlign w:val="bottom"/>
            <w:tcBorders>
              <w:top w:val="single" w:sz="8" w:color="D5EEEE"/>
              <w:bottom w:val="single" w:sz="8" w:color="D5EEEE"/>
            </w:tcBorders>
          </w:tcPr>
          <w:p>
            <w:pPr>
              <w:spacing w:after="0"/>
              <w:rPr>
                <w:sz w:val="17"/>
                <w:szCs w:val="17"/>
                <w:color w:val="auto"/>
              </w:rPr>
            </w:pPr>
          </w:p>
        </w:tc>
        <w:tc>
          <w:tcPr>
            <w:tcW w:w="20" w:type="dxa"/>
            <w:vAlign w:val="bottom"/>
            <w:tcBorders>
              <w:top w:val="single" w:sz="8" w:color="D5EEEE"/>
              <w:bottom w:val="single" w:sz="8" w:color="D5EEEE"/>
            </w:tcBorders>
          </w:tcPr>
          <w:p>
            <w:pPr>
              <w:spacing w:after="0"/>
              <w:rPr>
                <w:sz w:val="17"/>
                <w:szCs w:val="17"/>
                <w:color w:val="auto"/>
              </w:rPr>
            </w:pPr>
          </w:p>
        </w:tc>
        <w:tc>
          <w:tcPr>
            <w:tcW w:w="100" w:type="dxa"/>
            <w:vAlign w:val="bottom"/>
            <w:tcBorders>
              <w:top w:val="single" w:sz="8" w:color="D5EEEE"/>
              <w:bottom w:val="single" w:sz="8" w:color="D5EEEE"/>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D5EEEE"/>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left w:val="single" w:sz="8" w:color="D5EEEE"/>
            </w:tcBorders>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34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4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2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74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D5EEEE"/>
          </w:tcPr>
          <w:p>
            <w:pPr>
              <w:ind w:left="280"/>
              <w:spacing w:after="0" w:line="203" w:lineRule="exact"/>
              <w:rPr>
                <w:sz w:val="20"/>
                <w:szCs w:val="20"/>
                <w:color w:val="auto"/>
              </w:rPr>
            </w:pPr>
            <w:r>
              <w:rPr>
                <w:rFonts w:ascii="Times New Roman" w:cs="Times New Roman" w:eastAsia="Times New Roman" w:hAnsi="Times New Roman"/>
                <w:sz w:val="18"/>
                <w:szCs w:val="18"/>
                <w:color w:val="auto"/>
              </w:rPr>
              <w:t>Trade and other receivables</w:t>
            </w:r>
          </w:p>
        </w:tc>
        <w:tc>
          <w:tcPr>
            <w:tcW w:w="120" w:type="dxa"/>
            <w:vAlign w:val="bottom"/>
            <w:shd w:val="clear" w:color="auto" w:fill="D5EEE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(395)</w:t>
            </w:r>
          </w:p>
        </w:tc>
        <w:tc>
          <w:tcPr>
            <w:tcW w:w="20" w:type="dxa"/>
            <w:vAlign w:val="bottom"/>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200" w:type="dxa"/>
            <w:vAlign w:val="bottom"/>
            <w:shd w:val="clear" w:color="auto" w:fill="D5EEE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left w:val="single" w:sz="8" w:color="D5EEEE"/>
            </w:tcBorders>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350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(1,399)</w:t>
            </w:r>
          </w:p>
        </w:tc>
        <w:tc>
          <w:tcPr>
            <w:tcW w:w="2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340" w:type="dxa"/>
            <w:vAlign w:val="bottom"/>
            <w:tcBorders>
              <w:bottom w:val="single" w:sz="8" w:color="D5EEEE"/>
            </w:tcBorders>
          </w:tcPr>
          <w:p>
            <w:pPr>
              <w:ind w:left="280"/>
              <w:spacing w:after="0"/>
              <w:rPr>
                <w:sz w:val="20"/>
                <w:szCs w:val="20"/>
                <w:color w:val="auto"/>
              </w:rPr>
            </w:pPr>
            <w:r>
              <w:rPr>
                <w:rFonts w:ascii="Times New Roman" w:cs="Times New Roman" w:eastAsia="Times New Roman" w:hAnsi="Times New Roman"/>
                <w:sz w:val="18"/>
                <w:szCs w:val="18"/>
                <w:color w:val="auto"/>
              </w:rPr>
              <w:t>BARDA receivables</w:t>
            </w:r>
          </w:p>
        </w:tc>
        <w:tc>
          <w:tcPr>
            <w:tcW w:w="1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2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7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D5EEEE"/>
          </w:tcPr>
          <w:p>
            <w:pPr>
              <w:ind w:left="280"/>
              <w:spacing w:after="0" w:line="203" w:lineRule="exact"/>
              <w:rPr>
                <w:sz w:val="20"/>
                <w:szCs w:val="20"/>
                <w:color w:val="auto"/>
              </w:rPr>
            </w:pPr>
            <w:r>
              <w:rPr>
                <w:rFonts w:ascii="Times New Roman" w:cs="Times New Roman" w:eastAsia="Times New Roman" w:hAnsi="Times New Roman"/>
                <w:sz w:val="18"/>
                <w:szCs w:val="18"/>
                <w:color w:val="auto"/>
              </w:rPr>
              <w:t>Prepaids and other current assets</w:t>
            </w:r>
          </w:p>
        </w:tc>
        <w:tc>
          <w:tcPr>
            <w:tcW w:w="120" w:type="dxa"/>
            <w:vAlign w:val="bottom"/>
            <w:shd w:val="clear" w:color="auto" w:fill="D5EEE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Borders>
              <w:bottom w:val="single" w:sz="8" w:color="D5EEEE"/>
            </w:tcBorders>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(366)</w:t>
            </w:r>
          </w:p>
        </w:tc>
        <w:tc>
          <w:tcPr>
            <w:tcW w:w="20" w:type="dxa"/>
            <w:vAlign w:val="bottom"/>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200" w:type="dxa"/>
            <w:vAlign w:val="bottom"/>
            <w:shd w:val="clear" w:color="auto" w:fill="D5EEE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left w:val="single" w:sz="8" w:color="D5EEEE"/>
              <w:bottom w:val="single" w:sz="8" w:color="D5EEEE"/>
            </w:tcBorders>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119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Borders>
              <w:bottom w:val="single" w:sz="8" w:color="D5EEEE"/>
            </w:tcBorders>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(342)</w:t>
            </w:r>
          </w:p>
        </w:tc>
        <w:tc>
          <w:tcPr>
            <w:tcW w:w="2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40" w:type="dxa"/>
            <w:vAlign w:val="bottom"/>
            <w:tcBorders>
              <w:bottom w:val="single" w:sz="8" w:color="D5EEEE"/>
            </w:tcBorders>
          </w:tcPr>
          <w:p>
            <w:pPr>
              <w:ind w:left="280"/>
              <w:spacing w:after="0" w:line="201" w:lineRule="exact"/>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040" w:type="dxa"/>
            <w:vAlign w:val="bottom"/>
            <w:tcBorders>
              <w:bottom w:val="single" w:sz="8" w:color="D5EEEE"/>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(371)</w:t>
            </w:r>
          </w:p>
        </w:tc>
        <w:tc>
          <w:tcPr>
            <w:tcW w:w="2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20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4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(530)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2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740" w:type="dxa"/>
            <w:vAlign w:val="bottom"/>
            <w:tcBorders>
              <w:bottom w:val="single" w:sz="8" w:color="D5EEEE"/>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(745)</w:t>
            </w:r>
          </w:p>
        </w:tc>
        <w:tc>
          <w:tcPr>
            <w:tcW w:w="2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340" w:type="dxa"/>
            <w:vAlign w:val="bottom"/>
            <w:shd w:val="clear" w:color="auto" w:fill="D5EEEE"/>
          </w:tcPr>
          <w:p>
            <w:pPr>
              <w:ind w:left="280"/>
              <w:spacing w:after="0" w:line="203" w:lineRule="exact"/>
              <w:rPr>
                <w:sz w:val="20"/>
                <w:szCs w:val="20"/>
                <w:color w:val="auto"/>
              </w:rPr>
            </w:pPr>
            <w:r>
              <w:rPr>
                <w:rFonts w:ascii="Times New Roman" w:cs="Times New Roman" w:eastAsia="Times New Roman" w:hAnsi="Times New Roman"/>
                <w:sz w:val="18"/>
                <w:szCs w:val="18"/>
                <w:color w:val="auto"/>
              </w:rPr>
              <w:t>Operating lease liability</w:t>
            </w:r>
          </w:p>
        </w:tc>
        <w:tc>
          <w:tcPr>
            <w:tcW w:w="120" w:type="dxa"/>
            <w:vAlign w:val="bottom"/>
            <w:shd w:val="clear" w:color="auto" w:fill="D5EEE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(720)</w:t>
            </w:r>
          </w:p>
        </w:tc>
        <w:tc>
          <w:tcPr>
            <w:tcW w:w="20" w:type="dxa"/>
            <w:vAlign w:val="bottom"/>
          </w:tcPr>
          <w:p>
            <w:pPr>
              <w:spacing w:after="0"/>
              <w:rPr>
                <w:sz w:val="18"/>
                <w:szCs w:val="18"/>
                <w:color w:val="auto"/>
              </w:rPr>
            </w:pPr>
          </w:p>
        </w:tc>
        <w:tc>
          <w:tcPr>
            <w:tcW w:w="100" w:type="dxa"/>
            <w:vAlign w:val="bottom"/>
            <w:shd w:val="clear" w:color="auto" w:fill="D5EEEE"/>
          </w:tcPr>
          <w:p>
            <w:pPr>
              <w:spacing w:after="0"/>
              <w:rPr>
                <w:sz w:val="18"/>
                <w:szCs w:val="18"/>
                <w:color w:val="auto"/>
              </w:rPr>
            </w:pPr>
          </w:p>
        </w:tc>
        <w:tc>
          <w:tcPr>
            <w:tcW w:w="200" w:type="dxa"/>
            <w:vAlign w:val="bottom"/>
            <w:shd w:val="clear" w:color="auto" w:fill="D5EEE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Borders>
              <w:left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shd w:val="clear" w:color="auto" w:fill="D5EEEE"/>
          </w:tcPr>
          <w:p>
            <w:pPr>
              <w:spacing w:after="0"/>
              <w:rPr>
                <w:sz w:val="18"/>
                <w:szCs w:val="18"/>
                <w:color w:val="auto"/>
              </w:rPr>
            </w:pPr>
          </w:p>
        </w:tc>
        <w:tc>
          <w:tcPr>
            <w:tcW w:w="220" w:type="dxa"/>
            <w:vAlign w:val="bottom"/>
            <w:shd w:val="clear" w:color="auto" w:fill="D5EEE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(594)</w:t>
            </w:r>
          </w:p>
        </w:tc>
        <w:tc>
          <w:tcPr>
            <w:tcW w:w="20" w:type="dxa"/>
            <w:vAlign w:val="bottom"/>
            <w:shd w:val="clear" w:color="auto" w:fill="D5EEEE"/>
          </w:tcPr>
          <w:p>
            <w:pPr>
              <w:spacing w:after="0"/>
              <w:rPr>
                <w:sz w:val="18"/>
                <w:szCs w:val="18"/>
                <w:color w:val="auto"/>
              </w:rPr>
            </w:pPr>
          </w:p>
        </w:tc>
        <w:tc>
          <w:tcPr>
            <w:tcW w:w="100" w:type="dxa"/>
            <w:vAlign w:val="bottom"/>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340" w:type="dxa"/>
            <w:vAlign w:val="bottom"/>
            <w:tcBorders>
              <w:bottom w:val="single" w:sz="8" w:color="D5EEEE"/>
            </w:tcBorders>
          </w:tcPr>
          <w:p>
            <w:pPr>
              <w:spacing w:after="0"/>
              <w:rPr>
                <w:sz w:val="17"/>
                <w:szCs w:val="17"/>
                <w:color w:val="auto"/>
              </w:rPr>
            </w:pPr>
          </w:p>
        </w:tc>
        <w:tc>
          <w:tcPr>
            <w:tcW w:w="12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0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2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20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2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74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D5EEEE"/>
          </w:tcPr>
          <w:p>
            <w:pPr>
              <w:ind w:left="280"/>
              <w:spacing w:after="0" w:line="203" w:lineRule="exact"/>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shd w:val="clear" w:color="auto" w:fill="D5EEE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178</w:t>
            </w:r>
          </w:p>
        </w:tc>
        <w:tc>
          <w:tcPr>
            <w:tcW w:w="20" w:type="dxa"/>
            <w:vAlign w:val="bottom"/>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left w:val="single" w:sz="8" w:color="D5EEEE"/>
            </w:tcBorders>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220" w:type="dxa"/>
            <w:vAlign w:val="bottom"/>
            <w:shd w:val="clear" w:color="auto" w:fill="D5EEE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(889)</w:t>
            </w:r>
          </w:p>
        </w:tc>
        <w:tc>
          <w:tcPr>
            <w:tcW w:w="2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340" w:type="dxa"/>
            <w:vAlign w:val="bottom"/>
            <w:tcBorders>
              <w:bottom w:val="single" w:sz="8" w:color="D5EEEE"/>
            </w:tcBorders>
          </w:tcPr>
          <w:p>
            <w:pPr>
              <w:ind w:left="2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2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7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340" w:type="dxa"/>
            <w:vAlign w:val="bottom"/>
            <w:tcBorders>
              <w:bottom w:val="single" w:sz="8" w:color="D5EEEE"/>
            </w:tcBorders>
            <w:shd w:val="clear" w:color="auto" w:fill="D5EEEE"/>
          </w:tcPr>
          <w:p>
            <w:pPr>
              <w:spacing w:after="0"/>
              <w:rPr>
                <w:sz w:val="17"/>
                <w:szCs w:val="17"/>
                <w:color w:val="auto"/>
              </w:rPr>
            </w:pPr>
          </w:p>
        </w:tc>
        <w:tc>
          <w:tcPr>
            <w:tcW w:w="120" w:type="dxa"/>
            <w:vAlign w:val="bottom"/>
            <w:tcBorders>
              <w:bottom w:val="single" w:sz="8" w:color="D5EEEE"/>
            </w:tcBorders>
            <w:shd w:val="clear" w:color="auto" w:fill="D5EEE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Borders>
              <w:bottom w:val="single" w:sz="8" w:color="D5EEEE"/>
            </w:tcBorders>
            <w:shd w:val="clear" w:color="auto" w:fill="D5EEEE"/>
          </w:tcPr>
          <w:p>
            <w:pPr>
              <w:jc w:val="right"/>
              <w:spacing w:after="0" w:line="201" w:lineRule="exact"/>
              <w:rPr>
                <w:sz w:val="20"/>
                <w:szCs w:val="20"/>
                <w:color w:val="auto"/>
              </w:rPr>
            </w:pPr>
            <w:r>
              <w:rPr>
                <w:rFonts w:ascii="Times New Roman" w:cs="Times New Roman" w:eastAsia="Times New Roman" w:hAnsi="Times New Roman"/>
                <w:sz w:val="18"/>
                <w:szCs w:val="18"/>
                <w:color w:val="auto"/>
              </w:rPr>
              <w:t>1,272</w:t>
            </w:r>
          </w:p>
        </w:tc>
        <w:tc>
          <w:tcPr>
            <w:tcW w:w="20" w:type="dxa"/>
            <w:vAlign w:val="bottom"/>
          </w:tcPr>
          <w:p>
            <w:pPr>
              <w:spacing w:after="0"/>
              <w:rPr>
                <w:sz w:val="17"/>
                <w:szCs w:val="17"/>
                <w:color w:val="auto"/>
              </w:rPr>
            </w:pPr>
          </w:p>
        </w:tc>
        <w:tc>
          <w:tcPr>
            <w:tcW w:w="100" w:type="dxa"/>
            <w:vAlign w:val="bottom"/>
            <w:tcBorders>
              <w:bottom w:val="single" w:sz="8" w:color="D5EEEE"/>
            </w:tcBorders>
            <w:shd w:val="clear" w:color="auto" w:fill="D5EEE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left w:val="single" w:sz="8" w:color="D5EEEE"/>
              <w:bottom w:val="single" w:sz="8" w:color="D5EEEE"/>
            </w:tcBorders>
            <w:shd w:val="clear" w:color="auto" w:fill="D5EEEE"/>
          </w:tcPr>
          <w:p>
            <w:pPr>
              <w:jc w:val="right"/>
              <w:spacing w:after="0" w:line="201" w:lineRule="exact"/>
              <w:rPr>
                <w:sz w:val="20"/>
                <w:szCs w:val="20"/>
                <w:color w:val="auto"/>
              </w:rPr>
            </w:pPr>
            <w:r>
              <w:rPr>
                <w:rFonts w:ascii="Times New Roman" w:cs="Times New Roman" w:eastAsia="Times New Roman" w:hAnsi="Times New Roman"/>
                <w:sz w:val="18"/>
                <w:szCs w:val="18"/>
                <w:color w:val="auto"/>
              </w:rPr>
              <w:t>2,046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D5EEEE"/>
            </w:tcBorders>
            <w:shd w:val="clear" w:color="auto" w:fill="D5EEEE"/>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Borders>
              <w:bottom w:val="single" w:sz="8" w:color="D5EEEE"/>
            </w:tcBorders>
            <w:shd w:val="clear" w:color="auto" w:fill="D5EEEE"/>
          </w:tcPr>
          <w:p>
            <w:pPr>
              <w:jc w:val="right"/>
              <w:spacing w:after="0" w:line="201" w:lineRule="exact"/>
              <w:rPr>
                <w:sz w:val="20"/>
                <w:szCs w:val="20"/>
                <w:color w:val="auto"/>
              </w:rPr>
            </w:pPr>
            <w:r>
              <w:rPr>
                <w:rFonts w:ascii="Times New Roman" w:cs="Times New Roman" w:eastAsia="Times New Roman" w:hAnsi="Times New Roman"/>
                <w:sz w:val="18"/>
                <w:szCs w:val="18"/>
                <w:color w:val="auto"/>
              </w:rPr>
              <w:t>49</w:t>
            </w:r>
          </w:p>
        </w:tc>
        <w:tc>
          <w:tcPr>
            <w:tcW w:w="20" w:type="dxa"/>
            <w:vAlign w:val="bottom"/>
            <w:tcBorders>
              <w:bottom w:val="single" w:sz="8" w:color="D5EEEE"/>
            </w:tcBorders>
            <w:shd w:val="clear" w:color="auto" w:fill="D5EEEE"/>
          </w:tcPr>
          <w:p>
            <w:pPr>
              <w:spacing w:after="0"/>
              <w:rPr>
                <w:sz w:val="17"/>
                <w:szCs w:val="17"/>
                <w:color w:val="auto"/>
              </w:rPr>
            </w:pPr>
          </w:p>
        </w:tc>
        <w:tc>
          <w:tcPr>
            <w:tcW w:w="100" w:type="dxa"/>
            <w:vAlign w:val="bottom"/>
            <w:tcBorders>
              <w:bottom w:val="single" w:sz="8" w:color="D5EEEE"/>
            </w:tcBorders>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tcBorders>
              <w:bottom w:val="single" w:sz="8" w:color="D5EEEE"/>
            </w:tcBorders>
          </w:tcPr>
          <w:p>
            <w:pPr>
              <w:spacing w:after="0"/>
              <w:rPr>
                <w:sz w:val="17"/>
                <w:szCs w:val="17"/>
                <w:color w:val="auto"/>
              </w:rPr>
            </w:pPr>
          </w:p>
        </w:tc>
        <w:tc>
          <w:tcPr>
            <w:tcW w:w="12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040" w:type="dxa"/>
            <w:vAlign w:val="bottom"/>
            <w:tcBorders>
              <w:bottom w:val="single" w:sz="8" w:color="D5EEEE"/>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w:t>
            </w:r>
          </w:p>
        </w:tc>
        <w:tc>
          <w:tcPr>
            <w:tcW w:w="2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20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2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740" w:type="dxa"/>
            <w:vAlign w:val="bottom"/>
            <w:tcBorders>
              <w:bottom w:val="single" w:sz="8" w:color="D5EEEE"/>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D5EEEE"/>
          </w:tcPr>
          <w:p>
            <w:pPr>
              <w:ind w:left="280"/>
              <w:spacing w:after="0" w:line="201" w:lineRule="exact"/>
              <w:rPr>
                <w:sz w:val="20"/>
                <w:szCs w:val="20"/>
                <w:color w:val="auto"/>
              </w:rPr>
            </w:pPr>
            <w:r>
              <w:rPr>
                <w:rFonts w:ascii="Times New Roman" w:cs="Times New Roman" w:eastAsia="Times New Roman" w:hAnsi="Times New Roman"/>
                <w:sz w:val="18"/>
                <w:szCs w:val="18"/>
                <w:color w:val="auto"/>
              </w:rPr>
              <w:t>Non-qualified deferred compensation plan liability</w:t>
            </w:r>
          </w:p>
        </w:tc>
        <w:tc>
          <w:tcPr>
            <w:tcW w:w="120" w:type="dxa"/>
            <w:vAlign w:val="bottom"/>
            <w:shd w:val="clear" w:color="auto" w:fill="D5EEE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D5EEEE"/>
          </w:tcPr>
          <w:p>
            <w:pPr>
              <w:jc w:val="right"/>
              <w:spacing w:after="0" w:line="201" w:lineRule="exact"/>
              <w:rPr>
                <w:sz w:val="20"/>
                <w:szCs w:val="20"/>
                <w:color w:val="auto"/>
              </w:rPr>
            </w:pPr>
            <w:r>
              <w:rPr>
                <w:rFonts w:ascii="Times New Roman" w:cs="Times New Roman" w:eastAsia="Times New Roman" w:hAnsi="Times New Roman"/>
                <w:sz w:val="18"/>
                <w:szCs w:val="18"/>
                <w:color w:val="auto"/>
              </w:rPr>
              <w:t>994</w:t>
            </w:r>
          </w:p>
        </w:tc>
        <w:tc>
          <w:tcPr>
            <w:tcW w:w="20" w:type="dxa"/>
            <w:vAlign w:val="bottom"/>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left w:val="single" w:sz="8" w:color="D5EEEE"/>
            </w:tcBorders>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262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340" w:type="dxa"/>
            <w:vAlign w:val="bottom"/>
            <w:tcBorders>
              <w:bottom w:val="single" w:sz="8" w:color="D5EEEE"/>
            </w:tcBorders>
          </w:tcPr>
          <w:p>
            <w:pPr>
              <w:ind w:left="280"/>
              <w:spacing w:after="0"/>
              <w:rPr>
                <w:sz w:val="20"/>
                <w:szCs w:val="20"/>
                <w:color w:val="auto"/>
              </w:rPr>
            </w:pPr>
            <w:r>
              <w:rPr>
                <w:rFonts w:ascii="Times New Roman" w:cs="Times New Roman" w:eastAsia="Times New Roman" w:hAnsi="Times New Roman"/>
                <w:sz w:val="18"/>
                <w:szCs w:val="18"/>
                <w:color w:val="auto"/>
              </w:rPr>
              <w:t>Contract liabilities</w:t>
            </w:r>
          </w:p>
        </w:tc>
        <w:tc>
          <w:tcPr>
            <w:tcW w:w="1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2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7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340" w:type="dxa"/>
            <w:vAlign w:val="bottom"/>
            <w:shd w:val="clear" w:color="auto" w:fill="D5EEEE"/>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shd w:val="clear" w:color="auto" w:fill="D5EEEE"/>
          </w:tcPr>
          <w:p>
            <w:pPr>
              <w:jc w:val="right"/>
              <w:spacing w:after="0" w:line="201" w:lineRule="exact"/>
              <w:rPr>
                <w:sz w:val="20"/>
                <w:szCs w:val="20"/>
                <w:color w:val="auto"/>
              </w:rPr>
            </w:pPr>
            <w:r>
              <w:rPr>
                <w:rFonts w:ascii="Times New Roman" w:cs="Times New Roman" w:eastAsia="Times New Roman" w:hAnsi="Times New Roman"/>
                <w:sz w:val="18"/>
                <w:szCs w:val="18"/>
                <w:color w:val="auto"/>
              </w:rPr>
              <w:t>(50)</w:t>
            </w:r>
          </w:p>
        </w:tc>
        <w:tc>
          <w:tcPr>
            <w:tcW w:w="20" w:type="dxa"/>
            <w:vAlign w:val="bottom"/>
            <w:tcBorders>
              <w:bottom w:val="single" w:sz="8" w:color="auto"/>
            </w:tcBorders>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200" w:type="dxa"/>
            <w:vAlign w:val="bottom"/>
            <w:shd w:val="clear" w:color="auto" w:fill="D5EEE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60" w:type="dxa"/>
            <w:vAlign w:val="bottom"/>
            <w:tcBorders>
              <w:left w:val="single" w:sz="8" w:color="D5EEEE"/>
              <w:bottom w:val="single" w:sz="8" w:color="auto"/>
            </w:tcBorders>
            <w:shd w:val="clear" w:color="auto" w:fill="D5EEEE"/>
          </w:tcPr>
          <w:p>
            <w:pPr>
              <w:jc w:val="right"/>
              <w:spacing w:after="0" w:line="201" w:lineRule="exact"/>
              <w:rPr>
                <w:sz w:val="20"/>
                <w:szCs w:val="20"/>
                <w:color w:val="auto"/>
              </w:rPr>
            </w:pPr>
            <w:r>
              <w:rPr>
                <w:rFonts w:ascii="Times New Roman" w:cs="Times New Roman" w:eastAsia="Times New Roman" w:hAnsi="Times New Roman"/>
                <w:sz w:val="18"/>
                <w:szCs w:val="18"/>
                <w:color w:val="auto"/>
              </w:rPr>
              <w:t>(189)</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220" w:type="dxa"/>
            <w:vAlign w:val="bottom"/>
            <w:shd w:val="clear" w:color="auto" w:fill="D5EEE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shd w:val="clear" w:color="auto" w:fill="D5EEEE"/>
          </w:tcPr>
          <w:p>
            <w:pPr>
              <w:jc w:val="right"/>
              <w:spacing w:after="0" w:line="201"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tcBorders>
              <w:bottom w:val="single" w:sz="8" w:color="auto"/>
            </w:tcBorders>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340" w:type="dxa"/>
            <w:vAlign w:val="bottom"/>
            <w:tcBorders>
              <w:bottom w:val="single" w:sz="8" w:color="D5EEEE"/>
            </w:tcBorders>
          </w:tcPr>
          <w:p>
            <w:pPr>
              <w:ind w:left="540"/>
              <w:spacing w:after="0"/>
              <w:rPr>
                <w:sz w:val="20"/>
                <w:szCs w:val="20"/>
                <w:color w:val="auto"/>
              </w:rPr>
            </w:pPr>
            <w:r>
              <w:rPr>
                <w:rFonts w:ascii="Times New Roman" w:cs="Times New Roman" w:eastAsia="Times New Roman" w:hAnsi="Times New Roman"/>
                <w:sz w:val="18"/>
                <w:szCs w:val="18"/>
                <w:color w:val="auto"/>
              </w:rPr>
              <w:t>Net cash used in operations</w:t>
            </w:r>
          </w:p>
        </w:tc>
        <w:tc>
          <w:tcPr>
            <w:tcW w:w="120" w:type="dxa"/>
            <w:vAlign w:val="bottom"/>
            <w:tcBorders>
              <w:bottom w:val="single" w:sz="8" w:color="D5EEEE"/>
            </w:tcBorders>
          </w:tcPr>
          <w:p>
            <w:pPr>
              <w:spacing w:after="0"/>
              <w:rPr>
                <w:sz w:val="18"/>
                <w:szCs w:val="18"/>
                <w:color w:val="auto"/>
              </w:rPr>
            </w:pPr>
          </w:p>
        </w:tc>
        <w:tc>
          <w:tcPr>
            <w:tcW w:w="80" w:type="dxa"/>
            <w:vAlign w:val="bottom"/>
            <w:tcBorders>
              <w:bottom w:val="single" w:sz="8" w:color="D5EEEE"/>
            </w:tcBorders>
          </w:tcPr>
          <w:p>
            <w:pPr>
              <w:spacing w:after="0"/>
              <w:rPr>
                <w:sz w:val="18"/>
                <w:szCs w:val="18"/>
                <w:color w:val="auto"/>
              </w:rPr>
            </w:pPr>
          </w:p>
        </w:tc>
        <w:tc>
          <w:tcPr>
            <w:tcW w:w="20" w:type="dxa"/>
            <w:vAlign w:val="bottom"/>
            <w:tcBorders>
              <w:bottom w:val="single" w:sz="8" w:color="D5EEEE"/>
            </w:tcBorders>
          </w:tcPr>
          <w:p>
            <w:pPr>
              <w:spacing w:after="0"/>
              <w:rPr>
                <w:sz w:val="18"/>
                <w:szCs w:val="18"/>
                <w:color w:val="auto"/>
              </w:rPr>
            </w:pPr>
          </w:p>
        </w:tc>
        <w:tc>
          <w:tcPr>
            <w:tcW w:w="10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(19,090)</w:t>
            </w:r>
          </w:p>
        </w:tc>
        <w:tc>
          <w:tcPr>
            <w:tcW w:w="20" w:type="dxa"/>
            <w:vAlign w:val="bottom"/>
            <w:tcBorders>
              <w:bottom w:val="single" w:sz="8" w:color="D5EEEE"/>
            </w:tcBorders>
          </w:tcPr>
          <w:p>
            <w:pPr>
              <w:spacing w:after="0"/>
              <w:rPr>
                <w:sz w:val="18"/>
                <w:szCs w:val="18"/>
                <w:color w:val="auto"/>
              </w:rPr>
            </w:pPr>
          </w:p>
        </w:tc>
        <w:tc>
          <w:tcPr>
            <w:tcW w:w="100" w:type="dxa"/>
            <w:vAlign w:val="bottom"/>
            <w:tcBorders>
              <w:bottom w:val="single" w:sz="8" w:color="D5EEEE"/>
            </w:tcBorders>
          </w:tcPr>
          <w:p>
            <w:pPr>
              <w:spacing w:after="0"/>
              <w:rPr>
                <w:sz w:val="18"/>
                <w:szCs w:val="18"/>
                <w:color w:val="auto"/>
              </w:rPr>
            </w:pPr>
          </w:p>
        </w:tc>
        <w:tc>
          <w:tcPr>
            <w:tcW w:w="200" w:type="dxa"/>
            <w:vAlign w:val="bottom"/>
            <w:tcBorders>
              <w:bottom w:val="single" w:sz="8" w:color="D5EEEE"/>
            </w:tcBorders>
          </w:tcPr>
          <w:p>
            <w:pPr>
              <w:spacing w:after="0"/>
              <w:rPr>
                <w:sz w:val="18"/>
                <w:szCs w:val="18"/>
                <w:color w:val="auto"/>
              </w:rPr>
            </w:pPr>
          </w:p>
        </w:tc>
        <w:tc>
          <w:tcPr>
            <w:tcW w:w="100" w:type="dxa"/>
            <w:vAlign w:val="bottom"/>
            <w:tcBorders>
              <w:bottom w:val="single" w:sz="8" w:color="D5EEEE"/>
            </w:tcBorders>
          </w:tcPr>
          <w:p>
            <w:pPr>
              <w:spacing w:after="0"/>
              <w:rPr>
                <w:sz w:val="18"/>
                <w:szCs w:val="18"/>
                <w:color w:val="auto"/>
              </w:rPr>
            </w:pPr>
          </w:p>
        </w:tc>
        <w:tc>
          <w:tcPr>
            <w:tcW w:w="20" w:type="dxa"/>
            <w:vAlign w:val="bottom"/>
            <w:tcBorders>
              <w:bottom w:val="single" w:sz="8" w:color="D5EEEE"/>
            </w:tcBorders>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D5EEEE"/>
            </w:tcBorders>
          </w:tcPr>
          <w:p>
            <w:pPr>
              <w:spacing w:after="0"/>
              <w:rPr>
                <w:sz w:val="18"/>
                <w:szCs w:val="18"/>
                <w:color w:val="auto"/>
              </w:rPr>
            </w:pPr>
          </w:p>
        </w:tc>
        <w:tc>
          <w:tcPr>
            <w:tcW w:w="80" w:type="dxa"/>
            <w:vAlign w:val="bottom"/>
            <w:tcBorders>
              <w:bottom w:val="single" w:sz="8" w:color="D5EEEE"/>
            </w:tcBorders>
          </w:tcPr>
          <w:p>
            <w:pPr>
              <w:spacing w:after="0"/>
              <w:rPr>
                <w:sz w:val="18"/>
                <w:szCs w:val="18"/>
                <w:color w:val="auto"/>
              </w:rPr>
            </w:pPr>
          </w:p>
        </w:tc>
        <w:tc>
          <w:tcPr>
            <w:tcW w:w="20" w:type="dxa"/>
            <w:vAlign w:val="bottom"/>
            <w:tcBorders>
              <w:bottom w:val="single" w:sz="8" w:color="D5EEEE"/>
            </w:tcBorders>
          </w:tcPr>
          <w:p>
            <w:pPr>
              <w:spacing w:after="0"/>
              <w:rPr>
                <w:sz w:val="18"/>
                <w:szCs w:val="18"/>
                <w:color w:val="auto"/>
              </w:rPr>
            </w:pPr>
          </w:p>
        </w:tc>
        <w:tc>
          <w:tcPr>
            <w:tcW w:w="7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(25,901)</w:t>
            </w:r>
          </w:p>
        </w:tc>
        <w:tc>
          <w:tcPr>
            <w:tcW w:w="20" w:type="dxa"/>
            <w:vAlign w:val="bottom"/>
            <w:tcBorders>
              <w:bottom w:val="single" w:sz="8" w:color="D5EEEE"/>
            </w:tcBorders>
          </w:tcPr>
          <w:p>
            <w:pPr>
              <w:spacing w:after="0"/>
              <w:rPr>
                <w:sz w:val="18"/>
                <w:szCs w:val="18"/>
                <w:color w:val="auto"/>
              </w:rPr>
            </w:pPr>
          </w:p>
        </w:tc>
        <w:tc>
          <w:tcPr>
            <w:tcW w:w="100" w:type="dxa"/>
            <w:vAlign w:val="bottom"/>
            <w:tcBorders>
              <w:bottom w:val="single" w:sz="8" w:color="D5EEEE"/>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D5EEEE"/>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10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vMerge w:val="restart"/>
          </w:tcPr>
          <w:p>
            <w:pPr>
              <w:spacing w:after="0"/>
              <w:rPr>
                <w:sz w:val="17"/>
                <w:szCs w:val="17"/>
                <w:color w:val="auto"/>
              </w:rPr>
            </w:pPr>
          </w:p>
        </w:tc>
        <w:tc>
          <w:tcPr>
            <w:tcW w:w="40" w:type="dxa"/>
            <w:vAlign w:val="bottom"/>
            <w:gridSpan w:val="2"/>
            <w:vMerge w:val="restart"/>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340" w:type="dxa"/>
            <w:vAlign w:val="bottom"/>
            <w:tcBorders>
              <w:bottom w:val="single" w:sz="8" w:color="D5EEEE"/>
            </w:tcBorders>
          </w:tcPr>
          <w:p>
            <w:pPr>
              <w:spacing w:after="0"/>
              <w:rPr>
                <w:sz w:val="17"/>
                <w:szCs w:val="17"/>
                <w:color w:val="auto"/>
              </w:rPr>
            </w:pPr>
          </w:p>
        </w:tc>
        <w:tc>
          <w:tcPr>
            <w:tcW w:w="12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vMerge w:val="continue"/>
          </w:tcPr>
          <w:p>
            <w:pPr>
              <w:spacing w:after="0"/>
              <w:rPr>
                <w:sz w:val="17"/>
                <w:szCs w:val="17"/>
                <w:color w:val="auto"/>
              </w:rPr>
            </w:pPr>
          </w:p>
        </w:tc>
        <w:tc>
          <w:tcPr>
            <w:tcW w:w="1040" w:type="dxa"/>
            <w:vAlign w:val="bottom"/>
            <w:tcBorders>
              <w:bottom w:val="single" w:sz="8" w:color="D5EEEE"/>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(74,362)</w:t>
            </w:r>
          </w:p>
        </w:tc>
        <w:tc>
          <w:tcPr>
            <w:tcW w:w="20" w:type="dxa"/>
            <w:vAlign w:val="bottom"/>
            <w:tcBorders>
              <w:bottom w:val="single" w:sz="8" w:color="D5EEEE"/>
            </w:tcBorders>
            <w:vMerge w:val="continue"/>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20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4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(49,550)</w:t>
            </w:r>
          </w:p>
        </w:tc>
        <w:tc>
          <w:tcPr>
            <w:tcW w:w="40" w:type="dxa"/>
            <w:vAlign w:val="bottom"/>
            <w:gridSpan w:val="2"/>
            <w:vMerge w:val="continue"/>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2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74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340" w:type="dxa"/>
            <w:vAlign w:val="bottom"/>
            <w:shd w:val="clear" w:color="auto" w:fill="D5EEEE"/>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D5EEEE"/>
          </w:tcPr>
          <w:p>
            <w:pPr>
              <w:jc w:val="right"/>
              <w:spacing w:after="0" w:line="204" w:lineRule="exact"/>
              <w:rPr>
                <w:sz w:val="20"/>
                <w:szCs w:val="20"/>
                <w:color w:val="auto"/>
              </w:rPr>
            </w:pPr>
            <w:r>
              <w:rPr>
                <w:rFonts w:ascii="Times New Roman" w:cs="Times New Roman" w:eastAsia="Times New Roman" w:hAnsi="Times New Roman"/>
                <w:sz w:val="18"/>
                <w:szCs w:val="18"/>
                <w:color w:val="auto"/>
              </w:rPr>
              <w:t>55,555</w:t>
            </w:r>
          </w:p>
        </w:tc>
        <w:tc>
          <w:tcPr>
            <w:tcW w:w="20" w:type="dxa"/>
            <w:vAlign w:val="bottom"/>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left w:val="single" w:sz="8" w:color="D5EEEE"/>
            </w:tcBorders>
            <w:shd w:val="clear" w:color="auto" w:fill="D5EEEE"/>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340" w:type="dxa"/>
            <w:vAlign w:val="bottom"/>
            <w:tcBorders>
              <w:bottom w:val="single" w:sz="8" w:color="D5EEEE"/>
            </w:tcBorders>
          </w:tcPr>
          <w:p>
            <w:pPr>
              <w:ind w:left="280"/>
              <w:spacing w:after="0"/>
              <w:rPr>
                <w:sz w:val="20"/>
                <w:szCs w:val="20"/>
                <w:color w:val="auto"/>
              </w:rPr>
            </w:pPr>
            <w:r>
              <w:rPr>
                <w:rFonts w:ascii="Times New Roman" w:cs="Times New Roman" w:eastAsia="Times New Roman" w:hAnsi="Times New Roman"/>
                <w:sz w:val="18"/>
                <w:szCs w:val="18"/>
                <w:color w:val="auto"/>
              </w:rPr>
              <w:t>Cash paid for property and equipment</w:t>
            </w:r>
          </w:p>
        </w:tc>
        <w:tc>
          <w:tcPr>
            <w:tcW w:w="1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2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7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D5EEEE"/>
          </w:tcPr>
          <w:p>
            <w:pPr>
              <w:ind w:left="280"/>
              <w:spacing w:after="0" w:line="203" w:lineRule="exact"/>
              <w:rPr>
                <w:sz w:val="20"/>
                <w:szCs w:val="20"/>
                <w:color w:val="auto"/>
              </w:rPr>
            </w:pPr>
            <w:r>
              <w:rPr>
                <w:rFonts w:ascii="Times New Roman" w:cs="Times New Roman" w:eastAsia="Times New Roman" w:hAnsi="Times New Roman"/>
                <w:sz w:val="18"/>
                <w:szCs w:val="18"/>
                <w:color w:val="auto"/>
              </w:rPr>
              <w:t>Cash paid for patent filing fees</w:t>
            </w:r>
          </w:p>
        </w:tc>
        <w:tc>
          <w:tcPr>
            <w:tcW w:w="120" w:type="dxa"/>
            <w:vAlign w:val="bottom"/>
            <w:shd w:val="clear" w:color="auto" w:fill="D5EEE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(73)</w:t>
            </w:r>
          </w:p>
        </w:tc>
        <w:tc>
          <w:tcPr>
            <w:tcW w:w="20" w:type="dxa"/>
            <w:vAlign w:val="bottom"/>
            <w:tcBorders>
              <w:bottom w:val="single" w:sz="8" w:color="auto"/>
            </w:tcBorders>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200" w:type="dxa"/>
            <w:vAlign w:val="bottom"/>
            <w:shd w:val="clear" w:color="auto" w:fill="D5EEE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60" w:type="dxa"/>
            <w:vAlign w:val="bottom"/>
            <w:tcBorders>
              <w:left w:val="single" w:sz="8" w:color="D5EEEE"/>
              <w:bottom w:val="single" w:sz="8" w:color="auto"/>
            </w:tcBorders>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(67)</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220" w:type="dxa"/>
            <w:vAlign w:val="bottom"/>
            <w:shd w:val="clear" w:color="auto" w:fill="D5EEE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(280)</w:t>
            </w:r>
          </w:p>
        </w:tc>
        <w:tc>
          <w:tcPr>
            <w:tcW w:w="20" w:type="dxa"/>
            <w:vAlign w:val="bottom"/>
            <w:tcBorders>
              <w:bottom w:val="single" w:sz="8" w:color="auto"/>
            </w:tcBorders>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40" w:type="dxa"/>
            <w:vAlign w:val="bottom"/>
            <w:tcBorders>
              <w:bottom w:val="single" w:sz="8" w:color="D5EEEE"/>
            </w:tcBorders>
          </w:tcPr>
          <w:p>
            <w:pPr>
              <w:ind w:left="540"/>
              <w:spacing w:after="0" w:line="206"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040" w:type="dxa"/>
            <w:vAlign w:val="bottom"/>
            <w:tcBorders>
              <w:bottom w:val="single" w:sz="8" w:color="D5EEEE"/>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(19,332)</w:t>
            </w:r>
          </w:p>
        </w:tc>
        <w:tc>
          <w:tcPr>
            <w:tcW w:w="2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20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4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(49,682)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740" w:type="dxa"/>
            <w:vAlign w:val="bottom"/>
            <w:tcBorders>
              <w:bottom w:val="single" w:sz="8" w:color="D5EEEE"/>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(1,174)</w:t>
            </w:r>
          </w:p>
        </w:tc>
        <w:tc>
          <w:tcPr>
            <w:tcW w:w="2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D5EEEE"/>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1040" w:type="dxa"/>
            <w:vAlign w:val="bottom"/>
            <w:vMerge w:val="restart"/>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740" w:type="dxa"/>
            <w:vAlign w:val="bottom"/>
            <w:vMerge w:val="restart"/>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340" w:type="dxa"/>
            <w:vAlign w:val="bottom"/>
            <w:tcBorders>
              <w:bottom w:val="single" w:sz="8" w:color="D5EEEE"/>
            </w:tcBorders>
          </w:tcPr>
          <w:p>
            <w:pPr>
              <w:spacing w:after="0"/>
              <w:rPr>
                <w:sz w:val="17"/>
                <w:szCs w:val="17"/>
                <w:color w:val="auto"/>
              </w:rPr>
            </w:pPr>
          </w:p>
        </w:tc>
        <w:tc>
          <w:tcPr>
            <w:tcW w:w="12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vMerge w:val="continue"/>
          </w:tcPr>
          <w:p>
            <w:pPr>
              <w:spacing w:after="0"/>
              <w:rPr>
                <w:sz w:val="17"/>
                <w:szCs w:val="17"/>
                <w:color w:val="auto"/>
              </w:rPr>
            </w:pPr>
          </w:p>
        </w:tc>
        <w:tc>
          <w:tcPr>
            <w:tcW w:w="1040" w:type="dxa"/>
            <w:vAlign w:val="bottom"/>
            <w:tcBorders>
              <w:bottom w:val="single" w:sz="8" w:color="D5EEEE"/>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20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4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2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vMerge w:val="continue"/>
          </w:tcPr>
          <w:p>
            <w:pPr>
              <w:spacing w:after="0"/>
              <w:rPr>
                <w:sz w:val="17"/>
                <w:szCs w:val="17"/>
                <w:color w:val="auto"/>
              </w:rPr>
            </w:pPr>
          </w:p>
        </w:tc>
        <w:tc>
          <w:tcPr>
            <w:tcW w:w="740" w:type="dxa"/>
            <w:vAlign w:val="bottom"/>
            <w:tcBorders>
              <w:bottom w:val="single" w:sz="8" w:color="D5EEEE"/>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69,10</w:t>
            </w:r>
          </w:p>
        </w:tc>
        <w:tc>
          <w:tcPr>
            <w:tcW w:w="2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D5EEEE"/>
          </w:tcPr>
          <w:p>
            <w:pPr>
              <w:ind w:left="280"/>
              <w:spacing w:after="0" w:line="203" w:lineRule="exact"/>
              <w:rPr>
                <w:sz w:val="20"/>
                <w:szCs w:val="20"/>
                <w:color w:val="auto"/>
              </w:rPr>
            </w:pPr>
            <w:r>
              <w:rPr>
                <w:rFonts w:ascii="Times New Roman" w:cs="Times New Roman" w:eastAsia="Times New Roman" w:hAnsi="Times New Roman"/>
                <w:sz w:val="18"/>
                <w:szCs w:val="18"/>
                <w:color w:val="auto"/>
              </w:rPr>
              <w:t>Issuance cost associated with direct placement</w:t>
            </w:r>
          </w:p>
        </w:tc>
        <w:tc>
          <w:tcPr>
            <w:tcW w:w="120" w:type="dxa"/>
            <w:vAlign w:val="bottom"/>
            <w:shd w:val="clear" w:color="auto" w:fill="D5EEE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left w:val="single" w:sz="8" w:color="D5EEEE"/>
            </w:tcBorders>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(5,109)</w:t>
            </w:r>
          </w:p>
        </w:tc>
        <w:tc>
          <w:tcPr>
            <w:tcW w:w="2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340" w:type="dxa"/>
            <w:vAlign w:val="bottom"/>
            <w:tcBorders>
              <w:bottom w:val="single" w:sz="8" w:color="D5EEEE"/>
            </w:tcBorders>
          </w:tcPr>
          <w:p>
            <w:pPr>
              <w:ind w:left="280"/>
              <w:spacing w:after="0"/>
              <w:rPr>
                <w:sz w:val="20"/>
                <w:szCs w:val="20"/>
                <w:color w:val="auto"/>
              </w:rPr>
            </w:pPr>
            <w:r>
              <w:rPr>
                <w:rFonts w:ascii="Times New Roman" w:cs="Times New Roman" w:eastAsia="Times New Roman" w:hAnsi="Times New Roman"/>
                <w:sz w:val="18"/>
                <w:szCs w:val="18"/>
                <w:color w:val="auto"/>
              </w:rPr>
              <w:t>Principal repayment of finance lease</w:t>
            </w:r>
          </w:p>
        </w:tc>
        <w:tc>
          <w:tcPr>
            <w:tcW w:w="1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2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7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340" w:type="dxa"/>
            <w:vAlign w:val="bottom"/>
            <w:tcBorders>
              <w:bottom w:val="single" w:sz="8" w:color="D5EEEE"/>
            </w:tcBorders>
            <w:shd w:val="clear" w:color="auto" w:fill="D5EEEE"/>
          </w:tcPr>
          <w:p>
            <w:pPr>
              <w:spacing w:after="0"/>
              <w:rPr>
                <w:sz w:val="17"/>
                <w:szCs w:val="17"/>
                <w:color w:val="auto"/>
              </w:rPr>
            </w:pPr>
          </w:p>
        </w:tc>
        <w:tc>
          <w:tcPr>
            <w:tcW w:w="120" w:type="dxa"/>
            <w:vAlign w:val="bottom"/>
            <w:tcBorders>
              <w:bottom w:val="single" w:sz="8" w:color="D5EEEE"/>
            </w:tcBorders>
            <w:shd w:val="clear" w:color="auto" w:fill="D5EEE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900</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D5EEEE"/>
            </w:tcBorders>
            <w:shd w:val="clear" w:color="auto" w:fill="D5EEE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60" w:type="dxa"/>
            <w:vAlign w:val="bottom"/>
            <w:tcBorders>
              <w:left w:val="single" w:sz="8" w:color="D5EEEE"/>
              <w:bottom w:val="single" w:sz="8" w:color="auto"/>
            </w:tcBorders>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D5EEEE"/>
            </w:tcBorders>
            <w:shd w:val="clear" w:color="auto" w:fill="D5EEEE"/>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auto"/>
            </w:tcBorders>
            <w:shd w:val="clear" w:color="auto" w:fill="D5EEEE"/>
          </w:tcPr>
          <w:p>
            <w:pPr>
              <w:spacing w:after="0"/>
              <w:rPr>
                <w:sz w:val="17"/>
                <w:szCs w:val="17"/>
                <w:color w:val="auto"/>
              </w:rPr>
            </w:pPr>
          </w:p>
        </w:tc>
        <w:tc>
          <w:tcPr>
            <w:tcW w:w="100" w:type="dxa"/>
            <w:vAlign w:val="bottom"/>
            <w:tcBorders>
              <w:bottom w:val="single" w:sz="8" w:color="D5EEEE"/>
            </w:tcBorders>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40" w:type="dxa"/>
            <w:vAlign w:val="bottom"/>
            <w:tcBorders>
              <w:bottom w:val="single" w:sz="8" w:color="D5EEEE"/>
            </w:tcBorders>
          </w:tcPr>
          <w:p>
            <w:pPr>
              <w:spacing w:after="0"/>
              <w:rPr>
                <w:sz w:val="17"/>
                <w:szCs w:val="17"/>
                <w:color w:val="auto"/>
              </w:rPr>
            </w:pPr>
          </w:p>
        </w:tc>
        <w:tc>
          <w:tcPr>
            <w:tcW w:w="12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040" w:type="dxa"/>
            <w:vAlign w:val="bottom"/>
            <w:tcBorders>
              <w:bottom w:val="single" w:sz="8" w:color="D5EEEE"/>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900</w:t>
            </w:r>
          </w:p>
        </w:tc>
        <w:tc>
          <w:tcPr>
            <w:tcW w:w="2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20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4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2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740" w:type="dxa"/>
            <w:vAlign w:val="bottom"/>
            <w:tcBorders>
              <w:bottom w:val="single" w:sz="8" w:color="D5EEEE"/>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64,04</w:t>
            </w:r>
          </w:p>
        </w:tc>
        <w:tc>
          <w:tcPr>
            <w:tcW w:w="2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340" w:type="dxa"/>
            <w:vAlign w:val="bottom"/>
            <w:shd w:val="clear" w:color="auto" w:fill="D5EEEE"/>
          </w:tcPr>
          <w:p>
            <w:pPr>
              <w:spacing w:after="0"/>
              <w:rPr>
                <w:sz w:val="18"/>
                <w:szCs w:val="18"/>
                <w:color w:val="auto"/>
              </w:rPr>
            </w:pPr>
          </w:p>
        </w:tc>
        <w:tc>
          <w:tcPr>
            <w:tcW w:w="120" w:type="dxa"/>
            <w:vAlign w:val="bottom"/>
            <w:shd w:val="clear" w:color="auto" w:fill="D5EEE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100" w:type="dxa"/>
            <w:vAlign w:val="bottom"/>
            <w:shd w:val="clear" w:color="auto" w:fill="D5EEEE"/>
          </w:tcPr>
          <w:p>
            <w:pPr>
              <w:spacing w:after="0"/>
              <w:rPr>
                <w:sz w:val="18"/>
                <w:szCs w:val="18"/>
                <w:color w:val="auto"/>
              </w:rPr>
            </w:pPr>
          </w:p>
        </w:tc>
        <w:tc>
          <w:tcPr>
            <w:tcW w:w="200" w:type="dxa"/>
            <w:vAlign w:val="bottom"/>
            <w:shd w:val="clear" w:color="auto" w:fill="D5EEE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Borders>
              <w:left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shd w:val="clear" w:color="auto" w:fill="D5EEEE"/>
          </w:tcPr>
          <w:p>
            <w:pPr>
              <w:spacing w:after="0"/>
              <w:rPr>
                <w:sz w:val="18"/>
                <w:szCs w:val="18"/>
                <w:color w:val="auto"/>
              </w:rPr>
            </w:pPr>
          </w:p>
        </w:tc>
        <w:tc>
          <w:tcPr>
            <w:tcW w:w="220" w:type="dxa"/>
            <w:vAlign w:val="bottom"/>
            <w:shd w:val="clear" w:color="auto" w:fill="D5EEE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13</w:t>
            </w:r>
          </w:p>
        </w:tc>
        <w:tc>
          <w:tcPr>
            <w:tcW w:w="20" w:type="dxa"/>
            <w:vAlign w:val="bottom"/>
            <w:shd w:val="clear" w:color="auto" w:fill="D5EEEE"/>
          </w:tcPr>
          <w:p>
            <w:pPr>
              <w:spacing w:after="0"/>
              <w:rPr>
                <w:sz w:val="18"/>
                <w:szCs w:val="18"/>
                <w:color w:val="auto"/>
              </w:rPr>
            </w:pPr>
          </w:p>
        </w:tc>
        <w:tc>
          <w:tcPr>
            <w:tcW w:w="100" w:type="dxa"/>
            <w:vAlign w:val="bottom"/>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340" w:type="dxa"/>
            <w:vAlign w:val="bottom"/>
          </w:tcPr>
          <w:p>
            <w:pPr>
              <w:spacing w:after="0"/>
              <w:rPr>
                <w:sz w:val="19"/>
                <w:szCs w:val="19"/>
                <w:color w:val="auto"/>
              </w:rPr>
            </w:pPr>
          </w:p>
        </w:tc>
        <w:tc>
          <w:tcPr>
            <w:tcW w:w="120" w:type="dxa"/>
            <w:vAlign w:val="bottom"/>
            <w:tcBorders>
              <w:bottom w:val="single" w:sz="8" w:color="D5EEEE"/>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(37,548)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0" w:type="dxa"/>
            <w:vAlign w:val="bottom"/>
            <w:tcBorders>
              <w:bottom w:val="single" w:sz="8" w:color="D5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(55,235)</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D5EEEE"/>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340" w:type="dxa"/>
            <w:vAlign w:val="bottom"/>
            <w:tcBorders>
              <w:top w:val="single" w:sz="8" w:color="D5EEEE"/>
            </w:tcBorders>
            <w:shd w:val="clear" w:color="auto" w:fill="D5EEEE"/>
          </w:tcPr>
          <w:p>
            <w:pPr>
              <w:spacing w:after="0"/>
              <w:rPr>
                <w:sz w:val="16"/>
                <w:szCs w:val="16"/>
                <w:color w:val="auto"/>
              </w:rPr>
            </w:pPr>
          </w:p>
        </w:tc>
        <w:tc>
          <w:tcPr>
            <w:tcW w:w="120" w:type="dxa"/>
            <w:vAlign w:val="bottom"/>
            <w:tcBorders>
              <w:top w:val="single" w:sz="8" w:color="D5EEEE"/>
            </w:tcBorders>
            <w:shd w:val="clear" w:color="auto" w:fill="D5EEEE"/>
          </w:tcPr>
          <w:p>
            <w:pPr>
              <w:spacing w:after="0"/>
              <w:rPr>
                <w:sz w:val="16"/>
                <w:szCs w:val="16"/>
                <w:color w:val="auto"/>
              </w:rPr>
            </w:pPr>
          </w:p>
        </w:tc>
        <w:tc>
          <w:tcPr>
            <w:tcW w:w="80" w:type="dxa"/>
            <w:vAlign w:val="bottom"/>
            <w:tcBorders>
              <w:top w:val="single" w:sz="8" w:color="D5EEEE"/>
              <w:bottom w:val="single" w:sz="8" w:color="auto"/>
            </w:tcBorders>
          </w:tcPr>
          <w:p>
            <w:pPr>
              <w:spacing w:after="0"/>
              <w:rPr>
                <w:sz w:val="16"/>
                <w:szCs w:val="16"/>
                <w:color w:val="auto"/>
              </w:rPr>
            </w:pPr>
          </w:p>
        </w:tc>
        <w:tc>
          <w:tcPr>
            <w:tcW w:w="20" w:type="dxa"/>
            <w:vAlign w:val="bottom"/>
            <w:tcBorders>
              <w:top w:val="single" w:sz="8" w:color="D5EEEE"/>
              <w:bottom w:val="single" w:sz="8" w:color="auto"/>
            </w:tcBorders>
          </w:tcPr>
          <w:p>
            <w:pPr>
              <w:spacing w:after="0"/>
              <w:rPr>
                <w:sz w:val="16"/>
                <w:szCs w:val="16"/>
                <w:color w:val="auto"/>
              </w:rPr>
            </w:pPr>
          </w:p>
        </w:tc>
        <w:tc>
          <w:tcPr>
            <w:tcW w:w="1040" w:type="dxa"/>
            <w:vAlign w:val="bottom"/>
            <w:tcBorders>
              <w:top w:val="single" w:sz="8" w:color="D5EEEE"/>
              <w:bottom w:val="single" w:sz="8" w:color="auto"/>
            </w:tcBorders>
            <w:shd w:val="clear" w:color="auto" w:fill="D5EEEE"/>
          </w:tcPr>
          <w:p>
            <w:pPr>
              <w:jc w:val="right"/>
              <w:spacing w:after="0" w:line="188" w:lineRule="exact"/>
              <w:rPr>
                <w:sz w:val="20"/>
                <w:szCs w:val="20"/>
                <w:color w:val="auto"/>
              </w:rPr>
            </w:pPr>
            <w:r>
              <w:rPr>
                <w:rFonts w:ascii="Times New Roman" w:cs="Times New Roman" w:eastAsia="Times New Roman" w:hAnsi="Times New Roman"/>
                <w:sz w:val="18"/>
                <w:szCs w:val="18"/>
                <w:color w:val="auto"/>
              </w:rPr>
              <w:t>55,712</w:t>
            </w:r>
          </w:p>
        </w:tc>
        <w:tc>
          <w:tcPr>
            <w:tcW w:w="20" w:type="dxa"/>
            <w:vAlign w:val="bottom"/>
            <w:tcBorders>
              <w:top w:val="single" w:sz="8" w:color="D5EEEE"/>
              <w:bottom w:val="single" w:sz="8" w:color="auto"/>
            </w:tcBorders>
          </w:tcPr>
          <w:p>
            <w:pPr>
              <w:spacing w:after="0"/>
              <w:rPr>
                <w:sz w:val="16"/>
                <w:szCs w:val="16"/>
                <w:color w:val="auto"/>
              </w:rPr>
            </w:pPr>
          </w:p>
        </w:tc>
        <w:tc>
          <w:tcPr>
            <w:tcW w:w="100" w:type="dxa"/>
            <w:vAlign w:val="bottom"/>
            <w:tcBorders>
              <w:top w:val="single" w:sz="8" w:color="D5EEEE"/>
            </w:tcBorders>
            <w:shd w:val="clear" w:color="auto" w:fill="D5EEEE"/>
          </w:tcPr>
          <w:p>
            <w:pPr>
              <w:spacing w:after="0"/>
              <w:rPr>
                <w:sz w:val="16"/>
                <w:szCs w:val="16"/>
                <w:color w:val="auto"/>
              </w:rPr>
            </w:pPr>
          </w:p>
        </w:tc>
        <w:tc>
          <w:tcPr>
            <w:tcW w:w="200" w:type="dxa"/>
            <w:vAlign w:val="bottom"/>
            <w:tcBorders>
              <w:top w:val="single" w:sz="8" w:color="D5EEEE"/>
            </w:tcBorders>
          </w:tcPr>
          <w:p>
            <w:pPr>
              <w:spacing w:after="0"/>
              <w:rPr>
                <w:sz w:val="16"/>
                <w:szCs w:val="16"/>
                <w:color w:val="auto"/>
              </w:rPr>
            </w:pPr>
          </w:p>
        </w:tc>
        <w:tc>
          <w:tcPr>
            <w:tcW w:w="100" w:type="dxa"/>
            <w:vAlign w:val="bottom"/>
            <w:tcBorders>
              <w:top w:val="single" w:sz="8" w:color="D5EEEE"/>
              <w:bottom w:val="single" w:sz="8" w:color="auto"/>
            </w:tcBorders>
          </w:tcPr>
          <w:p>
            <w:pPr>
              <w:spacing w:after="0"/>
              <w:rPr>
                <w:sz w:val="16"/>
                <w:szCs w:val="16"/>
                <w:color w:val="auto"/>
              </w:rPr>
            </w:pPr>
          </w:p>
        </w:tc>
        <w:tc>
          <w:tcPr>
            <w:tcW w:w="20" w:type="dxa"/>
            <w:vAlign w:val="bottom"/>
            <w:tcBorders>
              <w:top w:val="single" w:sz="8" w:color="D5EEEE"/>
              <w:bottom w:val="single" w:sz="8" w:color="auto"/>
            </w:tcBorders>
          </w:tcPr>
          <w:p>
            <w:pPr>
              <w:spacing w:after="0"/>
              <w:rPr>
                <w:sz w:val="16"/>
                <w:szCs w:val="16"/>
                <w:color w:val="auto"/>
              </w:rPr>
            </w:pPr>
          </w:p>
        </w:tc>
        <w:tc>
          <w:tcPr>
            <w:tcW w:w="1460" w:type="dxa"/>
            <w:vAlign w:val="bottom"/>
            <w:tcBorders>
              <w:left w:val="single" w:sz="8" w:color="D5EEEE"/>
              <w:bottom w:val="single" w:sz="8" w:color="auto"/>
            </w:tcBorders>
            <w:shd w:val="clear" w:color="auto" w:fill="D5EEEE"/>
          </w:tcPr>
          <w:p>
            <w:pPr>
              <w:jc w:val="right"/>
              <w:spacing w:after="0" w:line="188" w:lineRule="exact"/>
              <w:rPr>
                <w:sz w:val="20"/>
                <w:szCs w:val="20"/>
                <w:color w:val="auto"/>
              </w:rPr>
            </w:pPr>
            <w:r>
              <w:rPr>
                <w:rFonts w:ascii="Times New Roman" w:cs="Times New Roman" w:eastAsia="Times New Roman" w:hAnsi="Times New Roman"/>
                <w:sz w:val="18"/>
                <w:szCs w:val="18"/>
                <w:color w:val="auto"/>
              </w:rPr>
              <w:t>110,947</w:t>
            </w:r>
          </w:p>
        </w:tc>
        <w:tc>
          <w:tcPr>
            <w:tcW w:w="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D5EEEE"/>
            </w:tcBorders>
            <w:shd w:val="clear" w:color="auto" w:fill="D5EEEE"/>
          </w:tcPr>
          <w:p>
            <w:pPr>
              <w:spacing w:after="0"/>
              <w:rPr>
                <w:sz w:val="16"/>
                <w:szCs w:val="16"/>
                <w:color w:val="auto"/>
              </w:rPr>
            </w:pPr>
          </w:p>
        </w:tc>
        <w:tc>
          <w:tcPr>
            <w:tcW w:w="220" w:type="dxa"/>
            <w:vAlign w:val="bottom"/>
            <w:tcBorders>
              <w:top w:val="single" w:sz="8" w:color="D5EEEE"/>
            </w:tcBorders>
          </w:tcPr>
          <w:p>
            <w:pPr>
              <w:spacing w:after="0"/>
              <w:rPr>
                <w:sz w:val="16"/>
                <w:szCs w:val="16"/>
                <w:color w:val="auto"/>
              </w:rPr>
            </w:pPr>
          </w:p>
        </w:tc>
        <w:tc>
          <w:tcPr>
            <w:tcW w:w="80" w:type="dxa"/>
            <w:vAlign w:val="bottom"/>
            <w:tcBorders>
              <w:top w:val="single" w:sz="8" w:color="D5EEEE"/>
              <w:bottom w:val="single" w:sz="8" w:color="auto"/>
            </w:tcBorders>
          </w:tcPr>
          <w:p>
            <w:pPr>
              <w:spacing w:after="0"/>
              <w:rPr>
                <w:sz w:val="16"/>
                <w:szCs w:val="16"/>
                <w:color w:val="auto"/>
              </w:rPr>
            </w:pPr>
          </w:p>
        </w:tc>
        <w:tc>
          <w:tcPr>
            <w:tcW w:w="20" w:type="dxa"/>
            <w:vAlign w:val="bottom"/>
            <w:tcBorders>
              <w:top w:val="single" w:sz="8" w:color="D5EEEE"/>
              <w:bottom w:val="single" w:sz="8" w:color="auto"/>
            </w:tcBorders>
          </w:tcPr>
          <w:p>
            <w:pPr>
              <w:spacing w:after="0"/>
              <w:rPr>
                <w:sz w:val="16"/>
                <w:szCs w:val="16"/>
                <w:color w:val="auto"/>
              </w:rPr>
            </w:pPr>
          </w:p>
        </w:tc>
        <w:tc>
          <w:tcPr>
            <w:tcW w:w="740" w:type="dxa"/>
            <w:vAlign w:val="bottom"/>
            <w:tcBorders>
              <w:top w:val="single" w:sz="8" w:color="D5EEEE"/>
              <w:bottom w:val="single" w:sz="8" w:color="auto"/>
            </w:tcBorders>
            <w:shd w:val="clear" w:color="auto" w:fill="D5EEEE"/>
          </w:tcPr>
          <w:p>
            <w:pPr>
              <w:jc w:val="right"/>
              <w:spacing w:after="0" w:line="188" w:lineRule="exact"/>
              <w:rPr>
                <w:sz w:val="20"/>
                <w:szCs w:val="20"/>
                <w:color w:val="auto"/>
              </w:rPr>
            </w:pPr>
            <w:r>
              <w:rPr>
                <w:rFonts w:ascii="Times New Roman" w:cs="Times New Roman" w:eastAsia="Times New Roman" w:hAnsi="Times New Roman"/>
                <w:sz w:val="18"/>
                <w:szCs w:val="18"/>
                <w:color w:val="auto"/>
              </w:rPr>
              <w:t>73,84</w:t>
            </w:r>
          </w:p>
        </w:tc>
        <w:tc>
          <w:tcPr>
            <w:tcW w:w="20" w:type="dxa"/>
            <w:vAlign w:val="bottom"/>
            <w:tcBorders>
              <w:top w:val="single" w:sz="8" w:color="D5EEEE"/>
              <w:bottom w:val="single" w:sz="8" w:color="auto"/>
            </w:tcBorders>
            <w:shd w:val="clear" w:color="auto" w:fill="D5EEEE"/>
          </w:tcPr>
          <w:p>
            <w:pPr>
              <w:spacing w:after="0"/>
              <w:rPr>
                <w:sz w:val="16"/>
                <w:szCs w:val="16"/>
                <w:color w:val="auto"/>
              </w:rPr>
            </w:pPr>
          </w:p>
        </w:tc>
        <w:tc>
          <w:tcPr>
            <w:tcW w:w="100" w:type="dxa"/>
            <w:vAlign w:val="bottom"/>
            <w:tcBorders>
              <w:top w:val="single" w:sz="8" w:color="D5EEEE"/>
            </w:tcBorders>
            <w:shd w:val="clear" w:color="auto" w:fill="D5EEE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340" w:type="dxa"/>
            <w:vAlign w:val="bottom"/>
            <w:tcBorders>
              <w:bottom w:val="single" w:sz="8" w:color="D5EEEE"/>
            </w:tcBorders>
          </w:tcPr>
          <w:p>
            <w:pPr>
              <w:spacing w:after="0"/>
              <w:rPr>
                <w:sz w:val="21"/>
                <w:szCs w:val="21"/>
                <w:color w:val="auto"/>
              </w:rPr>
            </w:pPr>
          </w:p>
        </w:tc>
        <w:tc>
          <w:tcPr>
            <w:tcW w:w="12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20" w:type="dxa"/>
            <w:vAlign w:val="bottom"/>
            <w:tcBorders>
              <w:bottom w:val="single" w:sz="8" w:color="D5EEEE"/>
            </w:tcBorders>
          </w:tcPr>
          <w:p>
            <w:pPr>
              <w:spacing w:after="0"/>
              <w:rPr>
                <w:sz w:val="21"/>
                <w:szCs w:val="21"/>
                <w:color w:val="auto"/>
              </w:rPr>
            </w:pPr>
          </w:p>
        </w:tc>
        <w:tc>
          <w:tcPr>
            <w:tcW w:w="10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18,164</w:t>
            </w: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20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8"/>
                <w:szCs w:val="18"/>
                <w:color w:val="auto"/>
                <w:highlight w:val="white"/>
                <w:w w:val="88"/>
              </w:rPr>
              <w:t>$</w:t>
            </w:r>
          </w:p>
        </w:tc>
        <w:tc>
          <w:tcPr>
            <w:tcW w:w="20" w:type="dxa"/>
            <w:vAlign w:val="bottom"/>
            <w:tcBorders>
              <w:bottom w:val="single" w:sz="8" w:color="D5EEEE"/>
            </w:tcBorders>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20" w:type="dxa"/>
            <w:vAlign w:val="bottom"/>
            <w:tcBorders>
              <w:bottom w:val="single" w:sz="8" w:color="D5EEEE"/>
            </w:tcBorders>
          </w:tcPr>
          <w:p>
            <w:pPr>
              <w:spacing w:after="0"/>
              <w:rPr>
                <w:sz w:val="21"/>
                <w:szCs w:val="21"/>
                <w:color w:val="auto"/>
              </w:rPr>
            </w:pPr>
          </w:p>
        </w:tc>
        <w:tc>
          <w:tcPr>
            <w:tcW w:w="7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110,94</w:t>
            </w: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6340" w:type="dxa"/>
            <w:vAlign w:val="bottom"/>
            <w:shd w:val="clear" w:color="auto" w:fill="D5EEEE"/>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8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0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vMerge w:val="restart"/>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340" w:type="dxa"/>
            <w:vAlign w:val="bottom"/>
            <w:tcBorders>
              <w:bottom w:val="single" w:sz="8" w:color="D5EEEE"/>
            </w:tcBorders>
          </w:tcPr>
          <w:p>
            <w:pPr>
              <w:spacing w:after="0"/>
              <w:rPr>
                <w:sz w:val="17"/>
                <w:szCs w:val="17"/>
                <w:color w:val="auto"/>
              </w:rPr>
            </w:pPr>
          </w:p>
        </w:tc>
        <w:tc>
          <w:tcPr>
            <w:tcW w:w="12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20" w:type="dxa"/>
            <w:vAlign w:val="bottom"/>
            <w:tcBorders>
              <w:bottom w:val="single" w:sz="8" w:color="D5EEEE"/>
            </w:tcBorders>
            <w:vMerge w:val="continue"/>
          </w:tcPr>
          <w:p>
            <w:pPr>
              <w:spacing w:after="0"/>
              <w:rPr>
                <w:sz w:val="17"/>
                <w:szCs w:val="17"/>
                <w:color w:val="auto"/>
              </w:rPr>
            </w:pPr>
          </w:p>
        </w:tc>
        <w:tc>
          <w:tcPr>
            <w:tcW w:w="1040" w:type="dxa"/>
            <w:vAlign w:val="bottom"/>
            <w:tcBorders>
              <w:bottom w:val="single" w:sz="8" w:color="D5EEEE"/>
            </w:tcBorders>
            <w:vMerge w:val="continue"/>
          </w:tcPr>
          <w:p>
            <w:pPr>
              <w:spacing w:after="0"/>
              <w:rPr>
                <w:sz w:val="17"/>
                <w:szCs w:val="17"/>
                <w:color w:val="auto"/>
              </w:rPr>
            </w:pPr>
          </w:p>
        </w:tc>
        <w:tc>
          <w:tcPr>
            <w:tcW w:w="20" w:type="dxa"/>
            <w:vAlign w:val="bottom"/>
            <w:tcBorders>
              <w:bottom w:val="single" w:sz="8" w:color="D5EEEE"/>
            </w:tcBorders>
            <w:vMerge w:val="continue"/>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20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line="201" w:lineRule="exact"/>
              <w:rPr>
                <w:sz w:val="20"/>
                <w:szCs w:val="20"/>
                <w:color w:val="auto"/>
              </w:rPr>
            </w:pPr>
            <w:r>
              <w:rPr>
                <w:rFonts w:ascii="Times New Roman" w:cs="Times New Roman" w:eastAsia="Times New Roman" w:hAnsi="Times New Roman"/>
                <w:sz w:val="18"/>
                <w:szCs w:val="18"/>
                <w:color w:val="auto"/>
                <w:highlight w:val="white"/>
                <w:w w:val="88"/>
              </w:rPr>
              <w:t>$</w:t>
            </w:r>
          </w:p>
        </w:tc>
        <w:tc>
          <w:tcPr>
            <w:tcW w:w="20" w:type="dxa"/>
            <w:vAlign w:val="bottom"/>
            <w:tcBorders>
              <w:bottom w:val="single" w:sz="8" w:color="D5EEEE"/>
            </w:tcBorders>
          </w:tcPr>
          <w:p>
            <w:pPr>
              <w:spacing w:after="0"/>
              <w:rPr>
                <w:sz w:val="17"/>
                <w:szCs w:val="17"/>
                <w:color w:val="auto"/>
              </w:rPr>
            </w:pPr>
          </w:p>
        </w:tc>
        <w:tc>
          <w:tcPr>
            <w:tcW w:w="1460" w:type="dxa"/>
            <w:vAlign w:val="bottom"/>
            <w:tcBorders>
              <w:bottom w:val="single" w:sz="8" w:color="D5EEEE"/>
            </w:tcBorders>
            <w:vMerge w:val="continue"/>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D5EEEE"/>
            </w:tcBorders>
          </w:tcPr>
          <w:p>
            <w:pPr>
              <w:spacing w:after="0"/>
              <w:rPr>
                <w:sz w:val="17"/>
                <w:szCs w:val="17"/>
                <w:color w:val="auto"/>
              </w:rPr>
            </w:pPr>
          </w:p>
        </w:tc>
        <w:tc>
          <w:tcPr>
            <w:tcW w:w="220" w:type="dxa"/>
            <w:vAlign w:val="bottom"/>
            <w:tcBorders>
              <w:bottom w:val="single" w:sz="8" w:color="D5EEEE"/>
            </w:tcBorders>
          </w:tcPr>
          <w:p>
            <w:pPr>
              <w:spacing w:after="0"/>
              <w:rPr>
                <w:sz w:val="17"/>
                <w:szCs w:val="17"/>
                <w:color w:val="auto"/>
              </w:rPr>
            </w:pPr>
          </w:p>
        </w:tc>
        <w:tc>
          <w:tcPr>
            <w:tcW w:w="8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20" w:type="dxa"/>
            <w:vAlign w:val="bottom"/>
            <w:tcBorders>
              <w:bottom w:val="single" w:sz="8" w:color="D5EEEE"/>
            </w:tcBorders>
            <w:vMerge w:val="continue"/>
          </w:tcPr>
          <w:p>
            <w:pPr>
              <w:spacing w:after="0"/>
              <w:rPr>
                <w:sz w:val="17"/>
                <w:szCs w:val="17"/>
                <w:color w:val="auto"/>
              </w:rPr>
            </w:pPr>
          </w:p>
        </w:tc>
        <w:tc>
          <w:tcPr>
            <w:tcW w:w="740" w:type="dxa"/>
            <w:vAlign w:val="bottom"/>
            <w:tcBorders>
              <w:bottom w:val="single" w:sz="8" w:color="D5EEEE"/>
            </w:tcBorders>
            <w:vMerge w:val="continue"/>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100" w:type="dxa"/>
            <w:vAlign w:val="bottom"/>
            <w:tcBorders>
              <w:bottom w:val="single" w:sz="8" w:color="D5EEEE"/>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D5EEEE"/>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0" w:type="dxa"/>
            <w:vAlign w:val="bottom"/>
          </w:tcPr>
          <w:p>
            <w:pPr>
              <w:spacing w:after="0"/>
              <w:rPr>
                <w:sz w:val="17"/>
                <w:szCs w:val="17"/>
                <w:color w:val="auto"/>
              </w:rPr>
            </w:pPr>
          </w:p>
        </w:tc>
        <w:tc>
          <w:tcPr>
            <w:tcW w:w="1040" w:type="dxa"/>
            <w:vAlign w:val="bottom"/>
            <w:shd w:val="clear" w:color="auto" w:fill="D5EEEE"/>
          </w:tcPr>
          <w:p>
            <w:pPr>
              <w:jc w:val="right"/>
              <w:spacing w:after="0" w:line="201" w:lineRule="exact"/>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shd w:val="clear" w:color="auto" w:fill="D5EEEE"/>
          </w:tcPr>
          <w:p>
            <w:pPr>
              <w:spacing w:after="0" w:line="201" w:lineRule="exact"/>
              <w:rPr>
                <w:sz w:val="20"/>
                <w:szCs w:val="20"/>
                <w:color w:val="auto"/>
              </w:rPr>
            </w:pPr>
            <w:r>
              <w:rPr>
                <w:rFonts w:ascii="Times New Roman" w:cs="Times New Roman" w:eastAsia="Times New Roman" w:hAnsi="Times New Roman"/>
                <w:sz w:val="18"/>
                <w:szCs w:val="18"/>
                <w:color w:val="auto"/>
                <w:w w:val="88"/>
                <w:shd w:val="clear" w:color="auto" w:fill="D5EEEE"/>
              </w:rPr>
              <w:t>$</w:t>
            </w:r>
          </w:p>
        </w:tc>
        <w:tc>
          <w:tcPr>
            <w:tcW w:w="20" w:type="dxa"/>
            <w:vAlign w:val="bottom"/>
          </w:tcPr>
          <w:p>
            <w:pPr>
              <w:spacing w:after="0"/>
              <w:rPr>
                <w:sz w:val="17"/>
                <w:szCs w:val="17"/>
                <w:color w:val="auto"/>
              </w:rPr>
            </w:pPr>
          </w:p>
        </w:tc>
        <w:tc>
          <w:tcPr>
            <w:tcW w:w="1460" w:type="dxa"/>
            <w:vAlign w:val="bottom"/>
            <w:tcBorders>
              <w:left w:val="single" w:sz="8" w:color="D5EEEE"/>
            </w:tcBorders>
            <w:shd w:val="clear" w:color="auto" w:fill="D5EEEE"/>
          </w:tcPr>
          <w:p>
            <w:pPr>
              <w:jc w:val="right"/>
              <w:spacing w:after="0" w:line="201" w:lineRule="exact"/>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D5EEE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0" w:type="dxa"/>
            <w:vAlign w:val="bottom"/>
          </w:tcPr>
          <w:p>
            <w:pPr>
              <w:spacing w:after="0"/>
              <w:rPr>
                <w:sz w:val="17"/>
                <w:szCs w:val="17"/>
                <w:color w:val="auto"/>
              </w:rPr>
            </w:pPr>
          </w:p>
        </w:tc>
        <w:tc>
          <w:tcPr>
            <w:tcW w:w="74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highlight w:val="white"/>
                <w:w w:val="88"/>
              </w:rPr>
              <w:t>$</w:t>
            </w:r>
          </w:p>
        </w:tc>
        <w:tc>
          <w:tcPr>
            <w:tcW w:w="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-7381875</wp:posOffset>
            </wp:positionV>
            <wp:extent cx="6884670" cy="73952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84670" cy="7395210"/>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form part of the consolidated financial statements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F-7</w:t>
      </w:r>
    </w:p>
    <w:p>
      <w:pPr>
        <w:sectPr>
          <w:pgSz w:w="11880" w:h="15480" w:orient="portrait"/>
          <w:cols w:equalWidth="0" w:num="1">
            <w:col w:w="10800"/>
          </w:cols>
          <w:pgMar w:left="540" w:top="884" w:right="540" w:bottom="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AVITA MEDICAL, INC.</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rPr>
          <w:sz w:val="20"/>
          <w:szCs w:val="20"/>
          <w:color w:val="auto"/>
        </w:rPr>
      </w:pPr>
      <w:r>
        <w:rPr>
          <w:rFonts w:ascii="Times New Roman" w:cs="Times New Roman" w:eastAsia="Times New Roman" w:hAnsi="Times New Roman"/>
          <w:sz w:val="20"/>
          <w:szCs w:val="20"/>
          <w:b w:val="1"/>
          <w:bCs w:val="1"/>
          <w:color w:val="auto"/>
        </w:rPr>
        <w:t>1. The Company</w:t>
      </w:r>
    </w:p>
    <w:p>
      <w:pPr>
        <w:spacing w:after="0" w:line="232" w:lineRule="exact"/>
        <w:rPr>
          <w:sz w:val="20"/>
          <w:szCs w:val="20"/>
          <w:color w:val="auto"/>
        </w:rPr>
      </w:pPr>
    </w:p>
    <w:p>
      <w:pPr>
        <w:ind w:right="120" w:firstLine="720"/>
        <w:spacing w:after="0" w:line="259"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in accordance with accounting principles generally accepted in the United States of America (“</w:t>
      </w:r>
      <w:r>
        <w:rPr>
          <w:rFonts w:ascii="Times New Roman" w:cs="Times New Roman" w:eastAsia="Times New Roman" w:hAnsi="Times New Roman"/>
          <w:sz w:val="20"/>
          <w:szCs w:val="20"/>
          <w:b w:val="1"/>
          <w:bCs w:val="1"/>
          <w:color w:val="auto"/>
        </w:rPr>
        <w:t>U.S. GAAP</w:t>
      </w:r>
      <w:r>
        <w:rPr>
          <w:rFonts w:ascii="Times New Roman" w:cs="Times New Roman" w:eastAsia="Times New Roman" w:hAnsi="Times New Roman"/>
          <w:sz w:val="20"/>
          <w:szCs w:val="20"/>
          <w:color w:val="auto"/>
        </w:rPr>
        <w:t>”). These financial statements include the assets, liabilities, revenues and expenses of all wholly-owned subsidiaries.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Nature of the Business</w:t>
      </w:r>
    </w:p>
    <w:p>
      <w:pPr>
        <w:spacing w:after="0" w:line="224"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AVITA Medical, Inc. and its subsidiaries (collectively, “</w:t>
      </w:r>
      <w:r>
        <w:rPr>
          <w:rFonts w:ascii="Times New Roman" w:cs="Times New Roman" w:eastAsia="Times New Roman" w:hAnsi="Times New Roman"/>
          <w:sz w:val="20"/>
          <w:szCs w:val="20"/>
          <w:b w:val="1"/>
          <w:bCs w:val="1"/>
          <w:color w:val="auto"/>
        </w:rPr>
        <w:t>AVITA Medical</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we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our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is a regenerative medicine company leading the development and commercialization of devices and autologous cellular therapies for skin restoration. The Company’s RECELL® System technology platform harnesses the regenerative properties of a patient’s own skin to create Spray-On Skin™ cells. In September 2018, the United States Food &amp; Drug Administration (“</w:t>
      </w:r>
      <w:r>
        <w:rPr>
          <w:rFonts w:ascii="Times New Roman" w:cs="Times New Roman" w:eastAsia="Times New Roman" w:hAnsi="Times New Roman"/>
          <w:sz w:val="20"/>
          <w:szCs w:val="20"/>
          <w:b w:val="1"/>
          <w:bCs w:val="1"/>
          <w:color w:val="auto"/>
        </w:rPr>
        <w:t>FDA</w:t>
      </w:r>
      <w:r>
        <w:rPr>
          <w:rFonts w:ascii="Times New Roman" w:cs="Times New Roman" w:eastAsia="Times New Roman" w:hAnsi="Times New Roman"/>
          <w:sz w:val="20"/>
          <w:szCs w:val="20"/>
          <w:color w:val="auto"/>
        </w:rPr>
        <w:t>”) granted premarket approval (“</w:t>
      </w:r>
      <w:r>
        <w:rPr>
          <w:rFonts w:ascii="Times New Roman" w:cs="Times New Roman" w:eastAsia="Times New Roman" w:hAnsi="Times New Roman"/>
          <w:sz w:val="20"/>
          <w:szCs w:val="20"/>
          <w:b w:val="1"/>
          <w:bCs w:val="1"/>
          <w:color w:val="auto"/>
        </w:rPr>
        <w:t>PMA</w:t>
      </w:r>
      <w:r>
        <w:rPr>
          <w:rFonts w:ascii="Times New Roman" w:cs="Times New Roman" w:eastAsia="Times New Roman" w:hAnsi="Times New Roman"/>
          <w:sz w:val="20"/>
          <w:szCs w:val="20"/>
          <w:color w:val="auto"/>
        </w:rPr>
        <w:t>”) to the RECELL System for use in the treatment of acute thermal burns in patients eighteen years and older. Following receipt of our original PMA, we commenced commercialization of the RECELL System in January 2019 in the United States. In June 2021, the FDA approved expanded use of the RECELL System in combination of meshed autografting for acute full-thickness thermal wounds in pediatric and adult patients. In February 2022, the FDA approved a PMA supplement for the RECELL Autologous Cell Harvesting Device, an enhanced ease-of-use device aimed at providing clinicians a more efficient user experience and simplified workflow. In addition, the FDA has granted the Company Investigational Device Exemptions (“</w:t>
      </w:r>
      <w:r>
        <w:rPr>
          <w:rFonts w:ascii="Times New Roman" w:cs="Times New Roman" w:eastAsia="Times New Roman" w:hAnsi="Times New Roman"/>
          <w:sz w:val="20"/>
          <w:szCs w:val="20"/>
          <w:b w:val="1"/>
          <w:bCs w:val="1"/>
          <w:color w:val="auto"/>
        </w:rPr>
        <w:t>IDEs</w:t>
      </w:r>
      <w:r>
        <w:rPr>
          <w:rFonts w:ascii="Times New Roman" w:cs="Times New Roman" w:eastAsia="Times New Roman" w:hAnsi="Times New Roman"/>
          <w:sz w:val="20"/>
          <w:szCs w:val="20"/>
          <w:color w:val="auto"/>
        </w:rPr>
        <w:t>”), which enabled the Company to conduct pivotal clinical trials to further expand the indications of the RECELL System to include soft tissue repair and vitiligo. Enrollment of those clinical studies is complete, with topline results recently announced for both the soft tissue repair and vitiligo trials. Results from those studies are intended to support the Company’s pursuit of FDA approval to market the RECELL System in the United States for those indications. In connection to FDA approval, the Company submitted a PMA Supplement for soft tissue repair and a PMA application for vitiligo in December 2022.</w:t>
      </w:r>
    </w:p>
    <w:p>
      <w:pPr>
        <w:spacing w:after="0" w:line="193" w:lineRule="exact"/>
        <w:rPr>
          <w:sz w:val="20"/>
          <w:szCs w:val="20"/>
          <w:color w:val="auto"/>
        </w:rPr>
      </w:pPr>
    </w:p>
    <w:p>
      <w:pPr>
        <w:ind w:right="240" w:firstLine="720"/>
        <w:spacing w:after="0" w:line="247" w:lineRule="auto"/>
        <w:rPr>
          <w:sz w:val="20"/>
          <w:szCs w:val="20"/>
          <w:color w:val="auto"/>
        </w:rPr>
      </w:pPr>
      <w:r>
        <w:rPr>
          <w:rFonts w:ascii="Times New Roman" w:cs="Times New Roman" w:eastAsia="Times New Roman" w:hAnsi="Times New Roman"/>
          <w:sz w:val="20"/>
          <w:szCs w:val="20"/>
          <w:color w:val="auto"/>
        </w:rPr>
        <w:t>In February 2019, we entered into a collaboration with COSMOTEC, an M3 Group company, to market and distribute the RECELL System in Japan. We worked with COSMOTEC to advance our application for approval of the RECELL System in Japan pursuant to Japan’s Pharmaceuticals and Medical Devices Act (“</w:t>
      </w:r>
      <w:r>
        <w:rPr>
          <w:rFonts w:ascii="Times New Roman" w:cs="Times New Roman" w:eastAsia="Times New Roman" w:hAnsi="Times New Roman"/>
          <w:sz w:val="20"/>
          <w:szCs w:val="20"/>
          <w:b w:val="1"/>
          <w:bCs w:val="1"/>
          <w:color w:val="auto"/>
        </w:rPr>
        <w:t>PMDA</w:t>
      </w:r>
      <w:r>
        <w:rPr>
          <w:rFonts w:ascii="Times New Roman" w:cs="Times New Roman" w:eastAsia="Times New Roman" w:hAnsi="Times New Roman"/>
          <w:sz w:val="20"/>
          <w:szCs w:val="20"/>
          <w:color w:val="auto"/>
        </w:rPr>
        <w:t>”). In February 2022, COSMOTEC’s application for regulatory approval was approved by the PMDA with labelling for burns only. In September 2022, COSMOTEC commercially launched RECELL in Japan following Japan’s Ministry of Health, Labor, and Welfare approval of reimbursement pricing. COSMOTEC potentially plans to submit a further application for soft tissue repair and vitiligo indications.</w:t>
      </w:r>
    </w:p>
    <w:p>
      <w:pPr>
        <w:spacing w:after="0" w:line="200"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In March 2020, the World Health Organization declared the outbreak of a novel strain of the coronavirus (“COVID-19”) a pandemic. We continue to closely monitor the impact surrounding the spread and potential resurgence of COVID-19 due to existing and future variants. As of the date of this filing, we continue to be unable to predict the full impact that the ongoing COVID-19 pandemic will have on our future results of operations, liquidity, and financial condition due to numerous uncertainties, including the duration of the pandemic and the actions that may be taken in the future by government authorities across the United States in response to new variants. The Company has assessed the potential impact of COVID-19 on certain accounting matters including, but not limited to, the allowance for doubtful accounts, inventory reserves and return reserves, and impairment considerations for long-lived assets, marketable securities and intangibles, as of December 31, 2022, and through the date of this report. With respect to future operating results, it is not possible at this time to predict, with any degree of precision, the effects of COVID-19. Consequently, actual results for accounting estimates and assumptions, particularly those relating to the recoverability of certain intangible assets and estimates of expected credit losses on accounts receivable could differ from these estimates. However, we do not currently believe that COVID-19 will result in any significant changes in costs going forward. We will continue to monitor the performance of our business and reassess the impacts of COVID-19 and its variants.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 OF YEAR-END</w:t>
      </w:r>
    </w:p>
    <w:p>
      <w:pPr>
        <w:spacing w:after="0" w:line="244" w:lineRule="exact"/>
        <w:rPr>
          <w:sz w:val="20"/>
          <w:szCs w:val="20"/>
          <w:color w:val="auto"/>
        </w:rPr>
      </w:pPr>
    </w:p>
    <w:p>
      <w:pPr>
        <w:ind w:right="240" w:firstLine="721"/>
        <w:spacing w:after="0" w:line="279" w:lineRule="auto"/>
        <w:rPr>
          <w:sz w:val="20"/>
          <w:szCs w:val="20"/>
          <w:color w:val="auto"/>
        </w:rPr>
      </w:pPr>
      <w:r>
        <w:rPr>
          <w:rFonts w:ascii="Times New Roman" w:cs="Times New Roman" w:eastAsia="Times New Roman" w:hAnsi="Times New Roman"/>
          <w:sz w:val="20"/>
          <w:szCs w:val="20"/>
          <w:color w:val="auto"/>
        </w:rPr>
        <w:t>On November 8, 2021, the Company changed its fiscal year-end from June 30th to December 31st. The decision to change the fiscal year-end to a calendar year end was to align our reporting cycle more closely with how we manage our business.</w:t>
      </w:r>
    </w:p>
    <w:p>
      <w:pPr>
        <w:sectPr>
          <w:pgSz w:w="11880" w:h="15480" w:orient="portrait"/>
          <w:cols w:equalWidth="0" w:num="1">
            <w:col w:w="10780"/>
          </w:cols>
          <w:pgMar w:left="540" w:top="884"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F-8</w:t>
      </w:r>
    </w:p>
    <w:p>
      <w:pPr>
        <w:sectPr>
          <w:pgSz w:w="11880" w:h="15480" w:orient="portrait"/>
          <w:cols w:equalWidth="0" w:num="1">
            <w:col w:w="10780"/>
          </w:cols>
          <w:pgMar w:left="540" w:top="884" w:right="560" w:bottom="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Principles of Consolidation</w:t>
      </w:r>
    </w:p>
    <w:p>
      <w:pPr>
        <w:spacing w:after="0" w:line="217" w:lineRule="exact"/>
        <w:rPr>
          <w:sz w:val="20"/>
          <w:szCs w:val="20"/>
          <w:color w:val="auto"/>
        </w:rPr>
      </w:pPr>
    </w:p>
    <w:p>
      <w:pPr>
        <w:ind w:right="1020" w:firstLine="720"/>
        <w:spacing w:after="0" w:line="274" w:lineRule="auto"/>
        <w:rPr>
          <w:sz w:val="20"/>
          <w:szCs w:val="20"/>
          <w:color w:val="auto"/>
        </w:rPr>
      </w:pPr>
      <w:r>
        <w:rPr>
          <w:rFonts w:ascii="Times New Roman" w:cs="Times New Roman" w:eastAsia="Times New Roman" w:hAnsi="Times New Roman"/>
          <w:sz w:val="20"/>
          <w:szCs w:val="20"/>
          <w:color w:val="auto"/>
        </w:rPr>
        <w:t>The accompanying consolidated financial statements include the accounts of the Company and its wholly-owned subsidiaries. All intercompany transactions and balances have been eliminated upon consolidation.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Reclassification of prior year presentation</w:t>
      </w:r>
    </w:p>
    <w:p>
      <w:pPr>
        <w:spacing w:after="0" w:line="263" w:lineRule="exact"/>
        <w:rPr>
          <w:sz w:val="20"/>
          <w:szCs w:val="20"/>
          <w:color w:val="auto"/>
        </w:rPr>
      </w:pPr>
    </w:p>
    <w:p>
      <w:pPr>
        <w:jc w:val="both"/>
        <w:ind w:right="160" w:firstLine="720"/>
        <w:spacing w:after="0" w:line="248" w:lineRule="auto"/>
        <w:rPr>
          <w:sz w:val="20"/>
          <w:szCs w:val="20"/>
          <w:color w:val="auto"/>
        </w:rPr>
      </w:pPr>
      <w:r>
        <w:rPr>
          <w:rFonts w:ascii="Times New Roman" w:cs="Times New Roman" w:eastAsia="Times New Roman" w:hAnsi="Times New Roman"/>
          <w:sz w:val="20"/>
          <w:szCs w:val="20"/>
          <w:color w:val="auto"/>
        </w:rPr>
        <w:t>Certain prior year amounts within other long-term assets and other long-term liabilities have been reclassified to Corporate-owned life insurance asset and Non-qualified deferred compensation plan liability, respectively, in the Consolidated Balance Sheets and Consolidated Statement of Cash flows, for consistency with current period presentation. These reclassifications had no effect on the reported results of operations or financial position or net cash used in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220"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The preparation of the accompanying consolidated financial statements in conformity with U.S. GAAP requires management to make estimates and assumptions that affect the reported amounts (including doubtful accounts, carrying value of long-lived asset, the useful lives of long-lived assets, accounting for marketable securities, income taxes, stock-based compensation and the stand-alone selling price for the BARDA contract) and related disclosures. Estimates have been prepared on the basis of the current and available information. However, actual results could differ from estimated amounts.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Translation and Foreign Currency Transactions</w:t>
      </w:r>
    </w:p>
    <w:p>
      <w:pPr>
        <w:spacing w:after="0" w:line="217" w:lineRule="exact"/>
        <w:rPr>
          <w:sz w:val="20"/>
          <w:szCs w:val="20"/>
          <w:color w:val="auto"/>
        </w:rPr>
      </w:pPr>
    </w:p>
    <w:p>
      <w:pPr>
        <w:ind w:right="200" w:firstLine="720"/>
        <w:spacing w:after="0" w:line="256" w:lineRule="auto"/>
        <w:rPr>
          <w:sz w:val="20"/>
          <w:szCs w:val="20"/>
          <w:color w:val="auto"/>
        </w:rPr>
      </w:pPr>
      <w:r>
        <w:rPr>
          <w:rFonts w:ascii="Times New Roman" w:cs="Times New Roman" w:eastAsia="Times New Roman" w:hAnsi="Times New Roman"/>
          <w:sz w:val="19"/>
          <w:szCs w:val="19"/>
          <w:color w:val="auto"/>
        </w:rPr>
        <w:t>The financial position and results of operations of the Company’s operating non-U.S. subsidiaries are generally determined using the respective local currency as the functional currency of that subsidiary. Assets and liabilities of these subsidiaries are translated at the exchange rate in effect at each period end. Income statement accounts are translated at the average rate of exchange prevailing during the period. Adjustments arising from the use of differing exchange rates from period to period are included in accumulated other comprehensive gain (loss) in shareholders’ equity. Gains and losses resulting from foreign currency transactions are included in general and administrative expenses and were gain of $91,000 and $35,000 and a loss of $97,000 for the year-ended December 31, 2022, the transition period ended December 31, 2021 and the year-ended June 30, 2021, respectively.</w:t>
      </w:r>
    </w:p>
    <w:p>
      <w:pPr>
        <w:spacing w:after="0" w:line="172" w:lineRule="exact"/>
        <w:rPr>
          <w:sz w:val="20"/>
          <w:szCs w:val="20"/>
          <w:color w:val="auto"/>
        </w:rPr>
      </w:pPr>
    </w:p>
    <w:p>
      <w:pPr>
        <w:ind w:right="20" w:firstLine="720"/>
        <w:spacing w:after="0" w:line="244" w:lineRule="auto"/>
        <w:rPr>
          <w:sz w:val="20"/>
          <w:szCs w:val="20"/>
          <w:color w:val="auto"/>
        </w:rPr>
      </w:pPr>
      <w:r>
        <w:rPr>
          <w:rFonts w:ascii="Times New Roman" w:cs="Times New Roman" w:eastAsia="Times New Roman" w:hAnsi="Times New Roman"/>
          <w:sz w:val="20"/>
          <w:szCs w:val="20"/>
          <w:color w:val="auto"/>
        </w:rPr>
        <w:t>The Company’s subsidiaries that use the U.S. dollar as their functional currency remeasure monetary assets and liabilities at exchange rates in effect at the end of each period, nonmonetary assets and liabilities at historical rates. Gains and losses resulting from these remeasurements and foreign currency transactions are included in general and administrative expenses and were a loss of $6,000 a gain $37,000 and a loss of $131,000 for the year-ended December 31, 2022, the transition period ended December 31, 2021 and the year-ended June 30, 2021, respectively.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Comprehensive Loss</w:t>
      </w:r>
    </w:p>
    <w:p>
      <w:pPr>
        <w:spacing w:after="0" w:line="337" w:lineRule="exact"/>
        <w:rPr>
          <w:sz w:val="20"/>
          <w:szCs w:val="20"/>
          <w:color w:val="auto"/>
        </w:rPr>
      </w:pPr>
    </w:p>
    <w:p>
      <w:pPr>
        <w:ind w:right="100" w:firstLine="720"/>
        <w:spacing w:after="0" w:line="248" w:lineRule="auto"/>
        <w:rPr>
          <w:sz w:val="20"/>
          <w:szCs w:val="20"/>
          <w:color w:val="auto"/>
        </w:rPr>
      </w:pPr>
      <w:r>
        <w:rPr>
          <w:rFonts w:ascii="Times New Roman" w:cs="Times New Roman" w:eastAsia="Times New Roman" w:hAnsi="Times New Roman"/>
          <w:sz w:val="20"/>
          <w:szCs w:val="20"/>
          <w:color w:val="auto"/>
        </w:rPr>
        <w:t>The components of comprehensive loss consist of net loss, foreign currency translation adjustments from its subsidiaries not using the U.S. dollar as their functional currency and unrealized gains and losses in investments available for sale. The Company did not have reclassifications from other comprehensive loss to net loss during the year-ended December 31, 2022, the transition period ended December 31, 2021, and the year-ended June 30, 2021.</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20" w:lineRule="exact"/>
        <w:rPr>
          <w:sz w:val="20"/>
          <w:szCs w:val="20"/>
          <w:color w:val="auto"/>
        </w:rPr>
      </w:pPr>
    </w:p>
    <w:p>
      <w:pPr>
        <w:ind w:firstLine="721"/>
        <w:spacing w:after="0" w:line="274" w:lineRule="auto"/>
        <w:rPr>
          <w:sz w:val="20"/>
          <w:szCs w:val="20"/>
          <w:color w:val="auto"/>
        </w:rPr>
      </w:pPr>
      <w:r>
        <w:rPr>
          <w:rFonts w:ascii="Times New Roman" w:cs="Times New Roman" w:eastAsia="Times New Roman" w:hAnsi="Times New Roman"/>
          <w:sz w:val="20"/>
          <w:szCs w:val="20"/>
          <w:color w:val="auto"/>
        </w:rPr>
        <w:t>The Company recognizes revenue when its customers obtain control of promised goods or services, in an amount that reflects the consideration which the Company expects to be entitled in exchange for those goods or services.</w:t>
      </w:r>
    </w:p>
    <w:p>
      <w:pPr>
        <w:spacing w:after="0" w:line="149" w:lineRule="exact"/>
        <w:rPr>
          <w:sz w:val="20"/>
          <w:szCs w:val="20"/>
          <w:color w:val="auto"/>
        </w:rPr>
      </w:pPr>
    </w:p>
    <w:p>
      <w:pPr>
        <w:ind w:right="600" w:firstLine="721"/>
        <w:spacing w:after="0" w:line="274" w:lineRule="auto"/>
        <w:rPr>
          <w:sz w:val="20"/>
          <w:szCs w:val="20"/>
          <w:color w:val="auto"/>
        </w:rPr>
      </w:pPr>
      <w:r>
        <w:rPr>
          <w:rFonts w:ascii="Times New Roman" w:cs="Times New Roman" w:eastAsia="Times New Roman" w:hAnsi="Times New Roman"/>
          <w:sz w:val="20"/>
          <w:szCs w:val="20"/>
          <w:color w:val="auto"/>
        </w:rPr>
        <w:t>To determine revenue recognition for arrangements that are within the scope of Topic 606, the Company performs the following five steps:</w:t>
      </w:r>
    </w:p>
    <w:p>
      <w:pPr>
        <w:spacing w:after="0" w:line="148" w:lineRule="exact"/>
        <w:rPr>
          <w:sz w:val="20"/>
          <w:szCs w:val="20"/>
          <w:color w:val="auto"/>
        </w:rPr>
      </w:pPr>
    </w:p>
    <w:p>
      <w:pPr>
        <w:ind w:left="480" w:hanging="480"/>
        <w:spacing w:after="0"/>
        <w:tabs>
          <w:tab w:leader="none" w:pos="4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 the contract with a customer</w:t>
      </w:r>
    </w:p>
    <w:p>
      <w:pPr>
        <w:ind w:left="480" w:hanging="480"/>
        <w:spacing w:after="0" w:line="235" w:lineRule="auto"/>
        <w:tabs>
          <w:tab w:leader="none" w:pos="4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 the performance obligations</w:t>
      </w:r>
    </w:p>
    <w:p>
      <w:pPr>
        <w:ind w:left="480" w:hanging="480"/>
        <w:spacing w:after="0" w:line="232" w:lineRule="auto"/>
        <w:tabs>
          <w:tab w:leader="none" w:pos="4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transaction price</w:t>
      </w:r>
    </w:p>
    <w:p>
      <w:pPr>
        <w:ind w:left="480" w:hanging="480"/>
        <w:spacing w:after="0"/>
        <w:tabs>
          <w:tab w:leader="none" w:pos="4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Allocate the transaction price to the performance obligations</w:t>
      </w:r>
    </w:p>
    <w:p>
      <w:pPr>
        <w:ind w:left="480" w:hanging="480"/>
        <w:spacing w:after="0"/>
        <w:tabs>
          <w:tab w:leader="none" w:pos="4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Recognize revenue when/as performance obligation(s) are satisfied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F-9</w:t>
      </w:r>
    </w:p>
    <w:p>
      <w:pPr>
        <w:sectPr>
          <w:pgSz w:w="11880" w:h="15480" w:orient="portrait"/>
          <w:cols w:equalWidth="0" w:num="1">
            <w:col w:w="10780"/>
          </w:cols>
          <w:pgMar w:left="540" w:top="879" w:right="560" w:bottom="0" w:gutter="0" w:footer="0" w:header="0"/>
        </w:sectPr>
      </w:pPr>
    </w:p>
    <w:bookmarkStart w:id="75" w:name="page76"/>
    <w:bookmarkEnd w:id="75"/>
    <w:p>
      <w:pPr>
        <w:ind w:right="160" w:firstLine="720"/>
        <w:spacing w:after="0" w:line="249" w:lineRule="auto"/>
        <w:rPr>
          <w:sz w:val="20"/>
          <w:szCs w:val="20"/>
          <w:color w:val="auto"/>
        </w:rPr>
      </w:pPr>
      <w:r>
        <w:rPr>
          <w:rFonts w:ascii="Times New Roman" w:cs="Times New Roman" w:eastAsia="Times New Roman" w:hAnsi="Times New Roman"/>
          <w:sz w:val="20"/>
          <w:szCs w:val="20"/>
          <w:color w:val="auto"/>
        </w:rPr>
        <w:t>In order for an arrangement to be considered a contract, it must be probable that the Company will collect the consideration to which it is entitled for goods or services to be transferred. Once the contract is determined to be within the scope of ASC 606, the Company assesses the goods or services promised with each contract, determines whether those are performance obligations and the related transaction price. The Company then recognizes the sale of goods based on the transaction price that is allocated to the respective performance obligation when the performance obligation is satisfied.</w:t>
      </w:r>
    </w:p>
    <w:p>
      <w:pPr>
        <w:spacing w:after="0" w:line="187"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The Company’s revenue consists primarily of the sale of the RECELL System to hospitals or other treatment centers, COSMOTEC and to BARDA (collectively, “customers”), predominately in the United States. The Company evaluated the BARDA contract and concluded that a portion of the arrangement, such as the procurement of the RECELL system and the emergency preparedness, represents a transaction with a customer and as such are in the scope of ASC 606. Amounts received from BARDA for the research and development of the Company’s product are classified as BARDA income in the consolidated statement of operations and are accounted for under International Accounting Standards 20 (“</w:t>
      </w:r>
      <w:r>
        <w:rPr>
          <w:rFonts w:ascii="Times New Roman" w:cs="Times New Roman" w:eastAsia="Times New Roman" w:hAnsi="Times New Roman"/>
          <w:sz w:val="20"/>
          <w:szCs w:val="20"/>
          <w:b w:val="1"/>
          <w:bCs w:val="1"/>
          <w:color w:val="auto"/>
        </w:rPr>
        <w:t>IAS 20</w:t>
      </w:r>
      <w:r>
        <w:rPr>
          <w:rFonts w:ascii="Times New Roman" w:cs="Times New Roman" w:eastAsia="Times New Roman" w:hAnsi="Times New Roman"/>
          <w:sz w:val="20"/>
          <w:szCs w:val="20"/>
          <w:color w:val="auto"/>
        </w:rPr>
        <w:t>”). For further details refer to BARDA Income and Receivables below.</w:t>
      </w:r>
    </w:p>
    <w:p>
      <w:pPr>
        <w:spacing w:after="0" w:line="191"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Revenues for commercial customers (hospitals, treatment centers and COSMOTEC) are recognized as control of the product is transferred to customers, at an amount that reflects the consideration expected to be received in exchange for the product. Revenues are recognized net of volume discounts. As such, revenue is recognized only to the extent a significant reversal of revenues is not expected to occur in subsequent periods. For the Company’s contracts that have an original duration of one year or less, the Company elected the practical expedient applicable to such contracts and does not consider the time value of money. Further, because of the short duration of these contracts, the Company has not disclosed the transaction price for the remaining performance obligations as of each reporting period or when the Company expects to recognize this revenue. The Company has further applied the practical expedient to exclude sales tax in the transaction price and expense contract fulfilment costs such as commissions and shipping and handling expenses as incurred.</w:t>
      </w:r>
    </w:p>
    <w:p>
      <w:pPr>
        <w:spacing w:after="0" w:line="195"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For revenues related to the BARDA contract within the scope of ASC 606, the Company identified two performance obligations (i) the procurement of 5,614 RECELL units, (ii) emergency preparedness services. Through this contract the Company promises to procure the product through a vendor management inventory arrangement and to stand ready to provide emergency deployment services related to the product. Emergency preparedness services include procuring necessary storage containers, housing, and maintaining the containers (and product), and providing shipping and handling services in the event of an emergency situation. This stand ready obligation is a series of distinct services that are substantially the same and have the same pattern of transfer to the customer, overtime as services are consumed.</w:t>
      </w:r>
    </w:p>
    <w:p>
      <w:pPr>
        <w:spacing w:after="0" w:line="184" w:lineRule="exact"/>
        <w:rPr>
          <w:sz w:val="20"/>
          <w:szCs w:val="20"/>
          <w:color w:val="auto"/>
        </w:rPr>
      </w:pPr>
    </w:p>
    <w:p>
      <w:pPr>
        <w:ind w:right="20" w:firstLine="721"/>
        <w:spacing w:after="0" w:line="235" w:lineRule="auto"/>
        <w:rPr>
          <w:sz w:val="20"/>
          <w:szCs w:val="20"/>
          <w:color w:val="auto"/>
        </w:rPr>
      </w:pPr>
      <w:r>
        <w:rPr>
          <w:rFonts w:ascii="Times New Roman" w:cs="Times New Roman" w:eastAsia="Times New Roman" w:hAnsi="Times New Roman"/>
          <w:sz w:val="20"/>
          <w:szCs w:val="20"/>
          <w:color w:val="auto"/>
        </w:rPr>
        <w:t>The total transaction price for the portion of the BARDA contract that is with in the scope of ASC 606, was determined to be $9.2 million. The transaction price was allocated on a stand-alone selling price basis as follows: $7.6 million to the procurement of the RECELL product, which is classified as revenues when recognized in the consolidated statement of operations and $1.6 million to the emergency deployment services which is classified as revenues when recognized in the consolidated statement of operations. The $1.6 million for emergency deployment includes variable consideration which is deemed immaterial to the contract as a whole. The Company estimated the stand-alone selling price of the procurement of the RECELL product based on historical pricing of the Company’s product at the initial execution of the contract. The Company estimated the stand-alone selling price of the emergency deployment services performed based on the Company’s projected cost of providing the services plus an applicable profit margin as denoted in the contract.</w:t>
      </w:r>
    </w:p>
    <w:p>
      <w:pPr>
        <w:spacing w:after="0" w:line="177" w:lineRule="exact"/>
        <w:rPr>
          <w:sz w:val="20"/>
          <w:szCs w:val="20"/>
          <w:color w:val="auto"/>
        </w:rPr>
      </w:pPr>
    </w:p>
    <w:p>
      <w:pPr>
        <w:ind w:right="20" w:firstLine="721"/>
        <w:spacing w:after="0" w:line="245" w:lineRule="auto"/>
        <w:rPr>
          <w:sz w:val="20"/>
          <w:szCs w:val="20"/>
          <w:color w:val="auto"/>
        </w:rPr>
      </w:pPr>
      <w:r>
        <w:rPr>
          <w:rFonts w:ascii="Times New Roman" w:cs="Times New Roman" w:eastAsia="Times New Roman" w:hAnsi="Times New Roman"/>
          <w:sz w:val="19"/>
          <w:szCs w:val="19"/>
          <w:color w:val="auto"/>
        </w:rPr>
        <w:t xml:space="preserve">The Company’s performance obligations are either satisfied at a point in time or over time as services are provided. The product procurement performance obligation is satisfied at a point in time, upon transfer of control of the product. As such, the related revenue for these performance obligations is recognized at a point in time as revenue within the Company’s consolidated statement of operations. In addition to guidance under ASC 606, the Company recognizes revenue from the sales of RECELL product to BARDA for placement into vaccine stockpiles in accordance with </w:t>
      </w:r>
      <w:r>
        <w:rPr>
          <w:rFonts w:ascii="Times New Roman" w:cs="Times New Roman" w:eastAsia="Times New Roman" w:hAnsi="Times New Roman"/>
          <w:sz w:val="19"/>
          <w:szCs w:val="19"/>
          <w:i w:val="1"/>
          <w:iCs w:val="1"/>
          <w:color w:val="auto"/>
        </w:rPr>
        <w:t>Securities and Exchange Commission (SEC) Interpretation, Commission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Guidance regarding Accounting for Sale of Vaccines and BioTerror Countermeasures to the Federal Government for Placement into the Pediatric Vaccine Stockpile or the Strategic National Stockpile (SNS). </w:t>
      </w:r>
      <w:r>
        <w:rPr>
          <w:rFonts w:ascii="Times New Roman" w:cs="Times New Roman" w:eastAsia="Times New Roman" w:hAnsi="Times New Roman"/>
          <w:sz w:val="19"/>
          <w:szCs w:val="19"/>
          <w:color w:val="auto"/>
        </w:rPr>
        <w:t>Under this guidance, revenue is recognized when product 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placed in the BARDA vendor-managed inventory (“</w:t>
      </w:r>
      <w:r>
        <w:rPr>
          <w:rFonts w:ascii="Times New Roman" w:cs="Times New Roman" w:eastAsia="Times New Roman" w:hAnsi="Times New Roman"/>
          <w:sz w:val="19"/>
          <w:szCs w:val="19"/>
          <w:b w:val="1"/>
          <w:bCs w:val="1"/>
          <w:color w:val="auto"/>
        </w:rPr>
        <w:t>VMI</w:t>
      </w:r>
      <w:r>
        <w:rPr>
          <w:rFonts w:ascii="Times New Roman" w:cs="Times New Roman" w:eastAsia="Times New Roman" w:hAnsi="Times New Roman"/>
          <w:sz w:val="19"/>
          <w:szCs w:val="19"/>
          <w:color w:val="auto"/>
        </w:rPr>
        <w:t>”) as control of the product has been transferred to the customer at the time of delivery to the VMI. RECELL units that have been delivered to BARDA have a product replacement obligation at no cost to BARDA due to product’s limited shelf-life. The estimated cost of the expired inventory over the term of the contract is recognized on a per unit basis at the time of delivery. The estimated liability is released upon replacement of the product along with a corresponding reduction to inventory. The emergency preparedness services performance obligation is satisfied over time. Revenue for the emergency deployment will be recognized on a straight-line basis during the term of the contract as services are consumed over time.</w:t>
      </w:r>
    </w:p>
    <w:p>
      <w:pPr>
        <w:ind w:right="260"/>
        <w:spacing w:after="0" w:line="252" w:lineRule="auto"/>
        <w:rPr>
          <w:sz w:val="20"/>
          <w:szCs w:val="20"/>
          <w:color w:val="auto"/>
        </w:rPr>
      </w:pPr>
      <w:r>
        <w:rPr>
          <w:rFonts w:ascii="Times New Roman" w:cs="Times New Roman" w:eastAsia="Times New Roman" w:hAnsi="Times New Roman"/>
          <w:sz w:val="20"/>
          <w:szCs w:val="20"/>
          <w:color w:val="auto"/>
        </w:rPr>
        <w:t>Services recognized are included in sales within the Consolidated Statement of Operations. Contract costs to fulfil the performance obligations are incremental and expected to be recovered are capitalized and amortized on a straight-line basis over the term of the</w:t>
      </w:r>
    </w:p>
    <w:p>
      <w:pPr>
        <w:spacing w:after="0" w:line="2"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20"/>
          <w:szCs w:val="20"/>
          <w:color w:val="auto"/>
        </w:rPr>
        <w:t>contract. As of December 31, 2022, contract costs are included in other current asset, in prior-years amounts were included in other long-term assets.</w:t>
      </w: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F-10</w:t>
      </w:r>
    </w:p>
    <w:p>
      <w:pPr>
        <w:sectPr>
          <w:pgSz w:w="11880" w:h="15480" w:orient="portrait"/>
          <w:cols w:equalWidth="0" w:num="1">
            <w:col w:w="10760"/>
          </w:cols>
          <w:pgMar w:left="540" w:top="887" w:right="580" w:bottom="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 Liabilities</w:t>
      </w:r>
    </w:p>
    <w:p>
      <w:pPr>
        <w:spacing w:after="0" w:line="254" w:lineRule="exact"/>
        <w:rPr>
          <w:sz w:val="20"/>
          <w:szCs w:val="20"/>
          <w:color w:val="auto"/>
        </w:rPr>
      </w:pPr>
    </w:p>
    <w:p>
      <w:pPr>
        <w:ind w:firstLine="720"/>
        <w:spacing w:after="0" w:line="239" w:lineRule="auto"/>
        <w:rPr>
          <w:sz w:val="20"/>
          <w:szCs w:val="20"/>
          <w:color w:val="auto"/>
        </w:rPr>
      </w:pPr>
      <w:r>
        <w:rPr>
          <w:rFonts w:ascii="Times New Roman" w:cs="Times New Roman" w:eastAsia="Times New Roman" w:hAnsi="Times New Roman"/>
          <w:sz w:val="20"/>
          <w:szCs w:val="20"/>
          <w:color w:val="auto"/>
        </w:rPr>
        <w:t>The Company receives payments from customers based on contractual terms. Trade receivables are recorded when the right to consideration becomes unconditional. The Company satisfies its performance obligation on product sales when the products are shipped or delivered, depending on the terms of the sale. Payment terms on invoiced amounts are typically 30-90 days, and do not include a financing component. Contract liabilities are recorded when the Company receives payment prior to satisfying its obligation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transfer goods to a customer.</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Sales</w:t>
      </w:r>
    </w:p>
    <w:p>
      <w:pPr>
        <w:spacing w:after="0" w:line="227" w:lineRule="exact"/>
        <w:rPr>
          <w:sz w:val="20"/>
          <w:szCs w:val="20"/>
          <w:color w:val="auto"/>
        </w:rPr>
      </w:pPr>
    </w:p>
    <w:p>
      <w:pPr>
        <w:jc w:val="both"/>
        <w:ind w:right="20" w:firstLine="720"/>
        <w:spacing w:after="0" w:line="259" w:lineRule="auto"/>
        <w:rPr>
          <w:sz w:val="20"/>
          <w:szCs w:val="20"/>
          <w:color w:val="auto"/>
        </w:rPr>
      </w:pPr>
      <w:r>
        <w:rPr>
          <w:rFonts w:ascii="Times New Roman" w:cs="Times New Roman" w:eastAsia="Times New Roman" w:hAnsi="Times New Roman"/>
          <w:sz w:val="20"/>
          <w:szCs w:val="20"/>
          <w:color w:val="auto"/>
        </w:rPr>
        <w:t>Cost of sales related to products includes costs to manufacture or purchase, package, and ship the Company’s products. Costs also include relevant production overhead and depreciation and amortization. These costs are recognized when control of the product is transferred to the customer and revenue is recognized.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27"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Income taxes are accounted for using the liability method. Deferred tax assets and liabilities are recognized for the future tax consequences attributable to differences between the financial statement carrying amounts of assets and liabilities and their respective tax basis. Deferred tax assets and liabilities are measured using enacted tax rates expected to apply to taxable income or loss in the years in which those temporary differences are expected to be recovered or settled. The effect on deferred tax assets and liabilities of a change in tax rates is recognized in operations in the period that includes the enactment date. Deferred tax assets are reduced by a valuation allowance if it is more likely than not that a portion of the deferred tax asset will not be realized. We recognize interest and penalties related to unrecognized tax benefits on the income tax expense line in the accompanying consolidated statement of operations. Accrued interest and penalties are included on the related tax liability line in the Consolidated Balance Sheet.</w:t>
      </w:r>
    </w:p>
    <w:p>
      <w:pPr>
        <w:spacing w:after="0" w:line="193"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The Company reviews its uncertain tax positions regularly. An uncertain tax position represents the Company’s expected treatment of a tax position taken in a filed return, or planned to be taken in a future tax return or claim that has not been reflected in measuring income tax expense for financial reporting purposes. The Company recognizes the tax benefit from an uncertain tax position when it is more-likely-than-not that the position will be sustained upon examination on the basis of the technical merits or the statute of limitations for the relevant taxing authority to examine and challenge the tax position has expired.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227" w:lineRule="exact"/>
        <w:rPr>
          <w:sz w:val="20"/>
          <w:szCs w:val="20"/>
          <w:color w:val="auto"/>
        </w:rPr>
      </w:pPr>
    </w:p>
    <w:p>
      <w:pPr>
        <w:ind w:right="20" w:firstLine="720"/>
        <w:spacing w:after="0" w:line="248" w:lineRule="auto"/>
        <w:rPr>
          <w:sz w:val="20"/>
          <w:szCs w:val="20"/>
          <w:color w:val="auto"/>
        </w:rPr>
      </w:pPr>
      <w:r>
        <w:rPr>
          <w:rFonts w:ascii="Times New Roman" w:cs="Times New Roman" w:eastAsia="Times New Roman" w:hAnsi="Times New Roman"/>
          <w:sz w:val="20"/>
          <w:szCs w:val="20"/>
          <w:color w:val="auto"/>
        </w:rPr>
        <w:t>Consists of cash held at deposit institutions and cash equivalents. Cash equivalents consist of short-term highly liquid investments with original maturities of three months or less from the date of purchase and consist primarily of money market funds. The Company holds cash at deposit institutions in the amount of $4.1 million, $4.4 million and $54.2 million of which $737,000 and $203,000 and $273,000 is denominated in foreign currencies in foreign institutions as of December 31, 2022, December 31, 2021, and June 30, 2021 respectively. As of December 31, 2022, December 31, 2021, and June 30, 2021, the Company held cash equivalents in the amount of $14.1 million and $51.1 million, and $56.5 million, respectively.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Cash</w:t>
      </w:r>
    </w:p>
    <w:p>
      <w:pPr>
        <w:spacing w:after="0" w:line="229" w:lineRule="exact"/>
        <w:rPr>
          <w:sz w:val="20"/>
          <w:szCs w:val="20"/>
          <w:color w:val="auto"/>
        </w:rPr>
      </w:pPr>
    </w:p>
    <w:p>
      <w:pPr>
        <w:jc w:val="both"/>
        <w:ind w:right="140" w:firstLine="721"/>
        <w:spacing w:after="0" w:line="259" w:lineRule="auto"/>
        <w:rPr>
          <w:sz w:val="20"/>
          <w:szCs w:val="20"/>
          <w:color w:val="auto"/>
        </w:rPr>
      </w:pPr>
      <w:r>
        <w:rPr>
          <w:rFonts w:ascii="Times New Roman" w:cs="Times New Roman" w:eastAsia="Times New Roman" w:hAnsi="Times New Roman"/>
          <w:sz w:val="20"/>
          <w:szCs w:val="20"/>
          <w:color w:val="auto"/>
        </w:rPr>
        <w:t>Pursuant to a contractual agreement with American Express to maintain the business credit card, the Company was required to maintain restricted cash deposits which amounted to approximately $201,000 as of December 31, 2021 and June 30, 2021. As of December 31, 2022, the Company is no longer required to maintain a balance.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Concentrations</w:t>
      </w:r>
    </w:p>
    <w:p>
      <w:pPr>
        <w:spacing w:after="0" w:line="227" w:lineRule="exact"/>
        <w:rPr>
          <w:sz w:val="20"/>
          <w:szCs w:val="20"/>
          <w:color w:val="auto"/>
        </w:rPr>
      </w:pPr>
    </w:p>
    <w:p>
      <w:pPr>
        <w:ind w:right="20" w:firstLine="721"/>
        <w:spacing w:after="0" w:line="250"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concentrations of credit risk consist primarily of cash and cash equivalents, trade receivables, BARDA receivables and other receivables. As of December 31, 2022, December 31, 2021 and June 30, 2021, substantially all of the Company’s cash was deposited in accounts at financial institutions, and amounts may exceed federally insured limits. Management believes that the Company is not exposed to significant credit risk due to the financial strength of the depository institutions in which its cash is held.</w:t>
      </w:r>
    </w:p>
    <w:p>
      <w:pPr>
        <w:sectPr>
          <w:pgSz w:w="11880" w:h="15480" w:orient="portrait"/>
          <w:cols w:equalWidth="0" w:num="1">
            <w:col w:w="10780"/>
          </w:cols>
          <w:pgMar w:left="540" w:top="881" w:right="560" w:bottom="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F-11</w:t>
      </w:r>
    </w:p>
    <w:p>
      <w:pPr>
        <w:sectPr>
          <w:pgSz w:w="11880" w:h="15480" w:orient="portrait"/>
          <w:cols w:equalWidth="0" w:num="1">
            <w:col w:w="10780"/>
          </w:cols>
          <w:pgMar w:left="540" w:top="881" w:right="560" w:bottom="5" w:gutter="0" w:footer="0" w:header="0"/>
          <w:type w:val="continuous"/>
        </w:sectPr>
      </w:pPr>
    </w:p>
    <w:bookmarkStart w:id="77" w:name="page78"/>
    <w:bookmarkEnd w:id="77"/>
    <w:p>
      <w:pPr>
        <w:ind w:right="80" w:firstLine="771"/>
        <w:spacing w:after="0" w:line="245" w:lineRule="auto"/>
        <w:rPr>
          <w:sz w:val="20"/>
          <w:szCs w:val="20"/>
          <w:color w:val="auto"/>
        </w:rPr>
      </w:pPr>
      <w:r>
        <w:rPr>
          <w:rFonts w:ascii="Times New Roman" w:cs="Times New Roman" w:eastAsia="Times New Roman" w:hAnsi="Times New Roman"/>
          <w:sz w:val="20"/>
          <w:szCs w:val="20"/>
          <w:color w:val="auto"/>
        </w:rPr>
        <w:t>As of December 31, 2022 and December 31, 2021, one commercial customer accounted for approximately 10% of net accounts receivable. As of June 30, 2021, no single commercial customer accounted for more than 10% of accounts receivable. For the year-ended December 31, 2022, one commercial customer accounted for more than 10% of total revenues. For the transition period ended December 31, 2021 and the year-ended June 30, 2021, no single commercial customer accounted for more than 10% of total revenues. BARDA revenues for the procurement of the RECELL system accounted for approximately 1%, 1% and 27% of total revenues for the year-ended December 31, 2022, the transition period ended December 31, 2021 and the year-ended June 30, 2021, respectively. BARDA receivables for the procurement of the RECELL system and emergency preparedness accounted for approximately 2%, 3%, and 91% of BARDA receivables as of December 31, 2022, December 31, 2021 and June 30, 2021, respectively. See table below for breakdown of BARDA receivables (in thousands).</w:t>
      </w:r>
    </w:p>
    <w:p>
      <w:pPr>
        <w:spacing w:after="0" w:line="198"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As of</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rPr>
              <w:t>As of</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As of</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3"/>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8"/>
              </w:rPr>
              <w:t>June 30,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880" w:type="dxa"/>
            <w:vAlign w:val="bottom"/>
            <w:tcBorders>
              <w:bottom w:val="single" w:sz="8" w:color="D5EEEE"/>
            </w:tcBorders>
          </w:tcPr>
          <w:p>
            <w:pPr>
              <w:spacing w:after="0"/>
              <w:rPr>
                <w:sz w:val="24"/>
                <w:szCs w:val="24"/>
                <w:color w:val="auto"/>
              </w:rPr>
            </w:pPr>
          </w:p>
        </w:tc>
        <w:tc>
          <w:tcPr>
            <w:tcW w:w="120" w:type="dxa"/>
            <w:vAlign w:val="bottom"/>
            <w:tcBorders>
              <w:bottom w:val="single" w:sz="8" w:color="D5EEEE"/>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2022</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D5EEEE"/>
            </w:tcBorders>
          </w:tcPr>
          <w:p>
            <w:pPr>
              <w:spacing w:after="0"/>
              <w:rPr>
                <w:sz w:val="24"/>
                <w:szCs w:val="24"/>
                <w:color w:val="auto"/>
              </w:rPr>
            </w:pPr>
          </w:p>
        </w:tc>
        <w:tc>
          <w:tcPr>
            <w:tcW w:w="20" w:type="dxa"/>
            <w:vAlign w:val="bottom"/>
            <w:tcBorders>
              <w:bottom w:val="single" w:sz="8" w:color="D5EEEE"/>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2021</w:t>
            </w:r>
          </w:p>
        </w:tc>
        <w:tc>
          <w:tcPr>
            <w:tcW w:w="80" w:type="dxa"/>
            <w:vAlign w:val="bottom"/>
            <w:tcBorders>
              <w:bottom w:val="single" w:sz="8" w:color="D5EEEE"/>
            </w:tcBorders>
          </w:tcPr>
          <w:p>
            <w:pPr>
              <w:spacing w:after="0"/>
              <w:rPr>
                <w:sz w:val="24"/>
                <w:szCs w:val="24"/>
                <w:color w:val="auto"/>
              </w:rPr>
            </w:pPr>
          </w:p>
        </w:tc>
        <w:tc>
          <w:tcPr>
            <w:tcW w:w="100" w:type="dxa"/>
            <w:vAlign w:val="bottom"/>
            <w:tcBorders>
              <w:bottom w:val="single" w:sz="8" w:color="D5EEEE"/>
            </w:tcBorders>
          </w:tcPr>
          <w:p>
            <w:pPr>
              <w:spacing w:after="0"/>
              <w:rPr>
                <w:sz w:val="24"/>
                <w:szCs w:val="24"/>
                <w:color w:val="auto"/>
              </w:rPr>
            </w:pPr>
          </w:p>
        </w:tc>
        <w:tc>
          <w:tcPr>
            <w:tcW w:w="20" w:type="dxa"/>
            <w:vAlign w:val="bottom"/>
            <w:tcBorders>
              <w:bottom w:val="single" w:sz="8" w:color="D5EEEE"/>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2021</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D5EEEE"/>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880" w:type="dxa"/>
            <w:vAlign w:val="bottom"/>
            <w:tcBorders>
              <w:top w:val="single" w:sz="8" w:color="D5EEEE"/>
            </w:tcBorders>
            <w:vMerge w:val="restart"/>
            <w:shd w:val="clear" w:color="auto" w:fill="D5EEEE"/>
          </w:tcPr>
          <w:p>
            <w:pPr>
              <w:spacing w:after="0"/>
              <w:rPr>
                <w:sz w:val="20"/>
                <w:szCs w:val="20"/>
                <w:color w:val="auto"/>
              </w:rPr>
            </w:pPr>
            <w:r>
              <w:rPr>
                <w:rFonts w:ascii="Times New Roman" w:cs="Times New Roman" w:eastAsia="Times New Roman" w:hAnsi="Times New Roman"/>
                <w:sz w:val="20"/>
                <w:szCs w:val="20"/>
                <w:color w:val="auto"/>
              </w:rPr>
              <w:t>emergency preparedness services</w:t>
            </w:r>
          </w:p>
        </w:tc>
        <w:tc>
          <w:tcPr>
            <w:tcW w:w="12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D5EEEE"/>
            </w:tcBorders>
          </w:tcPr>
          <w:p>
            <w:pPr>
              <w:spacing w:after="0"/>
              <w:rPr>
                <w:sz w:val="18"/>
                <w:szCs w:val="18"/>
                <w:color w:val="auto"/>
              </w:rPr>
            </w:pPr>
          </w:p>
        </w:tc>
        <w:tc>
          <w:tcPr>
            <w:tcW w:w="20" w:type="dxa"/>
            <w:vAlign w:val="bottom"/>
            <w:tcBorders>
              <w:top w:val="single" w:sz="8" w:color="D5EEEE"/>
            </w:tcBorders>
            <w:vMerge w:val="restart"/>
          </w:tcPr>
          <w:p>
            <w:pPr>
              <w:spacing w:after="0"/>
              <w:rPr>
                <w:sz w:val="18"/>
                <w:szCs w:val="18"/>
                <w:color w:val="auto"/>
              </w:rPr>
            </w:pPr>
          </w:p>
        </w:tc>
        <w:tc>
          <w:tcPr>
            <w:tcW w:w="1440" w:type="dxa"/>
            <w:vAlign w:val="bottom"/>
            <w:tcBorders>
              <w:top w:val="single" w:sz="8" w:color="D5EEEE"/>
            </w:tcBorders>
            <w:vMerge w:val="restart"/>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80" w:type="dxa"/>
            <w:vAlign w:val="bottom"/>
            <w:tcBorders>
              <w:top w:val="single" w:sz="8" w:color="D5EEEE"/>
              <w:right w:val="single" w:sz="8" w:color="D5EEEE"/>
            </w:tcBorders>
            <w:vMerge w:val="restart"/>
            <w:shd w:val="clear" w:color="auto" w:fill="D5EEEE"/>
          </w:tcPr>
          <w:p>
            <w:pPr>
              <w:spacing w:after="0"/>
              <w:rPr>
                <w:sz w:val="18"/>
                <w:szCs w:val="18"/>
                <w:color w:val="auto"/>
              </w:rPr>
            </w:pPr>
          </w:p>
        </w:tc>
        <w:tc>
          <w:tcPr>
            <w:tcW w:w="120" w:type="dxa"/>
            <w:vAlign w:val="bottom"/>
            <w:tcBorders>
              <w:top w:val="single" w:sz="8" w:color="D5EEEE"/>
            </w:tcBorders>
            <w:vMerge w:val="restart"/>
          </w:tcPr>
          <w:p>
            <w:pPr>
              <w:spacing w:after="0"/>
              <w:rPr>
                <w:sz w:val="18"/>
                <w:szCs w:val="18"/>
                <w:color w:val="auto"/>
              </w:rPr>
            </w:pPr>
          </w:p>
        </w:tc>
        <w:tc>
          <w:tcPr>
            <w:tcW w:w="20" w:type="dxa"/>
            <w:vAlign w:val="bottom"/>
            <w:tcBorders>
              <w:top w:val="single" w:sz="8" w:color="D5EEEE"/>
            </w:tcBorders>
            <w:vMerge w:val="restart"/>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1260" w:type="dxa"/>
            <w:vAlign w:val="bottom"/>
            <w:tcBorders>
              <w:top w:val="single" w:sz="8" w:color="D5EEEE"/>
            </w:tcBorders>
            <w:vMerge w:val="restart"/>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80" w:type="dxa"/>
            <w:vAlign w:val="bottom"/>
            <w:tcBorders>
              <w:top w:val="single" w:sz="8" w:color="D5EEEE"/>
            </w:tcBorders>
            <w:vMerge w:val="restart"/>
            <w:shd w:val="clear" w:color="auto" w:fill="D5EEEE"/>
          </w:tcPr>
          <w:p>
            <w:pPr>
              <w:spacing w:after="0"/>
              <w:rPr>
                <w:sz w:val="18"/>
                <w:szCs w:val="18"/>
                <w:color w:val="auto"/>
              </w:rPr>
            </w:pPr>
          </w:p>
        </w:tc>
        <w:tc>
          <w:tcPr>
            <w:tcW w:w="100" w:type="dxa"/>
            <w:vAlign w:val="bottom"/>
            <w:tcBorders>
              <w:top w:val="single" w:sz="8" w:color="D5EEEE"/>
            </w:tcBorders>
            <w:vMerge w:val="restart"/>
          </w:tcPr>
          <w:p>
            <w:pPr>
              <w:spacing w:after="0"/>
              <w:rPr>
                <w:sz w:val="18"/>
                <w:szCs w:val="18"/>
                <w:color w:val="auto"/>
              </w:rPr>
            </w:pPr>
          </w:p>
        </w:tc>
        <w:tc>
          <w:tcPr>
            <w:tcW w:w="20" w:type="dxa"/>
            <w:vAlign w:val="bottom"/>
            <w:tcBorders>
              <w:top w:val="single" w:sz="8" w:color="D5EEEE"/>
            </w:tcBorders>
            <w:vMerge w:val="restart"/>
          </w:tcPr>
          <w:p>
            <w:pPr>
              <w:spacing w:after="0"/>
              <w:rPr>
                <w:sz w:val="18"/>
                <w:szCs w:val="18"/>
                <w:color w:val="auto"/>
              </w:rPr>
            </w:pPr>
          </w:p>
        </w:tc>
        <w:tc>
          <w:tcPr>
            <w:tcW w:w="100" w:type="dxa"/>
            <w:vAlign w:val="bottom"/>
            <w:tcBorders>
              <w:top w:val="single" w:sz="8" w:color="D5EEEE"/>
            </w:tcBorders>
          </w:tcPr>
          <w:p>
            <w:pPr>
              <w:spacing w:after="0"/>
              <w:rPr>
                <w:sz w:val="18"/>
                <w:szCs w:val="18"/>
                <w:color w:val="auto"/>
              </w:rPr>
            </w:pPr>
          </w:p>
        </w:tc>
        <w:tc>
          <w:tcPr>
            <w:tcW w:w="1040" w:type="dxa"/>
            <w:vAlign w:val="bottom"/>
            <w:tcBorders>
              <w:top w:val="single" w:sz="8" w:color="D5EEEE"/>
            </w:tcBorders>
            <w:gridSpan w:val="2"/>
            <w:vMerge w:val="restart"/>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3,58</w:t>
            </w:r>
          </w:p>
        </w:tc>
        <w:tc>
          <w:tcPr>
            <w:tcW w:w="20" w:type="dxa"/>
            <w:vAlign w:val="bottom"/>
            <w:tcBorders>
              <w:top w:val="single" w:sz="8" w:color="D5EEEE"/>
            </w:tcBorders>
            <w:vMerge w:val="restart"/>
            <w:shd w:val="clear" w:color="auto" w:fill="D5EEEE"/>
          </w:tcPr>
          <w:p>
            <w:pPr>
              <w:spacing w:after="0"/>
              <w:rPr>
                <w:sz w:val="18"/>
                <w:szCs w:val="18"/>
                <w:color w:val="auto"/>
              </w:rPr>
            </w:pPr>
          </w:p>
        </w:tc>
        <w:tc>
          <w:tcPr>
            <w:tcW w:w="60" w:type="dxa"/>
            <w:vAlign w:val="bottom"/>
            <w:tcBorders>
              <w:top w:val="single" w:sz="8" w:color="D5EEEE"/>
            </w:tcBorders>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880" w:type="dxa"/>
            <w:vAlign w:val="bottom"/>
            <w:vMerge w:val="continue"/>
            <w:shd w:val="clear" w:color="auto" w:fill="D5EEEE"/>
          </w:tcPr>
          <w:p>
            <w:pPr>
              <w:spacing w:after="0"/>
              <w:rPr>
                <w:sz w:val="19"/>
                <w:szCs w:val="19"/>
                <w:color w:val="auto"/>
              </w:rPr>
            </w:pPr>
          </w:p>
        </w:tc>
        <w:tc>
          <w:tcPr>
            <w:tcW w:w="120" w:type="dxa"/>
            <w:vAlign w:val="bottom"/>
            <w:shd w:val="clear" w:color="auto" w:fill="D5EEEE"/>
          </w:tcPr>
          <w:p>
            <w:pPr>
              <w:spacing w:after="0"/>
              <w:rPr>
                <w:sz w:val="19"/>
                <w:szCs w:val="19"/>
                <w:color w:val="auto"/>
              </w:rPr>
            </w:pPr>
          </w:p>
        </w:tc>
        <w:tc>
          <w:tcPr>
            <w:tcW w:w="100" w:type="dxa"/>
            <w:vAlign w:val="bottom"/>
            <w:shd w:val="clear" w:color="auto" w:fill="D5EEEE"/>
          </w:tcPr>
          <w:p>
            <w:pPr>
              <w:jc w:val="right"/>
              <w:spacing w:after="0" w:line="228"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vMerge w:val="continue"/>
          </w:tcPr>
          <w:p>
            <w:pPr>
              <w:spacing w:after="0"/>
              <w:rPr>
                <w:sz w:val="19"/>
                <w:szCs w:val="19"/>
                <w:color w:val="auto"/>
              </w:rPr>
            </w:pPr>
          </w:p>
        </w:tc>
        <w:tc>
          <w:tcPr>
            <w:tcW w:w="1440" w:type="dxa"/>
            <w:vAlign w:val="bottom"/>
            <w:vMerge w:val="continue"/>
            <w:shd w:val="clear" w:color="auto" w:fill="D5EEEE"/>
          </w:tcPr>
          <w:p>
            <w:pPr>
              <w:spacing w:after="0"/>
              <w:rPr>
                <w:sz w:val="19"/>
                <w:szCs w:val="19"/>
                <w:color w:val="auto"/>
              </w:rPr>
            </w:pPr>
          </w:p>
        </w:tc>
        <w:tc>
          <w:tcPr>
            <w:tcW w:w="80" w:type="dxa"/>
            <w:vAlign w:val="bottom"/>
            <w:tcBorders>
              <w:right w:val="single" w:sz="8" w:color="D5EEEE"/>
            </w:tcBorders>
            <w:vMerge w:val="continue"/>
            <w:shd w:val="clear" w:color="auto" w:fill="D5EEEE"/>
          </w:tcPr>
          <w:p>
            <w:pPr>
              <w:spacing w:after="0"/>
              <w:rPr>
                <w:sz w:val="19"/>
                <w:szCs w:val="19"/>
                <w:color w:val="auto"/>
              </w:rPr>
            </w:pPr>
          </w:p>
        </w:tc>
        <w:tc>
          <w:tcPr>
            <w:tcW w:w="1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0" w:type="dxa"/>
            <w:vAlign w:val="bottom"/>
            <w:vMerge w:val="continue"/>
          </w:tcPr>
          <w:p>
            <w:pPr>
              <w:spacing w:after="0"/>
              <w:rPr>
                <w:sz w:val="19"/>
                <w:szCs w:val="19"/>
                <w:color w:val="auto"/>
              </w:rPr>
            </w:pPr>
          </w:p>
        </w:tc>
        <w:tc>
          <w:tcPr>
            <w:tcW w:w="1260" w:type="dxa"/>
            <w:vAlign w:val="bottom"/>
            <w:vMerge w:val="continue"/>
            <w:shd w:val="clear" w:color="auto" w:fill="D5EEEE"/>
          </w:tcPr>
          <w:p>
            <w:pPr>
              <w:spacing w:after="0"/>
              <w:rPr>
                <w:sz w:val="19"/>
                <w:szCs w:val="19"/>
                <w:color w:val="auto"/>
              </w:rPr>
            </w:pPr>
          </w:p>
        </w:tc>
        <w:tc>
          <w:tcPr>
            <w:tcW w:w="80" w:type="dxa"/>
            <w:vAlign w:val="bottom"/>
            <w:vMerge w:val="continue"/>
            <w:shd w:val="clear" w:color="auto" w:fill="D5EEEE"/>
          </w:tcPr>
          <w:p>
            <w:pPr>
              <w:spacing w:after="0"/>
              <w:rPr>
                <w:sz w:val="19"/>
                <w:szCs w:val="19"/>
                <w:color w:val="auto"/>
              </w:rPr>
            </w:pPr>
          </w:p>
        </w:tc>
        <w:tc>
          <w:tcPr>
            <w:tcW w:w="1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shd w:val="clear" w:color="auto" w:fill="D5EEEE"/>
          </w:tcPr>
          <w:p>
            <w:pPr>
              <w:jc w:val="right"/>
              <w:spacing w:after="0" w:line="228"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1040" w:type="dxa"/>
            <w:vAlign w:val="bottom"/>
            <w:gridSpan w:val="2"/>
            <w:vMerge w:val="continue"/>
            <w:shd w:val="clear" w:color="auto" w:fill="D5EEEE"/>
          </w:tcPr>
          <w:p>
            <w:pPr>
              <w:spacing w:after="0"/>
              <w:rPr>
                <w:sz w:val="19"/>
                <w:szCs w:val="19"/>
                <w:color w:val="auto"/>
              </w:rPr>
            </w:pPr>
          </w:p>
        </w:tc>
        <w:tc>
          <w:tcPr>
            <w:tcW w:w="20" w:type="dxa"/>
            <w:vAlign w:val="bottom"/>
            <w:vMerge w:val="continue"/>
            <w:shd w:val="clear" w:color="auto" w:fill="D5EEEE"/>
          </w:tcPr>
          <w:p>
            <w:pPr>
              <w:spacing w:after="0"/>
              <w:rPr>
                <w:sz w:val="19"/>
                <w:szCs w:val="19"/>
                <w:color w:val="auto"/>
              </w:rPr>
            </w:pPr>
          </w:p>
        </w:tc>
        <w:tc>
          <w:tcPr>
            <w:tcW w:w="6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882</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D5EEEE"/>
            </w:tcBorders>
          </w:tcPr>
          <w:p>
            <w:pPr>
              <w:spacing w:after="0"/>
              <w:rPr>
                <w:sz w:val="23"/>
                <w:szCs w:val="23"/>
                <w:color w:val="auto"/>
              </w:rPr>
            </w:pPr>
          </w:p>
        </w:tc>
        <w:tc>
          <w:tcPr>
            <w:tcW w:w="20" w:type="dxa"/>
            <w:vAlign w:val="bottom"/>
            <w:tcBorders>
              <w:bottom w:val="single" w:sz="8" w:color="D5EEEE"/>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299</w:t>
            </w:r>
          </w:p>
        </w:tc>
        <w:tc>
          <w:tcPr>
            <w:tcW w:w="80" w:type="dxa"/>
            <w:vAlign w:val="bottom"/>
            <w:tcBorders>
              <w:bottom w:val="single" w:sz="8" w:color="D5EEEE"/>
            </w:tcBorders>
          </w:tcPr>
          <w:p>
            <w:pPr>
              <w:spacing w:after="0"/>
              <w:rPr>
                <w:sz w:val="23"/>
                <w:szCs w:val="23"/>
                <w:color w:val="auto"/>
              </w:rPr>
            </w:pPr>
          </w:p>
        </w:tc>
        <w:tc>
          <w:tcPr>
            <w:tcW w:w="100" w:type="dxa"/>
            <w:vAlign w:val="bottom"/>
            <w:tcBorders>
              <w:bottom w:val="single" w:sz="8" w:color="D5EEEE"/>
            </w:tcBorders>
          </w:tcPr>
          <w:p>
            <w:pPr>
              <w:spacing w:after="0"/>
              <w:rPr>
                <w:sz w:val="23"/>
                <w:szCs w:val="23"/>
                <w:color w:val="auto"/>
              </w:rPr>
            </w:pPr>
          </w:p>
        </w:tc>
        <w:tc>
          <w:tcPr>
            <w:tcW w:w="20" w:type="dxa"/>
            <w:vAlign w:val="bottom"/>
            <w:tcBorders>
              <w:bottom w:val="single" w:sz="8" w:color="D5EEEE"/>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880" w:type="dxa"/>
            <w:vAlign w:val="bottom"/>
            <w:tcBorders>
              <w:top w:val="single" w:sz="8" w:color="D5EEEE"/>
            </w:tcBorders>
            <w:shd w:val="clear" w:color="auto" w:fill="D5EEEE"/>
          </w:tcPr>
          <w:p>
            <w:pPr>
              <w:spacing w:after="0"/>
              <w:rPr>
                <w:sz w:val="18"/>
                <w:szCs w:val="18"/>
                <w:color w:val="auto"/>
              </w:rPr>
            </w:pPr>
          </w:p>
        </w:tc>
        <w:tc>
          <w:tcPr>
            <w:tcW w:w="12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D5EEEE"/>
            </w:tcBorders>
          </w:tcPr>
          <w:p>
            <w:pPr>
              <w:spacing w:after="0"/>
              <w:rPr>
                <w:sz w:val="18"/>
                <w:szCs w:val="18"/>
                <w:color w:val="auto"/>
              </w:rPr>
            </w:pPr>
          </w:p>
        </w:tc>
        <w:tc>
          <w:tcPr>
            <w:tcW w:w="1440" w:type="dxa"/>
            <w:vAlign w:val="bottom"/>
            <w:tcBorders>
              <w:top w:val="single" w:sz="8" w:color="D5EEEE"/>
            </w:tcBorders>
            <w:shd w:val="clear" w:color="auto" w:fill="D5EEEE"/>
          </w:tcPr>
          <w:p>
            <w:pPr>
              <w:jc w:val="right"/>
              <w:spacing w:after="0" w:line="217" w:lineRule="exact"/>
              <w:rPr>
                <w:sz w:val="20"/>
                <w:szCs w:val="20"/>
                <w:color w:val="auto"/>
              </w:rPr>
            </w:pPr>
            <w:r>
              <w:rPr>
                <w:rFonts w:ascii="Times New Roman" w:cs="Times New Roman" w:eastAsia="Times New Roman" w:hAnsi="Times New Roman"/>
                <w:sz w:val="20"/>
                <w:szCs w:val="20"/>
                <w:b w:val="1"/>
                <w:bCs w:val="1"/>
                <w:color w:val="auto"/>
              </w:rPr>
              <w:t>898</w:t>
            </w:r>
          </w:p>
        </w:tc>
        <w:tc>
          <w:tcPr>
            <w:tcW w:w="80" w:type="dxa"/>
            <w:vAlign w:val="bottom"/>
            <w:tcBorders>
              <w:top w:val="single" w:sz="8" w:color="D5EEEE"/>
              <w:right w:val="single" w:sz="8" w:color="D5EEEE"/>
            </w:tcBorders>
            <w:shd w:val="clear" w:color="auto" w:fill="D5EEEE"/>
          </w:tcPr>
          <w:p>
            <w:pPr>
              <w:spacing w:after="0"/>
              <w:rPr>
                <w:sz w:val="18"/>
                <w:szCs w:val="18"/>
                <w:color w:val="auto"/>
              </w:rPr>
            </w:pPr>
          </w:p>
        </w:tc>
        <w:tc>
          <w:tcPr>
            <w:tcW w:w="120" w:type="dxa"/>
            <w:vAlign w:val="bottom"/>
            <w:tcBorders>
              <w:top w:val="single" w:sz="8" w:color="D5EEEE"/>
            </w:tcBorders>
          </w:tcPr>
          <w:p>
            <w:pPr>
              <w:spacing w:after="0"/>
              <w:rPr>
                <w:sz w:val="18"/>
                <w:szCs w:val="18"/>
                <w:color w:val="auto"/>
              </w:rPr>
            </w:pPr>
          </w:p>
        </w:tc>
        <w:tc>
          <w:tcPr>
            <w:tcW w:w="20" w:type="dxa"/>
            <w:vAlign w:val="bottom"/>
            <w:tcBorders>
              <w:top w:val="single" w:sz="8" w:color="D5EEEE"/>
              <w:bottom w:val="single" w:sz="8" w:color="auto"/>
            </w:tcBorders>
          </w:tcPr>
          <w:p>
            <w:pPr>
              <w:spacing w:after="0"/>
              <w:rPr>
                <w:sz w:val="18"/>
                <w:szCs w:val="18"/>
                <w:color w:val="auto"/>
              </w:rPr>
            </w:pPr>
          </w:p>
        </w:tc>
        <w:tc>
          <w:tcPr>
            <w:tcW w:w="80" w:type="dxa"/>
            <w:vAlign w:val="bottom"/>
            <w:tcBorders>
              <w:top w:val="single" w:sz="8" w:color="D5EEEE"/>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b w:val="1"/>
                <w:bCs w:val="1"/>
                <w:color w:val="auto"/>
                <w:w w:val="70"/>
                <w:shd w:val="clear" w:color="auto" w:fill="D5EEEE"/>
              </w:rPr>
              <w:t>$</w:t>
            </w:r>
          </w:p>
        </w:tc>
        <w:tc>
          <w:tcPr>
            <w:tcW w:w="20" w:type="dxa"/>
            <w:vAlign w:val="bottom"/>
            <w:tcBorders>
              <w:top w:val="single" w:sz="8" w:color="D5EEEE"/>
              <w:bottom w:val="single" w:sz="8" w:color="auto"/>
            </w:tcBorders>
          </w:tcPr>
          <w:p>
            <w:pPr>
              <w:spacing w:after="0"/>
              <w:rPr>
                <w:sz w:val="18"/>
                <w:szCs w:val="18"/>
                <w:color w:val="auto"/>
              </w:rPr>
            </w:pPr>
          </w:p>
        </w:tc>
        <w:tc>
          <w:tcPr>
            <w:tcW w:w="1260" w:type="dxa"/>
            <w:vAlign w:val="bottom"/>
            <w:tcBorders>
              <w:top w:val="single" w:sz="8" w:color="D5EEEE"/>
            </w:tcBorders>
            <w:shd w:val="clear" w:color="auto" w:fill="D5EEEE"/>
          </w:tcPr>
          <w:p>
            <w:pPr>
              <w:jc w:val="right"/>
              <w:spacing w:after="0" w:line="217" w:lineRule="exact"/>
              <w:rPr>
                <w:sz w:val="20"/>
                <w:szCs w:val="20"/>
                <w:color w:val="auto"/>
              </w:rPr>
            </w:pPr>
            <w:r>
              <w:rPr>
                <w:rFonts w:ascii="Times New Roman" w:cs="Times New Roman" w:eastAsia="Times New Roman" w:hAnsi="Times New Roman"/>
                <w:sz w:val="20"/>
                <w:szCs w:val="20"/>
                <w:b w:val="1"/>
                <w:bCs w:val="1"/>
                <w:color w:val="auto"/>
              </w:rPr>
              <w:t>308</w:t>
            </w:r>
          </w:p>
        </w:tc>
        <w:tc>
          <w:tcPr>
            <w:tcW w:w="8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D5EEEE"/>
            </w:tcBorders>
          </w:tcPr>
          <w:p>
            <w:pPr>
              <w:spacing w:after="0"/>
              <w:rPr>
                <w:sz w:val="18"/>
                <w:szCs w:val="18"/>
                <w:color w:val="auto"/>
              </w:rPr>
            </w:pPr>
          </w:p>
        </w:tc>
        <w:tc>
          <w:tcPr>
            <w:tcW w:w="20" w:type="dxa"/>
            <w:vAlign w:val="bottom"/>
            <w:tcBorders>
              <w:top w:val="single" w:sz="8" w:color="D5EEEE"/>
              <w:bottom w:val="single" w:sz="8" w:color="auto"/>
            </w:tcBorders>
          </w:tcPr>
          <w:p>
            <w:pPr>
              <w:spacing w:after="0"/>
              <w:rPr>
                <w:sz w:val="18"/>
                <w:szCs w:val="18"/>
                <w:color w:val="auto"/>
              </w:rPr>
            </w:pPr>
          </w:p>
        </w:tc>
        <w:tc>
          <w:tcPr>
            <w:tcW w:w="100" w:type="dxa"/>
            <w:vAlign w:val="bottom"/>
            <w:tcBorders>
              <w:top w:val="single" w:sz="8" w:color="D5EEEE"/>
              <w:bottom w:val="single" w:sz="8" w:color="auto"/>
            </w:tcBorders>
            <w:shd w:val="clear" w:color="auto" w:fill="D5EEEE"/>
          </w:tcPr>
          <w:p>
            <w:pPr>
              <w:jc w:val="right"/>
              <w:spacing w:after="0" w:line="217" w:lineRule="exact"/>
              <w:rPr>
                <w:sz w:val="20"/>
                <w:szCs w:val="20"/>
                <w:color w:val="auto"/>
              </w:rPr>
            </w:pPr>
            <w:r>
              <w:rPr>
                <w:rFonts w:ascii="Times New Roman" w:cs="Times New Roman" w:eastAsia="Times New Roman" w:hAnsi="Times New Roman"/>
                <w:sz w:val="20"/>
                <w:szCs w:val="20"/>
                <w:b w:val="1"/>
                <w:bCs w:val="1"/>
                <w:color w:val="auto"/>
                <w:w w:val="79"/>
                <w:shd w:val="clear" w:color="auto" w:fill="D5EEEE"/>
              </w:rPr>
              <w:t>$</w:t>
            </w:r>
          </w:p>
        </w:tc>
        <w:tc>
          <w:tcPr>
            <w:tcW w:w="20" w:type="dxa"/>
            <w:vAlign w:val="bottom"/>
            <w:tcBorders>
              <w:top w:val="single" w:sz="8" w:color="D5EEEE"/>
              <w:bottom w:val="single" w:sz="8" w:color="auto"/>
            </w:tcBorders>
            <w:shd w:val="clear" w:color="auto" w:fill="D5EEEE"/>
          </w:tcPr>
          <w:p>
            <w:pPr>
              <w:spacing w:after="0"/>
              <w:rPr>
                <w:sz w:val="18"/>
                <w:szCs w:val="18"/>
                <w:color w:val="auto"/>
              </w:rPr>
            </w:pPr>
          </w:p>
        </w:tc>
        <w:tc>
          <w:tcPr>
            <w:tcW w:w="1020" w:type="dxa"/>
            <w:vAlign w:val="bottom"/>
            <w:tcBorders>
              <w:top w:val="single" w:sz="8" w:color="D5EEEE"/>
            </w:tcBorders>
            <w:shd w:val="clear" w:color="auto" w:fill="D5EEEE"/>
          </w:tcPr>
          <w:p>
            <w:pPr>
              <w:jc w:val="right"/>
              <w:spacing w:after="0" w:line="217" w:lineRule="exact"/>
              <w:rPr>
                <w:sz w:val="20"/>
                <w:szCs w:val="20"/>
                <w:color w:val="auto"/>
              </w:rPr>
            </w:pPr>
            <w:r>
              <w:rPr>
                <w:rFonts w:ascii="Times New Roman" w:cs="Times New Roman" w:eastAsia="Times New Roman" w:hAnsi="Times New Roman"/>
                <w:sz w:val="20"/>
                <w:szCs w:val="20"/>
                <w:b w:val="1"/>
                <w:bCs w:val="1"/>
                <w:color w:val="auto"/>
              </w:rPr>
              <w:t>3,93</w:t>
            </w:r>
          </w:p>
        </w:tc>
        <w:tc>
          <w:tcPr>
            <w:tcW w:w="20" w:type="dxa"/>
            <w:vAlign w:val="bottom"/>
            <w:tcBorders>
              <w:top w:val="single" w:sz="8" w:color="D5EEEE"/>
            </w:tcBorders>
            <w:shd w:val="clear" w:color="auto" w:fill="D5EEEE"/>
          </w:tcPr>
          <w:p>
            <w:pPr>
              <w:spacing w:after="0"/>
              <w:rPr>
                <w:sz w:val="18"/>
                <w:szCs w:val="18"/>
                <w:color w:val="auto"/>
              </w:rPr>
            </w:pPr>
          </w:p>
        </w:tc>
        <w:tc>
          <w:tcPr>
            <w:tcW w:w="60" w:type="dxa"/>
            <w:vAlign w:val="bottom"/>
            <w:tcBorders>
              <w:top w:val="single" w:sz="8" w:color="D5EEEE"/>
            </w:tcBorders>
            <w:shd w:val="clear" w:color="auto" w:fill="D5EEE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1016000</wp:posOffset>
            </wp:positionH>
            <wp:positionV relativeFrom="paragraph">
              <wp:posOffset>-647700</wp:posOffset>
            </wp:positionV>
            <wp:extent cx="4827270" cy="679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827270" cy="67945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of Financial Instruments</w:t>
      </w:r>
    </w:p>
    <w:p>
      <w:pPr>
        <w:spacing w:after="0" w:line="229" w:lineRule="exact"/>
        <w:rPr>
          <w:sz w:val="20"/>
          <w:szCs w:val="20"/>
          <w:color w:val="auto"/>
        </w:rPr>
      </w:pPr>
    </w:p>
    <w:p>
      <w:pPr>
        <w:jc w:val="both"/>
        <w:ind w:right="180" w:firstLine="720"/>
        <w:spacing w:after="0" w:line="258" w:lineRule="auto"/>
        <w:rPr>
          <w:sz w:val="20"/>
          <w:szCs w:val="20"/>
          <w:color w:val="auto"/>
        </w:rPr>
      </w:pPr>
      <w:r>
        <w:rPr>
          <w:rFonts w:ascii="Times New Roman" w:cs="Times New Roman" w:eastAsia="Times New Roman" w:hAnsi="Times New Roman"/>
          <w:sz w:val="20"/>
          <w:szCs w:val="20"/>
          <w:color w:val="auto"/>
        </w:rPr>
        <w:t>The carrying values of the Company’s financial instruments, consisting of cash and cash equivalents, marketable securities, trade receivables, prepaids and other receivables, accounts payable, accrued liabilities and contract liabilities, approximate fair value due to the relative short-term nature of these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Marketable Securities</w:t>
      </w:r>
    </w:p>
    <w:p>
      <w:pPr>
        <w:spacing w:after="0" w:line="230" w:lineRule="exact"/>
        <w:rPr>
          <w:sz w:val="20"/>
          <w:szCs w:val="20"/>
          <w:color w:val="auto"/>
        </w:rPr>
      </w:pPr>
    </w:p>
    <w:p>
      <w:pPr>
        <w:ind w:right="180" w:firstLine="720"/>
        <w:spacing w:after="0" w:line="246" w:lineRule="auto"/>
        <w:rPr>
          <w:sz w:val="20"/>
          <w:szCs w:val="20"/>
          <w:color w:val="auto"/>
        </w:rPr>
      </w:pPr>
      <w:r>
        <w:rPr>
          <w:rFonts w:ascii="Times New Roman" w:cs="Times New Roman" w:eastAsia="Times New Roman" w:hAnsi="Times New Roman"/>
          <w:sz w:val="20"/>
          <w:szCs w:val="20"/>
          <w:color w:val="auto"/>
        </w:rPr>
        <w:t>We classify all highly liquid investments with original maturities of three months or less from the date of purchase as cash equivalents and all highly liquid investments with stated maturities of greater than three months as marketable securities. The Company classifies marketable securities as short-term when they have remaining contractual maturities of one year or less from the balance sheet date, and as long-term when the investments have remaining contractual maturities of more than one year from the balance sheet date. Classification is determined at the time of purchase and re-evaluated each balance sheet date. Short-term marketable securities represent investment of cash available for current operations. We account for our marketable securities as available-for-sale securities.</w:t>
      </w:r>
    </w:p>
    <w:p>
      <w:pPr>
        <w:spacing w:after="0" w:line="188" w:lineRule="exact"/>
        <w:rPr>
          <w:sz w:val="20"/>
          <w:szCs w:val="20"/>
          <w:color w:val="auto"/>
        </w:rPr>
      </w:pPr>
    </w:p>
    <w:p>
      <w:pPr>
        <w:ind w:right="20" w:firstLine="720"/>
        <w:spacing w:after="0" w:line="245" w:lineRule="auto"/>
        <w:rPr>
          <w:sz w:val="20"/>
          <w:szCs w:val="20"/>
          <w:color w:val="auto"/>
        </w:rPr>
      </w:pPr>
      <w:r>
        <w:rPr>
          <w:rFonts w:ascii="Times New Roman" w:cs="Times New Roman" w:eastAsia="Times New Roman" w:hAnsi="Times New Roman"/>
          <w:sz w:val="20"/>
          <w:szCs w:val="20"/>
          <w:color w:val="auto"/>
        </w:rPr>
        <w:t>All marketable securities, which consist of corporate debt securities, asset backed securities, U.S treasury and commercial paper are denominated in the U.S. dollars, have been classified as “available for sale”, and are carried at fair value. Unrealized gains and losses, net of any related tax effects, are excluded from earnings and are included in other comprehensive income (loss) and reported as a separate component of stockholders equity until realized. Realized gains and losses on marketable securities are included in interest and other income, net, in the accompanying Consolidated Statements of Operations. The cost of any marketable securities sold is based on the specific identification method. The amortized cost of marketable securities is adjusted for amortization of premiums and accretion of discounts to maturity. Interest on marketable securities is included in other income. In accordance with the Company’s investment policy, management invests to diversify credit risk and only invests in securities with high credit quality, including U.S. government securities, and the maximum final maturity from the date of purchase is thirty-seven months.</w:t>
      </w:r>
    </w:p>
    <w:p>
      <w:pPr>
        <w:spacing w:after="0" w:line="189"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If necessary, the Company will recognize an allowance for credit losses on available-for-sale debt securities on an individual basis, and will no longer consider other than-temporary impairment or immediately reduce the cost basis of the investment provided that it is more likely than not that the security will be held to recovery or maturity. Further, the Company will recognize any improvements in estimated credit losses on available-for-sale debt securities immediately in earnings and reduce the existing allowance for credit losses. The Company will disaggregate its available-for-sale debt securities into the following categories: commercial paper, corporate debt, government and agency securities and money market funds. The Company’s corporate bonds are comprised of predominantly high-grade corporate bonds while its government and agency securities are U.S. treasury bonds, and U.S. agency bonds. The Company has analyzed both corporate bonds and government and agency securities and identified that both types of securities have similar risk characteristics in that they are traded infrequently and have contractual interest rates and maturity dates.</w:t>
      </w:r>
    </w:p>
    <w:p>
      <w:pPr>
        <w:spacing w:after="0" w:line="195" w:lineRule="exact"/>
        <w:rPr>
          <w:sz w:val="20"/>
          <w:szCs w:val="20"/>
          <w:color w:val="auto"/>
        </w:rPr>
      </w:pPr>
    </w:p>
    <w:p>
      <w:pPr>
        <w:ind w:firstLine="721"/>
        <w:spacing w:after="0" w:line="270" w:lineRule="auto"/>
        <w:rPr>
          <w:sz w:val="20"/>
          <w:szCs w:val="20"/>
          <w:color w:val="auto"/>
        </w:rPr>
      </w:pPr>
      <w:r>
        <w:rPr>
          <w:rFonts w:ascii="Times New Roman" w:cs="Times New Roman" w:eastAsia="Times New Roman" w:hAnsi="Times New Roman"/>
          <w:sz w:val="19"/>
          <w:szCs w:val="19"/>
          <w:color w:val="auto"/>
        </w:rPr>
        <w:t>To evaluate for impairment, management reviews credit rating changes, securities trends, interest rate movements and unrealized loss at the security level of the Company’s available for sale debt securities. If any of these give rise to a potential credit concern, the Company performs a discounted cash flow analysis to determine the credit portion of the impairment. The discounted cash flow analysis will be performed either internally or through the assistance of a qualified third party. Once the credit component of</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F-12</w:t>
      </w:r>
    </w:p>
    <w:p>
      <w:pPr>
        <w:sectPr>
          <w:pgSz w:w="11880" w:h="15480" w:orient="portrait"/>
          <w:cols w:equalWidth="0" w:num="1">
            <w:col w:w="10780"/>
          </w:cols>
          <w:pgMar w:left="540" w:top="887" w:right="560" w:bottom="0" w:gutter="0" w:footer="0" w:header="0"/>
        </w:sectPr>
      </w:pPr>
    </w:p>
    <w:bookmarkStart w:id="78" w:name="page79"/>
    <w:bookmarkEnd w:id="78"/>
    <w:p>
      <w:pPr>
        <w:ind w:right="100"/>
        <w:spacing w:after="0" w:line="253" w:lineRule="auto"/>
        <w:rPr>
          <w:sz w:val="20"/>
          <w:szCs w:val="20"/>
          <w:color w:val="auto"/>
        </w:rPr>
      </w:pPr>
      <w:r>
        <w:rPr>
          <w:rFonts w:ascii="Times New Roman" w:cs="Times New Roman" w:eastAsia="Times New Roman" w:hAnsi="Times New Roman"/>
          <w:sz w:val="20"/>
          <w:szCs w:val="20"/>
          <w:color w:val="auto"/>
        </w:rPr>
        <w:t>the impairment is determined, the Company will record the impaired amount as an allowance to the available-for-sale debt securities balance and as a charge to other income in the accompanying Consolidated Statements of Operations, not to exceed the amount of the unrealized loss. The Company assesses expected credit losses at the end of each reporting period and adjusts the allowance through other income.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Accounts Receivable</w:t>
      </w:r>
    </w:p>
    <w:p>
      <w:pPr>
        <w:spacing w:after="0" w:line="275"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auto"/>
        </w:rPr>
        <w:t>Accounts receivable are recorded net of customer allowances for doubtful accounts. The Company estimates an allowance for expected credit losses (i.e., the inability of our customers to make required payments). These estimates are based on a combination of past experience and current trends. In estimating the allowance for expected credit losses, consideration is given to the current aging of receivables, a specific review for potential bad debts and an evaluation of historic write-offs. The resulting bad debt expense is included in sales and marketing expenses in the Consolidated Statement of Operations. Receivables are written-off when deemed uncollectible. As of December 31, 2022, December 31,2021, and June 30, 2021, the allowance for doubtful accounts was $24,000 $28,000, and $30,000, respectively.</w:t>
      </w:r>
    </w:p>
    <w:p>
      <w:pPr>
        <w:spacing w:after="0" w:line="1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 rollforward of the activity in the Company’s allowance for doubtful account is as follows (in thousands):</w:t>
      </w:r>
    </w:p>
    <w:p>
      <w:pPr>
        <w:spacing w:after="0" w:line="291"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Transition Period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Year-ended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Year-ended</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00" w:type="dxa"/>
            <w:vAlign w:val="bottom"/>
            <w:tcBorders>
              <w:bottom w:val="single" w:sz="8" w:color="D5EEEE"/>
            </w:tcBorders>
          </w:tcPr>
          <w:p>
            <w:pPr>
              <w:spacing w:after="0"/>
              <w:rPr>
                <w:sz w:val="17"/>
                <w:szCs w:val="17"/>
                <w:color w:val="auto"/>
              </w:rPr>
            </w:pPr>
          </w:p>
        </w:tc>
        <w:tc>
          <w:tcPr>
            <w:tcW w:w="120" w:type="dxa"/>
            <w:vAlign w:val="bottom"/>
            <w:tcBorders>
              <w:bottom w:val="single" w:sz="8" w:color="D5EEEE"/>
            </w:tcBorders>
          </w:tcPr>
          <w:p>
            <w:pPr>
              <w:spacing w:after="0"/>
              <w:rPr>
                <w:sz w:val="17"/>
                <w:szCs w:val="17"/>
                <w:color w:val="auto"/>
              </w:rPr>
            </w:pPr>
          </w:p>
        </w:tc>
        <w:tc>
          <w:tcPr>
            <w:tcW w:w="134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80" w:type="dxa"/>
            <w:vAlign w:val="bottom"/>
            <w:tcBorders>
              <w:bottom w:val="single" w:sz="8" w:color="D5EEEE"/>
            </w:tcBorders>
          </w:tcPr>
          <w:p>
            <w:pPr>
              <w:spacing w:after="0"/>
              <w:rPr>
                <w:sz w:val="17"/>
                <w:szCs w:val="17"/>
                <w:color w:val="auto"/>
              </w:rPr>
            </w:pPr>
          </w:p>
        </w:tc>
        <w:tc>
          <w:tcPr>
            <w:tcW w:w="120" w:type="dxa"/>
            <w:vAlign w:val="bottom"/>
            <w:tcBorders>
              <w:bottom w:val="single" w:sz="8" w:color="D5EEEE"/>
            </w:tcBorders>
          </w:tcPr>
          <w:p>
            <w:pPr>
              <w:spacing w:after="0"/>
              <w:rPr>
                <w:sz w:val="17"/>
                <w:szCs w:val="17"/>
                <w:color w:val="auto"/>
              </w:rPr>
            </w:pPr>
          </w:p>
        </w:tc>
        <w:tc>
          <w:tcPr>
            <w:tcW w:w="20" w:type="dxa"/>
            <w:vAlign w:val="bottom"/>
            <w:tcBorders>
              <w:bottom w:val="single" w:sz="8" w:color="D5EEEE"/>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December 31, 2021</w:t>
            </w:r>
          </w:p>
        </w:tc>
        <w:tc>
          <w:tcPr>
            <w:tcW w:w="80" w:type="dxa"/>
            <w:vAlign w:val="bottom"/>
            <w:tcBorders>
              <w:bottom w:val="single" w:sz="8" w:color="D5EEEE"/>
            </w:tcBorders>
          </w:tcPr>
          <w:p>
            <w:pPr>
              <w:spacing w:after="0"/>
              <w:rPr>
                <w:sz w:val="17"/>
                <w:szCs w:val="17"/>
                <w:color w:val="auto"/>
              </w:rPr>
            </w:pPr>
          </w:p>
        </w:tc>
        <w:tc>
          <w:tcPr>
            <w:tcW w:w="100" w:type="dxa"/>
            <w:vAlign w:val="bottom"/>
            <w:tcBorders>
              <w:top w:val="single" w:sz="8" w:color="auto"/>
              <w:bottom w:val="single" w:sz="8" w:color="D5EEEE"/>
            </w:tcBorders>
          </w:tcPr>
          <w:p>
            <w:pPr>
              <w:spacing w:after="0"/>
              <w:rPr>
                <w:sz w:val="17"/>
                <w:szCs w:val="17"/>
                <w:color w:val="auto"/>
              </w:rPr>
            </w:pPr>
          </w:p>
        </w:tc>
        <w:tc>
          <w:tcPr>
            <w:tcW w:w="20" w:type="dxa"/>
            <w:vAlign w:val="bottom"/>
            <w:tcBorders>
              <w:top w:val="single" w:sz="8" w:color="auto"/>
              <w:bottom w:val="single" w:sz="8" w:color="D5EEEE"/>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80" w:type="dxa"/>
            <w:vAlign w:val="bottom"/>
            <w:tcBorders>
              <w:bottom w:val="single" w:sz="8" w:color="D5EEEE"/>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00" w:type="dxa"/>
            <w:vAlign w:val="bottom"/>
            <w:tcBorders>
              <w:top w:val="single" w:sz="8" w:color="D5EEEE"/>
            </w:tcBorders>
            <w:vMerge w:val="restart"/>
            <w:shd w:val="clear" w:color="auto" w:fill="D5EEEE"/>
          </w:tcPr>
          <w:p>
            <w:pPr>
              <w:spacing w:after="0"/>
              <w:rPr>
                <w:sz w:val="20"/>
                <w:szCs w:val="20"/>
                <w:color w:val="auto"/>
              </w:rPr>
            </w:pPr>
            <w:r>
              <w:rPr>
                <w:rFonts w:ascii="Times New Roman" w:cs="Times New Roman" w:eastAsia="Times New Roman" w:hAnsi="Times New Roman"/>
                <w:sz w:val="20"/>
                <w:szCs w:val="20"/>
                <w:color w:val="auto"/>
              </w:rPr>
              <w:t>of year</w:t>
            </w:r>
          </w:p>
        </w:tc>
        <w:tc>
          <w:tcPr>
            <w:tcW w:w="120" w:type="dxa"/>
            <w:vAlign w:val="bottom"/>
            <w:tcBorders>
              <w:top w:val="single" w:sz="8" w:color="D5EEEE"/>
            </w:tcBorders>
            <w:shd w:val="clear" w:color="auto" w:fill="D5EEEE"/>
          </w:tcPr>
          <w:p>
            <w:pPr>
              <w:spacing w:after="0"/>
              <w:rPr>
                <w:sz w:val="17"/>
                <w:szCs w:val="17"/>
                <w:color w:val="auto"/>
              </w:rPr>
            </w:pPr>
          </w:p>
        </w:tc>
        <w:tc>
          <w:tcPr>
            <w:tcW w:w="100" w:type="dxa"/>
            <w:vAlign w:val="bottom"/>
            <w:tcBorders>
              <w:top w:val="single" w:sz="8" w:color="D5EEEE"/>
            </w:tcBorders>
          </w:tcPr>
          <w:p>
            <w:pPr>
              <w:spacing w:after="0"/>
              <w:rPr>
                <w:sz w:val="17"/>
                <w:szCs w:val="17"/>
                <w:color w:val="auto"/>
              </w:rPr>
            </w:pPr>
          </w:p>
        </w:tc>
        <w:tc>
          <w:tcPr>
            <w:tcW w:w="20" w:type="dxa"/>
            <w:vAlign w:val="bottom"/>
            <w:tcBorders>
              <w:top w:val="single" w:sz="8" w:color="D5EEEE"/>
            </w:tcBorders>
            <w:vMerge w:val="restart"/>
          </w:tcPr>
          <w:p>
            <w:pPr>
              <w:spacing w:after="0"/>
              <w:rPr>
                <w:sz w:val="17"/>
                <w:szCs w:val="17"/>
                <w:color w:val="auto"/>
              </w:rPr>
            </w:pPr>
          </w:p>
        </w:tc>
        <w:tc>
          <w:tcPr>
            <w:tcW w:w="1220" w:type="dxa"/>
            <w:vAlign w:val="bottom"/>
            <w:tcBorders>
              <w:top w:val="single" w:sz="8" w:color="D5EEEE"/>
            </w:tcBorders>
            <w:vMerge w:val="restart"/>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80" w:type="dxa"/>
            <w:vAlign w:val="bottom"/>
            <w:tcBorders>
              <w:top w:val="single" w:sz="8" w:color="D5EEEE"/>
            </w:tcBorders>
            <w:shd w:val="clear" w:color="auto" w:fill="D5EEEE"/>
          </w:tcPr>
          <w:p>
            <w:pPr>
              <w:spacing w:after="0"/>
              <w:rPr>
                <w:sz w:val="17"/>
                <w:szCs w:val="17"/>
                <w:color w:val="auto"/>
              </w:rPr>
            </w:pPr>
          </w:p>
        </w:tc>
        <w:tc>
          <w:tcPr>
            <w:tcW w:w="120" w:type="dxa"/>
            <w:vAlign w:val="bottom"/>
            <w:tcBorders>
              <w:top w:val="single" w:sz="8" w:color="D5EEEE"/>
            </w:tcBorders>
          </w:tcPr>
          <w:p>
            <w:pPr>
              <w:spacing w:after="0"/>
              <w:rPr>
                <w:sz w:val="17"/>
                <w:szCs w:val="17"/>
                <w:color w:val="auto"/>
              </w:rPr>
            </w:pPr>
          </w:p>
        </w:tc>
        <w:tc>
          <w:tcPr>
            <w:tcW w:w="20" w:type="dxa"/>
            <w:vAlign w:val="bottom"/>
            <w:tcBorders>
              <w:top w:val="single" w:sz="8" w:color="D5EEEE"/>
            </w:tcBorders>
          </w:tcPr>
          <w:p>
            <w:pPr>
              <w:spacing w:after="0"/>
              <w:rPr>
                <w:sz w:val="17"/>
                <w:szCs w:val="17"/>
                <w:color w:val="auto"/>
              </w:rPr>
            </w:pPr>
          </w:p>
        </w:tc>
        <w:tc>
          <w:tcPr>
            <w:tcW w:w="80" w:type="dxa"/>
            <w:vAlign w:val="bottom"/>
            <w:tcBorders>
              <w:top w:val="single" w:sz="8" w:color="D5EEEE"/>
            </w:tcBorders>
          </w:tcPr>
          <w:p>
            <w:pPr>
              <w:spacing w:after="0"/>
              <w:rPr>
                <w:sz w:val="17"/>
                <w:szCs w:val="17"/>
                <w:color w:val="auto"/>
              </w:rPr>
            </w:pPr>
          </w:p>
        </w:tc>
        <w:tc>
          <w:tcPr>
            <w:tcW w:w="20" w:type="dxa"/>
            <w:vAlign w:val="bottom"/>
            <w:tcBorders>
              <w:top w:val="single" w:sz="8" w:color="D5EEEE"/>
            </w:tcBorders>
            <w:vMerge w:val="restart"/>
          </w:tcPr>
          <w:p>
            <w:pPr>
              <w:spacing w:after="0"/>
              <w:rPr>
                <w:sz w:val="17"/>
                <w:szCs w:val="17"/>
                <w:color w:val="auto"/>
              </w:rPr>
            </w:pPr>
          </w:p>
        </w:tc>
        <w:tc>
          <w:tcPr>
            <w:tcW w:w="1420" w:type="dxa"/>
            <w:vAlign w:val="bottom"/>
            <w:tcBorders>
              <w:top w:val="single" w:sz="8" w:color="D5EEEE"/>
            </w:tcBorders>
            <w:vMerge w:val="restart"/>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20" w:type="dxa"/>
            <w:vAlign w:val="bottom"/>
            <w:tcBorders>
              <w:top w:val="single" w:sz="8" w:color="D5EEEE"/>
            </w:tcBorders>
            <w:vMerge w:val="restart"/>
            <w:shd w:val="clear" w:color="auto" w:fill="D5EEEE"/>
          </w:tcPr>
          <w:p>
            <w:pPr>
              <w:spacing w:after="0"/>
              <w:rPr>
                <w:sz w:val="17"/>
                <w:szCs w:val="17"/>
                <w:color w:val="auto"/>
              </w:rPr>
            </w:pPr>
          </w:p>
        </w:tc>
        <w:tc>
          <w:tcPr>
            <w:tcW w:w="80" w:type="dxa"/>
            <w:vAlign w:val="bottom"/>
            <w:tcBorders>
              <w:top w:val="single" w:sz="8" w:color="D5EEEE"/>
            </w:tcBorders>
            <w:shd w:val="clear" w:color="auto" w:fill="D5EEEE"/>
          </w:tcPr>
          <w:p>
            <w:pPr>
              <w:spacing w:after="0"/>
              <w:rPr>
                <w:sz w:val="17"/>
                <w:szCs w:val="17"/>
                <w:color w:val="auto"/>
              </w:rPr>
            </w:pPr>
          </w:p>
        </w:tc>
        <w:tc>
          <w:tcPr>
            <w:tcW w:w="100" w:type="dxa"/>
            <w:vAlign w:val="bottom"/>
            <w:tcBorders>
              <w:top w:val="single" w:sz="8" w:color="D5EEEE"/>
            </w:tcBorders>
            <w:vMerge w:val="restart"/>
          </w:tcPr>
          <w:p>
            <w:pPr>
              <w:spacing w:after="0"/>
              <w:rPr>
                <w:sz w:val="17"/>
                <w:szCs w:val="17"/>
                <w:color w:val="auto"/>
              </w:rPr>
            </w:pPr>
          </w:p>
        </w:tc>
        <w:tc>
          <w:tcPr>
            <w:tcW w:w="20" w:type="dxa"/>
            <w:vAlign w:val="bottom"/>
            <w:tcBorders>
              <w:top w:val="single" w:sz="8" w:color="D5EEEE"/>
            </w:tcBorders>
            <w:vMerge w:val="restart"/>
          </w:tcPr>
          <w:p>
            <w:pPr>
              <w:spacing w:after="0"/>
              <w:rPr>
                <w:sz w:val="17"/>
                <w:szCs w:val="17"/>
                <w:color w:val="auto"/>
              </w:rPr>
            </w:pPr>
          </w:p>
        </w:tc>
        <w:tc>
          <w:tcPr>
            <w:tcW w:w="100" w:type="dxa"/>
            <w:vAlign w:val="bottom"/>
            <w:tcBorders>
              <w:top w:val="single" w:sz="8" w:color="D5EEEE"/>
            </w:tcBorders>
          </w:tcPr>
          <w:p>
            <w:pPr>
              <w:spacing w:after="0"/>
              <w:rPr>
                <w:sz w:val="17"/>
                <w:szCs w:val="17"/>
                <w:color w:val="auto"/>
              </w:rPr>
            </w:pPr>
          </w:p>
        </w:tc>
        <w:tc>
          <w:tcPr>
            <w:tcW w:w="20" w:type="dxa"/>
            <w:vAlign w:val="bottom"/>
            <w:tcBorders>
              <w:top w:val="single" w:sz="8" w:color="D5EEEE"/>
            </w:tcBorders>
            <w:vMerge w:val="restart"/>
          </w:tcPr>
          <w:p>
            <w:pPr>
              <w:spacing w:after="0"/>
              <w:rPr>
                <w:sz w:val="17"/>
                <w:szCs w:val="17"/>
                <w:color w:val="auto"/>
              </w:rPr>
            </w:pPr>
          </w:p>
        </w:tc>
        <w:tc>
          <w:tcPr>
            <w:tcW w:w="1200" w:type="dxa"/>
            <w:vAlign w:val="bottom"/>
            <w:tcBorders>
              <w:top w:val="single" w:sz="8" w:color="D5EEEE"/>
            </w:tcBorders>
            <w:vMerge w:val="restart"/>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20" w:type="dxa"/>
            <w:vAlign w:val="bottom"/>
            <w:tcBorders>
              <w:top w:val="single" w:sz="8" w:color="D5EEEE"/>
            </w:tcBorders>
            <w:vMerge w:val="restart"/>
            <w:shd w:val="clear" w:color="auto" w:fill="D5EEEE"/>
          </w:tcPr>
          <w:p>
            <w:pPr>
              <w:spacing w:after="0"/>
              <w:rPr>
                <w:sz w:val="17"/>
                <w:szCs w:val="17"/>
                <w:color w:val="auto"/>
              </w:rPr>
            </w:pPr>
          </w:p>
        </w:tc>
        <w:tc>
          <w:tcPr>
            <w:tcW w:w="80" w:type="dxa"/>
            <w:vAlign w:val="bottom"/>
            <w:tcBorders>
              <w:top w:val="single" w:sz="8" w:color="D5EEEE"/>
            </w:tcBorders>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0" w:type="dxa"/>
            <w:vAlign w:val="bottom"/>
            <w:vMerge w:val="continue"/>
            <w:shd w:val="clear" w:color="auto" w:fill="D5EEEE"/>
          </w:tcPr>
          <w:p>
            <w:pPr>
              <w:spacing w:after="0"/>
              <w:rPr>
                <w:sz w:val="20"/>
                <w:szCs w:val="20"/>
                <w:color w:val="auto"/>
              </w:rPr>
            </w:pPr>
          </w:p>
        </w:tc>
        <w:tc>
          <w:tcPr>
            <w:tcW w:w="120" w:type="dxa"/>
            <w:vAlign w:val="bottom"/>
            <w:shd w:val="clear" w:color="auto" w:fill="D5EEEE"/>
          </w:tcPr>
          <w:p>
            <w:pPr>
              <w:spacing w:after="0"/>
              <w:rPr>
                <w:sz w:val="20"/>
                <w:szCs w:val="20"/>
                <w:color w:val="auto"/>
              </w:rPr>
            </w:pPr>
          </w:p>
        </w:tc>
        <w:tc>
          <w:tcPr>
            <w:tcW w:w="1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vMerge w:val="continue"/>
          </w:tcPr>
          <w:p>
            <w:pPr>
              <w:spacing w:after="0"/>
              <w:rPr>
                <w:sz w:val="20"/>
                <w:szCs w:val="20"/>
                <w:color w:val="auto"/>
              </w:rPr>
            </w:pPr>
          </w:p>
        </w:tc>
        <w:tc>
          <w:tcPr>
            <w:tcW w:w="1220" w:type="dxa"/>
            <w:vAlign w:val="bottom"/>
            <w:vMerge w:val="continue"/>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0" w:type="dxa"/>
            <w:vAlign w:val="bottom"/>
            <w:vMerge w:val="continue"/>
          </w:tcPr>
          <w:p>
            <w:pPr>
              <w:spacing w:after="0"/>
              <w:rPr>
                <w:sz w:val="20"/>
                <w:szCs w:val="20"/>
                <w:color w:val="auto"/>
              </w:rPr>
            </w:pPr>
          </w:p>
        </w:tc>
        <w:tc>
          <w:tcPr>
            <w:tcW w:w="1420" w:type="dxa"/>
            <w:vAlign w:val="bottom"/>
            <w:vMerge w:val="continue"/>
            <w:shd w:val="clear" w:color="auto" w:fill="D5EEEE"/>
          </w:tcPr>
          <w:p>
            <w:pPr>
              <w:spacing w:after="0"/>
              <w:rPr>
                <w:sz w:val="20"/>
                <w:szCs w:val="20"/>
                <w:color w:val="auto"/>
              </w:rPr>
            </w:pPr>
          </w:p>
        </w:tc>
        <w:tc>
          <w:tcPr>
            <w:tcW w:w="20" w:type="dxa"/>
            <w:vAlign w:val="bottom"/>
            <w:vMerge w:val="continue"/>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10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vMerge w:val="continue"/>
          </w:tcPr>
          <w:p>
            <w:pPr>
              <w:spacing w:after="0"/>
              <w:rPr>
                <w:sz w:val="20"/>
                <w:szCs w:val="20"/>
                <w:color w:val="auto"/>
              </w:rPr>
            </w:pPr>
          </w:p>
        </w:tc>
        <w:tc>
          <w:tcPr>
            <w:tcW w:w="1200" w:type="dxa"/>
            <w:vAlign w:val="bottom"/>
            <w:vMerge w:val="continue"/>
            <w:shd w:val="clear" w:color="auto" w:fill="D5EEEE"/>
          </w:tcPr>
          <w:p>
            <w:pPr>
              <w:spacing w:after="0"/>
              <w:rPr>
                <w:sz w:val="20"/>
                <w:szCs w:val="20"/>
                <w:color w:val="auto"/>
              </w:rPr>
            </w:pPr>
          </w:p>
        </w:tc>
        <w:tc>
          <w:tcPr>
            <w:tcW w:w="20" w:type="dxa"/>
            <w:vAlign w:val="bottom"/>
            <w:vMerge w:val="continue"/>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800" w:type="dxa"/>
            <w:vAlign w:val="bottom"/>
            <w:tcBorders>
              <w:bottom w:val="single" w:sz="8" w:color="D5EEEE"/>
            </w:tcBorders>
          </w:tcPr>
          <w:p>
            <w:pPr>
              <w:spacing w:after="0"/>
              <w:rPr>
                <w:sz w:val="21"/>
                <w:szCs w:val="21"/>
                <w:color w:val="auto"/>
              </w:rPr>
            </w:pPr>
          </w:p>
        </w:tc>
        <w:tc>
          <w:tcPr>
            <w:tcW w:w="12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22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80" w:type="dxa"/>
            <w:vAlign w:val="bottom"/>
            <w:tcBorders>
              <w:bottom w:val="single" w:sz="8" w:color="D5EEEE"/>
            </w:tcBorders>
          </w:tcPr>
          <w:p>
            <w:pPr>
              <w:spacing w:after="0"/>
              <w:rPr>
                <w:sz w:val="21"/>
                <w:szCs w:val="21"/>
                <w:color w:val="auto"/>
              </w:rPr>
            </w:pPr>
          </w:p>
        </w:tc>
        <w:tc>
          <w:tcPr>
            <w:tcW w:w="12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42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20" w:type="dxa"/>
            <w:vAlign w:val="bottom"/>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800" w:type="dxa"/>
            <w:vAlign w:val="bottom"/>
            <w:shd w:val="clear" w:color="auto" w:fill="D5EEEE"/>
          </w:tcPr>
          <w:p>
            <w:pPr>
              <w:spacing w:after="0"/>
              <w:rPr>
                <w:sz w:val="19"/>
                <w:szCs w:val="19"/>
                <w:color w:val="auto"/>
              </w:rPr>
            </w:pPr>
          </w:p>
        </w:tc>
        <w:tc>
          <w:tcPr>
            <w:tcW w:w="120" w:type="dxa"/>
            <w:vAlign w:val="bottom"/>
            <w:shd w:val="clear" w:color="auto" w:fill="D5EEE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gridSpan w:val="3"/>
          </w:tcPr>
          <w:p>
            <w:pPr>
              <w:jc w:val="right"/>
              <w:spacing w:after="0" w:line="225" w:lineRule="exact"/>
              <w:rPr>
                <w:sz w:val="20"/>
                <w:szCs w:val="20"/>
                <w:color w:val="auto"/>
              </w:rPr>
            </w:pPr>
            <w:r>
              <w:rPr>
                <w:rFonts w:ascii="Times New Roman" w:cs="Times New Roman" w:eastAsia="Times New Roman" w:hAnsi="Times New Roman"/>
                <w:sz w:val="20"/>
                <w:szCs w:val="20"/>
                <w:color w:val="auto"/>
              </w:rPr>
              <w:t>(4)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year</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vMerge w:val="restart"/>
          </w:tcPr>
          <w:p>
            <w:pPr>
              <w:spacing w:after="0"/>
              <w:rPr>
                <w:sz w:val="19"/>
                <w:szCs w:val="19"/>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vMerge w:val="restart"/>
          </w:tcPr>
          <w:p>
            <w:pPr>
              <w:spacing w:after="0"/>
              <w:rPr>
                <w:sz w:val="19"/>
                <w:szCs w:val="19"/>
                <w:color w:val="auto"/>
              </w:rPr>
            </w:pPr>
          </w:p>
        </w:tc>
        <w:tc>
          <w:tcPr>
            <w:tcW w:w="14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20" w:type="dxa"/>
            <w:vAlign w:val="bottom"/>
            <w:tcBorders>
              <w:top w:val="single" w:sz="8" w:color="auto"/>
            </w:tcBorders>
            <w:vMerge w:val="restart"/>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vMerge w:val="restart"/>
          </w:tcPr>
          <w:p>
            <w:pPr>
              <w:spacing w:after="0"/>
              <w:rPr>
                <w:sz w:val="19"/>
                <w:szCs w:val="19"/>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20" w:type="dxa"/>
            <w:vAlign w:val="bottom"/>
            <w:tcBorders>
              <w:top w:val="single" w:sz="8" w:color="auto"/>
            </w:tcBorders>
            <w:vMerge w:val="restart"/>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8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20" w:type="dxa"/>
            <w:vAlign w:val="bottom"/>
            <w:tcBorders>
              <w:bottom w:val="single" w:sz="8" w:color="auto"/>
            </w:tcBorders>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Borders>
              <w:bottom w:val="single" w:sz="8" w:color="auto"/>
            </w:tcBorders>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4030345</wp:posOffset>
            </wp:positionH>
            <wp:positionV relativeFrom="paragraph">
              <wp:posOffset>-1057275</wp:posOffset>
            </wp:positionV>
            <wp:extent cx="126365" cy="120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6365" cy="1206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-1069975</wp:posOffset>
            </wp:positionV>
            <wp:extent cx="5513070" cy="11017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13070" cy="110172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BARDA Income and Receivables</w:t>
      </w:r>
    </w:p>
    <w:p>
      <w:pPr>
        <w:spacing w:after="0" w:line="227" w:lineRule="exact"/>
        <w:rPr>
          <w:sz w:val="20"/>
          <w:szCs w:val="20"/>
          <w:color w:val="auto"/>
        </w:rPr>
      </w:pPr>
    </w:p>
    <w:p>
      <w:pPr>
        <w:jc w:val="both"/>
        <w:ind w:right="40" w:firstLine="720"/>
        <w:spacing w:after="0" w:line="259" w:lineRule="auto"/>
        <w:rPr>
          <w:sz w:val="20"/>
          <w:szCs w:val="20"/>
          <w:color w:val="auto"/>
        </w:rPr>
      </w:pPr>
      <w:r>
        <w:rPr>
          <w:rFonts w:ascii="Times New Roman" w:cs="Times New Roman" w:eastAsia="Times New Roman" w:hAnsi="Times New Roman"/>
          <w:sz w:val="20"/>
          <w:szCs w:val="20"/>
          <w:color w:val="auto"/>
        </w:rPr>
        <w:t>The Company was awarded a BARDA grant in September 2015. Under this grant BARDA supports the Company’s research and development for the Company’s product, including the ongoing U.S. clinical regulatory program targeted towards FDA PMA, our compassionate use program, clinical and health economics research, and U.S. pediatric burn programs.</w:t>
      </w:r>
    </w:p>
    <w:p>
      <w:pPr>
        <w:spacing w:after="0" w:line="177" w:lineRule="exact"/>
        <w:rPr>
          <w:sz w:val="20"/>
          <w:szCs w:val="20"/>
          <w:color w:val="auto"/>
        </w:rPr>
      </w:pPr>
    </w:p>
    <w:p>
      <w:pPr>
        <w:ind w:right="60" w:firstLine="720"/>
        <w:spacing w:after="0" w:line="252" w:lineRule="auto"/>
        <w:rPr>
          <w:sz w:val="20"/>
          <w:szCs w:val="20"/>
          <w:color w:val="auto"/>
        </w:rPr>
      </w:pPr>
      <w:r>
        <w:rPr>
          <w:rFonts w:ascii="Times New Roman" w:cs="Times New Roman" w:eastAsia="Times New Roman" w:hAnsi="Times New Roman"/>
          <w:sz w:val="20"/>
          <w:szCs w:val="20"/>
          <w:color w:val="auto"/>
        </w:rPr>
        <w:t>Consideration received under the BARDA grant is earned and recognized under a cost-plus-fixed-fee arrangement in which the Company is reimbursed for direct costs incurred plus allowable indirect costs and a fixed-fee earned. Billings under the contracts are based on approved provisional indirect billing rates, which permit recovery of fringe benefits, general and administrative expenses and a fixed fee.</w:t>
      </w:r>
    </w:p>
    <w:p>
      <w:pPr>
        <w:spacing w:after="0" w:line="184" w:lineRule="exact"/>
        <w:rPr>
          <w:sz w:val="20"/>
          <w:szCs w:val="20"/>
          <w:color w:val="auto"/>
        </w:rPr>
      </w:pPr>
    </w:p>
    <w:p>
      <w:pPr>
        <w:ind w:right="120" w:firstLine="720"/>
        <w:spacing w:after="0" w:line="246" w:lineRule="auto"/>
        <w:rPr>
          <w:sz w:val="20"/>
          <w:szCs w:val="20"/>
          <w:color w:val="auto"/>
        </w:rPr>
      </w:pPr>
      <w:r>
        <w:rPr>
          <w:rFonts w:ascii="Times New Roman" w:cs="Times New Roman" w:eastAsia="Times New Roman" w:hAnsi="Times New Roman"/>
          <w:sz w:val="20"/>
          <w:szCs w:val="20"/>
          <w:color w:val="auto"/>
        </w:rPr>
        <w:t xml:space="preserve">The Company has concluded that grants under the BARDA grant are not within the scope of ASC 606, as they do not meet the definition of a contract with a “customer.” The Company has further concluded that Subtopic 958-605, </w:t>
      </w:r>
      <w:r>
        <w:rPr>
          <w:rFonts w:ascii="Times New Roman" w:cs="Times New Roman" w:eastAsia="Times New Roman" w:hAnsi="Times New Roman"/>
          <w:sz w:val="20"/>
          <w:szCs w:val="20"/>
          <w:i w:val="1"/>
          <w:iCs w:val="1"/>
          <w:color w:val="auto"/>
        </w:rPr>
        <w:t xml:space="preserve">Not-for-Profit-Entities-Revenue Recognition </w:t>
      </w:r>
      <w:r>
        <w:rPr>
          <w:rFonts w:ascii="Times New Roman" w:cs="Times New Roman" w:eastAsia="Times New Roman" w:hAnsi="Times New Roman"/>
          <w:sz w:val="20"/>
          <w:szCs w:val="20"/>
          <w:color w:val="auto"/>
        </w:rPr>
        <w:t>also does not apply, as the Company is a business entity and the grants are with governmental agencies or units.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With respect to the BARDA grant, we considered the guidance in IAS 20, </w:t>
      </w:r>
      <w:r>
        <w:rPr>
          <w:rFonts w:ascii="Times New Roman" w:cs="Times New Roman" w:eastAsia="Times New Roman" w:hAnsi="Times New Roman"/>
          <w:sz w:val="20"/>
          <w:szCs w:val="20"/>
          <w:i w:val="1"/>
          <w:iCs w:val="1"/>
          <w:color w:val="auto"/>
        </w:rPr>
        <w:t>Accounting for Government Grants and Disclosure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Government Assistance, </w:t>
      </w:r>
      <w:r>
        <w:rPr>
          <w:rFonts w:ascii="Times New Roman" w:cs="Times New Roman" w:eastAsia="Times New Roman" w:hAnsi="Times New Roman"/>
          <w:sz w:val="20"/>
          <w:szCs w:val="20"/>
          <w:color w:val="auto"/>
        </w:rPr>
        <w:t>by analogy. BARDA income and related receivables are recognized when there is reasonable assurance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grant will be received, and all attaching conditions have been complied with. When the grant relates to an expense item, the grant received is recognized as income over the period when the expense was incurred.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Inventory</w:t>
      </w:r>
    </w:p>
    <w:p>
      <w:pPr>
        <w:spacing w:after="0" w:line="229"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Inventory is valued at the lower of cost or estimated net realizable value and is reflected in cost of sales. Costs incurred in bringing each product to its present location and condition are accounted for at purchase cost on a first-in, first-out basis (“</w:t>
      </w:r>
      <w:r>
        <w:rPr>
          <w:rFonts w:ascii="Times New Roman" w:cs="Times New Roman" w:eastAsia="Times New Roman" w:hAnsi="Times New Roman"/>
          <w:sz w:val="20"/>
          <w:szCs w:val="20"/>
          <w:b w:val="1"/>
          <w:bCs w:val="1"/>
          <w:color w:val="auto"/>
        </w:rPr>
        <w:t>FIFO</w:t>
      </w:r>
      <w:r>
        <w:rPr>
          <w:rFonts w:ascii="Times New Roman" w:cs="Times New Roman" w:eastAsia="Times New Roman" w:hAnsi="Times New Roman"/>
          <w:sz w:val="20"/>
          <w:szCs w:val="20"/>
          <w:color w:val="auto"/>
        </w:rPr>
        <w:t>”). The Company capitalizes inventory costs associated with the Company’s products when, based on management’s judgment, future commercialization is considered probable and the future economic benefit is expected to be realized; otherwise, such costs are expensed as research and development. Inventory is evaluated for impairment periodically to identify inventory obsolescence when an inventory item’s cost basis is in excess of its net realizable value. These adjustments are based upon multiple factors, including inventory levels, projected demand, and product shelf life.</w:t>
      </w:r>
    </w:p>
    <w:p>
      <w:pPr>
        <w:spacing w:after="0" w:line="191" w:lineRule="exact"/>
        <w:rPr>
          <w:sz w:val="20"/>
          <w:szCs w:val="20"/>
          <w:color w:val="auto"/>
        </w:rPr>
      </w:pPr>
    </w:p>
    <w:p>
      <w:pPr>
        <w:ind w:right="240" w:firstLine="720"/>
        <w:spacing w:after="0" w:line="276" w:lineRule="auto"/>
        <w:rPr>
          <w:sz w:val="20"/>
          <w:szCs w:val="20"/>
          <w:color w:val="auto"/>
        </w:rPr>
      </w:pPr>
      <w:r>
        <w:rPr>
          <w:rFonts w:ascii="Times New Roman" w:cs="Times New Roman" w:eastAsia="Times New Roman" w:hAnsi="Times New Roman"/>
          <w:sz w:val="20"/>
          <w:szCs w:val="20"/>
          <w:color w:val="auto"/>
        </w:rPr>
        <w:t>Net realizable value is the estimated selling price in the ordinary course of business, less estimated costs of completion and costs to complete the sale.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F-13</w:t>
      </w:r>
    </w:p>
    <w:p>
      <w:pPr>
        <w:sectPr>
          <w:pgSz w:w="11880" w:h="15480" w:orient="portrait"/>
          <w:cols w:equalWidth="0" w:num="1">
            <w:col w:w="10800"/>
          </w:cols>
          <w:pgMar w:left="540" w:top="887" w:right="540" w:bottom="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198" w:lineRule="exact"/>
        <w:rPr>
          <w:sz w:val="20"/>
          <w:szCs w:val="20"/>
          <w:color w:val="auto"/>
        </w:rPr>
      </w:pPr>
    </w:p>
    <w:p>
      <w:pPr>
        <w:ind w:right="80" w:firstLine="720"/>
        <w:spacing w:after="0" w:line="247" w:lineRule="auto"/>
        <w:rPr>
          <w:sz w:val="20"/>
          <w:szCs w:val="20"/>
          <w:color w:val="auto"/>
        </w:rPr>
      </w:pPr>
      <w:r>
        <w:rPr>
          <w:rFonts w:ascii="Times New Roman" w:cs="Times New Roman" w:eastAsia="Times New Roman" w:hAnsi="Times New Roman"/>
          <w:sz w:val="20"/>
          <w:szCs w:val="20"/>
          <w:color w:val="auto"/>
        </w:rPr>
        <w:t>The Company has operating leases for corporate office space, manufacturing and warehouse facility. The Company has finance leases for equipment and furniture, which are not material to the consolidated financial statements. The Company’s operating leases have remaining lease terms of one year to two years, some of which include options to renew the lease. At contract inception, the Company determines whether the contract is a lease or contains a lease. A contract contains a lease if the Company is both able to identify an asset and can conclude it has the right to control the identified asset for a period of time. Leases with an initial term of twelve months or less are not recorded on the Consolidated Balance Sheet.</w:t>
      </w:r>
    </w:p>
    <w:p>
      <w:pPr>
        <w:spacing w:after="0" w:line="187" w:lineRule="exact"/>
        <w:rPr>
          <w:sz w:val="20"/>
          <w:szCs w:val="20"/>
          <w:color w:val="auto"/>
        </w:rPr>
      </w:pPr>
    </w:p>
    <w:p>
      <w:pPr>
        <w:ind w:right="140" w:firstLine="720"/>
        <w:spacing w:after="0" w:line="246" w:lineRule="auto"/>
        <w:rPr>
          <w:sz w:val="20"/>
          <w:szCs w:val="20"/>
          <w:color w:val="auto"/>
        </w:rPr>
      </w:pPr>
      <w:r>
        <w:rPr>
          <w:rFonts w:ascii="Times New Roman" w:cs="Times New Roman" w:eastAsia="Times New Roman" w:hAnsi="Times New Roman"/>
          <w:sz w:val="20"/>
          <w:szCs w:val="20"/>
          <w:color w:val="auto"/>
        </w:rPr>
        <w:t>Right-of-use (“</w:t>
      </w:r>
      <w:r>
        <w:rPr>
          <w:rFonts w:ascii="Times New Roman" w:cs="Times New Roman" w:eastAsia="Times New Roman" w:hAnsi="Times New Roman"/>
          <w:sz w:val="20"/>
          <w:szCs w:val="20"/>
          <w:b w:val="1"/>
          <w:bCs w:val="1"/>
          <w:color w:val="auto"/>
        </w:rPr>
        <w:t>ROU</w:t>
      </w:r>
      <w:r>
        <w:rPr>
          <w:rFonts w:ascii="Times New Roman" w:cs="Times New Roman" w:eastAsia="Times New Roman" w:hAnsi="Times New Roman"/>
          <w:sz w:val="20"/>
          <w:szCs w:val="20"/>
          <w:color w:val="auto"/>
        </w:rPr>
        <w:t>”) assets represent the Company’s right to control an underlying asset for the lease term, and lease liabilities represent the Company’s obligation to make lease payments arising from the lease. ROU assets and lease liabilities are recognized at commencement date based on the present value of lease payments over the lease term. As the Company’s leases do not provide an explicit rate, the Company used its incremental borrowing rate (“</w:t>
      </w:r>
      <w:r>
        <w:rPr>
          <w:rFonts w:ascii="Times New Roman" w:cs="Times New Roman" w:eastAsia="Times New Roman" w:hAnsi="Times New Roman"/>
          <w:sz w:val="20"/>
          <w:szCs w:val="20"/>
          <w:b w:val="1"/>
          <w:bCs w:val="1"/>
          <w:color w:val="auto"/>
        </w:rPr>
        <w:t>IBR</w:t>
      </w:r>
      <w:r>
        <w:rPr>
          <w:rFonts w:ascii="Times New Roman" w:cs="Times New Roman" w:eastAsia="Times New Roman" w:hAnsi="Times New Roman"/>
          <w:sz w:val="20"/>
          <w:szCs w:val="20"/>
          <w:color w:val="auto"/>
        </w:rPr>
        <w:t>”) based on the information available at commencement date in determining the discount rate used to present value lease payments. In determining the IBR, the Company considered its credit rating and current market interest rates. The IBR used approximates the interest that the Company would be required to pay for a collateralized loan over a similar term. The Company’s leases typically do not include any residual value guarantees or asset retirement obligations.</w:t>
      </w:r>
    </w:p>
    <w:p>
      <w:pPr>
        <w:spacing w:after="0" w:line="189" w:lineRule="exact"/>
        <w:rPr>
          <w:sz w:val="20"/>
          <w:szCs w:val="20"/>
          <w:color w:val="auto"/>
        </w:rPr>
      </w:pPr>
    </w:p>
    <w:p>
      <w:pPr>
        <w:ind w:right="140" w:firstLine="720"/>
        <w:spacing w:after="0" w:line="247" w:lineRule="auto"/>
        <w:rPr>
          <w:sz w:val="20"/>
          <w:szCs w:val="20"/>
          <w:color w:val="auto"/>
        </w:rPr>
      </w:pPr>
      <w:r>
        <w:rPr>
          <w:rFonts w:ascii="Times New Roman" w:cs="Times New Roman" w:eastAsia="Times New Roman" w:hAnsi="Times New Roman"/>
          <w:sz w:val="20"/>
          <w:szCs w:val="20"/>
          <w:color w:val="auto"/>
        </w:rPr>
        <w:t>The Company’s lease terms are only for periods in which it has enforceable rights. A lease is no longer enforceable when both the lessee and the lessor each have the right to terminate the lease without permission from the other party with no more than an insignificant penalty. The Company has options to renew some of these leases for three years after their expiration. The Company considers these options, which may be elected at the Company’s sole discretion, in determining the lease term on a lease-by-lease basis. Lease expense is recognized on a straight-line basis over the lease term and is primarily included in general and administrative expenses in the accompanying consolidated statements of operations.</w:t>
      </w:r>
    </w:p>
    <w:p>
      <w:pPr>
        <w:spacing w:after="0" w:line="188" w:lineRule="exact"/>
        <w:rPr>
          <w:sz w:val="20"/>
          <w:szCs w:val="20"/>
          <w:color w:val="auto"/>
        </w:rPr>
      </w:pPr>
    </w:p>
    <w:p>
      <w:pPr>
        <w:ind w:right="420" w:firstLine="721"/>
        <w:spacing w:after="0" w:line="253" w:lineRule="auto"/>
        <w:rPr>
          <w:sz w:val="20"/>
          <w:szCs w:val="20"/>
          <w:color w:val="auto"/>
        </w:rPr>
      </w:pPr>
      <w:r>
        <w:rPr>
          <w:rFonts w:ascii="Times New Roman" w:cs="Times New Roman" w:eastAsia="Times New Roman" w:hAnsi="Times New Roman"/>
          <w:sz w:val="20"/>
          <w:szCs w:val="20"/>
          <w:color w:val="auto"/>
        </w:rPr>
        <w:t>The Company has lease agreements with lease and non-lease components, which are accounted for as a single lease component for all underlying asset classes. Some leases require variable payments for common area maintenance, property taxes, parking, insurance and other variable costs. The variable portion of lease payments is not included in operating lease assets or liabilities. Variable lease costs are expensed when incurred.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Plant and Equipment</w:t>
      </w:r>
    </w:p>
    <w:p>
      <w:pPr>
        <w:spacing w:after="0" w:line="229" w:lineRule="exact"/>
        <w:rPr>
          <w:sz w:val="20"/>
          <w:szCs w:val="20"/>
          <w:color w:val="auto"/>
        </w:rPr>
      </w:pPr>
    </w:p>
    <w:p>
      <w:pPr>
        <w:ind w:firstLine="721"/>
        <w:spacing w:after="0" w:line="246" w:lineRule="auto"/>
        <w:rPr>
          <w:sz w:val="20"/>
          <w:szCs w:val="20"/>
          <w:color w:val="auto"/>
        </w:rPr>
      </w:pPr>
      <w:r>
        <w:rPr>
          <w:rFonts w:ascii="Times New Roman" w:cs="Times New Roman" w:eastAsia="Times New Roman" w:hAnsi="Times New Roman"/>
          <w:sz w:val="20"/>
          <w:szCs w:val="20"/>
          <w:color w:val="auto"/>
        </w:rPr>
        <w:t>The Company’s property, plant and equipment are stated at cost, net of accumulated depreciation and amortization. Depreciation is computed based on the straight-line method over the estimated useful lives of the various asset classes, generally three to seven years. Leasehold improvements are amortized over the shorter of the life of the related asset or the remaining term of the lease. Costs associated with customized internal-use software systems that have reached the application development stage and meet recoverability tests are capitalized and include external direct costs utilized in developing or obtaining the applications and payroll and payroll-related expenses for employees who are directly associated with the application development. Maintenance and repairs are expensed as incurred.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272" w:lineRule="exact"/>
        <w:rPr>
          <w:sz w:val="20"/>
          <w:szCs w:val="20"/>
          <w:color w:val="auto"/>
        </w:rPr>
      </w:pPr>
    </w:p>
    <w:p>
      <w:pPr>
        <w:ind w:right="60" w:firstLine="721"/>
        <w:spacing w:after="0" w:line="253" w:lineRule="auto"/>
        <w:rPr>
          <w:sz w:val="20"/>
          <w:szCs w:val="20"/>
          <w:color w:val="auto"/>
        </w:rPr>
      </w:pPr>
      <w:r>
        <w:rPr>
          <w:rFonts w:ascii="Times New Roman" w:cs="Times New Roman" w:eastAsia="Times New Roman" w:hAnsi="Times New Roman"/>
          <w:sz w:val="20"/>
          <w:szCs w:val="20"/>
          <w:color w:val="auto"/>
        </w:rPr>
        <w:t>The Company maintains definite-lived intangible assets related to patents initially measured at cost and amortized over estimated useful lives of approximately 3—20 years. The Company had capitalized patent costs of $558,000, $673,000 and $700,000 as of December 31, 2022, December 31, 2021, and June 30, 2021 respectively, related to regulatory approval of the RECELL System, and are being amortized over their estimated useful lives.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227" w:lineRule="exact"/>
        <w:rPr>
          <w:sz w:val="20"/>
          <w:szCs w:val="20"/>
          <w:color w:val="auto"/>
        </w:rPr>
      </w:pPr>
    </w:p>
    <w:p>
      <w:pPr>
        <w:ind w:right="60" w:firstLine="721"/>
        <w:spacing w:after="0" w:line="246" w:lineRule="auto"/>
        <w:rPr>
          <w:sz w:val="20"/>
          <w:szCs w:val="20"/>
          <w:color w:val="auto"/>
        </w:rPr>
      </w:pPr>
      <w:r>
        <w:rPr>
          <w:rFonts w:ascii="Times New Roman" w:cs="Times New Roman" w:eastAsia="Times New Roman" w:hAnsi="Times New Roman"/>
          <w:sz w:val="20"/>
          <w:szCs w:val="20"/>
          <w:color w:val="auto"/>
        </w:rPr>
        <w:t>The Company evaluates long-lived assets for impairment whenever events or changes in circumstances indicate that the carrying amount of an asset may not be recoverable. If the sum of the estimated, undiscounted future cash flows is less than the carrying amount of the asset, then an impairment is recognized for the amount by which the carrying value of the asset exceeds its estimated fair value. Fair value is determined using the market, income, or cost approaches as appropriate for the asset. Any write-downs are treated as permanent reductions in the carrying amount of the asset and recognized as an operating loss. The Company recorded $42,000 of impairments intangible assets during the transition period ended December 31, 2021. There were no impairments of long-lived assets for the year-ended December 31, 2022 and June 30, 2021.</w:t>
      </w:r>
    </w:p>
    <w:p>
      <w:pPr>
        <w:sectPr>
          <w:pgSz w:w="11880" w:h="15480" w:orient="portrait"/>
          <w:cols w:equalWidth="0" w:num="1">
            <w:col w:w="10780"/>
          </w:cols>
          <w:pgMar w:left="540" w:top="888" w:right="560" w:bottom="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F-14</w:t>
      </w:r>
    </w:p>
    <w:p>
      <w:pPr>
        <w:sectPr>
          <w:pgSz w:w="11880" w:h="15480" w:orient="portrait"/>
          <w:cols w:equalWidth="0" w:num="1">
            <w:col w:w="10780"/>
          </w:cols>
          <w:pgMar w:left="540" w:top="888" w:right="560" w:bottom="5"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20"/>
          <w:szCs w:val="20"/>
          <w:b w:val="1"/>
          <w:bCs w:val="1"/>
          <w:i w:val="1"/>
          <w:iCs w:val="1"/>
          <w:color w:val="auto"/>
        </w:rPr>
        <w:t>Sales and Marketing Expenses</w:t>
      </w:r>
    </w:p>
    <w:p>
      <w:pPr>
        <w:spacing w:after="0" w:line="230"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auto"/>
        </w:rPr>
        <w:t>Sales and marketing expenses consist primarily of compensation and employee benefits of sales and marketing personnel and related field sales organization, marketing events, advertising costs, travel, trade shows and other marketing materials. The Company expenses all selling and marketing costs as incurred. Advertising expenses were $216,000, $16,000, and $73,000 for the year-ended December 31, 2022, the transition period ended December 31, 2021, and the year-ended June 30, 2021,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229" w:lineRule="exact"/>
        <w:rPr>
          <w:sz w:val="20"/>
          <w:szCs w:val="20"/>
          <w:color w:val="auto"/>
        </w:rPr>
      </w:pPr>
    </w:p>
    <w:p>
      <w:pPr>
        <w:jc w:val="both"/>
        <w:ind w:right="40" w:firstLine="720"/>
        <w:spacing w:after="0" w:line="278" w:lineRule="auto"/>
        <w:rPr>
          <w:sz w:val="20"/>
          <w:szCs w:val="20"/>
          <w:color w:val="auto"/>
        </w:rPr>
      </w:pPr>
      <w:r>
        <w:rPr>
          <w:rFonts w:ascii="Times New Roman" w:cs="Times New Roman" w:eastAsia="Times New Roman" w:hAnsi="Times New Roman"/>
          <w:sz w:val="19"/>
          <w:szCs w:val="19"/>
          <w:color w:val="auto"/>
        </w:rPr>
        <w:t>Research and development expenses represent costs incurred to develop the Company’s products. Research and development expenses consist primarily of salaries and other personnel costs, clinical trial costs, regulatory costs and manufacturing costs for non-commercial products. The Company expenses all research and development costs in the periods in which they are incurred.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229"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 xml:space="preserve">The Company records compensation expense for stock options and RSUs based on the fair market value of the awards on the date of grant. The fair value of stock-based compensation awards is amortized over the vesting period of the award. Compensation expense for performance-based awards is measured based on the number of shares ultimately expected to vest, estimated at each reporting date based on management’s expectations regarding the relevant performance criteria, if any. The Black-Scholes option pricing model and Monte Carlo Simulation were used to estimate the fair value of the time-based and performance-based options, respectively. Under ASU 2016-09, </w:t>
      </w:r>
      <w:r>
        <w:rPr>
          <w:rFonts w:ascii="Times New Roman" w:cs="Times New Roman" w:eastAsia="Times New Roman" w:hAnsi="Times New Roman"/>
          <w:sz w:val="20"/>
          <w:szCs w:val="20"/>
          <w:i w:val="1"/>
          <w:iCs w:val="1"/>
          <w:color w:val="auto"/>
        </w:rPr>
        <w:t>Compensation – Stock Compensation (“ASC 718”) Improvements to Employee Share-Based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Payment Accounting</w:t>
      </w:r>
      <w:r>
        <w:rPr>
          <w:rFonts w:ascii="Times New Roman" w:cs="Times New Roman" w:eastAsia="Times New Roman" w:hAnsi="Times New Roman"/>
          <w:sz w:val="20"/>
          <w:szCs w:val="20"/>
          <w:color w:val="auto"/>
        </w:rPr>
        <w:t>, the Company elected to account for forfeitures as they occur.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assumptions were used in the valuation of stock options.</w:t>
      </w:r>
    </w:p>
    <w:p>
      <w:pPr>
        <w:spacing w:after="0" w:line="15" w:lineRule="exact"/>
        <w:rPr>
          <w:sz w:val="20"/>
          <w:szCs w:val="20"/>
          <w:color w:val="auto"/>
        </w:rPr>
      </w:pPr>
    </w:p>
    <w:p>
      <w:pPr>
        <w:ind w:left="720" w:right="40" w:hanging="360"/>
        <w:spacing w:after="0" w:line="247" w:lineRule="auto"/>
        <w:tabs>
          <w:tab w:leader="none" w:pos="72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Expected volatility – determined using the average of the historical volatility using daily intervals over the expected term and the derived volatility using the longest term available of 12 months.</w:t>
      </w:r>
    </w:p>
    <w:p>
      <w:pPr>
        <w:spacing w:after="0" w:line="1" w:lineRule="exact"/>
        <w:rPr>
          <w:rFonts w:ascii="Arial" w:cs="Arial" w:eastAsia="Arial" w:hAnsi="Arial"/>
          <w:sz w:val="20"/>
          <w:szCs w:val="20"/>
          <w:color w:val="auto"/>
        </w:rPr>
      </w:pPr>
    </w:p>
    <w:p>
      <w:pPr>
        <w:ind w:left="720" w:right="20" w:hanging="360"/>
        <w:spacing w:after="0" w:line="278" w:lineRule="auto"/>
        <w:tabs>
          <w:tab w:leader="none" w:pos="72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Expected dividends – none, based on the fact that the Company has never paid cash dividends and does not expect to pay any cash dividends in the foreseeable future.</w:t>
      </w:r>
    </w:p>
    <w:p>
      <w:pPr>
        <w:spacing w:after="0" w:line="181" w:lineRule="exact"/>
        <w:rPr>
          <w:rFonts w:ascii="Arial" w:cs="Arial" w:eastAsia="Arial" w:hAnsi="Arial"/>
          <w:sz w:val="20"/>
          <w:szCs w:val="20"/>
          <w:color w:val="auto"/>
        </w:rPr>
      </w:pPr>
    </w:p>
    <w:p>
      <w:pPr>
        <w:ind w:left="720" w:hanging="360"/>
        <w:spacing w:after="0" w:line="241" w:lineRule="auto"/>
        <w:tabs>
          <w:tab w:leader="none" w:pos="72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Expected term – the expected term of the Company’s stock options for tenure only vesting has been determined utilizing the “simplified” method as described in the SEC’s Staff Accounting Bulletin No. 107 relating to share-based compensation. The simplified method was chosen because the Company has limited historical option exercise experience due to its short operating history of awards granted, with the first plan being established in 2016 which was primarily used for executive awards. Further, the Company does not have sufficient history of exercises in the U.S. market given the Company’s redomiciliation from Australia to the United States in 2020. The expected term of options with a performance condition or market condition was set to the contractual term of 10 years. The contractual term was used for options with a performance or market condition as these are primarily awarded to executives and the Company assumes that they will hold them longer than rank and file employees.</w:t>
      </w:r>
    </w:p>
    <w:p>
      <w:pPr>
        <w:spacing w:after="0" w:line="4" w:lineRule="exact"/>
        <w:rPr>
          <w:rFonts w:ascii="Arial" w:cs="Arial" w:eastAsia="Arial" w:hAnsi="Arial"/>
          <w:sz w:val="20"/>
          <w:szCs w:val="20"/>
          <w:color w:val="auto"/>
        </w:rPr>
      </w:pPr>
    </w:p>
    <w:p>
      <w:pPr>
        <w:ind w:left="720" w:right="60" w:hanging="360"/>
        <w:spacing w:after="0" w:line="278" w:lineRule="auto"/>
        <w:tabs>
          <w:tab w:leader="none" w:pos="72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Risk-free interest rate – the risk-free interest rate is based on the U.S. Treasury yield in effect at the time of grant for a period approximately equal to the expected term of the award.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Loss per Share</w:t>
      </w:r>
    </w:p>
    <w:p>
      <w:pPr>
        <w:spacing w:after="0" w:line="227" w:lineRule="exact"/>
        <w:rPr>
          <w:sz w:val="20"/>
          <w:szCs w:val="20"/>
          <w:color w:val="auto"/>
        </w:rPr>
      </w:pPr>
    </w:p>
    <w:p>
      <w:pPr>
        <w:ind w:right="100" w:firstLine="721"/>
        <w:spacing w:after="0" w:line="247" w:lineRule="auto"/>
        <w:rPr>
          <w:sz w:val="20"/>
          <w:szCs w:val="20"/>
          <w:color w:val="auto"/>
        </w:rPr>
      </w:pPr>
      <w:r>
        <w:rPr>
          <w:rFonts w:ascii="Times New Roman" w:cs="Times New Roman" w:eastAsia="Times New Roman" w:hAnsi="Times New Roman"/>
          <w:sz w:val="20"/>
          <w:szCs w:val="20"/>
          <w:color w:val="auto"/>
        </w:rPr>
        <w:t>Basic net loss per share is computed by dividing net loss by the weighted-average number of common shares outstanding during the period. Diluted earnings per share is computed by dividing net loss by the weighted-average number of common shares outstanding during the period, assuming potentially dilutive ordinary shares from option exercises, employee share awards, and other dilutive instruments that have been issued. For periods where the Company has presented a net loss, potentially dilutive securities are excluded from the computation of diluted net loss per share as they would be anti-dilutive. In accordance with ASC 710-10, shares of common stock held by the rabbi trust are excluded from the denominator in the basic and diluted EPS calculations.</w:t>
      </w:r>
    </w:p>
    <w:p>
      <w:pPr>
        <w:sectPr>
          <w:pgSz w:w="11880" w:h="15480" w:orient="portrait"/>
          <w:cols w:equalWidth="0" w:num="1">
            <w:col w:w="10780"/>
          </w:cols>
          <w:pgMar w:left="540" w:top="888" w:right="560" w:bottom="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F-15</w:t>
      </w:r>
    </w:p>
    <w:p>
      <w:pPr>
        <w:sectPr>
          <w:pgSz w:w="11880" w:h="15480" w:orient="portrait"/>
          <w:cols w:equalWidth="0" w:num="1">
            <w:col w:w="10780"/>
          </w:cols>
          <w:pgMar w:left="540" w:top="888" w:right="560" w:bottom="5"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20"/>
          <w:szCs w:val="20"/>
          <w:b w:val="1"/>
          <w:bCs w:val="1"/>
          <w:i w:val="1"/>
          <w:iCs w:val="1"/>
          <w:color w:val="auto"/>
        </w:rPr>
        <w:t>Non-Qualified Deferred Compensation Plan Liability and Corporate-Owned Life Insurance Asset</w:t>
      </w:r>
    </w:p>
    <w:p>
      <w:pPr>
        <w:spacing w:after="0" w:line="230" w:lineRule="exact"/>
        <w:rPr>
          <w:sz w:val="20"/>
          <w:szCs w:val="20"/>
          <w:color w:val="auto"/>
        </w:rPr>
      </w:pPr>
    </w:p>
    <w:p>
      <w:pPr>
        <w:ind w:right="60" w:firstLine="720"/>
        <w:spacing w:after="0" w:line="242" w:lineRule="auto"/>
        <w:rPr>
          <w:sz w:val="20"/>
          <w:szCs w:val="20"/>
          <w:color w:val="auto"/>
        </w:rPr>
      </w:pPr>
      <w:r>
        <w:rPr>
          <w:rFonts w:ascii="Times New Roman" w:cs="Times New Roman" w:eastAsia="Times New Roman" w:hAnsi="Times New Roman"/>
          <w:sz w:val="20"/>
          <w:szCs w:val="20"/>
          <w:color w:val="auto"/>
        </w:rPr>
        <w:t>The Company’s non-qualified deferred compensation plan (the •NQDC plan•), which became effective in October 2021, allows highly compensated key employees to elect to defer a portion of their salary, bonus, commissions and RSU awards to later years. Management determined that the cash deferrals under the NQDC plan shall be accounted for similarly to a defined benefit plan under ASC 715, Compensation – Retirement Benefits, and should follow accounting treatment that is similar to a cash balance plan. Management determined that the employee portion and employer portion of the deferred compensation should be recognized as a compensation expense with a corresponding credit to deferred compensation liability. The matching contribution will be accrued over the vesting period of two years with 25% vesting in the first year and 75% vesting in the second year. Employees aged 55 or older immediately vest in employer matching contributions. The change in the liability between each reporting period is accounted for as compensation expense with a corresponding adjustment to deferred compensation liability. Upon distribution, the Company will record the distribution as a decrease to compensation liability with a corresponding credit to cash. The Company funds the NQDC plan through a Corporate-Owned Life Insurance (“COLI”). Per the ASC 325-30-25-1A, Investments – Other, COLI is recorded as an asset in on the Consolidated Balance Sheets as it does not meet the definition of a plan asset under ASC 715. The Company invests in COLI policies relating to its deferred compensation plan. Investments in COLI policies are recorded at their cash surrender values as of each balance sheet date. Changes in the cash surrender value during the period are recorded as a gain or loss in the statements of operations in Other income.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Rabbi Trust</w:t>
      </w:r>
    </w:p>
    <w:p>
      <w:pPr>
        <w:spacing w:after="0" w:line="203" w:lineRule="exact"/>
        <w:rPr>
          <w:sz w:val="20"/>
          <w:szCs w:val="20"/>
          <w:color w:val="auto"/>
        </w:rPr>
      </w:pPr>
    </w:p>
    <w:p>
      <w:pPr>
        <w:ind w:right="140" w:firstLine="720"/>
        <w:spacing w:after="0" w:line="234" w:lineRule="auto"/>
        <w:rPr>
          <w:sz w:val="20"/>
          <w:szCs w:val="20"/>
          <w:color w:val="auto"/>
        </w:rPr>
      </w:pPr>
      <w:r>
        <w:rPr>
          <w:rFonts w:ascii="Times New Roman" w:cs="Times New Roman" w:eastAsia="Times New Roman" w:hAnsi="Times New Roman"/>
          <w:sz w:val="20"/>
          <w:szCs w:val="20"/>
          <w:color w:val="auto"/>
        </w:rPr>
        <w:t>During April 2022, we established a rabbi trust for a select group of participants in which share awards granted under the 2020 Omnibus Incentive Plan (“2020 Plan”) and deferred under the NQDC plan may be deposited. In addition to the deferral of shares, the rabbi trust holds the assets in the COLI for the NQDC plan. The rabbi trust is an irrevocable trust and no portion of the trust fund may be used for any purpose other than the delivery of those assets to the participants. The assets held in the rabbi trust are subject to the claims of our general creditors in the event of bankruptcy or insolvency. The value of the assets of the rabbi trust is consolidated into our financial statements.</w:t>
      </w:r>
    </w:p>
    <w:p>
      <w:pPr>
        <w:spacing w:after="0" w:line="169" w:lineRule="exact"/>
        <w:rPr>
          <w:sz w:val="20"/>
          <w:szCs w:val="20"/>
          <w:color w:val="auto"/>
        </w:rPr>
      </w:pPr>
    </w:p>
    <w:p>
      <w:pPr>
        <w:ind w:right="60" w:firstLine="721"/>
        <w:spacing w:after="0" w:line="236" w:lineRule="auto"/>
        <w:rPr>
          <w:sz w:val="20"/>
          <w:szCs w:val="20"/>
          <w:color w:val="auto"/>
        </w:rPr>
      </w:pPr>
      <w:r>
        <w:rPr>
          <w:rFonts w:ascii="Times New Roman" w:cs="Times New Roman" w:eastAsia="Times New Roman" w:hAnsi="Times New Roman"/>
          <w:sz w:val="20"/>
          <w:szCs w:val="20"/>
          <w:color w:val="auto"/>
        </w:rPr>
        <w:t>The NQDC plan permits diversification of vested shares (common stock) into other equity securities subject to a six-month and one day holding period subsequent to vesting. Per ASC 710-10-25-15, accounting for deferred common stock will be under plan type C or D. Accounting will depend on whether or not the employee has diversified the common stock. Under Plan type C, diversification is permitted but the employee has not diversified. Under Plan type D, diversification is permitted and the employee has diversified.</w:t>
      </w:r>
    </w:p>
    <w:p>
      <w:pPr>
        <w:spacing w:after="0" w:line="170" w:lineRule="exact"/>
        <w:rPr>
          <w:sz w:val="20"/>
          <w:szCs w:val="20"/>
          <w:color w:val="auto"/>
        </w:rPr>
      </w:pPr>
    </w:p>
    <w:p>
      <w:pPr>
        <w:ind w:right="60" w:firstLine="721"/>
        <w:spacing w:after="0" w:line="234" w:lineRule="auto"/>
        <w:rPr>
          <w:sz w:val="20"/>
          <w:szCs w:val="20"/>
          <w:color w:val="auto"/>
        </w:rPr>
      </w:pPr>
      <w:r>
        <w:rPr>
          <w:rFonts w:ascii="Times New Roman" w:cs="Times New Roman" w:eastAsia="Times New Roman" w:hAnsi="Times New Roman"/>
          <w:sz w:val="20"/>
          <w:szCs w:val="20"/>
          <w:color w:val="auto"/>
        </w:rPr>
        <w:t>For common stock that have not been diversified, the employer stock held in the rabbi trust is classified in a manner similar to treasury stock and presented separately on the Consolidated Balance Sheets as Company common stock held by the non-qualified deferred compensation plan. Common stock will be recorded at fair value of the stock at the time it vested, subsequent changes in the value of the common stock will not be recognized. The deferred compensation obligation is measured independently at fair value of the common stock with a corresponding charge or credit to compensation cost. Fair value is determined as the product of the common stock and the closing price of the stock each reporting period.</w:t>
      </w:r>
    </w:p>
    <w:p>
      <w:pPr>
        <w:spacing w:after="0" w:line="170" w:lineRule="exact"/>
        <w:rPr>
          <w:sz w:val="20"/>
          <w:szCs w:val="20"/>
          <w:color w:val="auto"/>
        </w:rPr>
      </w:pPr>
    </w:p>
    <w:p>
      <w:pPr>
        <w:ind w:firstLine="721"/>
        <w:spacing w:after="0" w:line="239" w:lineRule="auto"/>
        <w:rPr>
          <w:sz w:val="20"/>
          <w:szCs w:val="20"/>
          <w:color w:val="auto"/>
        </w:rPr>
      </w:pPr>
      <w:r>
        <w:rPr>
          <w:rFonts w:ascii="Times New Roman" w:cs="Times New Roman" w:eastAsia="Times New Roman" w:hAnsi="Times New Roman"/>
          <w:sz w:val="20"/>
          <w:szCs w:val="20"/>
          <w:color w:val="auto"/>
        </w:rPr>
        <w:t>Under plan type D, assets held by the rabbi trust are subject to applicable GAAP. As diversified common stock will be invested in mutual funds, assets held by the rabbi trust will be subject to accounting in ASC 321 - Investments - Equity Securities. The deferred compensation obligation is measured independently at fair value of the underlying assets. As of December 31, 2022, deferred common stock has not been diversified.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Non-qualified deferred compensation share awards</w:t>
      </w:r>
    </w:p>
    <w:p>
      <w:pPr>
        <w:spacing w:after="0" w:line="200" w:lineRule="exact"/>
        <w:rPr>
          <w:sz w:val="20"/>
          <w:szCs w:val="20"/>
          <w:color w:val="auto"/>
        </w:rPr>
      </w:pPr>
    </w:p>
    <w:p>
      <w:pPr>
        <w:ind w:right="140" w:firstLine="721"/>
        <w:spacing w:after="0" w:line="235" w:lineRule="auto"/>
        <w:rPr>
          <w:sz w:val="20"/>
          <w:szCs w:val="20"/>
          <w:color w:val="auto"/>
        </w:rPr>
      </w:pPr>
      <w:r>
        <w:rPr>
          <w:rFonts w:ascii="Times New Roman" w:cs="Times New Roman" w:eastAsia="Times New Roman" w:hAnsi="Times New Roman"/>
          <w:sz w:val="20"/>
          <w:szCs w:val="20"/>
          <w:color w:val="auto"/>
        </w:rPr>
        <w:t>In accordance with ASC 718, Compensation — Stock Compensation, the deferred RSU awards under the NQDC plan are classified as an equity instrument and changes in fair value of the amount owed to the participant are not recognized. As the plan permits diversification, presentation outside of permanent equity in accordance with ASR 268, Redeemable Preferred Stock is appropriate. The redemption amounts are based on the vested percentage and are recorded outside of equity as non-qualified deferred compensation share awards on the Consolidated Balance Sheets. Deferred awards will be presented outside of permanent equity until the awards are vested.</w:t>
      </w:r>
    </w:p>
    <w:p>
      <w:pPr>
        <w:spacing w:after="0" w:line="166" w:lineRule="exact"/>
        <w:rPr>
          <w:sz w:val="20"/>
          <w:szCs w:val="20"/>
          <w:color w:val="auto"/>
        </w:rPr>
      </w:pPr>
    </w:p>
    <w:p>
      <w:pPr>
        <w:ind w:right="160" w:firstLine="721"/>
        <w:spacing w:after="0" w:line="246" w:lineRule="auto"/>
        <w:rPr>
          <w:sz w:val="20"/>
          <w:szCs w:val="20"/>
          <w:color w:val="auto"/>
        </w:rPr>
      </w:pPr>
      <w:r>
        <w:rPr>
          <w:rFonts w:ascii="Times New Roman" w:cs="Times New Roman" w:eastAsia="Times New Roman" w:hAnsi="Times New Roman"/>
          <w:sz w:val="20"/>
          <w:szCs w:val="20"/>
          <w:color w:val="auto"/>
        </w:rPr>
        <w:t>The redemption value of unvested and deferred RSU awards is recorded outside of equity as Non-qualified deferred compensation plan share awards. Once awards are vested, they are reclassified back to permanent equity as Company common stock held by the non-qualified deferred compensation plan in the Consolidated Balance Sheets. For further details refer to Note 18.</w:t>
      </w:r>
    </w:p>
    <w:p>
      <w:pPr>
        <w:sectPr>
          <w:pgSz w:w="11880" w:h="15480" w:orient="portrait"/>
          <w:cols w:equalWidth="0" w:num="1">
            <w:col w:w="10800"/>
          </w:cols>
          <w:pgMar w:left="540" w:top="888" w:right="540" w:bottom="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F-16</w:t>
      </w:r>
    </w:p>
    <w:p>
      <w:pPr>
        <w:sectPr>
          <w:pgSz w:w="11880" w:h="15480" w:orient="portrait"/>
          <w:cols w:equalWidth="0" w:num="1">
            <w:col w:w="10800"/>
          </w:cols>
          <w:pgMar w:left="540" w:top="888" w:right="540" w:bottom="5"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20"/>
          <w:szCs w:val="20"/>
          <w:b w:val="1"/>
          <w:bCs w:val="1"/>
          <w:i w:val="1"/>
          <w:iCs w:val="1"/>
          <w:color w:val="auto"/>
        </w:rPr>
        <w:t>Segment Reporting</w:t>
      </w:r>
    </w:p>
    <w:p>
      <w:pPr>
        <w:spacing w:after="0" w:line="230" w:lineRule="exact"/>
        <w:rPr>
          <w:sz w:val="20"/>
          <w:szCs w:val="20"/>
          <w:color w:val="auto"/>
        </w:rPr>
      </w:pPr>
    </w:p>
    <w:p>
      <w:pPr>
        <w:ind w:right="80" w:firstLine="720"/>
        <w:spacing w:after="0" w:line="252" w:lineRule="auto"/>
        <w:rPr>
          <w:sz w:val="20"/>
          <w:szCs w:val="20"/>
          <w:color w:val="auto"/>
        </w:rPr>
      </w:pPr>
      <w:r>
        <w:rPr>
          <w:rFonts w:ascii="Times New Roman" w:cs="Times New Roman" w:eastAsia="Times New Roman" w:hAnsi="Times New Roman"/>
          <w:sz w:val="20"/>
          <w:szCs w:val="20"/>
          <w:color w:val="auto"/>
        </w:rPr>
        <w:t>Operating segments are defined as components of an enterprise for which separate discrete financial information is available for evaluation by the chief operating decision-maker in making decisions regarding resource allocation and assessing performance. The Company’s chief operating decision-maker is its Chief Executive Officer. To date, the Company has viewed its operations and manages its business as one segment.</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Accounting Standards Update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Adopted Accounting Pronouncements</w:t>
      </w:r>
    </w:p>
    <w:p>
      <w:pPr>
        <w:spacing w:after="0" w:line="124" w:lineRule="exact"/>
        <w:rPr>
          <w:sz w:val="20"/>
          <w:szCs w:val="20"/>
          <w:color w:val="auto"/>
        </w:rPr>
      </w:pPr>
    </w:p>
    <w:p>
      <w:pPr>
        <w:ind w:right="20" w:firstLine="720"/>
        <w:spacing w:after="0" w:line="243" w:lineRule="auto"/>
        <w:rPr>
          <w:sz w:val="20"/>
          <w:szCs w:val="20"/>
          <w:color w:val="auto"/>
        </w:rPr>
      </w:pPr>
      <w:r>
        <w:rPr>
          <w:rFonts w:ascii="Times New Roman" w:cs="Times New Roman" w:eastAsia="Times New Roman" w:hAnsi="Times New Roman"/>
          <w:sz w:val="20"/>
          <w:szCs w:val="20"/>
          <w:color w:val="auto"/>
        </w:rPr>
        <w:t>In November 2021, the FASB issued ASU 2021-10, “</w:t>
      </w:r>
      <w:r>
        <w:rPr>
          <w:rFonts w:ascii="Times New Roman" w:cs="Times New Roman" w:eastAsia="Times New Roman" w:hAnsi="Times New Roman"/>
          <w:sz w:val="20"/>
          <w:szCs w:val="20"/>
          <w:i w:val="1"/>
          <w:iCs w:val="1"/>
          <w:color w:val="auto"/>
        </w:rPr>
        <w:t>Government Assistance (Topic 832)› Disclosures by Business Entities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about Government Assistance</w:t>
      </w:r>
      <w:r>
        <w:rPr>
          <w:rFonts w:ascii="Times New Roman" w:cs="Times New Roman" w:eastAsia="Times New Roman" w:hAnsi="Times New Roman"/>
          <w:sz w:val="20"/>
          <w:szCs w:val="20"/>
          <w:color w:val="auto"/>
        </w:rPr>
        <w:t>.” ASC 832 requires business entities to provide certain disclosures when they (1) have received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government assistance and (2) use a grant or contribution accounting model by analogy to other accounting guidance. The guidance will require business entities to disclose the nature of the transactions, accounting policies used to account for the transactions, and state which line items on the balance sheet and income statement are affected by these transactions and the amount applicable to each financial statement line. Business entities will also have to disclose significant terms and conditions of transactions with a government such as the duration of the agreement, any commitments made by either side, provisions, and contingencies. The guidance in ASU 2021-10 is effective for all entities for fiscal years beginning after December 15, 2021. Entities may apply the provision either (1) prospectively to all transactions within the scope of ASC 832 that are reflected in the financial statements as of the adoption date and all new transactions entered into after the date of adoption or (2) retrospectively. The Company adopted this standard as of January 1, 2022. The adoption did not have a material impact on the consolidated financial statements or disclosures.</w:t>
      </w:r>
    </w:p>
    <w:p>
      <w:pPr>
        <w:spacing w:after="0" w:line="209"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 xml:space="preserve">In December 2019, the FASB issued ASU 2019-12, </w:t>
      </w:r>
      <w:r>
        <w:rPr>
          <w:rFonts w:ascii="Times New Roman" w:cs="Times New Roman" w:eastAsia="Times New Roman" w:hAnsi="Times New Roman"/>
          <w:sz w:val="20"/>
          <w:szCs w:val="20"/>
          <w:i w:val="1"/>
          <w:iCs w:val="1"/>
          <w:color w:val="auto"/>
        </w:rPr>
        <w:t>Simplifying the Accounting for Income Taxes</w:t>
      </w:r>
      <w:r>
        <w:rPr>
          <w:rFonts w:ascii="Times New Roman" w:cs="Times New Roman" w:eastAsia="Times New Roman" w:hAnsi="Times New Roman"/>
          <w:sz w:val="20"/>
          <w:szCs w:val="20"/>
          <w:color w:val="auto"/>
        </w:rPr>
        <w:t xml:space="preserve">, or ASU 2019-12, which includes amendments to simplify the accounting for income taxes by removing certain exceptions to the general principles in ASC 740,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or ASC 740. The amendments also improve consistent application of and simplify U.S. GAAP for other areas of ASC 740 by clarifying and amending existing guidance. The new guidance is effective for the Company for annual periods beginning after December 15, 2021 and interim periods within fiscal years beginning after December 15, 2022. Early adoption of the amendments is permitted. The Company adopted this standard as of January 1, 2022. The adoption did not have a material impact on the consolidated financial statements.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 Not Yet Adopted</w:t>
      </w:r>
    </w:p>
    <w:p>
      <w:pPr>
        <w:spacing w:after="0" w:line="121" w:lineRule="exact"/>
        <w:rPr>
          <w:sz w:val="20"/>
          <w:szCs w:val="20"/>
          <w:color w:val="auto"/>
        </w:rPr>
      </w:pPr>
    </w:p>
    <w:p>
      <w:pPr>
        <w:ind w:firstLine="720"/>
        <w:spacing w:after="0" w:line="279" w:lineRule="auto"/>
        <w:rPr>
          <w:sz w:val="20"/>
          <w:szCs w:val="20"/>
          <w:color w:val="auto"/>
        </w:rPr>
      </w:pPr>
      <w:r>
        <w:rPr>
          <w:rFonts w:ascii="Times New Roman" w:cs="Times New Roman" w:eastAsia="Times New Roman" w:hAnsi="Times New Roman"/>
          <w:sz w:val="20"/>
          <w:szCs w:val="20"/>
          <w:color w:val="auto"/>
        </w:rPr>
        <w:t>All other newly issued but not yet effective accounting pronouncements have been deemed to be not applicable or immaterial to the Company.</w:t>
      </w:r>
    </w:p>
    <w:p>
      <w:pPr>
        <w:sectPr>
          <w:pgSz w:w="11880" w:h="15480" w:orient="portrait"/>
          <w:cols w:equalWidth="0" w:num="1">
            <w:col w:w="10760"/>
          </w:cols>
          <w:pgMar w:left="540" w:top="888" w:right="580" w:bottom="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F-17</w:t>
      </w:r>
    </w:p>
    <w:p>
      <w:pPr>
        <w:sectPr>
          <w:pgSz w:w="11880" w:h="15480" w:orient="portrait"/>
          <w:cols w:equalWidth="0" w:num="1">
            <w:col w:w="10760"/>
          </w:cols>
          <w:pgMar w:left="540" w:top="888" w:right="580" w:bottom="5"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20"/>
          <w:szCs w:val="20"/>
          <w:b w:val="1"/>
          <w:bCs w:val="1"/>
          <w:color w:val="auto"/>
        </w:rPr>
        <w:t>4. Marketable Securities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the amortized cost and estimates fair values of debt securities available for sale:</w:t>
      </w:r>
    </w:p>
    <w:p>
      <w:pPr>
        <w:spacing w:after="0" w:line="292"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4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gridSpan w:val="15"/>
          </w:tcPr>
          <w:p>
            <w:pPr>
              <w:ind w:left="220"/>
              <w:spacing w:after="0"/>
              <w:rPr>
                <w:sz w:val="20"/>
                <w:szCs w:val="20"/>
                <w:color w:val="auto"/>
              </w:rPr>
            </w:pPr>
            <w:r>
              <w:rPr>
                <w:rFonts w:ascii="Times New Roman" w:cs="Times New Roman" w:eastAsia="Times New Roman" w:hAnsi="Times New Roman"/>
                <w:sz w:val="16"/>
                <w:szCs w:val="16"/>
                <w:b w:val="1"/>
                <w:bCs w:val="1"/>
                <w:color w:val="auto"/>
              </w:rPr>
              <w:t>As of Decem</w:t>
            </w:r>
            <w:r>
              <w:rPr>
                <w:rFonts w:ascii="Times New Roman" w:cs="Times New Roman" w:eastAsia="Times New Roman" w:hAnsi="Times New Roman"/>
                <w:sz w:val="16"/>
                <w:szCs w:val="16"/>
                <w:b w:val="1"/>
                <w:bCs w:val="1"/>
                <w:u w:val="single" w:color="auto"/>
                <w:color w:val="auto"/>
              </w:rPr>
              <w:t>b</w:t>
            </w:r>
            <w:r>
              <w:rPr>
                <w:rFonts w:ascii="Times New Roman" w:cs="Times New Roman" w:eastAsia="Times New Roman" w:hAnsi="Times New Roman"/>
                <w:sz w:val="16"/>
                <w:szCs w:val="16"/>
                <w:b w:val="1"/>
                <w:bCs w:val="1"/>
                <w:color w:val="auto"/>
              </w:rPr>
              <w:t>er 31, 2022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6"/>
          </w:tcPr>
          <w:p>
            <w:pPr>
              <w:jc w:val="center"/>
              <w:ind w:right="380"/>
              <w:spacing w:after="0" w:line="165"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7"/>
          </w:tcPr>
          <w:p>
            <w:pPr>
              <w:jc w:val="center"/>
              <w:ind w:right="340"/>
              <w:spacing w:after="0" w:line="182"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gridSpan w:val="6"/>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gridSpan w:val="6"/>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47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476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20" w:type="dxa"/>
            <w:vAlign w:val="bottom"/>
            <w:tcBorders>
              <w:bottom w:val="single" w:sz="8" w:color="D5EEEE"/>
            </w:tcBorders>
            <w:vMerge w:val="continue"/>
          </w:tcPr>
          <w:p>
            <w:pPr>
              <w:spacing w:after="0"/>
              <w:rPr>
                <w:sz w:val="16"/>
                <w:szCs w:val="16"/>
                <w:color w:val="auto"/>
              </w:rPr>
            </w:pPr>
          </w:p>
        </w:tc>
        <w:tc>
          <w:tcPr>
            <w:tcW w:w="100" w:type="dxa"/>
            <w:vAlign w:val="bottom"/>
            <w:tcBorders>
              <w:bottom w:val="single" w:sz="8" w:color="D5EEEE"/>
            </w:tcBorders>
            <w:vMerge w:val="continue"/>
          </w:tcPr>
          <w:p>
            <w:pPr>
              <w:spacing w:after="0"/>
              <w:rPr>
                <w:sz w:val="16"/>
                <w:szCs w:val="16"/>
                <w:color w:val="auto"/>
              </w:rPr>
            </w:pPr>
          </w:p>
        </w:tc>
        <w:tc>
          <w:tcPr>
            <w:tcW w:w="100" w:type="dxa"/>
            <w:vAlign w:val="bottom"/>
            <w:tcBorders>
              <w:bottom w:val="single" w:sz="8" w:color="D5EEEE"/>
            </w:tcBorders>
            <w:vMerge w:val="continue"/>
          </w:tcPr>
          <w:p>
            <w:pPr>
              <w:spacing w:after="0"/>
              <w:rPr>
                <w:sz w:val="16"/>
                <w:szCs w:val="16"/>
                <w:color w:val="auto"/>
              </w:rPr>
            </w:pPr>
          </w:p>
        </w:tc>
        <w:tc>
          <w:tcPr>
            <w:tcW w:w="20" w:type="dxa"/>
            <w:vAlign w:val="bottom"/>
            <w:tcBorders>
              <w:bottom w:val="single" w:sz="8" w:color="D5EEEE"/>
            </w:tcBorders>
            <w:vMerge w:val="continue"/>
          </w:tcPr>
          <w:p>
            <w:pPr>
              <w:spacing w:after="0"/>
              <w:rPr>
                <w:sz w:val="16"/>
                <w:szCs w:val="16"/>
                <w:color w:val="auto"/>
              </w:rPr>
            </w:pPr>
          </w:p>
        </w:tc>
        <w:tc>
          <w:tcPr>
            <w:tcW w:w="840" w:type="dxa"/>
            <w:vAlign w:val="bottom"/>
            <w:tcBorders>
              <w:bottom w:val="single" w:sz="8" w:color="D5EEEE"/>
            </w:tcBorders>
          </w:tcPr>
          <w:p>
            <w:pPr>
              <w:spacing w:after="0"/>
              <w:rPr>
                <w:sz w:val="16"/>
                <w:szCs w:val="16"/>
                <w:color w:val="auto"/>
              </w:rPr>
            </w:pPr>
          </w:p>
        </w:tc>
        <w:tc>
          <w:tcPr>
            <w:tcW w:w="20" w:type="dxa"/>
            <w:vAlign w:val="bottom"/>
            <w:tcBorders>
              <w:bottom w:val="single" w:sz="8" w:color="D5EEEE"/>
            </w:tcBorders>
          </w:tcPr>
          <w:p>
            <w:pPr>
              <w:spacing w:after="0"/>
              <w:rPr>
                <w:sz w:val="16"/>
                <w:szCs w:val="16"/>
                <w:color w:val="auto"/>
              </w:rPr>
            </w:pPr>
          </w:p>
        </w:tc>
        <w:tc>
          <w:tcPr>
            <w:tcW w:w="100" w:type="dxa"/>
            <w:vAlign w:val="bottom"/>
            <w:tcBorders>
              <w:bottom w:val="single" w:sz="8" w:color="D5EEEE"/>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Borders>
              <w:bottom w:val="single" w:sz="8" w:color="D5EEEE"/>
            </w:tcBorders>
          </w:tcPr>
          <w:p>
            <w:pPr>
              <w:spacing w:after="0"/>
              <w:rPr>
                <w:sz w:val="16"/>
                <w:szCs w:val="16"/>
                <w:color w:val="auto"/>
              </w:rPr>
            </w:pPr>
          </w:p>
        </w:tc>
        <w:tc>
          <w:tcPr>
            <w:tcW w:w="120" w:type="dxa"/>
            <w:vAlign w:val="bottom"/>
            <w:tcBorders>
              <w:bottom w:val="single" w:sz="8" w:color="D5EEEE"/>
            </w:tcBorders>
          </w:tcPr>
          <w:p>
            <w:pPr>
              <w:spacing w:after="0"/>
              <w:rPr>
                <w:sz w:val="16"/>
                <w:szCs w:val="16"/>
                <w:color w:val="auto"/>
              </w:rPr>
            </w:pPr>
          </w:p>
        </w:tc>
        <w:tc>
          <w:tcPr>
            <w:tcW w:w="20" w:type="dxa"/>
            <w:vAlign w:val="bottom"/>
            <w:tcBorders>
              <w:bottom w:val="single" w:sz="8" w:color="D5EEEE"/>
            </w:tcBorders>
          </w:tcPr>
          <w:p>
            <w:pPr>
              <w:spacing w:after="0"/>
              <w:rPr>
                <w:sz w:val="16"/>
                <w:szCs w:val="16"/>
                <w:color w:val="auto"/>
              </w:rPr>
            </w:pPr>
          </w:p>
        </w:tc>
        <w:tc>
          <w:tcPr>
            <w:tcW w:w="100" w:type="dxa"/>
            <w:vAlign w:val="bottom"/>
            <w:tcBorders>
              <w:bottom w:val="single" w:sz="8" w:color="D5EEEE"/>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D5EEEE"/>
            </w:tcBorders>
          </w:tcPr>
          <w:p>
            <w:pPr>
              <w:spacing w:after="0"/>
              <w:rPr>
                <w:sz w:val="16"/>
                <w:szCs w:val="16"/>
                <w:color w:val="auto"/>
              </w:rPr>
            </w:pPr>
          </w:p>
        </w:tc>
        <w:tc>
          <w:tcPr>
            <w:tcW w:w="20" w:type="dxa"/>
            <w:vAlign w:val="bottom"/>
            <w:tcBorders>
              <w:bottom w:val="single" w:sz="8" w:color="D5EEEE"/>
            </w:tcBorders>
          </w:tcPr>
          <w:p>
            <w:pPr>
              <w:spacing w:after="0"/>
              <w:rPr>
                <w:sz w:val="16"/>
                <w:szCs w:val="16"/>
                <w:color w:val="auto"/>
              </w:rPr>
            </w:pPr>
          </w:p>
        </w:tc>
        <w:tc>
          <w:tcPr>
            <w:tcW w:w="80" w:type="dxa"/>
            <w:vAlign w:val="bottom"/>
            <w:tcBorders>
              <w:bottom w:val="single" w:sz="8" w:color="D5EEEE"/>
            </w:tcBorders>
          </w:tcPr>
          <w:p>
            <w:pPr>
              <w:spacing w:after="0"/>
              <w:rPr>
                <w:sz w:val="16"/>
                <w:szCs w:val="16"/>
                <w:color w:val="auto"/>
              </w:rPr>
            </w:pPr>
          </w:p>
        </w:tc>
        <w:tc>
          <w:tcPr>
            <w:tcW w:w="20" w:type="dxa"/>
            <w:vAlign w:val="bottom"/>
            <w:tcBorders>
              <w:bottom w:val="single" w:sz="8" w:color="D5EEEE"/>
            </w:tcBorders>
          </w:tcPr>
          <w:p>
            <w:pPr>
              <w:spacing w:after="0"/>
              <w:rPr>
                <w:sz w:val="16"/>
                <w:szCs w:val="16"/>
                <w:color w:val="auto"/>
              </w:rPr>
            </w:pPr>
          </w:p>
        </w:tc>
        <w:tc>
          <w:tcPr>
            <w:tcW w:w="860" w:type="dxa"/>
            <w:vAlign w:val="bottom"/>
            <w:tcBorders>
              <w:bottom w:val="single" w:sz="8" w:color="D5EEEE"/>
            </w:tcBorders>
          </w:tcPr>
          <w:p>
            <w:pPr>
              <w:spacing w:after="0"/>
              <w:rPr>
                <w:sz w:val="16"/>
                <w:szCs w:val="16"/>
                <w:color w:val="auto"/>
              </w:rPr>
            </w:pPr>
          </w:p>
        </w:tc>
        <w:tc>
          <w:tcPr>
            <w:tcW w:w="20" w:type="dxa"/>
            <w:vAlign w:val="bottom"/>
            <w:tcBorders>
              <w:bottom w:val="single" w:sz="8" w:color="D5EEEE"/>
            </w:tcBorders>
          </w:tcPr>
          <w:p>
            <w:pPr>
              <w:spacing w:after="0"/>
              <w:rPr>
                <w:sz w:val="16"/>
                <w:szCs w:val="16"/>
                <w:color w:val="auto"/>
              </w:rPr>
            </w:pPr>
          </w:p>
        </w:tc>
        <w:tc>
          <w:tcPr>
            <w:tcW w:w="80" w:type="dxa"/>
            <w:vAlign w:val="bottom"/>
            <w:tcBorders>
              <w:bottom w:val="single" w:sz="8" w:color="D5EEEE"/>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76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10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gridSpan w:val="3"/>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14,089</w:t>
            </w: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14,089</w:t>
            </w: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76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Borders>
              <w:bottom w:val="single" w:sz="8" w:color="D5EEEE"/>
            </w:tcBorders>
            <w:vMerge w:val="continue"/>
          </w:tcPr>
          <w:p>
            <w:pPr>
              <w:spacing w:after="0"/>
              <w:rPr>
                <w:sz w:val="19"/>
                <w:szCs w:val="19"/>
                <w:color w:val="auto"/>
              </w:rPr>
            </w:pPr>
          </w:p>
        </w:tc>
        <w:tc>
          <w:tcPr>
            <w:tcW w:w="840" w:type="dxa"/>
            <w:vAlign w:val="bottom"/>
            <w:tcBorders>
              <w:bottom w:val="single" w:sz="8" w:color="D5EEEE"/>
            </w:tcBorders>
            <w:vMerge w:val="continue"/>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100" w:type="dxa"/>
            <w:vAlign w:val="bottom"/>
            <w:tcBorders>
              <w:bottom w:val="single" w:sz="8" w:color="D5EEEE"/>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vMerge w:val="continue"/>
          </w:tcPr>
          <w:p>
            <w:pPr>
              <w:spacing w:after="0"/>
              <w:rPr>
                <w:sz w:val="19"/>
                <w:szCs w:val="19"/>
                <w:color w:val="auto"/>
              </w:rPr>
            </w:pPr>
          </w:p>
        </w:tc>
        <w:tc>
          <w:tcPr>
            <w:tcW w:w="840" w:type="dxa"/>
            <w:vAlign w:val="bottom"/>
            <w:tcBorders>
              <w:bottom w:val="single" w:sz="8" w:color="D5EEEE"/>
            </w:tcBorders>
          </w:tcPr>
          <w:p>
            <w:pPr>
              <w:spacing w:after="0"/>
              <w:rPr>
                <w:sz w:val="19"/>
                <w:szCs w:val="19"/>
                <w:color w:val="auto"/>
              </w:rPr>
            </w:pPr>
          </w:p>
        </w:tc>
        <w:tc>
          <w:tcPr>
            <w:tcW w:w="120" w:type="dxa"/>
            <w:vAlign w:val="bottom"/>
            <w:tcBorders>
              <w:bottom w:val="single" w:sz="8" w:color="D5EEEE"/>
            </w:tcBorders>
            <w:vMerge w:val="continue"/>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1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2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20" w:type="dxa"/>
            <w:vAlign w:val="bottom"/>
            <w:tcBorders>
              <w:bottom w:val="single" w:sz="8" w:color="D5EEEE"/>
            </w:tcBorders>
            <w:vMerge w:val="continue"/>
          </w:tcPr>
          <w:p>
            <w:pPr>
              <w:spacing w:after="0"/>
              <w:rPr>
                <w:sz w:val="19"/>
                <w:szCs w:val="19"/>
                <w:color w:val="auto"/>
              </w:rPr>
            </w:pPr>
          </w:p>
        </w:tc>
        <w:tc>
          <w:tcPr>
            <w:tcW w:w="860" w:type="dxa"/>
            <w:vAlign w:val="bottom"/>
            <w:tcBorders>
              <w:bottom w:val="single" w:sz="8" w:color="D5EEEE"/>
            </w:tcBorders>
            <w:vMerge w:val="continue"/>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6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10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gridSpan w:val="2"/>
          </w:tcPr>
          <w:p>
            <w:pPr>
              <w:spacing w:after="0"/>
              <w:rPr>
                <w:sz w:val="19"/>
                <w:szCs w:val="19"/>
                <w:color w:val="auto"/>
              </w:rPr>
            </w:pPr>
          </w:p>
        </w:tc>
        <w:tc>
          <w:tcPr>
            <w:tcW w:w="20" w:type="dxa"/>
            <w:vAlign w:val="bottom"/>
            <w:vMerge w:val="restart"/>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8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gridSpan w:val="3"/>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43,092</w:t>
            </w:r>
          </w:p>
        </w:tc>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1</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(393)</w:t>
            </w:r>
          </w:p>
        </w:tc>
        <w:tc>
          <w:tcPr>
            <w:tcW w:w="20" w:type="dxa"/>
            <w:vAlign w:val="bottom"/>
            <w:vMerge w:val="restart"/>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42,700</w:t>
            </w: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76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Borders>
              <w:bottom w:val="single" w:sz="8" w:color="D5EEEE"/>
            </w:tcBorders>
            <w:vMerge w:val="continue"/>
          </w:tcPr>
          <w:p>
            <w:pPr>
              <w:spacing w:after="0"/>
              <w:rPr>
                <w:sz w:val="19"/>
                <w:szCs w:val="19"/>
                <w:color w:val="auto"/>
              </w:rPr>
            </w:pPr>
          </w:p>
        </w:tc>
        <w:tc>
          <w:tcPr>
            <w:tcW w:w="840" w:type="dxa"/>
            <w:vAlign w:val="bottom"/>
            <w:tcBorders>
              <w:bottom w:val="single" w:sz="8" w:color="D5EEEE"/>
            </w:tcBorders>
            <w:vMerge w:val="continue"/>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Pr>
          <w:p>
            <w:pPr>
              <w:spacing w:after="0"/>
              <w:rPr>
                <w:sz w:val="19"/>
                <w:szCs w:val="19"/>
                <w:color w:val="auto"/>
              </w:rPr>
            </w:pPr>
          </w:p>
        </w:tc>
        <w:tc>
          <w:tcPr>
            <w:tcW w:w="840" w:type="dxa"/>
            <w:vAlign w:val="bottom"/>
            <w:tcBorders>
              <w:bottom w:val="single" w:sz="8" w:color="D5EEEE"/>
            </w:tcBorders>
          </w:tcPr>
          <w:p>
            <w:pPr>
              <w:spacing w:after="0"/>
              <w:rPr>
                <w:sz w:val="19"/>
                <w:szCs w:val="19"/>
                <w:color w:val="auto"/>
              </w:rPr>
            </w:pPr>
          </w:p>
        </w:tc>
        <w:tc>
          <w:tcPr>
            <w:tcW w:w="120" w:type="dxa"/>
            <w:vAlign w:val="bottom"/>
            <w:tcBorders>
              <w:bottom w:val="single" w:sz="8" w:color="D5EEEE"/>
            </w:tcBorders>
            <w:vMerge w:val="continue"/>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1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2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20" w:type="dxa"/>
            <w:vAlign w:val="bottom"/>
            <w:tcBorders>
              <w:bottom w:val="single" w:sz="8" w:color="D5EEEE"/>
            </w:tcBorders>
            <w:vMerge w:val="continue"/>
          </w:tcPr>
          <w:p>
            <w:pPr>
              <w:spacing w:after="0"/>
              <w:rPr>
                <w:sz w:val="19"/>
                <w:szCs w:val="19"/>
                <w:color w:val="auto"/>
              </w:rPr>
            </w:pPr>
          </w:p>
        </w:tc>
        <w:tc>
          <w:tcPr>
            <w:tcW w:w="860" w:type="dxa"/>
            <w:vAlign w:val="bottom"/>
            <w:tcBorders>
              <w:bottom w:val="single" w:sz="8" w:color="D5EEEE"/>
            </w:tcBorders>
            <w:vMerge w:val="continue"/>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60" w:type="dxa"/>
            <w:vAlign w:val="bottom"/>
            <w:tcBorders>
              <w:bottom w:val="single" w:sz="8" w:color="D5EEEE"/>
            </w:tcBorders>
            <w:shd w:val="clear" w:color="auto" w:fill="D5EEEE"/>
          </w:tcPr>
          <w:p>
            <w:pPr>
              <w:spacing w:after="0"/>
              <w:rPr>
                <w:sz w:val="19"/>
                <w:szCs w:val="19"/>
                <w:color w:val="auto"/>
              </w:rPr>
            </w:pPr>
          </w:p>
        </w:tc>
        <w:tc>
          <w:tcPr>
            <w:tcW w:w="20" w:type="dxa"/>
            <w:vAlign w:val="bottom"/>
            <w:tcBorders>
              <w:bottom w:val="single" w:sz="8" w:color="D5EEEE"/>
            </w:tcBorders>
            <w:shd w:val="clear" w:color="auto" w:fill="D5EEEE"/>
          </w:tcPr>
          <w:p>
            <w:pPr>
              <w:spacing w:after="0"/>
              <w:rPr>
                <w:sz w:val="19"/>
                <w:szCs w:val="19"/>
                <w:color w:val="auto"/>
              </w:rPr>
            </w:pPr>
          </w:p>
        </w:tc>
        <w:tc>
          <w:tcPr>
            <w:tcW w:w="100" w:type="dxa"/>
            <w:vAlign w:val="bottom"/>
            <w:tcBorders>
              <w:bottom w:val="single" w:sz="8" w:color="D5EEEE"/>
            </w:tcBorders>
            <w:shd w:val="clear" w:color="auto" w:fill="D5EEE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bottom w:val="single" w:sz="8" w:color="D5EEEE"/>
            </w:tcBorders>
            <w:shd w:val="clear" w:color="auto" w:fill="D5EEEE"/>
          </w:tcPr>
          <w:p>
            <w:pPr>
              <w:jc w:val="right"/>
              <w:spacing w:after="0" w:line="226" w:lineRule="exact"/>
              <w:rPr>
                <w:sz w:val="20"/>
                <w:szCs w:val="20"/>
                <w:color w:val="auto"/>
              </w:rPr>
            </w:pPr>
            <w:r>
              <w:rPr>
                <w:rFonts w:ascii="Times New Roman" w:cs="Times New Roman" w:eastAsia="Times New Roman" w:hAnsi="Times New Roman"/>
                <w:sz w:val="20"/>
                <w:szCs w:val="20"/>
                <w:color w:val="auto"/>
              </w:rPr>
              <w:t>12,743</w:t>
            </w:r>
          </w:p>
        </w:tc>
        <w:tc>
          <w:tcPr>
            <w:tcW w:w="20" w:type="dxa"/>
            <w:vAlign w:val="bottom"/>
            <w:tcBorders>
              <w:bottom w:val="single" w:sz="8" w:color="D5EEEE"/>
            </w:tcBorders>
            <w:shd w:val="clear" w:color="auto" w:fill="D5EEEE"/>
          </w:tcPr>
          <w:p>
            <w:pPr>
              <w:spacing w:after="0"/>
              <w:rPr>
                <w:sz w:val="19"/>
                <w:szCs w:val="19"/>
                <w:color w:val="auto"/>
              </w:rPr>
            </w:pPr>
          </w:p>
        </w:tc>
        <w:tc>
          <w:tcPr>
            <w:tcW w:w="100" w:type="dxa"/>
            <w:vAlign w:val="bottom"/>
            <w:tcBorders>
              <w:bottom w:val="single" w:sz="8" w:color="D5EEEE"/>
            </w:tcBorders>
            <w:shd w:val="clear" w:color="auto" w:fill="D5EEE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left w:val="single" w:sz="8" w:color="D5EEEE"/>
              <w:bottom w:val="single" w:sz="8" w:color="D5EEEE"/>
            </w:tcBorders>
            <w:shd w:val="clear" w:color="auto" w:fill="D5EEEE"/>
          </w:tcPr>
          <w:p>
            <w:pPr>
              <w:spacing w:after="0"/>
              <w:rPr>
                <w:sz w:val="19"/>
                <w:szCs w:val="19"/>
                <w:color w:val="auto"/>
              </w:rPr>
            </w:pPr>
          </w:p>
        </w:tc>
        <w:tc>
          <w:tcPr>
            <w:tcW w:w="120" w:type="dxa"/>
            <w:vAlign w:val="bottom"/>
            <w:tcBorders>
              <w:bottom w:val="single" w:sz="8" w:color="D5EEEE"/>
            </w:tcBorders>
            <w:shd w:val="clear" w:color="auto" w:fill="D5EEEE"/>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00" w:type="dxa"/>
            <w:vAlign w:val="bottom"/>
            <w:tcBorders>
              <w:bottom w:val="single" w:sz="8" w:color="D5EEEE"/>
            </w:tcBorders>
            <w:shd w:val="clear" w:color="auto" w:fill="D5EEE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Borders>
              <w:bottom w:val="single" w:sz="8" w:color="D5EEEE"/>
            </w:tcBorders>
            <w:gridSpan w:val="2"/>
            <w:shd w:val="clear" w:color="auto" w:fill="D5EEEE"/>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D5EEEE"/>
            </w:tcBorders>
            <w:shd w:val="clear" w:color="auto" w:fill="D5EEE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Borders>
              <w:bottom w:val="single" w:sz="8" w:color="D5EEEE"/>
            </w:tcBorders>
            <w:shd w:val="clear" w:color="auto" w:fill="D5EEEE"/>
          </w:tcPr>
          <w:p>
            <w:pPr>
              <w:jc w:val="right"/>
              <w:spacing w:after="0" w:line="226" w:lineRule="exact"/>
              <w:rPr>
                <w:sz w:val="20"/>
                <w:szCs w:val="20"/>
                <w:color w:val="auto"/>
              </w:rPr>
            </w:pPr>
            <w:r>
              <w:rPr>
                <w:rFonts w:ascii="Times New Roman" w:cs="Times New Roman" w:eastAsia="Times New Roman" w:hAnsi="Times New Roman"/>
                <w:sz w:val="20"/>
                <w:szCs w:val="20"/>
                <w:color w:val="auto"/>
              </w:rPr>
              <w:t>12,743</w:t>
            </w:r>
          </w:p>
        </w:tc>
        <w:tc>
          <w:tcPr>
            <w:tcW w:w="20" w:type="dxa"/>
            <w:vAlign w:val="bottom"/>
          </w:tcPr>
          <w:p>
            <w:pPr>
              <w:spacing w:after="0"/>
              <w:rPr>
                <w:sz w:val="19"/>
                <w:szCs w:val="19"/>
                <w:color w:val="auto"/>
              </w:rPr>
            </w:pPr>
          </w:p>
        </w:tc>
        <w:tc>
          <w:tcPr>
            <w:tcW w:w="80" w:type="dxa"/>
            <w:vAlign w:val="bottom"/>
            <w:tcBorders>
              <w:bottom w:val="single" w:sz="8" w:color="D5EEEE"/>
            </w:tcBorders>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6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84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3,865</w:t>
            </w: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bottom w:val="single" w:sz="8" w:color="D5EEEE"/>
            </w:tcBorders>
          </w:tcPr>
          <w:p>
            <w:pPr>
              <w:spacing w:after="0"/>
              <w:rPr>
                <w:sz w:val="19"/>
                <w:szCs w:val="19"/>
                <w:color w:val="auto"/>
              </w:rPr>
            </w:pPr>
          </w:p>
        </w:tc>
        <w:tc>
          <w:tcPr>
            <w:tcW w:w="12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(23)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86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3,842</w:t>
            </w:r>
          </w:p>
        </w:tc>
        <w:tc>
          <w:tcPr>
            <w:tcW w:w="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6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D5EEEE"/>
          </w:tcPr>
          <w:p>
            <w:pPr>
              <w:jc w:val="right"/>
              <w:spacing w:after="0" w:line="228" w:lineRule="exact"/>
              <w:rPr>
                <w:sz w:val="20"/>
                <w:szCs w:val="20"/>
                <w:color w:val="auto"/>
              </w:rPr>
            </w:pPr>
            <w:r>
              <w:rPr>
                <w:rFonts w:ascii="Times New Roman" w:cs="Times New Roman" w:eastAsia="Times New Roman" w:hAnsi="Times New Roman"/>
                <w:sz w:val="20"/>
                <w:szCs w:val="20"/>
                <w:color w:val="auto"/>
              </w:rPr>
              <w:t>1,901</w:t>
            </w:r>
          </w:p>
        </w:tc>
        <w:tc>
          <w:tcPr>
            <w:tcW w:w="2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left w:val="single" w:sz="8" w:color="D5EEEE"/>
            </w:tcBorders>
            <w:shd w:val="clear" w:color="auto" w:fill="D5EEEE"/>
          </w:tcPr>
          <w:p>
            <w:pPr>
              <w:spacing w:after="0"/>
              <w:rPr>
                <w:sz w:val="19"/>
                <w:szCs w:val="19"/>
                <w:color w:val="auto"/>
              </w:rPr>
            </w:pPr>
          </w:p>
        </w:tc>
        <w:tc>
          <w:tcPr>
            <w:tcW w:w="120" w:type="dxa"/>
            <w:vAlign w:val="bottom"/>
            <w:shd w:val="clear" w:color="auto" w:fill="D5EEEE"/>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5"/>
          </w:tcPr>
          <w:p>
            <w:pPr>
              <w:jc w:val="right"/>
              <w:ind w:right="40"/>
              <w:spacing w:after="0" w:line="228" w:lineRule="exact"/>
              <w:rPr>
                <w:sz w:val="20"/>
                <w:szCs w:val="20"/>
                <w:color w:val="auto"/>
              </w:rPr>
            </w:pPr>
            <w:r>
              <w:rPr>
                <w:rFonts w:ascii="Times New Roman" w:cs="Times New Roman" w:eastAsia="Times New Roman" w:hAnsi="Times New Roman"/>
                <w:sz w:val="20"/>
                <w:szCs w:val="20"/>
                <w:color w:val="auto"/>
              </w:rPr>
              <w:t>(8)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D5EEEE"/>
          </w:tcPr>
          <w:p>
            <w:pPr>
              <w:jc w:val="right"/>
              <w:spacing w:after="0" w:line="228" w:lineRule="exact"/>
              <w:rPr>
                <w:sz w:val="20"/>
                <w:szCs w:val="20"/>
                <w:color w:val="auto"/>
              </w:rPr>
            </w:pPr>
            <w:r>
              <w:rPr>
                <w:rFonts w:ascii="Times New Roman" w:cs="Times New Roman" w:eastAsia="Times New Roman" w:hAnsi="Times New Roman"/>
                <w:sz w:val="20"/>
                <w:szCs w:val="20"/>
                <w:color w:val="auto"/>
              </w:rPr>
              <w:t>1,893</w:t>
            </w:r>
          </w:p>
        </w:tc>
        <w:tc>
          <w:tcPr>
            <w:tcW w:w="20" w:type="dxa"/>
            <w:vAlign w:val="bottom"/>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4760" w:type="dxa"/>
            <w:vAlign w:val="bottom"/>
            <w:tcBorders>
              <w:top w:val="single" w:sz="8" w:color="D5EEEE"/>
              <w:bottom w:val="single" w:sz="8" w:color="D5EEEE"/>
            </w:tcBorders>
          </w:tcPr>
          <w:p>
            <w:pPr>
              <w:spacing w:after="0"/>
              <w:rPr>
                <w:sz w:val="23"/>
                <w:szCs w:val="23"/>
                <w:color w:val="auto"/>
              </w:rPr>
            </w:pPr>
          </w:p>
        </w:tc>
        <w:tc>
          <w:tcPr>
            <w:tcW w:w="20" w:type="dxa"/>
            <w:vAlign w:val="bottom"/>
            <w:tcBorders>
              <w:top w:val="single" w:sz="8" w:color="D5EEEE"/>
              <w:bottom w:val="single" w:sz="8" w:color="D5EEEE"/>
            </w:tcBorders>
          </w:tcPr>
          <w:p>
            <w:pPr>
              <w:spacing w:after="0"/>
              <w:rPr>
                <w:sz w:val="23"/>
                <w:szCs w:val="23"/>
                <w:color w:val="auto"/>
              </w:rPr>
            </w:pPr>
          </w:p>
        </w:tc>
        <w:tc>
          <w:tcPr>
            <w:tcW w:w="100" w:type="dxa"/>
            <w:vAlign w:val="bottom"/>
            <w:tcBorders>
              <w:top w:val="single" w:sz="8" w:color="D5EEEE"/>
              <w:bottom w:val="single" w:sz="8" w:color="D5EEEE"/>
            </w:tcBorders>
          </w:tcPr>
          <w:p>
            <w:pPr>
              <w:spacing w:after="0"/>
              <w:rPr>
                <w:sz w:val="23"/>
                <w:szCs w:val="23"/>
                <w:color w:val="auto"/>
              </w:rPr>
            </w:pPr>
          </w:p>
        </w:tc>
        <w:tc>
          <w:tcPr>
            <w:tcW w:w="100" w:type="dxa"/>
            <w:vAlign w:val="bottom"/>
            <w:tcBorders>
              <w:top w:val="single" w:sz="8" w:color="auto"/>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Borders>
              <w:top w:val="single" w:sz="8" w:color="auto"/>
              <w:bottom w:val="single" w:sz="8" w:color="D5EEEE"/>
            </w:tcBorders>
          </w:tcPr>
          <w:p>
            <w:pPr>
              <w:spacing w:after="0"/>
              <w:rPr>
                <w:sz w:val="23"/>
                <w:szCs w:val="23"/>
                <w:color w:val="auto"/>
              </w:rPr>
            </w:pPr>
          </w:p>
        </w:tc>
        <w:tc>
          <w:tcPr>
            <w:tcW w:w="840" w:type="dxa"/>
            <w:vAlign w:val="bottom"/>
            <w:tcBorders>
              <w:top w:val="single" w:sz="8" w:color="auto"/>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61,601</w:t>
            </w:r>
          </w:p>
        </w:tc>
        <w:tc>
          <w:tcPr>
            <w:tcW w:w="20" w:type="dxa"/>
            <w:vAlign w:val="bottom"/>
            <w:tcBorders>
              <w:top w:val="single" w:sz="8" w:color="auto"/>
              <w:bottom w:val="single" w:sz="8" w:color="D5EEEE"/>
            </w:tcBorders>
          </w:tcPr>
          <w:p>
            <w:pPr>
              <w:spacing w:after="0"/>
              <w:rPr>
                <w:sz w:val="23"/>
                <w:szCs w:val="23"/>
                <w:color w:val="auto"/>
              </w:rPr>
            </w:pPr>
          </w:p>
        </w:tc>
        <w:tc>
          <w:tcPr>
            <w:tcW w:w="100" w:type="dxa"/>
            <w:vAlign w:val="bottom"/>
            <w:tcBorders>
              <w:top w:val="single" w:sz="8" w:color="D5EEEE"/>
              <w:bottom w:val="single" w:sz="8" w:color="D5EEEE"/>
            </w:tcBorders>
          </w:tcPr>
          <w:p>
            <w:pPr>
              <w:spacing w:after="0"/>
              <w:rPr>
                <w:sz w:val="23"/>
                <w:szCs w:val="23"/>
                <w:color w:val="auto"/>
              </w:rPr>
            </w:pPr>
          </w:p>
        </w:tc>
        <w:tc>
          <w:tcPr>
            <w:tcW w:w="80" w:type="dxa"/>
            <w:vAlign w:val="bottom"/>
            <w:tcBorders>
              <w:bottom w:val="single" w:sz="8" w:color="D5EEEE"/>
            </w:tcBorders>
          </w:tcPr>
          <w:p>
            <w:pPr>
              <w:spacing w:after="0"/>
              <w:rPr>
                <w:sz w:val="23"/>
                <w:szCs w:val="23"/>
                <w:color w:val="auto"/>
              </w:rPr>
            </w:pPr>
          </w:p>
        </w:tc>
        <w:tc>
          <w:tcPr>
            <w:tcW w:w="20" w:type="dxa"/>
            <w:vAlign w:val="bottom"/>
            <w:tcBorders>
              <w:bottom w:val="single" w:sz="8" w:color="D5EEEE"/>
            </w:tcBorders>
          </w:tcPr>
          <w:p>
            <w:pPr>
              <w:spacing w:after="0"/>
              <w:rPr>
                <w:sz w:val="23"/>
                <w:szCs w:val="23"/>
                <w:color w:val="auto"/>
              </w:rPr>
            </w:pPr>
          </w:p>
        </w:tc>
        <w:tc>
          <w:tcPr>
            <w:tcW w:w="100" w:type="dxa"/>
            <w:vAlign w:val="bottom"/>
            <w:tcBorders>
              <w:top w:val="single" w:sz="8" w:color="auto"/>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Borders>
              <w:top w:val="single" w:sz="8" w:color="auto"/>
              <w:bottom w:val="single" w:sz="8" w:color="D5EEEE"/>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1</w:t>
            </w:r>
          </w:p>
        </w:tc>
        <w:tc>
          <w:tcPr>
            <w:tcW w:w="20" w:type="dxa"/>
            <w:vAlign w:val="bottom"/>
            <w:tcBorders>
              <w:top w:val="single" w:sz="8" w:color="auto"/>
            </w:tcBorders>
          </w:tcPr>
          <w:p>
            <w:pPr>
              <w:spacing w:after="0"/>
              <w:rPr>
                <w:sz w:val="23"/>
                <w:szCs w:val="23"/>
                <w:color w:val="auto"/>
              </w:rPr>
            </w:pPr>
          </w:p>
        </w:tc>
        <w:tc>
          <w:tcPr>
            <w:tcW w:w="100" w:type="dxa"/>
            <w:vAlign w:val="bottom"/>
            <w:tcBorders>
              <w:top w:val="single" w:sz="8" w:color="D5EEEE"/>
            </w:tcBorders>
          </w:tcPr>
          <w:p>
            <w:pPr>
              <w:spacing w:after="0"/>
              <w:rPr>
                <w:sz w:val="23"/>
                <w:szCs w:val="23"/>
                <w:color w:val="auto"/>
              </w:rPr>
            </w:pPr>
          </w:p>
        </w:tc>
        <w:tc>
          <w:tcPr>
            <w:tcW w:w="100" w:type="dxa"/>
            <w:vAlign w:val="bottom"/>
            <w:tcBorders>
              <w:bottom w:val="single" w:sz="8" w:color="D5EEEE"/>
            </w:tcBorders>
          </w:tcPr>
          <w:p>
            <w:pPr>
              <w:spacing w:after="0"/>
              <w:rPr>
                <w:sz w:val="23"/>
                <w:szCs w:val="23"/>
                <w:color w:val="auto"/>
              </w:rPr>
            </w:pPr>
          </w:p>
        </w:tc>
        <w:tc>
          <w:tcPr>
            <w:tcW w:w="20" w:type="dxa"/>
            <w:vAlign w:val="bottom"/>
            <w:tcBorders>
              <w:bottom w:val="single" w:sz="8" w:color="D5EEEE"/>
            </w:tcBorders>
          </w:tcPr>
          <w:p>
            <w:pPr>
              <w:spacing w:after="0"/>
              <w:rPr>
                <w:sz w:val="23"/>
                <w:szCs w:val="23"/>
                <w:color w:val="auto"/>
              </w:rPr>
            </w:pPr>
          </w:p>
        </w:tc>
        <w:tc>
          <w:tcPr>
            <w:tcW w:w="80" w:type="dxa"/>
            <w:vAlign w:val="bottom"/>
            <w:tcBorders>
              <w:top w:val="single" w:sz="8" w:color="auto"/>
              <w:bottom w:val="single" w:sz="8" w:color="D5EEEE"/>
            </w:tcBorders>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20" w:type="dxa"/>
            <w:vAlign w:val="bottom"/>
            <w:tcBorders>
              <w:top w:val="single" w:sz="8" w:color="auto"/>
              <w:bottom w:val="single" w:sz="8" w:color="D5EEEE"/>
            </w:tcBorders>
          </w:tcPr>
          <w:p>
            <w:pPr>
              <w:spacing w:after="0"/>
              <w:rPr>
                <w:sz w:val="23"/>
                <w:szCs w:val="23"/>
                <w:color w:val="auto"/>
              </w:rPr>
            </w:pPr>
          </w:p>
        </w:tc>
        <w:tc>
          <w:tcPr>
            <w:tcW w:w="40" w:type="dxa"/>
            <w:vAlign w:val="bottom"/>
            <w:tcBorders>
              <w:top w:val="single" w:sz="8" w:color="auto"/>
              <w:bottom w:val="single" w:sz="8" w:color="D5EEEE"/>
            </w:tcBorders>
          </w:tcPr>
          <w:p>
            <w:pPr>
              <w:spacing w:after="0"/>
              <w:rPr>
                <w:sz w:val="23"/>
                <w:szCs w:val="2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(424)</w:t>
            </w:r>
          </w:p>
        </w:tc>
        <w:tc>
          <w:tcPr>
            <w:tcW w:w="2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bottom w:val="single" w:sz="8" w:color="D5EEEE"/>
            </w:tcBorders>
          </w:tcPr>
          <w:p>
            <w:pPr>
              <w:spacing w:after="0"/>
              <w:rPr>
                <w:sz w:val="23"/>
                <w:szCs w:val="23"/>
                <w:color w:val="auto"/>
              </w:rPr>
            </w:pPr>
          </w:p>
        </w:tc>
        <w:tc>
          <w:tcPr>
            <w:tcW w:w="20" w:type="dxa"/>
            <w:vAlign w:val="bottom"/>
            <w:tcBorders>
              <w:bottom w:val="single" w:sz="8" w:color="D5EEEE"/>
            </w:tcBorders>
          </w:tcPr>
          <w:p>
            <w:pPr>
              <w:spacing w:after="0"/>
              <w:rPr>
                <w:sz w:val="23"/>
                <w:szCs w:val="23"/>
                <w:color w:val="auto"/>
              </w:rPr>
            </w:pPr>
          </w:p>
        </w:tc>
        <w:tc>
          <w:tcPr>
            <w:tcW w:w="80" w:type="dxa"/>
            <w:vAlign w:val="bottom"/>
            <w:tcBorders>
              <w:top w:val="single" w:sz="8" w:color="auto"/>
              <w:bottom w:val="single" w:sz="8" w:color="D5EEEE"/>
            </w:tcBorders>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20" w:type="dxa"/>
            <w:vAlign w:val="bottom"/>
            <w:tcBorders>
              <w:top w:val="single" w:sz="8" w:color="auto"/>
              <w:bottom w:val="single" w:sz="8" w:color="D5EEEE"/>
            </w:tcBorders>
          </w:tcPr>
          <w:p>
            <w:pPr>
              <w:spacing w:after="0"/>
              <w:rPr>
                <w:sz w:val="23"/>
                <w:szCs w:val="23"/>
                <w:color w:val="auto"/>
              </w:rPr>
            </w:pPr>
          </w:p>
        </w:tc>
        <w:tc>
          <w:tcPr>
            <w:tcW w:w="860" w:type="dxa"/>
            <w:vAlign w:val="bottom"/>
            <w:tcBorders>
              <w:top w:val="single" w:sz="8" w:color="auto"/>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61,178</w:t>
            </w:r>
          </w:p>
        </w:tc>
        <w:tc>
          <w:tcPr>
            <w:tcW w:w="20" w:type="dxa"/>
            <w:vAlign w:val="bottom"/>
            <w:tcBorders>
              <w:top w:val="single" w:sz="8" w:color="auto"/>
              <w:bottom w:val="single" w:sz="8" w:color="D5EEEE"/>
            </w:tcBorders>
          </w:tcPr>
          <w:p>
            <w:pPr>
              <w:spacing w:after="0"/>
              <w:rPr>
                <w:sz w:val="23"/>
                <w:szCs w:val="23"/>
                <w:color w:val="auto"/>
              </w:rPr>
            </w:pPr>
          </w:p>
        </w:tc>
        <w:tc>
          <w:tcPr>
            <w:tcW w:w="80" w:type="dxa"/>
            <w:vAlign w:val="bottom"/>
            <w:tcBorders>
              <w:top w:val="single" w:sz="8" w:color="D5EEEE"/>
              <w:bottom w:val="single" w:sz="8" w:color="D5EEEE"/>
            </w:tcBorders>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76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10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060" w:type="dxa"/>
            <w:vAlign w:val="bottom"/>
            <w:gridSpan w:val="5"/>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8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gridSpan w:val="3"/>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3,568</w:t>
            </w:r>
          </w:p>
        </w:tc>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7</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60" w:type="dxa"/>
            <w:vAlign w:val="bottom"/>
            <w:gridSpan w:val="5"/>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(3)</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76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Borders>
              <w:bottom w:val="single" w:sz="8" w:color="D5EEEE"/>
            </w:tcBorders>
            <w:vMerge w:val="continue"/>
          </w:tcPr>
          <w:p>
            <w:pPr>
              <w:spacing w:after="0"/>
              <w:rPr>
                <w:sz w:val="19"/>
                <w:szCs w:val="19"/>
                <w:color w:val="auto"/>
              </w:rPr>
            </w:pPr>
          </w:p>
        </w:tc>
        <w:tc>
          <w:tcPr>
            <w:tcW w:w="840" w:type="dxa"/>
            <w:vAlign w:val="bottom"/>
            <w:tcBorders>
              <w:bottom w:val="single" w:sz="8" w:color="D5EEEE"/>
            </w:tcBorders>
            <w:vMerge w:val="continue"/>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Pr>
          <w:p>
            <w:pPr>
              <w:spacing w:after="0"/>
              <w:rPr>
                <w:sz w:val="19"/>
                <w:szCs w:val="19"/>
                <w:color w:val="auto"/>
              </w:rPr>
            </w:pPr>
          </w:p>
        </w:tc>
        <w:tc>
          <w:tcPr>
            <w:tcW w:w="840" w:type="dxa"/>
            <w:vAlign w:val="bottom"/>
            <w:tcBorders>
              <w:bottom w:val="single" w:sz="8" w:color="D5EEEE"/>
            </w:tcBorders>
          </w:tcPr>
          <w:p>
            <w:pPr>
              <w:spacing w:after="0"/>
              <w:rPr>
                <w:sz w:val="19"/>
                <w:szCs w:val="19"/>
                <w:color w:val="auto"/>
              </w:rPr>
            </w:pPr>
          </w:p>
        </w:tc>
        <w:tc>
          <w:tcPr>
            <w:tcW w:w="120" w:type="dxa"/>
            <w:vAlign w:val="bottom"/>
            <w:tcBorders>
              <w:bottom w:val="single" w:sz="8" w:color="D5EEEE"/>
            </w:tcBorders>
            <w:vMerge w:val="continue"/>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1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20" w:type="dxa"/>
            <w:vAlign w:val="bottom"/>
            <w:vMerge w:val="continue"/>
          </w:tcPr>
          <w:p>
            <w:pPr>
              <w:spacing w:after="0"/>
              <w:rPr>
                <w:sz w:val="19"/>
                <w:szCs w:val="19"/>
                <w:color w:val="auto"/>
              </w:rPr>
            </w:pPr>
          </w:p>
        </w:tc>
        <w:tc>
          <w:tcPr>
            <w:tcW w:w="1060" w:type="dxa"/>
            <w:vAlign w:val="bottom"/>
            <w:gridSpan w:val="5"/>
            <w:vMerge w:val="continue"/>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20" w:type="dxa"/>
            <w:vAlign w:val="bottom"/>
            <w:tcBorders>
              <w:bottom w:val="single" w:sz="8" w:color="D5EEEE"/>
            </w:tcBorders>
          </w:tcPr>
          <w:p>
            <w:pPr>
              <w:spacing w:after="0"/>
              <w:rPr>
                <w:sz w:val="19"/>
                <w:szCs w:val="19"/>
                <w:color w:val="auto"/>
              </w:rPr>
            </w:pPr>
          </w:p>
        </w:tc>
        <w:tc>
          <w:tcPr>
            <w:tcW w:w="86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3,572</w:t>
            </w:r>
          </w:p>
        </w:tc>
        <w:tc>
          <w:tcPr>
            <w:tcW w:w="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60" w:type="dxa"/>
            <w:vAlign w:val="bottom"/>
            <w:tcBorders>
              <w:bottom w:val="single" w:sz="8" w:color="D5EEEE"/>
            </w:tcBorders>
            <w:shd w:val="clear" w:color="auto" w:fill="D5EEEE"/>
          </w:tcPr>
          <w:p>
            <w:pPr>
              <w:spacing w:after="0"/>
              <w:rPr>
                <w:sz w:val="19"/>
                <w:szCs w:val="19"/>
                <w:color w:val="auto"/>
              </w:rPr>
            </w:pPr>
          </w:p>
        </w:tc>
        <w:tc>
          <w:tcPr>
            <w:tcW w:w="20" w:type="dxa"/>
            <w:vAlign w:val="bottom"/>
            <w:tcBorders>
              <w:bottom w:val="single" w:sz="8" w:color="D5EEEE"/>
            </w:tcBorders>
            <w:shd w:val="clear" w:color="auto" w:fill="D5EEEE"/>
          </w:tcPr>
          <w:p>
            <w:pPr>
              <w:spacing w:after="0"/>
              <w:rPr>
                <w:sz w:val="19"/>
                <w:szCs w:val="19"/>
                <w:color w:val="auto"/>
              </w:rPr>
            </w:pPr>
          </w:p>
        </w:tc>
        <w:tc>
          <w:tcPr>
            <w:tcW w:w="100" w:type="dxa"/>
            <w:vAlign w:val="bottom"/>
            <w:tcBorders>
              <w:bottom w:val="single" w:sz="8" w:color="D5EEEE"/>
            </w:tcBorders>
            <w:shd w:val="clear" w:color="auto" w:fill="D5EEE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bottom w:val="single" w:sz="8" w:color="D5EEEE"/>
            </w:tcBorders>
            <w:shd w:val="clear" w:color="auto" w:fill="D5EEEE"/>
          </w:tcPr>
          <w:p>
            <w:pPr>
              <w:jc w:val="right"/>
              <w:spacing w:after="0" w:line="219" w:lineRule="exact"/>
              <w:rPr>
                <w:sz w:val="20"/>
                <w:szCs w:val="20"/>
                <w:color w:val="auto"/>
              </w:rPr>
            </w:pPr>
            <w:r>
              <w:rPr>
                <w:rFonts w:ascii="Times New Roman" w:cs="Times New Roman" w:eastAsia="Times New Roman" w:hAnsi="Times New Roman"/>
                <w:sz w:val="20"/>
                <w:szCs w:val="20"/>
                <w:color w:val="auto"/>
              </w:rPr>
              <w:t>2,416</w:t>
            </w:r>
          </w:p>
        </w:tc>
        <w:tc>
          <w:tcPr>
            <w:tcW w:w="20" w:type="dxa"/>
            <w:vAlign w:val="bottom"/>
            <w:tcBorders>
              <w:bottom w:val="single" w:sz="8" w:color="D5EEEE"/>
            </w:tcBorders>
            <w:shd w:val="clear" w:color="auto" w:fill="D5EEEE"/>
          </w:tcPr>
          <w:p>
            <w:pPr>
              <w:spacing w:after="0"/>
              <w:rPr>
                <w:sz w:val="19"/>
                <w:szCs w:val="19"/>
                <w:color w:val="auto"/>
              </w:rPr>
            </w:pPr>
          </w:p>
        </w:tc>
        <w:tc>
          <w:tcPr>
            <w:tcW w:w="100" w:type="dxa"/>
            <w:vAlign w:val="bottom"/>
            <w:tcBorders>
              <w:bottom w:val="single" w:sz="8" w:color="D5EEEE"/>
            </w:tcBorders>
            <w:shd w:val="clear" w:color="auto" w:fill="D5EEE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left w:val="single" w:sz="8" w:color="D5EEEE"/>
              <w:bottom w:val="single" w:sz="8" w:color="D5EEEE"/>
            </w:tcBorders>
            <w:shd w:val="clear" w:color="auto" w:fill="D5EEEE"/>
          </w:tcPr>
          <w:p>
            <w:pPr>
              <w:spacing w:after="0"/>
              <w:rPr>
                <w:sz w:val="19"/>
                <w:szCs w:val="19"/>
                <w:color w:val="auto"/>
              </w:rPr>
            </w:pPr>
          </w:p>
        </w:tc>
        <w:tc>
          <w:tcPr>
            <w:tcW w:w="120" w:type="dxa"/>
            <w:vAlign w:val="bottom"/>
            <w:tcBorders>
              <w:bottom w:val="single" w:sz="8" w:color="D5EEEE"/>
            </w:tcBorders>
            <w:shd w:val="clear" w:color="auto" w:fill="D5EEEE"/>
          </w:tcPr>
          <w:p>
            <w:pPr>
              <w:jc w:val="right"/>
              <w:spacing w:after="0" w:line="219"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00" w:type="dxa"/>
            <w:vAlign w:val="bottom"/>
            <w:tcBorders>
              <w:bottom w:val="single" w:sz="8" w:color="D5EEEE"/>
            </w:tcBorders>
            <w:shd w:val="clear" w:color="auto" w:fill="D5EEE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5"/>
          </w:tcPr>
          <w:p>
            <w:pPr>
              <w:jc w:val="right"/>
              <w:ind w:right="40"/>
              <w:spacing w:after="0" w:line="219" w:lineRule="exact"/>
              <w:rPr>
                <w:sz w:val="20"/>
                <w:szCs w:val="20"/>
                <w:color w:val="auto"/>
              </w:rPr>
            </w:pPr>
            <w:r>
              <w:rPr>
                <w:rFonts w:ascii="Times New Roman" w:cs="Times New Roman" w:eastAsia="Times New Roman" w:hAnsi="Times New Roman"/>
                <w:sz w:val="20"/>
                <w:szCs w:val="20"/>
                <w:color w:val="auto"/>
              </w:rPr>
              <w:t>(6)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D5EEEE"/>
          </w:tcPr>
          <w:p>
            <w:pPr>
              <w:jc w:val="right"/>
              <w:spacing w:after="0" w:line="219" w:lineRule="exact"/>
              <w:rPr>
                <w:sz w:val="20"/>
                <w:szCs w:val="20"/>
                <w:color w:val="auto"/>
              </w:rPr>
            </w:pPr>
            <w:r>
              <w:rPr>
                <w:rFonts w:ascii="Times New Roman" w:cs="Times New Roman" w:eastAsia="Times New Roman" w:hAnsi="Times New Roman"/>
                <w:sz w:val="20"/>
                <w:szCs w:val="20"/>
                <w:color w:val="auto"/>
              </w:rPr>
              <w:t>2,410</w:t>
            </w:r>
          </w:p>
        </w:tc>
        <w:tc>
          <w:tcPr>
            <w:tcW w:w="20" w:type="dxa"/>
            <w:vAlign w:val="bottom"/>
          </w:tcPr>
          <w:p>
            <w:pPr>
              <w:spacing w:after="0"/>
              <w:rPr>
                <w:sz w:val="19"/>
                <w:szCs w:val="19"/>
                <w:color w:val="auto"/>
              </w:rPr>
            </w:pPr>
          </w:p>
        </w:tc>
        <w:tc>
          <w:tcPr>
            <w:tcW w:w="80" w:type="dxa"/>
            <w:vAlign w:val="bottom"/>
            <w:tcBorders>
              <w:bottom w:val="single" w:sz="8" w:color="D5EEEE"/>
            </w:tcBorders>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gridSpan w:val="5"/>
          </w:tcPr>
          <w:p>
            <w:pPr>
              <w:jc w:val="right"/>
              <w:ind w:right="40"/>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76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auto"/>
            </w:tcBorders>
            <w:shd w:val="clear" w:color="auto" w:fill="D5EEEE"/>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shd w:val="clear" w:color="auto" w:fill="D5EEEE"/>
          </w:tcPr>
          <w:p>
            <w:pPr>
              <w:jc w:val="right"/>
              <w:spacing w:after="0" w:line="210" w:lineRule="exact"/>
              <w:rPr>
                <w:sz w:val="20"/>
                <w:szCs w:val="20"/>
                <w:color w:val="auto"/>
              </w:rPr>
            </w:pPr>
            <w:r>
              <w:rPr>
                <w:rFonts w:ascii="Times New Roman" w:cs="Times New Roman" w:eastAsia="Times New Roman" w:hAnsi="Times New Roman"/>
                <w:sz w:val="20"/>
                <w:szCs w:val="20"/>
                <w:color w:val="auto"/>
              </w:rPr>
              <w:t>6,933</w:t>
            </w:r>
          </w:p>
        </w:tc>
        <w:tc>
          <w:tcPr>
            <w:tcW w:w="20" w:type="dxa"/>
            <w:vAlign w:val="bottom"/>
            <w:tcBorders>
              <w:top w:val="single" w:sz="8" w:color="auto"/>
            </w:tcBorders>
            <w:shd w:val="clear" w:color="auto" w:fill="D5EEEE"/>
          </w:tcPr>
          <w:p>
            <w:pPr>
              <w:spacing w:after="0"/>
              <w:rPr>
                <w:sz w:val="18"/>
                <w:szCs w:val="18"/>
                <w:color w:val="auto"/>
              </w:rPr>
            </w:pPr>
          </w:p>
        </w:tc>
        <w:tc>
          <w:tcPr>
            <w:tcW w:w="100" w:type="dxa"/>
            <w:vAlign w:val="bottom"/>
            <w:tcBorders>
              <w:top w:val="single" w:sz="8" w:color="D5EEEE"/>
            </w:tcBorders>
            <w:shd w:val="clear" w:color="auto" w:fill="D5EEEE"/>
          </w:tcPr>
          <w:p>
            <w:pPr>
              <w:spacing w:after="0"/>
              <w:rPr>
                <w:sz w:val="18"/>
                <w:szCs w:val="18"/>
                <w:color w:val="auto"/>
              </w:rPr>
            </w:pPr>
          </w:p>
        </w:tc>
        <w:tc>
          <w:tcPr>
            <w:tcW w:w="80" w:type="dxa"/>
            <w:vAlign w:val="bottom"/>
            <w:tcBorders>
              <w:top w:val="single" w:sz="8" w:color="D5EEEE"/>
            </w:tcBorders>
          </w:tcPr>
          <w:p>
            <w:pPr>
              <w:spacing w:after="0"/>
              <w:rPr>
                <w:sz w:val="18"/>
                <w:szCs w:val="18"/>
                <w:color w:val="auto"/>
              </w:rPr>
            </w:pPr>
          </w:p>
        </w:tc>
        <w:tc>
          <w:tcPr>
            <w:tcW w:w="20" w:type="dxa"/>
            <w:vAlign w:val="bottom"/>
            <w:tcBorders>
              <w:top w:val="single" w:sz="8" w:color="D5EEEE"/>
              <w:bottom w:val="single" w:sz="8" w:color="auto"/>
            </w:tcBorders>
          </w:tcPr>
          <w:p>
            <w:pPr>
              <w:spacing w:after="0"/>
              <w:rPr>
                <w:sz w:val="18"/>
                <w:szCs w:val="18"/>
                <w:color w:val="auto"/>
              </w:rPr>
            </w:pPr>
          </w:p>
        </w:tc>
        <w:tc>
          <w:tcPr>
            <w:tcW w:w="100" w:type="dxa"/>
            <w:vAlign w:val="bottom"/>
            <w:tcBorders>
              <w:top w:val="single" w:sz="8" w:color="auto"/>
              <w:bottom w:val="single" w:sz="8" w:color="auto"/>
            </w:tcBorders>
            <w:shd w:val="clear" w:color="auto" w:fill="D5EEEE"/>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left w:val="single" w:sz="8" w:color="D5EEEE"/>
            </w:tcBorders>
            <w:shd w:val="clear" w:color="auto" w:fill="D5EEEE"/>
          </w:tcPr>
          <w:p>
            <w:pPr>
              <w:spacing w:after="0"/>
              <w:rPr>
                <w:sz w:val="18"/>
                <w:szCs w:val="18"/>
                <w:color w:val="auto"/>
              </w:rPr>
            </w:pPr>
          </w:p>
        </w:tc>
        <w:tc>
          <w:tcPr>
            <w:tcW w:w="120" w:type="dxa"/>
            <w:vAlign w:val="bottom"/>
            <w:tcBorders>
              <w:top w:val="single" w:sz="8" w:color="auto"/>
            </w:tcBorders>
            <w:shd w:val="clear" w:color="auto" w:fill="D5EEEE"/>
          </w:tcPr>
          <w:p>
            <w:pPr>
              <w:jc w:val="right"/>
              <w:spacing w:after="0" w:line="210" w:lineRule="exact"/>
              <w:rPr>
                <w:sz w:val="20"/>
                <w:szCs w:val="20"/>
                <w:color w:val="auto"/>
              </w:rPr>
            </w:pPr>
            <w:r>
              <w:rPr>
                <w:rFonts w:ascii="Times New Roman" w:cs="Times New Roman" w:eastAsia="Times New Roman" w:hAnsi="Times New Roman"/>
                <w:sz w:val="20"/>
                <w:szCs w:val="20"/>
                <w:color w:val="auto"/>
                <w:w w:val="99"/>
              </w:rPr>
              <w:t>7</w:t>
            </w:r>
          </w:p>
        </w:tc>
        <w:tc>
          <w:tcPr>
            <w:tcW w:w="20" w:type="dxa"/>
            <w:vAlign w:val="bottom"/>
            <w:tcBorders>
              <w:top w:val="single" w:sz="8" w:color="auto"/>
            </w:tcBorders>
            <w:shd w:val="clear" w:color="auto" w:fill="D5EEEE"/>
          </w:tcPr>
          <w:p>
            <w:pPr>
              <w:spacing w:after="0"/>
              <w:rPr>
                <w:sz w:val="18"/>
                <w:szCs w:val="18"/>
                <w:color w:val="auto"/>
              </w:rPr>
            </w:pPr>
          </w:p>
        </w:tc>
        <w:tc>
          <w:tcPr>
            <w:tcW w:w="10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D5EEEE"/>
            </w:tcBorders>
          </w:tcPr>
          <w:p>
            <w:pPr>
              <w:spacing w:after="0"/>
              <w:rPr>
                <w:sz w:val="18"/>
                <w:szCs w:val="18"/>
                <w:color w:val="auto"/>
              </w:rPr>
            </w:pPr>
          </w:p>
        </w:tc>
        <w:tc>
          <w:tcPr>
            <w:tcW w:w="20" w:type="dxa"/>
            <w:vAlign w:val="bottom"/>
            <w:tcBorders>
              <w:top w:val="single" w:sz="8" w:color="D5EEEE"/>
              <w:bottom w:val="single" w:sz="8" w:color="auto"/>
            </w:tcBorders>
          </w:tcPr>
          <w:p>
            <w:pPr>
              <w:spacing w:after="0"/>
              <w:rPr>
                <w:sz w:val="18"/>
                <w:szCs w:val="18"/>
                <w:color w:val="auto"/>
              </w:rPr>
            </w:pPr>
          </w:p>
        </w:tc>
        <w:tc>
          <w:tcPr>
            <w:tcW w:w="8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tcBorders>
            <w:gridSpan w:val="2"/>
            <w:shd w:val="clear" w:color="auto" w:fill="D5EEEE"/>
          </w:tcPr>
          <w:p>
            <w:pPr>
              <w:jc w:val="right"/>
              <w:spacing w:after="0" w:line="210" w:lineRule="exact"/>
              <w:rPr>
                <w:sz w:val="20"/>
                <w:szCs w:val="20"/>
                <w:color w:val="auto"/>
              </w:rPr>
            </w:pPr>
            <w:r>
              <w:rPr>
                <w:rFonts w:ascii="Times New Roman" w:cs="Times New Roman" w:eastAsia="Times New Roman" w:hAnsi="Times New Roman"/>
                <w:sz w:val="20"/>
                <w:szCs w:val="20"/>
                <w:color w:val="auto"/>
              </w:rPr>
              <w:t>(10)</w:t>
            </w:r>
          </w:p>
        </w:tc>
        <w:tc>
          <w:tcPr>
            <w:tcW w:w="20" w:type="dxa"/>
            <w:vAlign w:val="bottom"/>
            <w:tcBorders>
              <w:top w:val="single" w:sz="8" w:color="auto"/>
            </w:tcBorders>
            <w:shd w:val="clear" w:color="auto" w:fill="D5EEE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D5EEEE"/>
              <w:bottom w:val="single" w:sz="8" w:color="auto"/>
            </w:tcBorders>
            <w:shd w:val="clear" w:color="auto" w:fill="D5EEEE"/>
          </w:tcPr>
          <w:p>
            <w:pPr>
              <w:spacing w:after="0"/>
              <w:rPr>
                <w:sz w:val="18"/>
                <w:szCs w:val="18"/>
                <w:color w:val="auto"/>
              </w:rPr>
            </w:pPr>
          </w:p>
        </w:tc>
        <w:tc>
          <w:tcPr>
            <w:tcW w:w="8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tcBorders>
            <w:shd w:val="clear" w:color="auto" w:fill="D5EEEE"/>
          </w:tcPr>
          <w:p>
            <w:pPr>
              <w:jc w:val="right"/>
              <w:spacing w:after="0" w:line="210" w:lineRule="exact"/>
              <w:rPr>
                <w:sz w:val="20"/>
                <w:szCs w:val="20"/>
                <w:color w:val="auto"/>
              </w:rPr>
            </w:pPr>
            <w:r>
              <w:rPr>
                <w:rFonts w:ascii="Times New Roman" w:cs="Times New Roman" w:eastAsia="Times New Roman" w:hAnsi="Times New Roman"/>
                <w:sz w:val="20"/>
                <w:szCs w:val="20"/>
                <w:color w:val="auto"/>
              </w:rPr>
              <w:t>6,930</w:t>
            </w:r>
          </w:p>
        </w:tc>
        <w:tc>
          <w:tcPr>
            <w:tcW w:w="20" w:type="dxa"/>
            <w:vAlign w:val="bottom"/>
            <w:tcBorders>
              <w:top w:val="single" w:sz="8" w:color="auto"/>
            </w:tcBorders>
            <w:shd w:val="clear" w:color="auto" w:fill="D5EEEE"/>
          </w:tcPr>
          <w:p>
            <w:pPr>
              <w:spacing w:after="0"/>
              <w:rPr>
                <w:sz w:val="18"/>
                <w:szCs w:val="18"/>
                <w:color w:val="auto"/>
              </w:rPr>
            </w:pPr>
          </w:p>
        </w:tc>
        <w:tc>
          <w:tcPr>
            <w:tcW w:w="80" w:type="dxa"/>
            <w:vAlign w:val="bottom"/>
            <w:tcBorders>
              <w:top w:val="single" w:sz="8" w:color="D5EEEE"/>
            </w:tcBorders>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810"/>
        </w:trPr>
        <w:tc>
          <w:tcPr>
            <w:tcW w:w="4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gridSpan w:val="15"/>
          </w:tcPr>
          <w:p>
            <w:pPr>
              <w:ind w:left="220"/>
              <w:spacing w:after="0"/>
              <w:rPr>
                <w:sz w:val="20"/>
                <w:szCs w:val="20"/>
                <w:color w:val="auto"/>
              </w:rPr>
            </w:pPr>
            <w:r>
              <w:rPr>
                <w:rFonts w:ascii="Times New Roman" w:cs="Times New Roman" w:eastAsia="Times New Roman" w:hAnsi="Times New Roman"/>
                <w:sz w:val="16"/>
                <w:szCs w:val="16"/>
                <w:b w:val="1"/>
                <w:bCs w:val="1"/>
                <w:color w:val="auto"/>
              </w:rPr>
              <w:t>As of Decem</w:t>
            </w:r>
            <w:r>
              <w:rPr>
                <w:rFonts w:ascii="Times New Roman" w:cs="Times New Roman" w:eastAsia="Times New Roman" w:hAnsi="Times New Roman"/>
                <w:sz w:val="16"/>
                <w:szCs w:val="16"/>
                <w:b w:val="1"/>
                <w:bCs w:val="1"/>
                <w:u w:val="single" w:color="auto"/>
                <w:color w:val="auto"/>
              </w:rPr>
              <w:t>b</w:t>
            </w:r>
            <w:r>
              <w:rPr>
                <w:rFonts w:ascii="Times New Roman" w:cs="Times New Roman" w:eastAsia="Times New Roman" w:hAnsi="Times New Roman"/>
                <w:sz w:val="16"/>
                <w:szCs w:val="16"/>
                <w:b w:val="1"/>
                <w:bCs w:val="1"/>
                <w:color w:val="auto"/>
              </w:rPr>
              <w:t>er 31, 2021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center"/>
              <w:spacing w:after="0" w:line="163"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6"/>
          </w:tcPr>
          <w:p>
            <w:pPr>
              <w:jc w:val="center"/>
              <w:ind w:right="380"/>
              <w:spacing w:after="0" w:line="163"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7"/>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gridSpan w:val="6"/>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Holding</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Carrying</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gridSpan w:val="6"/>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tcBorders>
            <w:gridSpan w:val="2"/>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47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20" w:type="dxa"/>
            <w:vAlign w:val="bottom"/>
            <w:gridSpan w:val="2"/>
            <w:vMerge w:val="restart"/>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476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20" w:type="dxa"/>
            <w:vAlign w:val="bottom"/>
            <w:tcBorders>
              <w:bottom w:val="single" w:sz="8" w:color="D5EEEE"/>
            </w:tcBorders>
            <w:vMerge w:val="continue"/>
          </w:tcPr>
          <w:p>
            <w:pPr>
              <w:spacing w:after="0"/>
              <w:rPr>
                <w:sz w:val="16"/>
                <w:szCs w:val="16"/>
                <w:color w:val="auto"/>
              </w:rPr>
            </w:pPr>
          </w:p>
        </w:tc>
        <w:tc>
          <w:tcPr>
            <w:tcW w:w="100" w:type="dxa"/>
            <w:vAlign w:val="bottom"/>
            <w:tcBorders>
              <w:bottom w:val="single" w:sz="8" w:color="D5EEEE"/>
            </w:tcBorders>
            <w:vMerge w:val="continue"/>
          </w:tcPr>
          <w:p>
            <w:pPr>
              <w:spacing w:after="0"/>
              <w:rPr>
                <w:sz w:val="16"/>
                <w:szCs w:val="16"/>
                <w:color w:val="auto"/>
              </w:rPr>
            </w:pPr>
          </w:p>
        </w:tc>
        <w:tc>
          <w:tcPr>
            <w:tcW w:w="120" w:type="dxa"/>
            <w:vAlign w:val="bottom"/>
            <w:tcBorders>
              <w:bottom w:val="single" w:sz="8" w:color="D5EEEE"/>
            </w:tcBorders>
            <w:gridSpan w:val="2"/>
            <w:vMerge w:val="continue"/>
          </w:tcPr>
          <w:p>
            <w:pPr>
              <w:spacing w:after="0"/>
              <w:rPr>
                <w:sz w:val="16"/>
                <w:szCs w:val="16"/>
                <w:color w:val="auto"/>
              </w:rPr>
            </w:pPr>
          </w:p>
        </w:tc>
        <w:tc>
          <w:tcPr>
            <w:tcW w:w="840" w:type="dxa"/>
            <w:vAlign w:val="bottom"/>
            <w:tcBorders>
              <w:bottom w:val="single" w:sz="8" w:color="D5EEEE"/>
            </w:tcBorders>
          </w:tcPr>
          <w:p>
            <w:pPr>
              <w:spacing w:after="0"/>
              <w:rPr>
                <w:sz w:val="16"/>
                <w:szCs w:val="16"/>
                <w:color w:val="auto"/>
              </w:rPr>
            </w:pPr>
          </w:p>
        </w:tc>
        <w:tc>
          <w:tcPr>
            <w:tcW w:w="20" w:type="dxa"/>
            <w:vAlign w:val="bottom"/>
            <w:tcBorders>
              <w:bottom w:val="single" w:sz="8" w:color="D5EEEE"/>
            </w:tcBorders>
          </w:tcPr>
          <w:p>
            <w:pPr>
              <w:spacing w:after="0"/>
              <w:rPr>
                <w:sz w:val="16"/>
                <w:szCs w:val="16"/>
                <w:color w:val="auto"/>
              </w:rPr>
            </w:pPr>
          </w:p>
        </w:tc>
        <w:tc>
          <w:tcPr>
            <w:tcW w:w="100" w:type="dxa"/>
            <w:vAlign w:val="bottom"/>
            <w:tcBorders>
              <w:bottom w:val="single" w:sz="8" w:color="D5EEEE"/>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Borders>
              <w:bottom w:val="single" w:sz="8" w:color="D5EEEE"/>
            </w:tcBorders>
          </w:tcPr>
          <w:p>
            <w:pPr>
              <w:spacing w:after="0"/>
              <w:rPr>
                <w:sz w:val="16"/>
                <w:szCs w:val="16"/>
                <w:color w:val="auto"/>
              </w:rPr>
            </w:pPr>
          </w:p>
        </w:tc>
        <w:tc>
          <w:tcPr>
            <w:tcW w:w="120" w:type="dxa"/>
            <w:vAlign w:val="bottom"/>
            <w:tcBorders>
              <w:bottom w:val="single" w:sz="8" w:color="D5EEEE"/>
            </w:tcBorders>
          </w:tcPr>
          <w:p>
            <w:pPr>
              <w:spacing w:after="0"/>
              <w:rPr>
                <w:sz w:val="16"/>
                <w:szCs w:val="16"/>
                <w:color w:val="auto"/>
              </w:rPr>
            </w:pPr>
          </w:p>
        </w:tc>
        <w:tc>
          <w:tcPr>
            <w:tcW w:w="20" w:type="dxa"/>
            <w:vAlign w:val="bottom"/>
            <w:tcBorders>
              <w:bottom w:val="single" w:sz="8" w:color="D5EEEE"/>
            </w:tcBorders>
          </w:tcPr>
          <w:p>
            <w:pPr>
              <w:spacing w:after="0"/>
              <w:rPr>
                <w:sz w:val="16"/>
                <w:szCs w:val="16"/>
                <w:color w:val="auto"/>
              </w:rPr>
            </w:pPr>
          </w:p>
        </w:tc>
        <w:tc>
          <w:tcPr>
            <w:tcW w:w="100" w:type="dxa"/>
            <w:vAlign w:val="bottom"/>
            <w:tcBorders>
              <w:bottom w:val="single" w:sz="8" w:color="D5EEEE"/>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D5EEEE"/>
            </w:tcBorders>
          </w:tcPr>
          <w:p>
            <w:pPr>
              <w:spacing w:after="0"/>
              <w:rPr>
                <w:sz w:val="16"/>
                <w:szCs w:val="16"/>
                <w:color w:val="auto"/>
              </w:rPr>
            </w:pPr>
          </w:p>
        </w:tc>
        <w:tc>
          <w:tcPr>
            <w:tcW w:w="20" w:type="dxa"/>
            <w:vAlign w:val="bottom"/>
            <w:tcBorders>
              <w:bottom w:val="single" w:sz="8" w:color="D5EEEE"/>
            </w:tcBorders>
          </w:tcPr>
          <w:p>
            <w:pPr>
              <w:spacing w:after="0"/>
              <w:rPr>
                <w:sz w:val="16"/>
                <w:szCs w:val="16"/>
                <w:color w:val="auto"/>
              </w:rPr>
            </w:pPr>
          </w:p>
        </w:tc>
        <w:tc>
          <w:tcPr>
            <w:tcW w:w="80" w:type="dxa"/>
            <w:vAlign w:val="bottom"/>
            <w:tcBorders>
              <w:bottom w:val="single" w:sz="8" w:color="D5EEEE"/>
            </w:tcBorders>
          </w:tcPr>
          <w:p>
            <w:pPr>
              <w:spacing w:after="0"/>
              <w:rPr>
                <w:sz w:val="16"/>
                <w:szCs w:val="16"/>
                <w:color w:val="auto"/>
              </w:rPr>
            </w:pPr>
          </w:p>
        </w:tc>
        <w:tc>
          <w:tcPr>
            <w:tcW w:w="20" w:type="dxa"/>
            <w:vAlign w:val="bottom"/>
            <w:tcBorders>
              <w:bottom w:val="single" w:sz="8" w:color="D5EEEE"/>
            </w:tcBorders>
          </w:tcPr>
          <w:p>
            <w:pPr>
              <w:spacing w:after="0"/>
              <w:rPr>
                <w:sz w:val="16"/>
                <w:szCs w:val="16"/>
                <w:color w:val="auto"/>
              </w:rPr>
            </w:pPr>
          </w:p>
        </w:tc>
        <w:tc>
          <w:tcPr>
            <w:tcW w:w="860" w:type="dxa"/>
            <w:vAlign w:val="bottom"/>
            <w:tcBorders>
              <w:bottom w:val="single" w:sz="8" w:color="D5EEEE"/>
            </w:tcBorders>
          </w:tcPr>
          <w:p>
            <w:pPr>
              <w:spacing w:after="0"/>
              <w:rPr>
                <w:sz w:val="16"/>
                <w:szCs w:val="16"/>
                <w:color w:val="auto"/>
              </w:rPr>
            </w:pPr>
          </w:p>
        </w:tc>
        <w:tc>
          <w:tcPr>
            <w:tcW w:w="20" w:type="dxa"/>
            <w:vAlign w:val="bottom"/>
            <w:tcBorders>
              <w:bottom w:val="single" w:sz="8" w:color="D5EEEE"/>
            </w:tcBorders>
          </w:tcPr>
          <w:p>
            <w:pPr>
              <w:spacing w:after="0"/>
              <w:rPr>
                <w:sz w:val="16"/>
                <w:szCs w:val="16"/>
                <w:color w:val="auto"/>
              </w:rPr>
            </w:pPr>
          </w:p>
        </w:tc>
        <w:tc>
          <w:tcPr>
            <w:tcW w:w="80" w:type="dxa"/>
            <w:vAlign w:val="bottom"/>
            <w:tcBorders>
              <w:bottom w:val="single" w:sz="8" w:color="D5EEEE"/>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76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10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gridSpan w:val="2"/>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gridSpan w:val="2"/>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9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8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gridSpan w:val="3"/>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51,112</w:t>
            </w:r>
          </w:p>
        </w:tc>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51,112</w:t>
            </w: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76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Borders>
              <w:bottom w:val="single" w:sz="8" w:color="D5EEEE"/>
            </w:tcBorders>
            <w:vMerge w:val="continue"/>
          </w:tcPr>
          <w:p>
            <w:pPr>
              <w:spacing w:after="0"/>
              <w:rPr>
                <w:sz w:val="19"/>
                <w:szCs w:val="19"/>
                <w:color w:val="auto"/>
              </w:rPr>
            </w:pPr>
          </w:p>
        </w:tc>
        <w:tc>
          <w:tcPr>
            <w:tcW w:w="840" w:type="dxa"/>
            <w:vAlign w:val="bottom"/>
            <w:tcBorders>
              <w:bottom w:val="single" w:sz="8" w:color="D5EEEE"/>
            </w:tcBorders>
            <w:vMerge w:val="continue"/>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vMerge w:val="continue"/>
          </w:tcPr>
          <w:p>
            <w:pPr>
              <w:spacing w:after="0"/>
              <w:rPr>
                <w:sz w:val="19"/>
                <w:szCs w:val="19"/>
                <w:color w:val="auto"/>
              </w:rPr>
            </w:pPr>
          </w:p>
        </w:tc>
        <w:tc>
          <w:tcPr>
            <w:tcW w:w="100" w:type="dxa"/>
            <w:vAlign w:val="bottom"/>
            <w:gridSpan w:val="2"/>
            <w:vMerge w:val="continue"/>
          </w:tcPr>
          <w:p>
            <w:pPr>
              <w:spacing w:after="0"/>
              <w:rPr>
                <w:sz w:val="19"/>
                <w:szCs w:val="19"/>
                <w:color w:val="auto"/>
              </w:rPr>
            </w:pPr>
          </w:p>
        </w:tc>
        <w:tc>
          <w:tcPr>
            <w:tcW w:w="1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Pr>
          <w:p>
            <w:pPr>
              <w:spacing w:after="0"/>
              <w:rPr>
                <w:sz w:val="19"/>
                <w:szCs w:val="19"/>
                <w:color w:val="auto"/>
              </w:rPr>
            </w:pPr>
          </w:p>
        </w:tc>
        <w:tc>
          <w:tcPr>
            <w:tcW w:w="840" w:type="dxa"/>
            <w:vAlign w:val="bottom"/>
            <w:tcBorders>
              <w:bottom w:val="single" w:sz="8" w:color="D5EEEE"/>
            </w:tcBorders>
          </w:tcPr>
          <w:p>
            <w:pPr>
              <w:spacing w:after="0"/>
              <w:rPr>
                <w:sz w:val="19"/>
                <w:szCs w:val="19"/>
                <w:color w:val="auto"/>
              </w:rPr>
            </w:pPr>
          </w:p>
        </w:tc>
        <w:tc>
          <w:tcPr>
            <w:tcW w:w="120" w:type="dxa"/>
            <w:vAlign w:val="bottom"/>
            <w:tcBorders>
              <w:bottom w:val="single" w:sz="8" w:color="D5EEEE"/>
            </w:tcBorders>
            <w:vMerge w:val="continue"/>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12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2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20" w:type="dxa"/>
            <w:vAlign w:val="bottom"/>
            <w:tcBorders>
              <w:bottom w:val="single" w:sz="8" w:color="D5EEEE"/>
            </w:tcBorders>
            <w:vMerge w:val="continue"/>
          </w:tcPr>
          <w:p>
            <w:pPr>
              <w:spacing w:after="0"/>
              <w:rPr>
                <w:sz w:val="19"/>
                <w:szCs w:val="19"/>
                <w:color w:val="auto"/>
              </w:rPr>
            </w:pPr>
          </w:p>
        </w:tc>
        <w:tc>
          <w:tcPr>
            <w:tcW w:w="860" w:type="dxa"/>
            <w:vAlign w:val="bottom"/>
            <w:tcBorders>
              <w:bottom w:val="single" w:sz="8" w:color="D5EEEE"/>
            </w:tcBorders>
            <w:vMerge w:val="continue"/>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6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10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gridSpan w:val="2"/>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gridSpan w:val="2"/>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9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8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gridSpan w:val="3"/>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19,586</w:t>
            </w:r>
          </w:p>
        </w:tc>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19,586</w:t>
            </w: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76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Borders>
              <w:bottom w:val="single" w:sz="8" w:color="D5EEEE"/>
            </w:tcBorders>
            <w:vMerge w:val="continue"/>
          </w:tcPr>
          <w:p>
            <w:pPr>
              <w:spacing w:after="0"/>
              <w:rPr>
                <w:sz w:val="19"/>
                <w:szCs w:val="19"/>
                <w:color w:val="auto"/>
              </w:rPr>
            </w:pPr>
          </w:p>
        </w:tc>
        <w:tc>
          <w:tcPr>
            <w:tcW w:w="840" w:type="dxa"/>
            <w:vAlign w:val="bottom"/>
            <w:tcBorders>
              <w:bottom w:val="single" w:sz="8" w:color="D5EEEE"/>
            </w:tcBorders>
            <w:vMerge w:val="continue"/>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vMerge w:val="continue"/>
          </w:tcPr>
          <w:p>
            <w:pPr>
              <w:spacing w:after="0"/>
              <w:rPr>
                <w:sz w:val="19"/>
                <w:szCs w:val="19"/>
                <w:color w:val="auto"/>
              </w:rPr>
            </w:pPr>
          </w:p>
        </w:tc>
        <w:tc>
          <w:tcPr>
            <w:tcW w:w="100" w:type="dxa"/>
            <w:vAlign w:val="bottom"/>
            <w:gridSpan w:val="2"/>
            <w:vMerge w:val="continue"/>
          </w:tcPr>
          <w:p>
            <w:pPr>
              <w:spacing w:after="0"/>
              <w:rPr>
                <w:sz w:val="19"/>
                <w:szCs w:val="19"/>
                <w:color w:val="auto"/>
              </w:rPr>
            </w:pPr>
          </w:p>
        </w:tc>
        <w:tc>
          <w:tcPr>
            <w:tcW w:w="1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Pr>
          <w:p>
            <w:pPr>
              <w:spacing w:after="0"/>
              <w:rPr>
                <w:sz w:val="19"/>
                <w:szCs w:val="19"/>
                <w:color w:val="auto"/>
              </w:rPr>
            </w:pPr>
          </w:p>
        </w:tc>
        <w:tc>
          <w:tcPr>
            <w:tcW w:w="840" w:type="dxa"/>
            <w:vAlign w:val="bottom"/>
            <w:tcBorders>
              <w:bottom w:val="single" w:sz="8" w:color="D5EEEE"/>
            </w:tcBorders>
          </w:tcPr>
          <w:p>
            <w:pPr>
              <w:spacing w:after="0"/>
              <w:rPr>
                <w:sz w:val="19"/>
                <w:szCs w:val="19"/>
                <w:color w:val="auto"/>
              </w:rPr>
            </w:pPr>
          </w:p>
        </w:tc>
        <w:tc>
          <w:tcPr>
            <w:tcW w:w="120" w:type="dxa"/>
            <w:vAlign w:val="bottom"/>
            <w:tcBorders>
              <w:bottom w:val="single" w:sz="8" w:color="D5EEEE"/>
            </w:tcBorders>
            <w:vMerge w:val="continue"/>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12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2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20" w:type="dxa"/>
            <w:vAlign w:val="bottom"/>
            <w:tcBorders>
              <w:bottom w:val="single" w:sz="8" w:color="D5EEEE"/>
            </w:tcBorders>
            <w:vMerge w:val="continue"/>
          </w:tcPr>
          <w:p>
            <w:pPr>
              <w:spacing w:after="0"/>
              <w:rPr>
                <w:sz w:val="19"/>
                <w:szCs w:val="19"/>
                <w:color w:val="auto"/>
              </w:rPr>
            </w:pPr>
          </w:p>
        </w:tc>
        <w:tc>
          <w:tcPr>
            <w:tcW w:w="860" w:type="dxa"/>
            <w:vAlign w:val="bottom"/>
            <w:tcBorders>
              <w:bottom w:val="single" w:sz="8" w:color="D5EEEE"/>
            </w:tcBorders>
            <w:vMerge w:val="continue"/>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6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7,068</w:t>
            </w:r>
          </w:p>
        </w:tc>
        <w:tc>
          <w:tcPr>
            <w:tcW w:w="2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left w:val="single" w:sz="8" w:color="D5EEEE"/>
            </w:tcBorders>
            <w:shd w:val="clear" w:color="auto" w:fill="D5EEEE"/>
          </w:tcPr>
          <w:p>
            <w:pPr>
              <w:spacing w:after="0"/>
              <w:rPr>
                <w:sz w:val="19"/>
                <w:szCs w:val="19"/>
                <w:color w:val="auto"/>
              </w:rPr>
            </w:pPr>
          </w:p>
        </w:tc>
        <w:tc>
          <w:tcPr>
            <w:tcW w:w="12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5"/>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rPr>
              <w:t>(7)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7,061</w:t>
            </w:r>
          </w:p>
        </w:tc>
        <w:tc>
          <w:tcPr>
            <w:tcW w:w="20" w:type="dxa"/>
            <w:vAlign w:val="bottom"/>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60" w:type="dxa"/>
            <w:vAlign w:val="bottom"/>
            <w:tcBorders>
              <w:top w:val="single" w:sz="8" w:color="D5EEEE"/>
              <w:bottom w:val="single" w:sz="8" w:color="D5EEEE"/>
            </w:tcBorders>
          </w:tcPr>
          <w:p>
            <w:pPr>
              <w:spacing w:after="0"/>
              <w:rPr>
                <w:sz w:val="19"/>
                <w:szCs w:val="19"/>
                <w:color w:val="auto"/>
              </w:rPr>
            </w:pPr>
          </w:p>
        </w:tc>
        <w:tc>
          <w:tcPr>
            <w:tcW w:w="20" w:type="dxa"/>
            <w:vAlign w:val="bottom"/>
            <w:tcBorders>
              <w:top w:val="single" w:sz="8" w:color="D5EEEE"/>
              <w:bottom w:val="single" w:sz="8" w:color="D5EEEE"/>
            </w:tcBorders>
          </w:tcPr>
          <w:p>
            <w:pPr>
              <w:spacing w:after="0"/>
              <w:rPr>
                <w:sz w:val="19"/>
                <w:szCs w:val="19"/>
                <w:color w:val="auto"/>
              </w:rPr>
            </w:pPr>
          </w:p>
        </w:tc>
        <w:tc>
          <w:tcPr>
            <w:tcW w:w="100" w:type="dxa"/>
            <w:vAlign w:val="bottom"/>
            <w:tcBorders>
              <w:top w:val="single" w:sz="8" w:color="D5EEEE"/>
              <w:bottom w:val="single" w:sz="8" w:color="D5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top w:val="single" w:sz="8" w:color="D5EEEE"/>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3,002</w:t>
            </w:r>
          </w:p>
        </w:tc>
        <w:tc>
          <w:tcPr>
            <w:tcW w:w="20" w:type="dxa"/>
            <w:vAlign w:val="bottom"/>
            <w:tcBorders>
              <w:top w:val="single" w:sz="8" w:color="D5EEEE"/>
              <w:bottom w:val="single" w:sz="8" w:color="auto"/>
            </w:tcBorders>
          </w:tcPr>
          <w:p>
            <w:pPr>
              <w:spacing w:after="0"/>
              <w:rPr>
                <w:sz w:val="19"/>
                <w:szCs w:val="19"/>
                <w:color w:val="auto"/>
              </w:rPr>
            </w:pPr>
          </w:p>
        </w:tc>
        <w:tc>
          <w:tcPr>
            <w:tcW w:w="100" w:type="dxa"/>
            <w:vAlign w:val="bottom"/>
            <w:tcBorders>
              <w:top w:val="single" w:sz="8" w:color="D5EEEE"/>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top w:val="single" w:sz="8" w:color="D5EEEE"/>
              <w:bottom w:val="single" w:sz="8" w:color="auto"/>
            </w:tcBorders>
          </w:tcPr>
          <w:p>
            <w:pPr>
              <w:spacing w:after="0"/>
              <w:rPr>
                <w:sz w:val="19"/>
                <w:szCs w:val="19"/>
                <w:color w:val="auto"/>
              </w:rPr>
            </w:pPr>
          </w:p>
        </w:tc>
        <w:tc>
          <w:tcPr>
            <w:tcW w:w="120" w:type="dxa"/>
            <w:vAlign w:val="bottom"/>
            <w:tcBorders>
              <w:top w:val="single" w:sz="8" w:color="D5EEEE"/>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D5EEEE"/>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60" w:type="dxa"/>
            <w:vAlign w:val="bottom"/>
            <w:tcBorders>
              <w:top w:val="single" w:sz="8" w:color="D5EEEE"/>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3,002</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D5EEEE"/>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Pr>
          <w:p>
            <w:pPr>
              <w:spacing w:after="0"/>
              <w:rPr>
                <w:sz w:val="19"/>
                <w:szCs w:val="19"/>
                <w:color w:val="auto"/>
              </w:rPr>
            </w:pPr>
          </w:p>
        </w:tc>
        <w:tc>
          <w:tcPr>
            <w:tcW w:w="8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29,656</w:t>
            </w:r>
          </w:p>
        </w:tc>
        <w:tc>
          <w:tcPr>
            <w:tcW w:w="2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100" w:type="dxa"/>
            <w:vAlign w:val="bottom"/>
            <w:gridSpan w:val="2"/>
          </w:tcPr>
          <w:p>
            <w:pPr>
              <w:spacing w:after="0"/>
              <w:rPr>
                <w:sz w:val="19"/>
                <w:szCs w:val="19"/>
                <w:color w:val="auto"/>
              </w:rPr>
            </w:pPr>
          </w:p>
        </w:tc>
        <w:tc>
          <w:tcPr>
            <w:tcW w:w="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Pr>
          <w:p>
            <w:pPr>
              <w:spacing w:after="0"/>
              <w:rPr>
                <w:sz w:val="19"/>
                <w:szCs w:val="19"/>
                <w:color w:val="auto"/>
              </w:rPr>
            </w:pPr>
          </w:p>
        </w:tc>
        <w:tc>
          <w:tcPr>
            <w:tcW w:w="840" w:type="dxa"/>
            <w:vAlign w:val="bottom"/>
            <w:tcBorders>
              <w:left w:val="single" w:sz="8" w:color="D5EEEE"/>
            </w:tcBorders>
            <w:shd w:val="clear" w:color="auto" w:fill="D5EEEE"/>
          </w:tcPr>
          <w:p>
            <w:pPr>
              <w:spacing w:after="0"/>
              <w:rPr>
                <w:sz w:val="19"/>
                <w:szCs w:val="19"/>
                <w:color w:val="auto"/>
              </w:rPr>
            </w:pP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120" w:type="dxa"/>
            <w:vAlign w:val="bottom"/>
            <w:gridSpan w:val="2"/>
          </w:tcPr>
          <w:p>
            <w:pPr>
              <w:spacing w:after="0"/>
              <w:rPr>
                <w:sz w:val="19"/>
                <w:szCs w:val="19"/>
                <w:color w:val="auto"/>
              </w:rPr>
            </w:pPr>
          </w:p>
        </w:tc>
        <w:tc>
          <w:tcPr>
            <w:tcW w:w="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0" w:type="dxa"/>
            <w:vAlign w:val="bottom"/>
          </w:tcPr>
          <w:p>
            <w:pPr>
              <w:spacing w:after="0"/>
              <w:rPr>
                <w:sz w:val="19"/>
                <w:szCs w:val="19"/>
                <w:color w:val="auto"/>
              </w:rPr>
            </w:pPr>
          </w:p>
        </w:tc>
        <w:tc>
          <w:tcPr>
            <w:tcW w:w="1060" w:type="dxa"/>
            <w:vAlign w:val="bottom"/>
            <w:gridSpan w:val="5"/>
          </w:tcPr>
          <w:p>
            <w:pPr>
              <w:jc w:val="right"/>
              <w:ind w:right="40"/>
              <w:spacing w:after="0"/>
              <w:rPr>
                <w:sz w:val="20"/>
                <w:szCs w:val="20"/>
                <w:color w:val="auto"/>
              </w:rPr>
            </w:pPr>
            <w:r>
              <w:rPr>
                <w:rFonts w:ascii="Times New Roman" w:cs="Times New Roman" w:eastAsia="Times New Roman" w:hAnsi="Times New Roman"/>
                <w:sz w:val="20"/>
                <w:szCs w:val="20"/>
                <w:color w:val="auto"/>
              </w:rPr>
              <w:t>(7)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0" w:type="dxa"/>
            <w:vAlign w:val="bottom"/>
          </w:tcPr>
          <w:p>
            <w:pPr>
              <w:spacing w:after="0"/>
              <w:rPr>
                <w:sz w:val="19"/>
                <w:szCs w:val="19"/>
                <w:color w:val="auto"/>
              </w:rPr>
            </w:pPr>
          </w:p>
        </w:tc>
        <w:tc>
          <w:tcPr>
            <w:tcW w:w="8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29,649</w:t>
            </w:r>
          </w:p>
        </w:tc>
        <w:tc>
          <w:tcPr>
            <w:tcW w:w="20" w:type="dxa"/>
            <w:vAlign w:val="bottom"/>
            <w:shd w:val="clear" w:color="auto" w:fill="D5EEEE"/>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478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gridSpan w:val="2"/>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gridSpan w:val="3"/>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6"/>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3"/>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D5EEEE"/>
            </w:tcBorders>
            <w:gridSpan w:val="3"/>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84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Borders>
              <w:bottom w:val="single" w:sz="8" w:color="D5EEEE"/>
            </w:tcBorders>
          </w:tcPr>
          <w:p>
            <w:pPr>
              <w:spacing w:after="0"/>
              <w:rPr>
                <w:sz w:val="20"/>
                <w:szCs w:val="20"/>
                <w:color w:val="auto"/>
              </w:rPr>
            </w:pPr>
          </w:p>
        </w:tc>
        <w:tc>
          <w:tcPr>
            <w:tcW w:w="12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bottom w:val="single" w:sz="8" w:color="D5EEEE"/>
            </w:tcBorders>
            <w:gridSpan w:val="3"/>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880" w:type="dxa"/>
            <w:vAlign w:val="bottom"/>
            <w:tcBorders>
              <w:bottom w:val="single" w:sz="8" w:color="D5EEEE"/>
            </w:tcBorders>
            <w:gridSpan w:val="2"/>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76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10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Pr>
          <w:p>
            <w:pPr>
              <w:spacing w:after="0"/>
              <w:rPr>
                <w:sz w:val="19"/>
                <w:szCs w:val="19"/>
                <w:color w:val="auto"/>
              </w:rPr>
            </w:pPr>
          </w:p>
        </w:tc>
        <w:tc>
          <w:tcPr>
            <w:tcW w:w="84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18,043</w:t>
            </w:r>
          </w:p>
        </w:tc>
        <w:tc>
          <w:tcPr>
            <w:tcW w:w="2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100" w:type="dxa"/>
            <w:vAlign w:val="bottom"/>
            <w:gridSpan w:val="2"/>
          </w:tcPr>
          <w:p>
            <w:pPr>
              <w:spacing w:after="0"/>
              <w:rPr>
                <w:sz w:val="19"/>
                <w:szCs w:val="19"/>
                <w:color w:val="auto"/>
              </w:rPr>
            </w:pPr>
          </w:p>
        </w:tc>
        <w:tc>
          <w:tcPr>
            <w:tcW w:w="10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Pr>
          <w:p>
            <w:pPr>
              <w:spacing w:after="0"/>
              <w:rPr>
                <w:sz w:val="19"/>
                <w:szCs w:val="19"/>
                <w:color w:val="auto"/>
              </w:rPr>
            </w:pPr>
          </w:p>
        </w:tc>
        <w:tc>
          <w:tcPr>
            <w:tcW w:w="840" w:type="dxa"/>
            <w:vAlign w:val="bottom"/>
            <w:tcBorders>
              <w:left w:val="single" w:sz="8" w:color="D5EEEE"/>
            </w:tcBorders>
            <w:shd w:val="clear" w:color="auto" w:fill="D5EEEE"/>
          </w:tcPr>
          <w:p>
            <w:pPr>
              <w:spacing w:after="0"/>
              <w:rPr>
                <w:sz w:val="19"/>
                <w:szCs w:val="19"/>
                <w:color w:val="auto"/>
              </w:rPr>
            </w:pPr>
          </w:p>
        </w:tc>
        <w:tc>
          <w:tcPr>
            <w:tcW w:w="12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120" w:type="dxa"/>
            <w:vAlign w:val="bottom"/>
            <w:gridSpan w:val="2"/>
          </w:tcPr>
          <w:p>
            <w:pPr>
              <w:spacing w:after="0"/>
              <w:rPr>
                <w:sz w:val="19"/>
                <w:szCs w:val="19"/>
                <w:color w:val="auto"/>
              </w:rPr>
            </w:pPr>
          </w:p>
        </w:tc>
        <w:tc>
          <w:tcPr>
            <w:tcW w:w="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0" w:type="dxa"/>
            <w:vAlign w:val="bottom"/>
          </w:tcPr>
          <w:p>
            <w:pPr>
              <w:spacing w:after="0"/>
              <w:rPr>
                <w:sz w:val="19"/>
                <w:szCs w:val="19"/>
                <w:color w:val="auto"/>
              </w:rPr>
            </w:pPr>
          </w:p>
        </w:tc>
        <w:tc>
          <w:tcPr>
            <w:tcW w:w="940" w:type="dxa"/>
            <w:vAlign w:val="bottom"/>
            <w:gridSpan w:val="2"/>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(89)</w:t>
            </w:r>
          </w:p>
        </w:tc>
        <w:tc>
          <w:tcPr>
            <w:tcW w:w="20" w:type="dxa"/>
            <w:vAlign w:val="bottom"/>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0" w:type="dxa"/>
            <w:vAlign w:val="bottom"/>
          </w:tcPr>
          <w:p>
            <w:pPr>
              <w:spacing w:after="0"/>
              <w:rPr>
                <w:sz w:val="19"/>
                <w:szCs w:val="19"/>
                <w:color w:val="auto"/>
              </w:rPr>
            </w:pPr>
          </w:p>
        </w:tc>
        <w:tc>
          <w:tcPr>
            <w:tcW w:w="86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17,954</w:t>
            </w:r>
          </w:p>
        </w:tc>
        <w:tc>
          <w:tcPr>
            <w:tcW w:w="20" w:type="dxa"/>
            <w:vAlign w:val="bottom"/>
            <w:shd w:val="clear" w:color="auto" w:fill="D5EEEE"/>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4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gridSpan w:val="5"/>
          </w:tcPr>
          <w:p>
            <w:pPr>
              <w:jc w:val="right"/>
              <w:ind w:right="40"/>
              <w:spacing w:after="0"/>
              <w:rPr>
                <w:sz w:val="20"/>
                <w:szCs w:val="20"/>
                <w:color w:val="auto"/>
              </w:rPr>
            </w:pPr>
            <w:r>
              <w:rPr>
                <w:rFonts w:ascii="Times New Roman" w:cs="Times New Roman" w:eastAsia="Times New Roman" w:hAnsi="Times New Roman"/>
                <w:sz w:val="20"/>
                <w:szCs w:val="20"/>
                <w:color w:val="auto"/>
              </w:rPr>
              <w:t>(8)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476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auto"/>
            </w:tcBorders>
            <w:shd w:val="clear" w:color="auto" w:fill="D5EEEE"/>
          </w:tcPr>
          <w:p>
            <w:pPr>
              <w:jc w:val="right"/>
              <w:spacing w:after="0" w:line="212"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shd w:val="clear" w:color="auto" w:fill="D5EEEE"/>
          </w:tcPr>
          <w:p>
            <w:pPr>
              <w:jc w:val="right"/>
              <w:spacing w:after="0" w:line="212" w:lineRule="exact"/>
              <w:rPr>
                <w:sz w:val="20"/>
                <w:szCs w:val="20"/>
                <w:color w:val="auto"/>
              </w:rPr>
            </w:pPr>
            <w:r>
              <w:rPr>
                <w:rFonts w:ascii="Times New Roman" w:cs="Times New Roman" w:eastAsia="Times New Roman" w:hAnsi="Times New Roman"/>
                <w:sz w:val="20"/>
                <w:szCs w:val="20"/>
                <w:color w:val="auto"/>
              </w:rPr>
              <w:t>19,789</w:t>
            </w:r>
          </w:p>
        </w:tc>
        <w:tc>
          <w:tcPr>
            <w:tcW w:w="20" w:type="dxa"/>
            <w:vAlign w:val="bottom"/>
            <w:tcBorders>
              <w:top w:val="single" w:sz="8" w:color="auto"/>
            </w:tcBorders>
            <w:shd w:val="clear" w:color="auto" w:fill="D5EEEE"/>
          </w:tcPr>
          <w:p>
            <w:pPr>
              <w:spacing w:after="0"/>
              <w:rPr>
                <w:sz w:val="18"/>
                <w:szCs w:val="18"/>
                <w:color w:val="auto"/>
              </w:rPr>
            </w:pPr>
          </w:p>
        </w:tc>
        <w:tc>
          <w:tcPr>
            <w:tcW w:w="100" w:type="dxa"/>
            <w:vAlign w:val="bottom"/>
            <w:tcBorders>
              <w:top w:val="single" w:sz="8" w:color="D5EEEE"/>
            </w:tcBorders>
            <w:shd w:val="clear" w:color="auto" w:fill="D5EEEE"/>
          </w:tcPr>
          <w:p>
            <w:pPr>
              <w:spacing w:after="0"/>
              <w:rPr>
                <w:sz w:val="18"/>
                <w:szCs w:val="18"/>
                <w:color w:val="auto"/>
              </w:rPr>
            </w:pPr>
          </w:p>
        </w:tc>
        <w:tc>
          <w:tcPr>
            <w:tcW w:w="80" w:type="dxa"/>
            <w:vAlign w:val="bottom"/>
            <w:tcBorders>
              <w:top w:val="single" w:sz="8" w:color="D5EEEE"/>
            </w:tcBorders>
          </w:tcPr>
          <w:p>
            <w:pPr>
              <w:spacing w:after="0"/>
              <w:rPr>
                <w:sz w:val="18"/>
                <w:szCs w:val="18"/>
                <w:color w:val="auto"/>
              </w:rPr>
            </w:pPr>
          </w:p>
        </w:tc>
        <w:tc>
          <w:tcPr>
            <w:tcW w:w="20" w:type="dxa"/>
            <w:vAlign w:val="bottom"/>
            <w:tcBorders>
              <w:top w:val="single" w:sz="8" w:color="D5EEEE"/>
              <w:bottom w:val="single" w:sz="8" w:color="auto"/>
            </w:tcBorders>
          </w:tcPr>
          <w:p>
            <w:pPr>
              <w:spacing w:after="0"/>
              <w:rPr>
                <w:sz w:val="18"/>
                <w:szCs w:val="18"/>
                <w:color w:val="auto"/>
              </w:rPr>
            </w:pPr>
          </w:p>
        </w:tc>
        <w:tc>
          <w:tcPr>
            <w:tcW w:w="100" w:type="dxa"/>
            <w:vAlign w:val="bottom"/>
            <w:tcBorders>
              <w:top w:val="single" w:sz="8" w:color="auto"/>
              <w:bottom w:val="single" w:sz="8" w:color="auto"/>
            </w:tcBorders>
            <w:shd w:val="clear" w:color="auto" w:fill="D5EEEE"/>
          </w:tcPr>
          <w:p>
            <w:pPr>
              <w:jc w:val="right"/>
              <w:spacing w:after="0" w:line="212"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left w:val="single" w:sz="8" w:color="D5EEEE"/>
            </w:tcBorders>
            <w:shd w:val="clear" w:color="auto" w:fill="D5EEEE"/>
          </w:tcPr>
          <w:p>
            <w:pPr>
              <w:spacing w:after="0"/>
              <w:rPr>
                <w:sz w:val="18"/>
                <w:szCs w:val="18"/>
                <w:color w:val="auto"/>
              </w:rPr>
            </w:pPr>
          </w:p>
        </w:tc>
        <w:tc>
          <w:tcPr>
            <w:tcW w:w="120" w:type="dxa"/>
            <w:vAlign w:val="bottom"/>
            <w:tcBorders>
              <w:top w:val="single" w:sz="8" w:color="auto"/>
            </w:tcBorders>
            <w:shd w:val="clear" w:color="auto" w:fill="D5EEEE"/>
          </w:tcPr>
          <w:p>
            <w:pPr>
              <w:jc w:val="right"/>
              <w:spacing w:after="0" w:line="212"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top w:val="single" w:sz="8" w:color="auto"/>
            </w:tcBorders>
            <w:shd w:val="clear" w:color="auto" w:fill="D5EEEE"/>
          </w:tcPr>
          <w:p>
            <w:pPr>
              <w:spacing w:after="0"/>
              <w:rPr>
                <w:sz w:val="18"/>
                <w:szCs w:val="18"/>
                <w:color w:val="auto"/>
              </w:rPr>
            </w:pPr>
          </w:p>
        </w:tc>
        <w:tc>
          <w:tcPr>
            <w:tcW w:w="10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D5EEEE"/>
            </w:tcBorders>
          </w:tcPr>
          <w:p>
            <w:pPr>
              <w:spacing w:after="0"/>
              <w:rPr>
                <w:sz w:val="18"/>
                <w:szCs w:val="18"/>
                <w:color w:val="auto"/>
              </w:rPr>
            </w:pPr>
          </w:p>
        </w:tc>
        <w:tc>
          <w:tcPr>
            <w:tcW w:w="20" w:type="dxa"/>
            <w:vAlign w:val="bottom"/>
            <w:tcBorders>
              <w:top w:val="single" w:sz="8" w:color="D5EEEE"/>
              <w:bottom w:val="single" w:sz="8" w:color="auto"/>
            </w:tcBorders>
          </w:tcPr>
          <w:p>
            <w:pPr>
              <w:spacing w:after="0"/>
              <w:rPr>
                <w:sz w:val="18"/>
                <w:szCs w:val="18"/>
                <w:color w:val="auto"/>
              </w:rPr>
            </w:pPr>
          </w:p>
        </w:tc>
        <w:tc>
          <w:tcPr>
            <w:tcW w:w="8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tcBorders>
            <w:gridSpan w:val="2"/>
            <w:shd w:val="clear" w:color="auto" w:fill="D5EEEE"/>
          </w:tcPr>
          <w:p>
            <w:pPr>
              <w:jc w:val="right"/>
              <w:spacing w:after="0" w:line="212" w:lineRule="exact"/>
              <w:rPr>
                <w:sz w:val="20"/>
                <w:szCs w:val="20"/>
                <w:color w:val="auto"/>
              </w:rPr>
            </w:pPr>
            <w:r>
              <w:rPr>
                <w:rFonts w:ascii="Times New Roman" w:cs="Times New Roman" w:eastAsia="Times New Roman" w:hAnsi="Times New Roman"/>
                <w:sz w:val="20"/>
                <w:szCs w:val="20"/>
                <w:color w:val="auto"/>
              </w:rPr>
              <w:t>(97)</w:t>
            </w:r>
          </w:p>
        </w:tc>
        <w:tc>
          <w:tcPr>
            <w:tcW w:w="20" w:type="dxa"/>
            <w:vAlign w:val="bottom"/>
            <w:tcBorders>
              <w:top w:val="single" w:sz="8" w:color="auto"/>
            </w:tcBorders>
            <w:shd w:val="clear" w:color="auto" w:fill="D5EEE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D5EEEE"/>
              <w:bottom w:val="single" w:sz="8" w:color="auto"/>
            </w:tcBorders>
            <w:shd w:val="clear" w:color="auto" w:fill="D5EEEE"/>
          </w:tcPr>
          <w:p>
            <w:pPr>
              <w:spacing w:after="0"/>
              <w:rPr>
                <w:sz w:val="18"/>
                <w:szCs w:val="18"/>
                <w:color w:val="auto"/>
              </w:rPr>
            </w:pPr>
          </w:p>
        </w:tc>
        <w:tc>
          <w:tcPr>
            <w:tcW w:w="8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tcBorders>
            <w:shd w:val="clear" w:color="auto" w:fill="D5EEEE"/>
          </w:tcPr>
          <w:p>
            <w:pPr>
              <w:jc w:val="right"/>
              <w:spacing w:after="0" w:line="212" w:lineRule="exact"/>
              <w:rPr>
                <w:sz w:val="20"/>
                <w:szCs w:val="20"/>
                <w:color w:val="auto"/>
              </w:rPr>
            </w:pPr>
            <w:r>
              <w:rPr>
                <w:rFonts w:ascii="Times New Roman" w:cs="Times New Roman" w:eastAsia="Times New Roman" w:hAnsi="Times New Roman"/>
                <w:sz w:val="20"/>
                <w:szCs w:val="20"/>
                <w:color w:val="auto"/>
              </w:rPr>
              <w:t>19,692</w:t>
            </w:r>
          </w:p>
        </w:tc>
        <w:tc>
          <w:tcPr>
            <w:tcW w:w="20" w:type="dxa"/>
            <w:vAlign w:val="bottom"/>
            <w:tcBorders>
              <w:top w:val="single" w:sz="8" w:color="auto"/>
            </w:tcBorders>
            <w:shd w:val="clear" w:color="auto" w:fill="D5EEEE"/>
          </w:tcPr>
          <w:p>
            <w:pPr>
              <w:spacing w:after="0"/>
              <w:rPr>
                <w:sz w:val="18"/>
                <w:szCs w:val="18"/>
                <w:color w:val="auto"/>
              </w:rPr>
            </w:pPr>
          </w:p>
        </w:tc>
        <w:tc>
          <w:tcPr>
            <w:tcW w:w="80" w:type="dxa"/>
            <w:vAlign w:val="bottom"/>
            <w:tcBorders>
              <w:top w:val="single" w:sz="8" w:color="D5EEEE"/>
            </w:tcBorders>
            <w:shd w:val="clear" w:color="auto" w:fill="D5EEE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-5630545</wp:posOffset>
            </wp:positionV>
            <wp:extent cx="6198870" cy="56622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98870" cy="5662295"/>
                    </a:xfrm>
                    <a:prstGeom prst="rect">
                      <a:avLst/>
                    </a:prstGeom>
                    <a:noFill/>
                  </pic:spPr>
                </pic:pic>
              </a:graphicData>
            </a:graphic>
          </wp:anchor>
        </w:drawing>
      </w:r>
    </w:p>
    <w:p>
      <w:pPr>
        <w:spacing w:after="0" w:line="344" w:lineRule="exact"/>
        <w:rPr>
          <w:sz w:val="20"/>
          <w:szCs w:val="20"/>
          <w:color w:val="auto"/>
        </w:rPr>
      </w:pPr>
    </w:p>
    <w:p>
      <w:pPr>
        <w:ind w:right="200" w:firstLine="490"/>
        <w:spacing w:after="0" w:line="279" w:lineRule="auto"/>
        <w:rPr>
          <w:sz w:val="20"/>
          <w:szCs w:val="20"/>
          <w:color w:val="auto"/>
        </w:rPr>
      </w:pPr>
      <w:r>
        <w:rPr>
          <w:rFonts w:ascii="Times New Roman" w:cs="Times New Roman" w:eastAsia="Times New Roman" w:hAnsi="Times New Roman"/>
          <w:sz w:val="20"/>
          <w:szCs w:val="20"/>
          <w:color w:val="auto"/>
        </w:rPr>
        <w:t>The maturities of debt securities available for sale are summarized in the following table using contractual maturities. Actual maturities may differ from contractual maturities due to obligations that are called or prepaid.</w:t>
      </w:r>
    </w:p>
    <w:p>
      <w:pPr>
        <w:spacing w:after="0" w:line="218"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4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60" w:type="dxa"/>
            <w:vAlign w:val="bottom"/>
            <w:gridSpan w:val="6"/>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As of Dec</w:t>
            </w:r>
            <w:r>
              <w:rPr>
                <w:rFonts w:ascii="Times New Roman" w:cs="Times New Roman" w:eastAsia="Times New Roman" w:hAnsi="Times New Roman"/>
                <w:sz w:val="16"/>
                <w:szCs w:val="16"/>
                <w:b w:val="1"/>
                <w:bCs w:val="1"/>
                <w:u w:val="single" w:color="auto"/>
                <w:color w:val="auto"/>
              </w:rPr>
              <w:t>em</w:t>
            </w:r>
            <w:r>
              <w:rPr>
                <w:rFonts w:ascii="Times New Roman" w:cs="Times New Roman" w:eastAsia="Times New Roman" w:hAnsi="Times New Roman"/>
                <w:sz w:val="16"/>
                <w:szCs w:val="16"/>
                <w:b w:val="1"/>
                <w:bCs w:val="1"/>
                <w:color w:val="auto"/>
              </w:rPr>
              <w:t>ber 31, 2022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5"/>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vMerge w:val="restart"/>
          </w:tcPr>
          <w:p>
            <w:pPr>
              <w:jc w:val="right"/>
              <w:ind w:right="32"/>
              <w:spacing w:after="0" w:line="165" w:lineRule="exact"/>
              <w:rPr>
                <w:sz w:val="20"/>
                <w:szCs w:val="20"/>
                <w:color w:val="auto"/>
              </w:rPr>
            </w:pPr>
            <w:r>
              <w:rPr>
                <w:rFonts w:ascii="Times New Roman" w:cs="Times New Roman" w:eastAsia="Times New Roman" w:hAnsi="Times New Roman"/>
                <w:sz w:val="16"/>
                <w:szCs w:val="16"/>
                <w:b w:val="1"/>
                <w:bCs w:val="1"/>
                <w:color w:val="auto"/>
                <w:w w:val="98"/>
              </w:rPr>
              <w:t>Amortized</w:t>
            </w:r>
          </w:p>
        </w:tc>
        <w:tc>
          <w:tcPr>
            <w:tcW w:w="1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vMerge w:val="restart"/>
          </w:tcPr>
          <w:p>
            <w:pPr>
              <w:jc w:val="right"/>
              <w:ind w:right="150"/>
              <w:spacing w:after="0" w:line="165"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vMerge w:val="restart"/>
          </w:tcPr>
          <w:p>
            <w:pPr>
              <w:jc w:val="right"/>
              <w:ind w:right="92"/>
              <w:spacing w:after="0" w:line="165"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vMerge w:val="restart"/>
          </w:tcPr>
          <w:p>
            <w:pPr>
              <w:jc w:val="right"/>
              <w:ind w:right="110"/>
              <w:spacing w:after="0" w:line="165"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4760" w:type="dxa"/>
            <w:vAlign w:val="bottom"/>
            <w:tcBorders>
              <w:bottom w:val="single" w:sz="8" w:color="D5EEEE"/>
            </w:tcBorders>
          </w:tcPr>
          <w:p>
            <w:pPr>
              <w:spacing w:after="0"/>
              <w:rPr>
                <w:sz w:val="19"/>
                <w:szCs w:val="19"/>
                <w:color w:val="auto"/>
              </w:rPr>
            </w:pPr>
          </w:p>
        </w:tc>
        <w:tc>
          <w:tcPr>
            <w:tcW w:w="120" w:type="dxa"/>
            <w:vAlign w:val="bottom"/>
            <w:tcBorders>
              <w:bottom w:val="single" w:sz="8" w:color="D5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Borders>
              <w:bottom w:val="single" w:sz="8" w:color="D5EEEE"/>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Borders>
              <w:bottom w:val="single" w:sz="8" w:color="D5EEEE"/>
            </w:tcBorders>
          </w:tcPr>
          <w:p>
            <w:pPr>
              <w:spacing w:after="0"/>
              <w:rPr>
                <w:sz w:val="19"/>
                <w:szCs w:val="19"/>
                <w:color w:val="auto"/>
              </w:rPr>
            </w:pPr>
          </w:p>
        </w:tc>
        <w:tc>
          <w:tcPr>
            <w:tcW w:w="120" w:type="dxa"/>
            <w:vAlign w:val="bottom"/>
            <w:tcBorders>
              <w:bottom w:val="single" w:sz="8" w:color="D5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8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60" w:type="dxa"/>
            <w:vAlign w:val="bottom"/>
            <w:tcBorders>
              <w:top w:val="single" w:sz="8" w:color="D5EEEE"/>
            </w:tcBorders>
            <w:shd w:val="clear" w:color="auto" w:fill="D5EEEE"/>
          </w:tcPr>
          <w:p>
            <w:pPr>
              <w:spacing w:after="0" w:line="210" w:lineRule="exact"/>
              <w:rPr>
                <w:sz w:val="20"/>
                <w:szCs w:val="20"/>
                <w:color w:val="auto"/>
              </w:rPr>
            </w:pPr>
            <w:r>
              <w:rPr>
                <w:rFonts w:ascii="Times New Roman" w:cs="Times New Roman" w:eastAsia="Times New Roman" w:hAnsi="Times New Roman"/>
                <w:sz w:val="20"/>
                <w:szCs w:val="20"/>
                <w:color w:val="auto"/>
              </w:rPr>
              <w:t>Due in one year or less</w:t>
            </w:r>
          </w:p>
        </w:tc>
        <w:tc>
          <w:tcPr>
            <w:tcW w:w="12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D5EEEE"/>
            </w:tcBorders>
            <w:shd w:val="clear" w:color="auto" w:fill="D5EEEE"/>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Borders>
              <w:top w:val="single" w:sz="8" w:color="D5EEEE"/>
            </w:tcBorders>
          </w:tcPr>
          <w:p>
            <w:pPr>
              <w:spacing w:after="0"/>
              <w:rPr>
                <w:sz w:val="18"/>
                <w:szCs w:val="18"/>
                <w:color w:val="auto"/>
              </w:rPr>
            </w:pPr>
          </w:p>
        </w:tc>
        <w:tc>
          <w:tcPr>
            <w:tcW w:w="860" w:type="dxa"/>
            <w:vAlign w:val="bottom"/>
            <w:tcBorders>
              <w:top w:val="single" w:sz="8" w:color="D5EEEE"/>
            </w:tcBorders>
            <w:shd w:val="clear" w:color="auto" w:fill="D5EEEE"/>
          </w:tcPr>
          <w:p>
            <w:pPr>
              <w:jc w:val="right"/>
              <w:spacing w:after="0" w:line="210" w:lineRule="exact"/>
              <w:rPr>
                <w:sz w:val="20"/>
                <w:szCs w:val="20"/>
                <w:color w:val="auto"/>
              </w:rPr>
            </w:pPr>
            <w:r>
              <w:rPr>
                <w:rFonts w:ascii="Times New Roman" w:cs="Times New Roman" w:eastAsia="Times New Roman" w:hAnsi="Times New Roman"/>
                <w:sz w:val="20"/>
                <w:szCs w:val="20"/>
                <w:color w:val="auto"/>
              </w:rPr>
              <w:t>61,601</w:t>
            </w:r>
          </w:p>
        </w:tc>
        <w:tc>
          <w:tcPr>
            <w:tcW w:w="100" w:type="dxa"/>
            <w:vAlign w:val="bottom"/>
            <w:tcBorders>
              <w:top w:val="single" w:sz="8" w:color="D5EEEE"/>
            </w:tcBorders>
            <w:shd w:val="clear" w:color="auto" w:fill="D5EEE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D5EEEE"/>
            </w:tcBorders>
            <w:shd w:val="clear" w:color="auto" w:fill="D5EEEE"/>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Borders>
              <w:top w:val="single" w:sz="8" w:color="D5EEEE"/>
            </w:tcBorders>
          </w:tcPr>
          <w:p>
            <w:pPr>
              <w:spacing w:after="0"/>
              <w:rPr>
                <w:sz w:val="18"/>
                <w:szCs w:val="18"/>
                <w:color w:val="auto"/>
              </w:rPr>
            </w:pPr>
          </w:p>
        </w:tc>
        <w:tc>
          <w:tcPr>
            <w:tcW w:w="980" w:type="dxa"/>
            <w:vAlign w:val="bottom"/>
            <w:tcBorders>
              <w:top w:val="single" w:sz="8" w:color="D5EEEE"/>
            </w:tcBorders>
            <w:shd w:val="clear" w:color="auto" w:fill="D5EEEE"/>
          </w:tcPr>
          <w:p>
            <w:pPr>
              <w:jc w:val="right"/>
              <w:spacing w:after="0" w:line="210" w:lineRule="exact"/>
              <w:rPr>
                <w:sz w:val="20"/>
                <w:szCs w:val="20"/>
                <w:color w:val="auto"/>
              </w:rPr>
            </w:pPr>
            <w:r>
              <w:rPr>
                <w:rFonts w:ascii="Times New Roman" w:cs="Times New Roman" w:eastAsia="Times New Roman" w:hAnsi="Times New Roman"/>
                <w:sz w:val="20"/>
                <w:szCs w:val="20"/>
                <w:color w:val="auto"/>
              </w:rPr>
              <w:t>61,178</w:t>
            </w:r>
          </w:p>
        </w:tc>
        <w:tc>
          <w:tcPr>
            <w:tcW w:w="10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D5EEEE"/>
            </w:tcBorders>
          </w:tcPr>
          <w:p>
            <w:pPr>
              <w:spacing w:after="0"/>
              <w:rPr>
                <w:sz w:val="18"/>
                <w:szCs w:val="18"/>
                <w:color w:val="auto"/>
              </w:rPr>
            </w:pPr>
          </w:p>
        </w:tc>
        <w:tc>
          <w:tcPr>
            <w:tcW w:w="120" w:type="dxa"/>
            <w:vAlign w:val="bottom"/>
            <w:tcBorders>
              <w:top w:val="single" w:sz="8" w:color="D5EEEE"/>
            </w:tcBorders>
            <w:shd w:val="clear" w:color="auto" w:fill="D5EEEE"/>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960" w:type="dxa"/>
            <w:vAlign w:val="bottom"/>
            <w:tcBorders>
              <w:top w:val="single" w:sz="8" w:color="D5EEEE"/>
            </w:tcBorders>
            <w:shd w:val="clear" w:color="auto" w:fill="D5EEEE"/>
          </w:tcPr>
          <w:p>
            <w:pPr>
              <w:jc w:val="right"/>
              <w:spacing w:after="0" w:line="210" w:lineRule="exact"/>
              <w:rPr>
                <w:sz w:val="20"/>
                <w:szCs w:val="20"/>
                <w:color w:val="auto"/>
              </w:rPr>
            </w:pPr>
            <w:r>
              <w:rPr>
                <w:rFonts w:ascii="Times New Roman" w:cs="Times New Roman" w:eastAsia="Times New Roman" w:hAnsi="Times New Roman"/>
                <w:sz w:val="20"/>
                <w:szCs w:val="20"/>
                <w:color w:val="auto"/>
              </w:rPr>
              <w:t>29,656</w:t>
            </w:r>
          </w:p>
        </w:tc>
        <w:tc>
          <w:tcPr>
            <w:tcW w:w="100" w:type="dxa"/>
            <w:vAlign w:val="bottom"/>
            <w:tcBorders>
              <w:top w:val="single" w:sz="8" w:color="D5EEEE"/>
            </w:tcBorders>
            <w:shd w:val="clear" w:color="auto" w:fill="D5EEEE"/>
          </w:tcPr>
          <w:p>
            <w:pPr>
              <w:spacing w:after="0"/>
              <w:rPr>
                <w:sz w:val="18"/>
                <w:szCs w:val="18"/>
                <w:color w:val="auto"/>
              </w:rPr>
            </w:pPr>
          </w:p>
        </w:tc>
        <w:tc>
          <w:tcPr>
            <w:tcW w:w="120" w:type="dxa"/>
            <w:vAlign w:val="bottom"/>
            <w:tcBorders>
              <w:top w:val="single" w:sz="8" w:color="D5EEEE"/>
            </w:tcBorders>
          </w:tcPr>
          <w:p>
            <w:pPr>
              <w:spacing w:after="0"/>
              <w:rPr>
                <w:sz w:val="18"/>
                <w:szCs w:val="18"/>
                <w:color w:val="auto"/>
              </w:rPr>
            </w:pPr>
          </w:p>
        </w:tc>
        <w:tc>
          <w:tcPr>
            <w:tcW w:w="100" w:type="dxa"/>
            <w:vAlign w:val="bottom"/>
            <w:tcBorders>
              <w:top w:val="single" w:sz="8" w:color="D5EEEE"/>
            </w:tcBorders>
            <w:shd w:val="clear" w:color="auto" w:fill="D5EEEE"/>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880" w:type="dxa"/>
            <w:vAlign w:val="bottom"/>
            <w:tcBorders>
              <w:top w:val="single" w:sz="8" w:color="D5EEEE"/>
            </w:tcBorders>
            <w:shd w:val="clear" w:color="auto" w:fill="D5EEEE"/>
          </w:tcPr>
          <w:p>
            <w:pPr>
              <w:jc w:val="right"/>
              <w:spacing w:after="0" w:line="210" w:lineRule="exact"/>
              <w:rPr>
                <w:sz w:val="20"/>
                <w:szCs w:val="20"/>
                <w:color w:val="auto"/>
              </w:rPr>
            </w:pPr>
            <w:r>
              <w:rPr>
                <w:rFonts w:ascii="Times New Roman" w:cs="Times New Roman" w:eastAsia="Times New Roman" w:hAnsi="Times New Roman"/>
                <w:sz w:val="20"/>
                <w:szCs w:val="20"/>
                <w:color w:val="auto"/>
              </w:rPr>
              <w:t>29,649</w:t>
            </w:r>
          </w:p>
        </w:tc>
        <w:tc>
          <w:tcPr>
            <w:tcW w:w="80" w:type="dxa"/>
            <w:vAlign w:val="bottom"/>
            <w:tcBorders>
              <w:top w:val="single" w:sz="8" w:color="D5EEEE"/>
            </w:tcBorders>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19,692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-557530</wp:posOffset>
            </wp:positionV>
            <wp:extent cx="23901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90140" cy="8890"/>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-326390</wp:posOffset>
            </wp:positionV>
            <wp:extent cx="6189980" cy="3397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89980" cy="339725"/>
                    </a:xfrm>
                    <a:prstGeom prst="rect">
                      <a:avLst/>
                    </a:prstGeom>
                    <a:noFill/>
                  </pic:spPr>
                </pic:pic>
              </a:graphicData>
            </a:graphic>
          </wp:anchor>
        </w:drawing>
      </w:r>
    </w:p>
    <w:p>
      <w:pPr>
        <w:spacing w:after="0" w:line="229"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Gross unrealized gains and losses on the Company’s marketable securities were an unrealized gain of $8,000 and an unrealized loss of $434,000 as of December 31, 2022 which resulted in a net unrealized loss of $426,000. Gross unrealized gains and losses on the Company’s marketable securities were an unrealized gain of $0 and an unrealized loss of $104,000 as of December 31, 2021 which resulted in a net unrealized loss of $104,000.</w:t>
      </w:r>
    </w:p>
    <w:p>
      <w:pPr>
        <w:sectPr>
          <w:pgSz w:w="11880" w:h="15480" w:orient="portrait"/>
          <w:cols w:equalWidth="0" w:num="1">
            <w:col w:w="10680"/>
          </w:cols>
          <w:pgMar w:left="540" w:top="884" w:right="660" w:bottom="5"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F-18</w:t>
      </w:r>
    </w:p>
    <w:p>
      <w:pPr>
        <w:sectPr>
          <w:pgSz w:w="11880" w:h="15480" w:orient="portrait"/>
          <w:cols w:equalWidth="0" w:num="1">
            <w:col w:w="10680"/>
          </w:cols>
          <w:pgMar w:left="540" w:top="884" w:right="660" w:bottom="5" w:gutter="0" w:footer="0" w:header="0"/>
          <w:type w:val="continuous"/>
        </w:sectPr>
      </w:pPr>
    </w:p>
    <w:bookmarkStart w:id="84" w:name="page85"/>
    <w:bookmarkEnd w:id="84"/>
    <w:p>
      <w:pPr>
        <w:ind w:right="20" w:firstLine="490"/>
        <w:spacing w:after="0" w:line="253" w:lineRule="auto"/>
        <w:rPr>
          <w:sz w:val="20"/>
          <w:szCs w:val="20"/>
          <w:color w:val="auto"/>
        </w:rPr>
      </w:pPr>
      <w:r>
        <w:rPr>
          <w:rFonts w:ascii="Times New Roman" w:cs="Times New Roman" w:eastAsia="Times New Roman" w:hAnsi="Times New Roman"/>
          <w:sz w:val="20"/>
          <w:szCs w:val="20"/>
          <w:color w:val="auto"/>
        </w:rPr>
        <w:t>During the year-ended December 31, 2022 and the transition period ended December 31, 2021, the Company did not recognize credit losses. The Company did not have any marketable securities as of June 30, 2021. The Company has accrued interest income of $168,000, $72,000 and $0 as of December 31, 2022 and, 2021 and June 30, 2021, recorded in Prepaids and Other Current Assets. Money market funds were included in the cash and cash equivalents line item.</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Fair Value Measurements</w:t>
      </w:r>
    </w:p>
    <w:p>
      <w:pPr>
        <w:spacing w:after="0" w:line="124" w:lineRule="exact"/>
        <w:rPr>
          <w:sz w:val="20"/>
          <w:szCs w:val="20"/>
          <w:color w:val="auto"/>
        </w:rPr>
      </w:pPr>
    </w:p>
    <w:p>
      <w:pPr>
        <w:ind w:right="160" w:firstLine="490"/>
        <w:spacing w:after="0" w:line="245" w:lineRule="auto"/>
        <w:rPr>
          <w:sz w:val="20"/>
          <w:szCs w:val="20"/>
          <w:color w:val="auto"/>
        </w:rPr>
      </w:pPr>
      <w:r>
        <w:rPr>
          <w:rFonts w:ascii="Times New Roman" w:cs="Times New Roman" w:eastAsia="Times New Roman" w:hAnsi="Times New Roman"/>
          <w:sz w:val="20"/>
          <w:szCs w:val="20"/>
          <w:color w:val="auto"/>
        </w:rPr>
        <w:t>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w:t>
      </w:r>
    </w:p>
    <w:p>
      <w:pPr>
        <w:spacing w:after="0" w:line="79" w:lineRule="exact"/>
        <w:rPr>
          <w:sz w:val="20"/>
          <w:szCs w:val="20"/>
          <w:color w:val="auto"/>
        </w:rPr>
      </w:pPr>
    </w:p>
    <w:p>
      <w:pPr>
        <w:ind w:left="480" w:right="380"/>
        <w:spacing w:after="0" w:line="279" w:lineRule="auto"/>
        <w:rPr>
          <w:sz w:val="20"/>
          <w:szCs w:val="20"/>
          <w:color w:val="auto"/>
        </w:rPr>
      </w:pPr>
      <w:r>
        <w:rPr>
          <w:rFonts w:ascii="Times New Roman" w:cs="Times New Roman" w:eastAsia="Times New Roman" w:hAnsi="Times New Roman"/>
          <w:sz w:val="20"/>
          <w:szCs w:val="20"/>
          <w:color w:val="auto"/>
        </w:rPr>
        <w:t>Level 1: Inputs are quoted prices (unadjusted) in active markets for identical assets or liabilities that the reporting entity can access at the measurement date.</w:t>
      </w:r>
    </w:p>
    <w:p>
      <w:pPr>
        <w:spacing w:after="0" w:line="44" w:lineRule="exact"/>
        <w:rPr>
          <w:sz w:val="20"/>
          <w:szCs w:val="20"/>
          <w:color w:val="auto"/>
        </w:rPr>
      </w:pPr>
    </w:p>
    <w:p>
      <w:pPr>
        <w:ind w:left="480" w:right="300"/>
        <w:spacing w:after="0" w:line="279" w:lineRule="auto"/>
        <w:rPr>
          <w:sz w:val="20"/>
          <w:szCs w:val="20"/>
          <w:color w:val="auto"/>
        </w:rPr>
      </w:pPr>
      <w:r>
        <w:rPr>
          <w:rFonts w:ascii="Times New Roman" w:cs="Times New Roman" w:eastAsia="Times New Roman" w:hAnsi="Times New Roman"/>
          <w:sz w:val="20"/>
          <w:szCs w:val="20"/>
          <w:color w:val="auto"/>
        </w:rPr>
        <w:t>Level 2: Inputs are inputs other than quoted prices included within Level 1 that are observable for the asset or liability, either directly or indirectly.</w:t>
      </w:r>
    </w:p>
    <w:p>
      <w:pPr>
        <w:spacing w:after="0" w:line="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Level 3: Inputs are unobservable inputs for the asset or liability</w:t>
      </w:r>
    </w:p>
    <w:p>
      <w:pPr>
        <w:spacing w:after="0" w:line="240" w:lineRule="exact"/>
        <w:rPr>
          <w:sz w:val="20"/>
          <w:szCs w:val="20"/>
          <w:color w:val="auto"/>
        </w:rPr>
      </w:pPr>
    </w:p>
    <w:p>
      <w:pPr>
        <w:ind w:firstLine="490"/>
        <w:spacing w:after="0" w:line="279" w:lineRule="auto"/>
        <w:rPr>
          <w:sz w:val="20"/>
          <w:szCs w:val="20"/>
          <w:color w:val="auto"/>
        </w:rPr>
      </w:pPr>
      <w:r>
        <w:rPr>
          <w:rFonts w:ascii="Times New Roman" w:cs="Times New Roman" w:eastAsia="Times New Roman" w:hAnsi="Times New Roman"/>
          <w:sz w:val="20"/>
          <w:szCs w:val="20"/>
          <w:color w:val="auto"/>
        </w:rPr>
        <w:t>The following tables present information about the Company’s financial assets measured at fair value on a recurring basis, based on the three-tier fair value hierarchy:</w:t>
      </w:r>
    </w:p>
    <w:p>
      <w:pPr>
        <w:spacing w:after="0" w:line="168" w:lineRule="exact"/>
        <w:rPr>
          <w:sz w:val="20"/>
          <w:szCs w:val="20"/>
          <w:color w:val="auto"/>
        </w:rPr>
      </w:pPr>
    </w:p>
    <w:tbl>
      <w:tblPr>
        <w:tblLayout w:type="fixed"/>
        <w:tblInd w:w="540" w:type="dxa"/>
        <w:tblCellMar>
          <w:top w:w="0" w:type="dxa"/>
          <w:left w:w="0" w:type="dxa"/>
          <w:bottom w:w="0" w:type="dxa"/>
          <w:right w:w="0" w:type="dxa"/>
        </w:tblCellMar>
      </w:tblPr>
      <w:tr>
        <w:trPr>
          <w:trHeight w:val="254"/>
        </w:trPr>
        <w:tc>
          <w:tcPr>
            <w:tcW w:w="4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12"/>
          </w:tcPr>
          <w:p>
            <w:pPr>
              <w:ind w:left="140"/>
              <w:spacing w:after="0"/>
              <w:rPr>
                <w:sz w:val="20"/>
                <w:szCs w:val="20"/>
                <w:color w:val="auto"/>
              </w:rPr>
            </w:pPr>
            <w:r>
              <w:rPr>
                <w:rFonts w:ascii="Times New Roman" w:cs="Times New Roman" w:eastAsia="Times New Roman" w:hAnsi="Times New Roman"/>
                <w:sz w:val="20"/>
                <w:szCs w:val="20"/>
                <w:b w:val="1"/>
                <w:bCs w:val="1"/>
                <w:color w:val="auto"/>
              </w:rPr>
              <w:t>As of December 31, 2022</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D5EEEE"/>
            </w:tcBorders>
          </w:tcPr>
          <w:p>
            <w:pPr>
              <w:spacing w:after="0"/>
              <w:rPr>
                <w:sz w:val="19"/>
                <w:szCs w:val="19"/>
                <w:color w:val="auto"/>
              </w:rPr>
            </w:pPr>
          </w:p>
        </w:tc>
        <w:tc>
          <w:tcPr>
            <w:tcW w:w="160" w:type="dxa"/>
            <w:vAlign w:val="bottom"/>
            <w:tcBorders>
              <w:bottom w:val="single" w:sz="8" w:color="D5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80" w:type="dxa"/>
            <w:vAlign w:val="bottom"/>
            <w:tcBorders>
              <w:bottom w:val="single" w:sz="8" w:color="D5EEEE"/>
            </w:tcBorders>
          </w:tcPr>
          <w:p>
            <w:pPr>
              <w:spacing w:after="0"/>
              <w:rPr>
                <w:sz w:val="19"/>
                <w:szCs w:val="19"/>
                <w:color w:val="auto"/>
              </w:rPr>
            </w:pPr>
          </w:p>
        </w:tc>
        <w:tc>
          <w:tcPr>
            <w:tcW w:w="14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100" w:type="dxa"/>
            <w:vAlign w:val="bottom"/>
          </w:tcPr>
          <w:p>
            <w:pPr>
              <w:spacing w:after="0"/>
              <w:rPr>
                <w:sz w:val="19"/>
                <w:szCs w:val="19"/>
                <w:color w:val="auto"/>
              </w:rPr>
            </w:pPr>
          </w:p>
        </w:tc>
        <w:tc>
          <w:tcPr>
            <w:tcW w:w="14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14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8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10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14,089</w:t>
            </w: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vMerge w:val="restart"/>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14,089</w:t>
            </w: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000" w:type="dxa"/>
            <w:vAlign w:val="bottom"/>
            <w:tcBorders>
              <w:bottom w:val="single" w:sz="8" w:color="D5EEEE"/>
            </w:tcBorders>
          </w:tcPr>
          <w:p>
            <w:pPr>
              <w:spacing w:after="0"/>
              <w:rPr>
                <w:sz w:val="19"/>
                <w:szCs w:val="19"/>
                <w:color w:val="auto"/>
              </w:rPr>
            </w:pPr>
          </w:p>
        </w:tc>
        <w:tc>
          <w:tcPr>
            <w:tcW w:w="16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Borders>
              <w:bottom w:val="single" w:sz="8" w:color="D5EEEE"/>
            </w:tcBorders>
            <w:vMerge w:val="continue"/>
          </w:tcPr>
          <w:p>
            <w:pPr>
              <w:spacing w:after="0"/>
              <w:rPr>
                <w:sz w:val="19"/>
                <w:szCs w:val="19"/>
                <w:color w:val="auto"/>
              </w:rPr>
            </w:pPr>
          </w:p>
        </w:tc>
        <w:tc>
          <w:tcPr>
            <w:tcW w:w="1320" w:type="dxa"/>
            <w:vAlign w:val="bottom"/>
            <w:tcBorders>
              <w:bottom w:val="single" w:sz="8" w:color="D5EEEE"/>
            </w:tcBorders>
            <w:vMerge w:val="continue"/>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vMerge w:val="continue"/>
          </w:tcPr>
          <w:p>
            <w:pPr>
              <w:spacing w:after="0"/>
              <w:rPr>
                <w:sz w:val="19"/>
                <w:szCs w:val="19"/>
                <w:color w:val="auto"/>
              </w:rPr>
            </w:pPr>
          </w:p>
        </w:tc>
        <w:tc>
          <w:tcPr>
            <w:tcW w:w="140" w:type="dxa"/>
            <w:vAlign w:val="bottom"/>
            <w:tcBorders>
              <w:bottom w:val="single" w:sz="8" w:color="D5EEEE"/>
            </w:tcBorders>
            <w:vMerge w:val="continue"/>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10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Borders>
              <w:bottom w:val="single" w:sz="8" w:color="D5EEEE"/>
            </w:tcBorders>
            <w:vMerge w:val="continue"/>
          </w:tcPr>
          <w:p>
            <w:pPr>
              <w:spacing w:after="0"/>
              <w:rPr>
                <w:sz w:val="19"/>
                <w:szCs w:val="19"/>
                <w:color w:val="auto"/>
              </w:rPr>
            </w:pPr>
          </w:p>
        </w:tc>
        <w:tc>
          <w:tcPr>
            <w:tcW w:w="960" w:type="dxa"/>
            <w:vAlign w:val="bottom"/>
            <w:tcBorders>
              <w:bottom w:val="single" w:sz="8" w:color="D5EEEE"/>
            </w:tcBorders>
            <w:vMerge w:val="continue"/>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100" w:type="dxa"/>
            <w:vAlign w:val="bottom"/>
            <w:tcBorders>
              <w:bottom w:val="single" w:sz="8" w:color="D5EEEE"/>
            </w:tcBorders>
            <w:vMerge w:val="continue"/>
          </w:tcPr>
          <w:p>
            <w:pPr>
              <w:spacing w:after="0"/>
              <w:rPr>
                <w:sz w:val="19"/>
                <w:szCs w:val="19"/>
                <w:color w:val="auto"/>
              </w:rPr>
            </w:pPr>
          </w:p>
        </w:tc>
        <w:tc>
          <w:tcPr>
            <w:tcW w:w="140" w:type="dxa"/>
            <w:vAlign w:val="bottom"/>
            <w:tcBorders>
              <w:bottom w:val="single" w:sz="8" w:color="D5EEEE"/>
            </w:tcBorders>
            <w:vMerge w:val="continue"/>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10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highlight w:val="white"/>
                <w:w w:val="79"/>
              </w:rPr>
              <w:t>$</w:t>
            </w:r>
          </w:p>
        </w:tc>
        <w:tc>
          <w:tcPr>
            <w:tcW w:w="20" w:type="dxa"/>
            <w:vAlign w:val="bottom"/>
            <w:tcBorders>
              <w:bottom w:val="single" w:sz="8" w:color="D5EEEE"/>
            </w:tcBorders>
            <w:vMerge w:val="continue"/>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vMerge w:val="continue"/>
          </w:tcPr>
          <w:p>
            <w:pPr>
              <w:spacing w:after="0"/>
              <w:rPr>
                <w:sz w:val="19"/>
                <w:szCs w:val="19"/>
                <w:color w:val="auto"/>
              </w:rPr>
            </w:pPr>
          </w:p>
        </w:tc>
        <w:tc>
          <w:tcPr>
            <w:tcW w:w="1100" w:type="dxa"/>
            <w:vAlign w:val="bottom"/>
            <w:tcBorders>
              <w:bottom w:val="single" w:sz="8" w:color="D5EEEE"/>
            </w:tcBorders>
            <w:vMerge w:val="continue"/>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1320" w:type="dxa"/>
            <w:vAlign w:val="bottom"/>
            <w:vMerge w:val="restart"/>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vMerge w:val="restart"/>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110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000" w:type="dxa"/>
            <w:vAlign w:val="bottom"/>
            <w:tcBorders>
              <w:bottom w:val="single" w:sz="8" w:color="D5EEEE"/>
            </w:tcBorders>
          </w:tcPr>
          <w:p>
            <w:pPr>
              <w:spacing w:after="0"/>
              <w:rPr>
                <w:sz w:val="19"/>
                <w:szCs w:val="19"/>
                <w:color w:val="auto"/>
              </w:rPr>
            </w:pPr>
          </w:p>
        </w:tc>
        <w:tc>
          <w:tcPr>
            <w:tcW w:w="16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132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14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96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42,700</w:t>
            </w:r>
          </w:p>
        </w:tc>
        <w:tc>
          <w:tcPr>
            <w:tcW w:w="20" w:type="dxa"/>
            <w:vAlign w:val="bottom"/>
            <w:tcBorders>
              <w:bottom w:val="single" w:sz="8" w:color="D5EEEE"/>
            </w:tcBorders>
            <w:vMerge w:val="continue"/>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14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Borders>
              <w:bottom w:val="single" w:sz="8" w:color="D5EEEE"/>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110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42,700</w:t>
            </w:r>
          </w:p>
        </w:tc>
        <w:tc>
          <w:tcPr>
            <w:tcW w:w="20" w:type="dxa"/>
            <w:vAlign w:val="bottom"/>
            <w:tcBorders>
              <w:bottom w:val="single" w:sz="8" w:color="D5EEEE"/>
            </w:tcBorders>
            <w:vMerge w:val="continue"/>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00" w:type="dxa"/>
            <w:vAlign w:val="bottom"/>
            <w:shd w:val="clear" w:color="auto" w:fill="D5EEEE"/>
          </w:tcPr>
          <w:p>
            <w:pPr>
              <w:spacing w:after="0"/>
              <w:rPr>
                <w:sz w:val="20"/>
                <w:szCs w:val="20"/>
                <w:color w:val="auto"/>
              </w:rPr>
            </w:pPr>
          </w:p>
        </w:tc>
        <w:tc>
          <w:tcPr>
            <w:tcW w:w="160" w:type="dxa"/>
            <w:vAlign w:val="bottom"/>
            <w:shd w:val="clear" w:color="auto" w:fill="D5EEE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left w:val="single" w:sz="8" w:color="D5EEEE"/>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12,743</w:t>
            </w:r>
          </w:p>
        </w:tc>
        <w:tc>
          <w:tcPr>
            <w:tcW w:w="20" w:type="dxa"/>
            <w:vAlign w:val="bottom"/>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shd w:val="clear" w:color="auto" w:fill="D5EEEE"/>
          </w:tcPr>
          <w:p>
            <w:pPr>
              <w:spacing w:after="0"/>
              <w:rPr>
                <w:sz w:val="20"/>
                <w:szCs w:val="20"/>
                <w:color w:val="auto"/>
              </w:rPr>
            </w:pP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shd w:val="clear" w:color="auto" w:fill="D5EEEE"/>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12,743</w:t>
            </w:r>
          </w:p>
        </w:tc>
        <w:tc>
          <w:tcPr>
            <w:tcW w:w="20" w:type="dxa"/>
            <w:vAlign w:val="bottom"/>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D5EEEE"/>
            </w:tcBorders>
          </w:tcPr>
          <w:p>
            <w:pPr>
              <w:spacing w:after="0"/>
              <w:rPr>
                <w:sz w:val="20"/>
                <w:szCs w:val="20"/>
                <w:color w:val="auto"/>
              </w:rPr>
            </w:pPr>
          </w:p>
        </w:tc>
        <w:tc>
          <w:tcPr>
            <w:tcW w:w="16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132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Borders>
              <w:bottom w:val="single" w:sz="8" w:color="D5EEEE"/>
            </w:tcBorders>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14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96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3,842</w:t>
            </w:r>
          </w:p>
        </w:tc>
        <w:tc>
          <w:tcPr>
            <w:tcW w:w="2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14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Borders>
              <w:bottom w:val="single" w:sz="8" w:color="D5EEEE"/>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3,842</w:t>
            </w:r>
          </w:p>
        </w:tc>
        <w:tc>
          <w:tcPr>
            <w:tcW w:w="20" w:type="dxa"/>
            <w:vAlign w:val="bottom"/>
            <w:tcBorders>
              <w:bottom w:val="single" w:sz="8" w:color="D5EEEE"/>
            </w:tcBorders>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000" w:type="dxa"/>
            <w:vAlign w:val="bottom"/>
            <w:tcBorders>
              <w:bottom w:val="single" w:sz="8" w:color="D5EEEE"/>
            </w:tcBorders>
            <w:shd w:val="clear" w:color="auto" w:fill="D5EEEE"/>
          </w:tcPr>
          <w:p>
            <w:pPr>
              <w:spacing w:after="0"/>
              <w:rPr>
                <w:sz w:val="19"/>
                <w:szCs w:val="19"/>
                <w:color w:val="auto"/>
              </w:rPr>
            </w:pPr>
          </w:p>
        </w:tc>
        <w:tc>
          <w:tcPr>
            <w:tcW w:w="160" w:type="dxa"/>
            <w:vAlign w:val="bottom"/>
            <w:tcBorders>
              <w:bottom w:val="single" w:sz="8" w:color="D5EEEE"/>
            </w:tcBorders>
            <w:shd w:val="clear" w:color="auto" w:fill="D5EEE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Borders>
              <w:bottom w:val="single" w:sz="8" w:color="auto"/>
            </w:tcBorders>
            <w:shd w:val="clear" w:color="auto" w:fill="D5EEEE"/>
          </w:tcPr>
          <w:p>
            <w:pPr>
              <w:spacing w:after="0"/>
              <w:rPr>
                <w:sz w:val="19"/>
                <w:szCs w:val="19"/>
                <w:color w:val="auto"/>
              </w:rPr>
            </w:pPr>
          </w:p>
        </w:tc>
        <w:tc>
          <w:tcPr>
            <w:tcW w:w="80" w:type="dxa"/>
            <w:vAlign w:val="bottom"/>
            <w:tcBorders>
              <w:bottom w:val="single" w:sz="8" w:color="D5EEEE"/>
            </w:tcBorders>
            <w:shd w:val="clear" w:color="auto" w:fill="D5EEE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left w:val="single" w:sz="8" w:color="D5EEEE"/>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1,893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D5EEEE"/>
            </w:tcBorders>
            <w:shd w:val="clear" w:color="auto" w:fill="D5EEE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shd w:val="clear" w:color="auto" w:fill="D5EEEE"/>
          </w:tcPr>
          <w:p>
            <w:pPr>
              <w:spacing w:after="0"/>
              <w:rPr>
                <w:sz w:val="19"/>
                <w:szCs w:val="19"/>
                <w:color w:val="auto"/>
              </w:rPr>
            </w:pPr>
          </w:p>
        </w:tc>
        <w:tc>
          <w:tcPr>
            <w:tcW w:w="12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Borders>
              <w:bottom w:val="single" w:sz="8" w:color="D5EEEE"/>
            </w:tcBorders>
            <w:shd w:val="clear" w:color="auto" w:fill="D5EEE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1,893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D5EEEE"/>
            </w:tcBorders>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00" w:type="dxa"/>
            <w:vAlign w:val="bottom"/>
            <w:tcBorders>
              <w:bottom w:val="single" w:sz="8" w:color="D5EEEE"/>
            </w:tcBorders>
          </w:tcPr>
          <w:p>
            <w:pPr>
              <w:spacing w:after="0"/>
              <w:rPr>
                <w:sz w:val="19"/>
                <w:szCs w:val="19"/>
                <w:color w:val="auto"/>
              </w:rPr>
            </w:pPr>
          </w:p>
        </w:tc>
        <w:tc>
          <w:tcPr>
            <w:tcW w:w="16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320" w:type="dxa"/>
            <w:vAlign w:val="bottom"/>
            <w:tcBorders>
              <w:bottom w:val="single" w:sz="8" w:color="D5EEEE"/>
            </w:tcBorders>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14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960" w:type="dxa"/>
            <w:vAlign w:val="bottom"/>
            <w:tcBorders>
              <w:bottom w:val="single" w:sz="8" w:color="D5EEEE"/>
            </w:tcBorders>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61,178</w:t>
            </w: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14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bottom w:val="single" w:sz="8" w:color="D5EEEE"/>
            </w:tcBorders>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61,178</w:t>
            </w:r>
          </w:p>
        </w:tc>
        <w:tc>
          <w:tcPr>
            <w:tcW w:w="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0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1320" w:type="dxa"/>
            <w:vAlign w:val="bottom"/>
            <w:vMerge w:val="restart"/>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vMerge w:val="restart"/>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110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000" w:type="dxa"/>
            <w:vAlign w:val="bottom"/>
            <w:tcBorders>
              <w:bottom w:val="single" w:sz="8" w:color="D5EEEE"/>
            </w:tcBorders>
          </w:tcPr>
          <w:p>
            <w:pPr>
              <w:spacing w:after="0"/>
              <w:rPr>
                <w:sz w:val="19"/>
                <w:szCs w:val="19"/>
                <w:color w:val="auto"/>
              </w:rPr>
            </w:pPr>
          </w:p>
        </w:tc>
        <w:tc>
          <w:tcPr>
            <w:tcW w:w="16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1320" w:type="dxa"/>
            <w:vAlign w:val="bottom"/>
            <w:tcBorders>
              <w:bottom w:val="single" w:sz="8" w:color="D5EEEE"/>
            </w:tcBorders>
          </w:tcPr>
          <w:p>
            <w:pPr>
              <w:jc w:val="right"/>
              <w:spacing w:after="0" w:line="226" w:lineRule="exact"/>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14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960" w:type="dxa"/>
            <w:vAlign w:val="bottom"/>
            <w:tcBorders>
              <w:bottom w:val="single" w:sz="8" w:color="D5EEEE"/>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3,572</w:t>
            </w:r>
          </w:p>
        </w:tc>
        <w:tc>
          <w:tcPr>
            <w:tcW w:w="20" w:type="dxa"/>
            <w:vAlign w:val="bottom"/>
            <w:tcBorders>
              <w:bottom w:val="single" w:sz="8" w:color="D5EEEE"/>
            </w:tcBorders>
            <w:vMerge w:val="continue"/>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14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Borders>
              <w:bottom w:val="single" w:sz="8" w:color="D5EEEE"/>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1100" w:type="dxa"/>
            <w:vAlign w:val="bottom"/>
            <w:tcBorders>
              <w:bottom w:val="single" w:sz="8" w:color="D5EEEE"/>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3,572</w:t>
            </w:r>
          </w:p>
        </w:tc>
        <w:tc>
          <w:tcPr>
            <w:tcW w:w="20" w:type="dxa"/>
            <w:vAlign w:val="bottom"/>
            <w:tcBorders>
              <w:bottom w:val="single" w:sz="8" w:color="D5EEEE"/>
            </w:tcBorders>
            <w:vMerge w:val="continue"/>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00" w:type="dxa"/>
            <w:vAlign w:val="bottom"/>
            <w:shd w:val="clear" w:color="auto" w:fill="D5EEEE"/>
          </w:tcPr>
          <w:p>
            <w:pPr>
              <w:spacing w:after="0"/>
              <w:rPr>
                <w:sz w:val="20"/>
                <w:szCs w:val="20"/>
                <w:color w:val="auto"/>
              </w:rPr>
            </w:pPr>
          </w:p>
        </w:tc>
        <w:tc>
          <w:tcPr>
            <w:tcW w:w="160" w:type="dxa"/>
            <w:vAlign w:val="bottom"/>
            <w:shd w:val="clear" w:color="auto" w:fill="D5EEE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left w:val="single" w:sz="8" w:color="D5EEEE"/>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2,410</w:t>
            </w:r>
          </w:p>
        </w:tc>
        <w:tc>
          <w:tcPr>
            <w:tcW w:w="20" w:type="dxa"/>
            <w:vAlign w:val="bottom"/>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shd w:val="clear" w:color="auto" w:fill="D5EEEE"/>
          </w:tcPr>
          <w:p>
            <w:pPr>
              <w:spacing w:after="0"/>
              <w:rPr>
                <w:sz w:val="20"/>
                <w:szCs w:val="20"/>
                <w:color w:val="auto"/>
              </w:rPr>
            </w:pP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shd w:val="clear" w:color="auto" w:fill="D5EEEE"/>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2,410</w:t>
            </w:r>
          </w:p>
        </w:tc>
        <w:tc>
          <w:tcPr>
            <w:tcW w:w="20" w:type="dxa"/>
            <w:vAlign w:val="bottom"/>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00" w:type="dxa"/>
            <w:vAlign w:val="bottom"/>
          </w:tcPr>
          <w:p>
            <w:pPr>
              <w:spacing w:after="0"/>
              <w:rPr>
                <w:sz w:val="21"/>
                <w:szCs w:val="21"/>
                <w:color w:val="auto"/>
              </w:rPr>
            </w:pPr>
          </w:p>
        </w:tc>
        <w:tc>
          <w:tcPr>
            <w:tcW w:w="160" w:type="dxa"/>
            <w:vAlign w:val="bottom"/>
            <w:tcBorders>
              <w:bottom w:val="single" w:sz="8" w:color="D5EEEE"/>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14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948</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Borders>
              <w:bottom w:val="single" w:sz="8" w:color="D5EEEE"/>
            </w:tcBorders>
          </w:tcPr>
          <w:p>
            <w:pPr>
              <w:spacing w:after="0"/>
              <w:rPr>
                <w:sz w:val="21"/>
                <w:szCs w:val="21"/>
                <w:color w:val="auto"/>
              </w:rPr>
            </w:pPr>
          </w:p>
        </w:tc>
        <w:tc>
          <w:tcPr>
            <w:tcW w:w="14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948</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D5EEEE"/>
            </w:tcBorders>
            <w:shd w:val="clear" w:color="auto" w:fill="D5EEEE"/>
          </w:tcPr>
          <w:p>
            <w:pPr>
              <w:spacing w:after="0"/>
              <w:rPr>
                <w:sz w:val="18"/>
                <w:szCs w:val="18"/>
                <w:color w:val="auto"/>
              </w:rPr>
            </w:pPr>
          </w:p>
        </w:tc>
        <w:tc>
          <w:tcPr>
            <w:tcW w:w="16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D5EEEE"/>
              <w:bottom w:val="single" w:sz="8" w:color="auto"/>
            </w:tcBorders>
          </w:tcPr>
          <w:p>
            <w:pPr>
              <w:spacing w:after="0"/>
              <w:rPr>
                <w:sz w:val="18"/>
                <w:szCs w:val="18"/>
                <w:color w:val="auto"/>
              </w:rPr>
            </w:pPr>
          </w:p>
        </w:tc>
        <w:tc>
          <w:tcPr>
            <w:tcW w:w="20" w:type="dxa"/>
            <w:vAlign w:val="bottom"/>
            <w:tcBorders>
              <w:top w:val="single" w:sz="8" w:color="D5EEEE"/>
              <w:bottom w:val="single" w:sz="8" w:color="auto"/>
            </w:tcBorders>
          </w:tcPr>
          <w:p>
            <w:pPr>
              <w:spacing w:after="0"/>
              <w:rPr>
                <w:sz w:val="18"/>
                <w:szCs w:val="18"/>
                <w:color w:val="auto"/>
              </w:rPr>
            </w:pPr>
          </w:p>
        </w:tc>
        <w:tc>
          <w:tcPr>
            <w:tcW w:w="1320" w:type="dxa"/>
            <w:vAlign w:val="bottom"/>
            <w:tcBorders>
              <w:top w:val="single" w:sz="8" w:color="D5EEEE"/>
              <w:bottom w:val="single" w:sz="8" w:color="auto"/>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Borders>
              <w:top w:val="single" w:sz="8" w:color="D5EEEE"/>
              <w:bottom w:val="single" w:sz="8" w:color="auto"/>
            </w:tcBorders>
            <w:shd w:val="clear" w:color="auto" w:fill="D5EEEE"/>
          </w:tcPr>
          <w:p>
            <w:pPr>
              <w:spacing w:after="0"/>
              <w:rPr>
                <w:sz w:val="18"/>
                <w:szCs w:val="18"/>
                <w:color w:val="auto"/>
              </w:rPr>
            </w:pPr>
          </w:p>
        </w:tc>
        <w:tc>
          <w:tcPr>
            <w:tcW w:w="80" w:type="dxa"/>
            <w:vAlign w:val="bottom"/>
            <w:tcBorders>
              <w:top w:val="single" w:sz="8" w:color="D5EEEE"/>
            </w:tcBorders>
            <w:shd w:val="clear" w:color="auto" w:fill="D5EEEE"/>
          </w:tcPr>
          <w:p>
            <w:pPr>
              <w:spacing w:after="0"/>
              <w:rPr>
                <w:sz w:val="18"/>
                <w:szCs w:val="18"/>
                <w:color w:val="auto"/>
              </w:rPr>
            </w:pPr>
          </w:p>
        </w:tc>
        <w:tc>
          <w:tcPr>
            <w:tcW w:w="140" w:type="dxa"/>
            <w:vAlign w:val="bottom"/>
            <w:tcBorders>
              <w:top w:val="single" w:sz="8" w:color="D5EEEE"/>
            </w:tcBorders>
          </w:tcPr>
          <w:p>
            <w:pPr>
              <w:spacing w:after="0"/>
              <w:rPr>
                <w:sz w:val="18"/>
                <w:szCs w:val="18"/>
                <w:color w:val="auto"/>
              </w:rPr>
            </w:pPr>
          </w:p>
        </w:tc>
        <w:tc>
          <w:tcPr>
            <w:tcW w:w="20" w:type="dxa"/>
            <w:vAlign w:val="bottom"/>
            <w:tcBorders>
              <w:top w:val="single" w:sz="8" w:color="D5EEEE"/>
            </w:tcBorders>
          </w:tcPr>
          <w:p>
            <w:pPr>
              <w:spacing w:after="0"/>
              <w:rPr>
                <w:sz w:val="18"/>
                <w:szCs w:val="18"/>
                <w:color w:val="auto"/>
              </w:rPr>
            </w:pPr>
          </w:p>
        </w:tc>
        <w:tc>
          <w:tcPr>
            <w:tcW w:w="100" w:type="dxa"/>
            <w:vAlign w:val="bottom"/>
            <w:tcBorders>
              <w:top w:val="single" w:sz="8" w:color="D5EEEE"/>
            </w:tcBorders>
          </w:tcPr>
          <w:p>
            <w:pPr>
              <w:spacing w:after="0"/>
              <w:rPr>
                <w:sz w:val="18"/>
                <w:szCs w:val="18"/>
                <w:color w:val="auto"/>
              </w:rPr>
            </w:pPr>
          </w:p>
        </w:tc>
        <w:tc>
          <w:tcPr>
            <w:tcW w:w="20" w:type="dxa"/>
            <w:vAlign w:val="bottom"/>
            <w:tcBorders>
              <w:top w:val="single" w:sz="8" w:color="D5EEEE"/>
            </w:tcBorders>
          </w:tcPr>
          <w:p>
            <w:pPr>
              <w:spacing w:after="0"/>
              <w:rPr>
                <w:sz w:val="18"/>
                <w:szCs w:val="18"/>
                <w:color w:val="auto"/>
              </w:rPr>
            </w:pPr>
          </w:p>
        </w:tc>
        <w:tc>
          <w:tcPr>
            <w:tcW w:w="960" w:type="dxa"/>
            <w:vAlign w:val="bottom"/>
            <w:tcBorders>
              <w:left w:val="single" w:sz="8" w:color="D5EEEE"/>
              <w:bottom w:val="single" w:sz="8" w:color="auto"/>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6,930</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D5EEEE"/>
            </w:tcBorders>
            <w:shd w:val="clear" w:color="auto" w:fill="D5EEEE"/>
          </w:tcPr>
          <w:p>
            <w:pPr>
              <w:spacing w:after="0"/>
              <w:rPr>
                <w:sz w:val="18"/>
                <w:szCs w:val="18"/>
                <w:color w:val="auto"/>
              </w:rPr>
            </w:pPr>
          </w:p>
        </w:tc>
        <w:tc>
          <w:tcPr>
            <w:tcW w:w="140" w:type="dxa"/>
            <w:vAlign w:val="bottom"/>
            <w:tcBorders>
              <w:top w:val="single" w:sz="8" w:color="D5EEEE"/>
            </w:tcBorders>
          </w:tcPr>
          <w:p>
            <w:pPr>
              <w:spacing w:after="0"/>
              <w:rPr>
                <w:sz w:val="18"/>
                <w:szCs w:val="18"/>
                <w:color w:val="auto"/>
              </w:rPr>
            </w:pPr>
          </w:p>
        </w:tc>
        <w:tc>
          <w:tcPr>
            <w:tcW w:w="20" w:type="dxa"/>
            <w:vAlign w:val="bottom"/>
            <w:tcBorders>
              <w:top w:val="single" w:sz="8" w:color="D5EEEE"/>
            </w:tcBorders>
          </w:tcPr>
          <w:p>
            <w:pPr>
              <w:spacing w:after="0"/>
              <w:rPr>
                <w:sz w:val="18"/>
                <w:szCs w:val="18"/>
                <w:color w:val="auto"/>
              </w:rPr>
            </w:pPr>
          </w:p>
        </w:tc>
        <w:tc>
          <w:tcPr>
            <w:tcW w:w="100" w:type="dxa"/>
            <w:vAlign w:val="bottom"/>
            <w:tcBorders>
              <w:top w:val="single" w:sz="8" w:color="D5EEEE"/>
            </w:tcBorders>
          </w:tcPr>
          <w:p>
            <w:pPr>
              <w:spacing w:after="0"/>
              <w:rPr>
                <w:sz w:val="18"/>
                <w:szCs w:val="18"/>
                <w:color w:val="auto"/>
              </w:rPr>
            </w:pPr>
          </w:p>
        </w:tc>
        <w:tc>
          <w:tcPr>
            <w:tcW w:w="20" w:type="dxa"/>
            <w:vAlign w:val="bottom"/>
            <w:tcBorders>
              <w:top w:val="single" w:sz="8" w:color="D5EEEE"/>
              <w:bottom w:val="single" w:sz="8" w:color="auto"/>
            </w:tcBorders>
          </w:tcPr>
          <w:p>
            <w:pPr>
              <w:spacing w:after="0"/>
              <w:rPr>
                <w:sz w:val="18"/>
                <w:szCs w:val="18"/>
                <w:color w:val="auto"/>
              </w:rPr>
            </w:pPr>
          </w:p>
        </w:tc>
        <w:tc>
          <w:tcPr>
            <w:tcW w:w="680" w:type="dxa"/>
            <w:vAlign w:val="bottom"/>
            <w:tcBorders>
              <w:top w:val="single" w:sz="8" w:color="D5EEEE"/>
              <w:bottom w:val="single" w:sz="8" w:color="auto"/>
            </w:tcBorders>
            <w:shd w:val="clear" w:color="auto" w:fill="D5EEEE"/>
          </w:tcPr>
          <w:p>
            <w:pPr>
              <w:spacing w:after="0"/>
              <w:rPr>
                <w:sz w:val="18"/>
                <w:szCs w:val="18"/>
                <w:color w:val="auto"/>
              </w:rPr>
            </w:pPr>
          </w:p>
        </w:tc>
        <w:tc>
          <w:tcPr>
            <w:tcW w:w="120" w:type="dxa"/>
            <w:vAlign w:val="bottom"/>
            <w:tcBorders>
              <w:top w:val="single" w:sz="8" w:color="D5EEEE"/>
              <w:bottom w:val="single" w:sz="8" w:color="auto"/>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Borders>
              <w:top w:val="single" w:sz="8" w:color="D5EEEE"/>
            </w:tcBorders>
            <w:shd w:val="clear" w:color="auto" w:fill="D5EEEE"/>
          </w:tcPr>
          <w:p>
            <w:pPr>
              <w:spacing w:after="0"/>
              <w:rPr>
                <w:sz w:val="18"/>
                <w:szCs w:val="18"/>
                <w:color w:val="auto"/>
              </w:rPr>
            </w:pPr>
          </w:p>
        </w:tc>
        <w:tc>
          <w:tcPr>
            <w:tcW w:w="140" w:type="dxa"/>
            <w:vAlign w:val="bottom"/>
            <w:tcBorders>
              <w:top w:val="single" w:sz="8" w:color="D5EEEE"/>
            </w:tcBorders>
          </w:tcPr>
          <w:p>
            <w:pPr>
              <w:spacing w:after="0"/>
              <w:rPr>
                <w:sz w:val="18"/>
                <w:szCs w:val="18"/>
                <w:color w:val="auto"/>
              </w:rPr>
            </w:pPr>
          </w:p>
        </w:tc>
        <w:tc>
          <w:tcPr>
            <w:tcW w:w="20" w:type="dxa"/>
            <w:vAlign w:val="bottom"/>
            <w:tcBorders>
              <w:top w:val="single" w:sz="8" w:color="D5EEEE"/>
            </w:tcBorders>
          </w:tcPr>
          <w:p>
            <w:pPr>
              <w:spacing w:after="0"/>
              <w:rPr>
                <w:sz w:val="18"/>
                <w:szCs w:val="18"/>
                <w:color w:val="auto"/>
              </w:rPr>
            </w:pPr>
          </w:p>
        </w:tc>
        <w:tc>
          <w:tcPr>
            <w:tcW w:w="100" w:type="dxa"/>
            <w:vAlign w:val="bottom"/>
            <w:tcBorders>
              <w:top w:val="single" w:sz="8" w:color="D5EEEE"/>
            </w:tcBorders>
          </w:tcPr>
          <w:p>
            <w:pPr>
              <w:spacing w:after="0"/>
              <w:rPr>
                <w:sz w:val="18"/>
                <w:szCs w:val="18"/>
                <w:color w:val="auto"/>
              </w:rPr>
            </w:pPr>
          </w:p>
        </w:tc>
        <w:tc>
          <w:tcPr>
            <w:tcW w:w="20" w:type="dxa"/>
            <w:vAlign w:val="bottom"/>
            <w:tcBorders>
              <w:top w:val="single" w:sz="8" w:color="D5EEEE"/>
              <w:bottom w:val="single" w:sz="8" w:color="auto"/>
            </w:tcBorders>
          </w:tcPr>
          <w:p>
            <w:pPr>
              <w:spacing w:after="0"/>
              <w:rPr>
                <w:sz w:val="18"/>
                <w:szCs w:val="18"/>
                <w:color w:val="auto"/>
              </w:rPr>
            </w:pPr>
          </w:p>
        </w:tc>
        <w:tc>
          <w:tcPr>
            <w:tcW w:w="1100" w:type="dxa"/>
            <w:vAlign w:val="bottom"/>
            <w:tcBorders>
              <w:top w:val="single" w:sz="8" w:color="D5EEEE"/>
              <w:bottom w:val="single" w:sz="8" w:color="auto"/>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6,930</w:t>
            </w:r>
          </w:p>
        </w:tc>
        <w:tc>
          <w:tcPr>
            <w:tcW w:w="20" w:type="dxa"/>
            <w:vAlign w:val="bottom"/>
            <w:tcBorders>
              <w:top w:val="single" w:sz="8" w:color="D5EEEE"/>
              <w:bottom w:val="single" w:sz="8" w:color="auto"/>
            </w:tcBorders>
          </w:tcPr>
          <w:p>
            <w:pPr>
              <w:spacing w:after="0"/>
              <w:rPr>
                <w:sz w:val="18"/>
                <w:szCs w:val="18"/>
                <w:color w:val="auto"/>
              </w:rPr>
            </w:pPr>
          </w:p>
        </w:tc>
        <w:tc>
          <w:tcPr>
            <w:tcW w:w="80" w:type="dxa"/>
            <w:vAlign w:val="bottom"/>
            <w:tcBorders>
              <w:top w:val="single" w:sz="8" w:color="D5EEEE"/>
            </w:tcBorders>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equivalents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14,089</w:t>
            </w:r>
          </w:p>
        </w:tc>
        <w:tc>
          <w:tcPr>
            <w:tcW w:w="20" w:type="dxa"/>
            <w:vAlign w:val="bottom"/>
          </w:tcPr>
          <w:p>
            <w:pPr>
              <w:spacing w:after="0"/>
              <w:rPr>
                <w:sz w:val="19"/>
                <w:szCs w:val="19"/>
                <w:color w:val="auto"/>
              </w:rPr>
            </w:pPr>
          </w:p>
        </w:tc>
        <w:tc>
          <w:tcPr>
            <w:tcW w:w="80" w:type="dxa"/>
            <w:vAlign w:val="bottom"/>
            <w:vMerge w:val="restart"/>
          </w:tcPr>
          <w:p>
            <w:pPr>
              <w:spacing w:after="0"/>
              <w:rPr>
                <w:sz w:val="19"/>
                <w:szCs w:val="19"/>
                <w:color w:val="auto"/>
              </w:rPr>
            </w:pPr>
          </w:p>
        </w:tc>
        <w:tc>
          <w:tcPr>
            <w:tcW w:w="1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68,108</w:t>
            </w:r>
          </w:p>
        </w:tc>
        <w:tc>
          <w:tcPr>
            <w:tcW w:w="2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1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vMerge w:val="restart"/>
          </w:tcPr>
          <w:p>
            <w:pPr>
              <w:spacing w:after="0"/>
              <w:rPr>
                <w:sz w:val="19"/>
                <w:szCs w:val="19"/>
                <w:color w:val="auto"/>
              </w:rPr>
            </w:pPr>
          </w:p>
        </w:tc>
        <w:tc>
          <w:tcPr>
            <w:tcW w:w="1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82,197</w:t>
            </w:r>
          </w:p>
        </w:tc>
        <w:tc>
          <w:tcPr>
            <w:tcW w:w="20" w:type="dxa"/>
            <w:vAlign w:val="bottom"/>
            <w:vMerge w:val="restart"/>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0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highlight w:val="white"/>
                <w:w w:val="79"/>
              </w:rPr>
              <w:t>$</w:t>
            </w:r>
          </w:p>
        </w:tc>
        <w:tc>
          <w:tcPr>
            <w:tcW w:w="20" w:type="dxa"/>
            <w:vAlign w:val="bottom"/>
            <w:vMerge w:val="continue"/>
          </w:tcPr>
          <w:p>
            <w:pPr>
              <w:spacing w:after="0"/>
              <w:rPr>
                <w:sz w:val="20"/>
                <w:szCs w:val="20"/>
                <w:color w:val="auto"/>
              </w:rPr>
            </w:pPr>
          </w:p>
        </w:tc>
        <w:tc>
          <w:tcPr>
            <w:tcW w:w="13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highlight w:val="white"/>
                <w:w w:val="79"/>
              </w:rPr>
              <w:t>$</w:t>
            </w:r>
          </w:p>
        </w:tc>
        <w:tc>
          <w:tcPr>
            <w:tcW w:w="20" w:type="dxa"/>
            <w:vAlign w:val="bottom"/>
            <w:tcBorders>
              <w:bottom w:val="single" w:sz="8" w:color="auto"/>
            </w:tcBorders>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highlight w:val="white"/>
                <w:w w:val="79"/>
              </w:rPr>
              <w:t>$</w:t>
            </w:r>
          </w:p>
        </w:tc>
        <w:tc>
          <w:tcPr>
            <w:tcW w:w="20" w:type="dxa"/>
            <w:vAlign w:val="bottom"/>
            <w:tcBorders>
              <w:bottom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highlight w:val="white"/>
                <w:w w:val="79"/>
              </w:rPr>
              <w:t>$</w:t>
            </w:r>
          </w:p>
        </w:tc>
        <w:tc>
          <w:tcPr>
            <w:tcW w:w="20" w:type="dxa"/>
            <w:vAlign w:val="bottom"/>
            <w:tcBorders>
              <w:bottom w:val="single" w:sz="8" w:color="auto"/>
            </w:tcBorders>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-2514600</wp:posOffset>
            </wp:positionV>
            <wp:extent cx="6198870" cy="254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98870" cy="2546350"/>
                    </a:xfrm>
                    <a:prstGeom prst="rect">
                      <a:avLst/>
                    </a:prstGeom>
                    <a:noFill/>
                  </pic:spPr>
                </pic:pic>
              </a:graphicData>
            </a:graphic>
          </wp:anchor>
        </w:drawing>
      </w:r>
    </w:p>
    <w:p>
      <w:pPr>
        <w:sectPr>
          <w:pgSz w:w="11880" w:h="15480" w:orient="portrait"/>
          <w:cols w:equalWidth="0" w:num="1">
            <w:col w:w="10780"/>
          </w:cols>
          <w:pgMar w:left="540" w:top="887" w:right="560" w:bottom="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F-19</w:t>
      </w:r>
    </w:p>
    <w:p>
      <w:pPr>
        <w:sectPr>
          <w:pgSz w:w="11880" w:h="15480" w:orient="portrait"/>
          <w:cols w:equalWidth="0" w:num="1">
            <w:col w:w="10780"/>
          </w:cols>
          <w:pgMar w:left="540" w:top="887" w:right="560" w:bottom="5" w:gutter="0" w:footer="0" w:header="0"/>
          <w:type w:val="continuous"/>
        </w:sectPr>
      </w:pPr>
    </w:p>
    <w:bookmarkStart w:id="85" w:name="page86"/>
    <w:bookmarkEnd w:id="85"/>
    <w:tbl>
      <w:tblPr>
        <w:tblLayout w:type="fixed"/>
        <w:tblInd w:w="540" w:type="dxa"/>
        <w:tblCellMar>
          <w:top w:w="0" w:type="dxa"/>
          <w:left w:w="0" w:type="dxa"/>
          <w:bottom w:w="0" w:type="dxa"/>
          <w:right w:w="0" w:type="dxa"/>
        </w:tblCellMar>
      </w:tblPr>
      <w:tr>
        <w:trPr>
          <w:trHeight w:val="254"/>
        </w:trPr>
        <w:tc>
          <w:tcPr>
            <w:tcW w:w="4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12"/>
          </w:tcPr>
          <w:p>
            <w:pPr>
              <w:ind w:left="140"/>
              <w:spacing w:after="0"/>
              <w:rPr>
                <w:sz w:val="20"/>
                <w:szCs w:val="20"/>
                <w:color w:val="auto"/>
              </w:rPr>
            </w:pPr>
            <w:r>
              <w:rPr>
                <w:rFonts w:ascii="Times New Roman" w:cs="Times New Roman" w:eastAsia="Times New Roman" w:hAnsi="Times New Roman"/>
                <w:sz w:val="20"/>
                <w:szCs w:val="20"/>
                <w:b w:val="1"/>
                <w:bCs w:val="1"/>
                <w:color w:val="auto"/>
              </w:rPr>
              <w:t>As of December 31, 2021</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D5EEEE"/>
            </w:tcBorders>
          </w:tcPr>
          <w:p>
            <w:pPr>
              <w:spacing w:after="0"/>
              <w:rPr>
                <w:sz w:val="19"/>
                <w:szCs w:val="19"/>
                <w:color w:val="auto"/>
              </w:rPr>
            </w:pPr>
          </w:p>
        </w:tc>
        <w:tc>
          <w:tcPr>
            <w:tcW w:w="160" w:type="dxa"/>
            <w:vAlign w:val="bottom"/>
            <w:tcBorders>
              <w:bottom w:val="single" w:sz="8" w:color="D5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80" w:type="dxa"/>
            <w:vAlign w:val="bottom"/>
            <w:tcBorders>
              <w:bottom w:val="single" w:sz="8" w:color="D5EEEE"/>
            </w:tcBorders>
          </w:tcPr>
          <w:p>
            <w:pPr>
              <w:spacing w:after="0"/>
              <w:rPr>
                <w:sz w:val="19"/>
                <w:szCs w:val="19"/>
                <w:color w:val="auto"/>
              </w:rPr>
            </w:pPr>
          </w:p>
        </w:tc>
        <w:tc>
          <w:tcPr>
            <w:tcW w:w="14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100" w:type="dxa"/>
            <w:vAlign w:val="bottom"/>
          </w:tcPr>
          <w:p>
            <w:pPr>
              <w:spacing w:after="0"/>
              <w:rPr>
                <w:sz w:val="19"/>
                <w:szCs w:val="19"/>
                <w:color w:val="auto"/>
              </w:rPr>
            </w:pPr>
          </w:p>
        </w:tc>
        <w:tc>
          <w:tcPr>
            <w:tcW w:w="14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14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8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10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51,112</w:t>
            </w: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vMerge w:val="restart"/>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51,112</w:t>
            </w: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000" w:type="dxa"/>
            <w:vAlign w:val="bottom"/>
            <w:tcBorders>
              <w:bottom w:val="single" w:sz="8" w:color="D5EEEE"/>
            </w:tcBorders>
          </w:tcPr>
          <w:p>
            <w:pPr>
              <w:spacing w:after="0"/>
              <w:rPr>
                <w:sz w:val="19"/>
                <w:szCs w:val="19"/>
                <w:color w:val="auto"/>
              </w:rPr>
            </w:pPr>
          </w:p>
        </w:tc>
        <w:tc>
          <w:tcPr>
            <w:tcW w:w="16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Borders>
              <w:bottom w:val="single" w:sz="8" w:color="D5EEEE"/>
            </w:tcBorders>
            <w:vMerge w:val="continue"/>
          </w:tcPr>
          <w:p>
            <w:pPr>
              <w:spacing w:after="0"/>
              <w:rPr>
                <w:sz w:val="19"/>
                <w:szCs w:val="19"/>
                <w:color w:val="auto"/>
              </w:rPr>
            </w:pPr>
          </w:p>
        </w:tc>
        <w:tc>
          <w:tcPr>
            <w:tcW w:w="1320" w:type="dxa"/>
            <w:vAlign w:val="bottom"/>
            <w:tcBorders>
              <w:bottom w:val="single" w:sz="8" w:color="D5EEEE"/>
            </w:tcBorders>
            <w:vMerge w:val="continue"/>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vMerge w:val="continue"/>
          </w:tcPr>
          <w:p>
            <w:pPr>
              <w:spacing w:after="0"/>
              <w:rPr>
                <w:sz w:val="19"/>
                <w:szCs w:val="19"/>
                <w:color w:val="auto"/>
              </w:rPr>
            </w:pPr>
          </w:p>
        </w:tc>
        <w:tc>
          <w:tcPr>
            <w:tcW w:w="140" w:type="dxa"/>
            <w:vAlign w:val="bottom"/>
            <w:tcBorders>
              <w:bottom w:val="single" w:sz="8" w:color="D5EEEE"/>
            </w:tcBorders>
            <w:vMerge w:val="continue"/>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10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Borders>
              <w:bottom w:val="single" w:sz="8" w:color="D5EEEE"/>
            </w:tcBorders>
            <w:vMerge w:val="continue"/>
          </w:tcPr>
          <w:p>
            <w:pPr>
              <w:spacing w:after="0"/>
              <w:rPr>
                <w:sz w:val="19"/>
                <w:szCs w:val="19"/>
                <w:color w:val="auto"/>
              </w:rPr>
            </w:pPr>
          </w:p>
        </w:tc>
        <w:tc>
          <w:tcPr>
            <w:tcW w:w="960" w:type="dxa"/>
            <w:vAlign w:val="bottom"/>
            <w:tcBorders>
              <w:bottom w:val="single" w:sz="8" w:color="D5EEEE"/>
            </w:tcBorders>
            <w:vMerge w:val="continue"/>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100" w:type="dxa"/>
            <w:vAlign w:val="bottom"/>
            <w:tcBorders>
              <w:bottom w:val="single" w:sz="8" w:color="D5EEEE"/>
            </w:tcBorders>
            <w:vMerge w:val="continue"/>
          </w:tcPr>
          <w:p>
            <w:pPr>
              <w:spacing w:after="0"/>
              <w:rPr>
                <w:sz w:val="19"/>
                <w:szCs w:val="19"/>
                <w:color w:val="auto"/>
              </w:rPr>
            </w:pPr>
          </w:p>
        </w:tc>
        <w:tc>
          <w:tcPr>
            <w:tcW w:w="140" w:type="dxa"/>
            <w:vAlign w:val="bottom"/>
            <w:tcBorders>
              <w:bottom w:val="single" w:sz="8" w:color="D5EEEE"/>
            </w:tcBorders>
            <w:vMerge w:val="continue"/>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10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highlight w:val="white"/>
                <w:w w:val="79"/>
              </w:rPr>
              <w:t>$</w:t>
            </w:r>
          </w:p>
        </w:tc>
        <w:tc>
          <w:tcPr>
            <w:tcW w:w="20" w:type="dxa"/>
            <w:vAlign w:val="bottom"/>
            <w:tcBorders>
              <w:bottom w:val="single" w:sz="8" w:color="D5EEEE"/>
            </w:tcBorders>
            <w:vMerge w:val="continue"/>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vMerge w:val="continue"/>
          </w:tcPr>
          <w:p>
            <w:pPr>
              <w:spacing w:after="0"/>
              <w:rPr>
                <w:sz w:val="19"/>
                <w:szCs w:val="19"/>
                <w:color w:val="auto"/>
              </w:rPr>
            </w:pPr>
          </w:p>
        </w:tc>
        <w:tc>
          <w:tcPr>
            <w:tcW w:w="1100" w:type="dxa"/>
            <w:vAlign w:val="bottom"/>
            <w:tcBorders>
              <w:bottom w:val="single" w:sz="8" w:color="D5EEEE"/>
            </w:tcBorders>
            <w:vMerge w:val="continue"/>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0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1320" w:type="dxa"/>
            <w:vAlign w:val="bottom"/>
            <w:vMerge w:val="restart"/>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vMerge w:val="restart"/>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110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000" w:type="dxa"/>
            <w:vAlign w:val="bottom"/>
            <w:tcBorders>
              <w:bottom w:val="single" w:sz="8" w:color="D5EEEE"/>
            </w:tcBorders>
          </w:tcPr>
          <w:p>
            <w:pPr>
              <w:spacing w:after="0"/>
              <w:rPr>
                <w:sz w:val="19"/>
                <w:szCs w:val="19"/>
                <w:color w:val="auto"/>
              </w:rPr>
            </w:pPr>
          </w:p>
        </w:tc>
        <w:tc>
          <w:tcPr>
            <w:tcW w:w="16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132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14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96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19,586</w:t>
            </w:r>
          </w:p>
        </w:tc>
        <w:tc>
          <w:tcPr>
            <w:tcW w:w="20" w:type="dxa"/>
            <w:vAlign w:val="bottom"/>
            <w:tcBorders>
              <w:bottom w:val="single" w:sz="8" w:color="D5EEEE"/>
            </w:tcBorders>
            <w:vMerge w:val="continue"/>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14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Borders>
              <w:bottom w:val="single" w:sz="8" w:color="D5EEEE"/>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110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19,586</w:t>
            </w:r>
          </w:p>
        </w:tc>
        <w:tc>
          <w:tcPr>
            <w:tcW w:w="20" w:type="dxa"/>
            <w:vAlign w:val="bottom"/>
            <w:tcBorders>
              <w:bottom w:val="single" w:sz="8" w:color="D5EEEE"/>
            </w:tcBorders>
            <w:vMerge w:val="continue"/>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00" w:type="dxa"/>
            <w:vAlign w:val="bottom"/>
            <w:shd w:val="clear" w:color="auto" w:fill="D5EEEE"/>
          </w:tcPr>
          <w:p>
            <w:pPr>
              <w:spacing w:after="0"/>
              <w:rPr>
                <w:sz w:val="21"/>
                <w:szCs w:val="21"/>
                <w:color w:val="auto"/>
              </w:rPr>
            </w:pPr>
          </w:p>
        </w:tc>
        <w:tc>
          <w:tcPr>
            <w:tcW w:w="160" w:type="dxa"/>
            <w:vAlign w:val="bottom"/>
            <w:shd w:val="clear" w:color="auto" w:fill="D5EEE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left w:val="single" w:sz="8" w:color="D5EEEE"/>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7,061</w:t>
            </w:r>
          </w:p>
        </w:tc>
        <w:tc>
          <w:tcPr>
            <w:tcW w:w="20" w:type="dxa"/>
            <w:vAlign w:val="bottom"/>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shd w:val="clear" w:color="auto" w:fill="D5EEEE"/>
          </w:tcPr>
          <w:p>
            <w:pPr>
              <w:spacing w:after="0"/>
              <w:rPr>
                <w:sz w:val="21"/>
                <w:szCs w:val="21"/>
                <w:color w:val="auto"/>
              </w:rPr>
            </w:pP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shd w:val="clear" w:color="auto" w:fill="D5EEEE"/>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7,061</w:t>
            </w:r>
          </w:p>
        </w:tc>
        <w:tc>
          <w:tcPr>
            <w:tcW w:w="20" w:type="dxa"/>
            <w:vAlign w:val="bottom"/>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000" w:type="dxa"/>
            <w:vAlign w:val="bottom"/>
            <w:tcBorders>
              <w:bottom w:val="single" w:sz="8" w:color="D5EEEE"/>
            </w:tcBorders>
          </w:tcPr>
          <w:p>
            <w:pPr>
              <w:spacing w:after="0"/>
              <w:rPr>
                <w:sz w:val="19"/>
                <w:szCs w:val="19"/>
                <w:color w:val="auto"/>
              </w:rPr>
            </w:pPr>
          </w:p>
        </w:tc>
        <w:tc>
          <w:tcPr>
            <w:tcW w:w="160" w:type="dxa"/>
            <w:vAlign w:val="bottom"/>
            <w:tcBorders>
              <w:bottom w:val="single" w:sz="8" w:color="D5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96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3,002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Borders>
              <w:bottom w:val="single" w:sz="8" w:color="D5EEEE"/>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3,002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000" w:type="dxa"/>
            <w:vAlign w:val="bottom"/>
            <w:shd w:val="clear" w:color="auto" w:fill="D5EEEE"/>
          </w:tcPr>
          <w:p>
            <w:pPr>
              <w:spacing w:after="0"/>
              <w:rPr>
                <w:sz w:val="20"/>
                <w:szCs w:val="20"/>
                <w:color w:val="auto"/>
              </w:rPr>
            </w:pPr>
          </w:p>
        </w:tc>
        <w:tc>
          <w:tcPr>
            <w:tcW w:w="160" w:type="dxa"/>
            <w:vAlign w:val="bottom"/>
            <w:shd w:val="clear" w:color="auto" w:fill="D5EEE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left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b w:val="1"/>
                <w:bCs w:val="1"/>
                <w:color w:val="auto"/>
              </w:rPr>
              <w:t>29,649</w:t>
            </w:r>
          </w:p>
        </w:tc>
        <w:tc>
          <w:tcPr>
            <w:tcW w:w="20" w:type="dxa"/>
            <w:vAlign w:val="bottom"/>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shd w:val="clear" w:color="auto" w:fill="D5EEEE"/>
          </w:tcPr>
          <w:p>
            <w:pPr>
              <w:spacing w:after="0"/>
              <w:rPr>
                <w:sz w:val="20"/>
                <w:szCs w:val="20"/>
                <w:color w:val="auto"/>
              </w:rPr>
            </w:pP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shd w:val="clear" w:color="auto" w:fill="D5EEEE"/>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29,649</w:t>
            </w:r>
          </w:p>
        </w:tc>
        <w:tc>
          <w:tcPr>
            <w:tcW w:w="20" w:type="dxa"/>
            <w:vAlign w:val="bottom"/>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000" w:type="dxa"/>
            <w:vAlign w:val="bottom"/>
            <w:tcBorders>
              <w:bottom w:val="single" w:sz="8" w:color="D5EEEE"/>
            </w:tcBorders>
          </w:tcPr>
          <w:p>
            <w:pPr>
              <w:spacing w:after="0"/>
              <w:rPr>
                <w:sz w:val="21"/>
                <w:szCs w:val="21"/>
                <w:color w:val="auto"/>
              </w:rPr>
            </w:pPr>
          </w:p>
        </w:tc>
        <w:tc>
          <w:tcPr>
            <w:tcW w:w="16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32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14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96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14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110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00" w:type="dxa"/>
            <w:vAlign w:val="bottom"/>
            <w:shd w:val="clear" w:color="auto" w:fill="D5EEEE"/>
          </w:tcPr>
          <w:p>
            <w:pPr>
              <w:spacing w:after="0"/>
              <w:rPr>
                <w:sz w:val="20"/>
                <w:szCs w:val="20"/>
                <w:color w:val="auto"/>
              </w:rPr>
            </w:pPr>
          </w:p>
        </w:tc>
        <w:tc>
          <w:tcPr>
            <w:tcW w:w="160" w:type="dxa"/>
            <w:vAlign w:val="bottom"/>
            <w:shd w:val="clear" w:color="auto" w:fill="D5EEE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left w:val="single" w:sz="8" w:color="D5EEEE"/>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17,954</w:t>
            </w:r>
          </w:p>
        </w:tc>
        <w:tc>
          <w:tcPr>
            <w:tcW w:w="20" w:type="dxa"/>
            <w:vAlign w:val="bottom"/>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shd w:val="clear" w:color="auto" w:fill="D5EEEE"/>
          </w:tcPr>
          <w:p>
            <w:pPr>
              <w:spacing w:after="0"/>
              <w:rPr>
                <w:sz w:val="20"/>
                <w:szCs w:val="20"/>
                <w:color w:val="auto"/>
              </w:rPr>
            </w:pPr>
          </w:p>
        </w:tc>
        <w:tc>
          <w:tcPr>
            <w:tcW w:w="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shd w:val="clear" w:color="auto" w:fill="D5EEEE"/>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110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17,954</w:t>
            </w:r>
          </w:p>
        </w:tc>
        <w:tc>
          <w:tcPr>
            <w:tcW w:w="20" w:type="dxa"/>
            <w:vAlign w:val="bottom"/>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00" w:type="dxa"/>
            <w:vAlign w:val="bottom"/>
          </w:tcPr>
          <w:p>
            <w:pPr>
              <w:spacing w:after="0"/>
              <w:rPr>
                <w:sz w:val="21"/>
                <w:szCs w:val="21"/>
                <w:color w:val="auto"/>
              </w:rPr>
            </w:pPr>
          </w:p>
        </w:tc>
        <w:tc>
          <w:tcPr>
            <w:tcW w:w="160" w:type="dxa"/>
            <w:vAlign w:val="bottom"/>
            <w:tcBorders>
              <w:bottom w:val="single" w:sz="8" w:color="D5EEEE"/>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14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1,738</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Borders>
              <w:bottom w:val="single" w:sz="8" w:color="D5EEEE"/>
            </w:tcBorders>
          </w:tcPr>
          <w:p>
            <w:pPr>
              <w:spacing w:after="0"/>
              <w:rPr>
                <w:sz w:val="21"/>
                <w:szCs w:val="21"/>
                <w:color w:val="auto"/>
              </w:rPr>
            </w:pPr>
          </w:p>
        </w:tc>
        <w:tc>
          <w:tcPr>
            <w:tcW w:w="14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1,738</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D5EEEE"/>
            </w:tcBorders>
            <w:shd w:val="clear" w:color="auto" w:fill="D5EEEE"/>
          </w:tcPr>
          <w:p>
            <w:pPr>
              <w:spacing w:after="0"/>
              <w:rPr>
                <w:sz w:val="18"/>
                <w:szCs w:val="18"/>
                <w:color w:val="auto"/>
              </w:rPr>
            </w:pPr>
          </w:p>
        </w:tc>
        <w:tc>
          <w:tcPr>
            <w:tcW w:w="16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D5EEEE"/>
              <w:bottom w:val="single" w:sz="8" w:color="auto"/>
            </w:tcBorders>
          </w:tcPr>
          <w:p>
            <w:pPr>
              <w:spacing w:after="0"/>
              <w:rPr>
                <w:sz w:val="18"/>
                <w:szCs w:val="18"/>
                <w:color w:val="auto"/>
              </w:rPr>
            </w:pPr>
          </w:p>
        </w:tc>
        <w:tc>
          <w:tcPr>
            <w:tcW w:w="20" w:type="dxa"/>
            <w:vAlign w:val="bottom"/>
            <w:tcBorders>
              <w:top w:val="single" w:sz="8" w:color="D5EEEE"/>
              <w:bottom w:val="single" w:sz="8" w:color="auto"/>
            </w:tcBorders>
          </w:tcPr>
          <w:p>
            <w:pPr>
              <w:spacing w:after="0"/>
              <w:rPr>
                <w:sz w:val="18"/>
                <w:szCs w:val="18"/>
                <w:color w:val="auto"/>
              </w:rPr>
            </w:pPr>
          </w:p>
        </w:tc>
        <w:tc>
          <w:tcPr>
            <w:tcW w:w="1320" w:type="dxa"/>
            <w:vAlign w:val="bottom"/>
            <w:tcBorders>
              <w:top w:val="single" w:sz="8" w:color="D5EEEE"/>
              <w:bottom w:val="single" w:sz="8" w:color="auto"/>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Borders>
              <w:top w:val="single" w:sz="8" w:color="D5EEEE"/>
              <w:bottom w:val="single" w:sz="8" w:color="auto"/>
            </w:tcBorders>
            <w:shd w:val="clear" w:color="auto" w:fill="D5EEEE"/>
          </w:tcPr>
          <w:p>
            <w:pPr>
              <w:spacing w:after="0"/>
              <w:rPr>
                <w:sz w:val="18"/>
                <w:szCs w:val="18"/>
                <w:color w:val="auto"/>
              </w:rPr>
            </w:pPr>
          </w:p>
        </w:tc>
        <w:tc>
          <w:tcPr>
            <w:tcW w:w="80" w:type="dxa"/>
            <w:vAlign w:val="bottom"/>
            <w:tcBorders>
              <w:top w:val="single" w:sz="8" w:color="D5EEEE"/>
            </w:tcBorders>
            <w:shd w:val="clear" w:color="auto" w:fill="D5EEEE"/>
          </w:tcPr>
          <w:p>
            <w:pPr>
              <w:spacing w:after="0"/>
              <w:rPr>
                <w:sz w:val="18"/>
                <w:szCs w:val="18"/>
                <w:color w:val="auto"/>
              </w:rPr>
            </w:pPr>
          </w:p>
        </w:tc>
        <w:tc>
          <w:tcPr>
            <w:tcW w:w="140" w:type="dxa"/>
            <w:vAlign w:val="bottom"/>
            <w:tcBorders>
              <w:top w:val="single" w:sz="8" w:color="D5EEEE"/>
            </w:tcBorders>
          </w:tcPr>
          <w:p>
            <w:pPr>
              <w:spacing w:after="0"/>
              <w:rPr>
                <w:sz w:val="18"/>
                <w:szCs w:val="18"/>
                <w:color w:val="auto"/>
              </w:rPr>
            </w:pPr>
          </w:p>
        </w:tc>
        <w:tc>
          <w:tcPr>
            <w:tcW w:w="20" w:type="dxa"/>
            <w:vAlign w:val="bottom"/>
            <w:tcBorders>
              <w:top w:val="single" w:sz="8" w:color="D5EEEE"/>
            </w:tcBorders>
          </w:tcPr>
          <w:p>
            <w:pPr>
              <w:spacing w:after="0"/>
              <w:rPr>
                <w:sz w:val="18"/>
                <w:szCs w:val="18"/>
                <w:color w:val="auto"/>
              </w:rPr>
            </w:pPr>
          </w:p>
        </w:tc>
        <w:tc>
          <w:tcPr>
            <w:tcW w:w="100" w:type="dxa"/>
            <w:vAlign w:val="bottom"/>
            <w:tcBorders>
              <w:top w:val="single" w:sz="8" w:color="D5EEEE"/>
            </w:tcBorders>
          </w:tcPr>
          <w:p>
            <w:pPr>
              <w:spacing w:after="0"/>
              <w:rPr>
                <w:sz w:val="18"/>
                <w:szCs w:val="18"/>
                <w:color w:val="auto"/>
              </w:rPr>
            </w:pPr>
          </w:p>
        </w:tc>
        <w:tc>
          <w:tcPr>
            <w:tcW w:w="20" w:type="dxa"/>
            <w:vAlign w:val="bottom"/>
            <w:tcBorders>
              <w:top w:val="single" w:sz="8" w:color="D5EEEE"/>
            </w:tcBorders>
          </w:tcPr>
          <w:p>
            <w:pPr>
              <w:spacing w:after="0"/>
              <w:rPr>
                <w:sz w:val="18"/>
                <w:szCs w:val="18"/>
                <w:color w:val="auto"/>
              </w:rPr>
            </w:pPr>
          </w:p>
        </w:tc>
        <w:tc>
          <w:tcPr>
            <w:tcW w:w="960" w:type="dxa"/>
            <w:vAlign w:val="bottom"/>
            <w:tcBorders>
              <w:left w:val="single" w:sz="8" w:color="D5EEEE"/>
              <w:bottom w:val="single" w:sz="8" w:color="auto"/>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19,692</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D5EEEE"/>
            </w:tcBorders>
            <w:shd w:val="clear" w:color="auto" w:fill="D5EEEE"/>
          </w:tcPr>
          <w:p>
            <w:pPr>
              <w:spacing w:after="0"/>
              <w:rPr>
                <w:sz w:val="18"/>
                <w:szCs w:val="18"/>
                <w:color w:val="auto"/>
              </w:rPr>
            </w:pPr>
          </w:p>
        </w:tc>
        <w:tc>
          <w:tcPr>
            <w:tcW w:w="140" w:type="dxa"/>
            <w:vAlign w:val="bottom"/>
            <w:tcBorders>
              <w:top w:val="single" w:sz="8" w:color="D5EEEE"/>
            </w:tcBorders>
          </w:tcPr>
          <w:p>
            <w:pPr>
              <w:spacing w:after="0"/>
              <w:rPr>
                <w:sz w:val="18"/>
                <w:szCs w:val="18"/>
                <w:color w:val="auto"/>
              </w:rPr>
            </w:pPr>
          </w:p>
        </w:tc>
        <w:tc>
          <w:tcPr>
            <w:tcW w:w="20" w:type="dxa"/>
            <w:vAlign w:val="bottom"/>
            <w:tcBorders>
              <w:top w:val="single" w:sz="8" w:color="D5EEEE"/>
            </w:tcBorders>
          </w:tcPr>
          <w:p>
            <w:pPr>
              <w:spacing w:after="0"/>
              <w:rPr>
                <w:sz w:val="18"/>
                <w:szCs w:val="18"/>
                <w:color w:val="auto"/>
              </w:rPr>
            </w:pPr>
          </w:p>
        </w:tc>
        <w:tc>
          <w:tcPr>
            <w:tcW w:w="100" w:type="dxa"/>
            <w:vAlign w:val="bottom"/>
            <w:tcBorders>
              <w:top w:val="single" w:sz="8" w:color="D5EEEE"/>
            </w:tcBorders>
          </w:tcPr>
          <w:p>
            <w:pPr>
              <w:spacing w:after="0"/>
              <w:rPr>
                <w:sz w:val="18"/>
                <w:szCs w:val="18"/>
                <w:color w:val="auto"/>
              </w:rPr>
            </w:pPr>
          </w:p>
        </w:tc>
        <w:tc>
          <w:tcPr>
            <w:tcW w:w="20" w:type="dxa"/>
            <w:vAlign w:val="bottom"/>
            <w:tcBorders>
              <w:top w:val="single" w:sz="8" w:color="D5EEEE"/>
              <w:bottom w:val="single" w:sz="8" w:color="auto"/>
            </w:tcBorders>
          </w:tcPr>
          <w:p>
            <w:pPr>
              <w:spacing w:after="0"/>
              <w:rPr>
                <w:sz w:val="18"/>
                <w:szCs w:val="18"/>
                <w:color w:val="auto"/>
              </w:rPr>
            </w:pPr>
          </w:p>
        </w:tc>
        <w:tc>
          <w:tcPr>
            <w:tcW w:w="680" w:type="dxa"/>
            <w:vAlign w:val="bottom"/>
            <w:tcBorders>
              <w:top w:val="single" w:sz="8" w:color="D5EEEE"/>
              <w:bottom w:val="single" w:sz="8" w:color="auto"/>
            </w:tcBorders>
            <w:shd w:val="clear" w:color="auto" w:fill="D5EEEE"/>
          </w:tcPr>
          <w:p>
            <w:pPr>
              <w:spacing w:after="0"/>
              <w:rPr>
                <w:sz w:val="18"/>
                <w:szCs w:val="18"/>
                <w:color w:val="auto"/>
              </w:rPr>
            </w:pPr>
          </w:p>
        </w:tc>
        <w:tc>
          <w:tcPr>
            <w:tcW w:w="120" w:type="dxa"/>
            <w:vAlign w:val="bottom"/>
            <w:tcBorders>
              <w:top w:val="single" w:sz="8" w:color="D5EEEE"/>
              <w:bottom w:val="single" w:sz="8" w:color="auto"/>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tcBorders>
              <w:top w:val="single" w:sz="8" w:color="D5EEEE"/>
            </w:tcBorders>
            <w:shd w:val="clear" w:color="auto" w:fill="D5EEEE"/>
          </w:tcPr>
          <w:p>
            <w:pPr>
              <w:spacing w:after="0"/>
              <w:rPr>
                <w:sz w:val="18"/>
                <w:szCs w:val="18"/>
                <w:color w:val="auto"/>
              </w:rPr>
            </w:pPr>
          </w:p>
        </w:tc>
        <w:tc>
          <w:tcPr>
            <w:tcW w:w="140" w:type="dxa"/>
            <w:vAlign w:val="bottom"/>
            <w:tcBorders>
              <w:top w:val="single" w:sz="8" w:color="D5EEEE"/>
            </w:tcBorders>
          </w:tcPr>
          <w:p>
            <w:pPr>
              <w:spacing w:after="0"/>
              <w:rPr>
                <w:sz w:val="18"/>
                <w:szCs w:val="18"/>
                <w:color w:val="auto"/>
              </w:rPr>
            </w:pPr>
          </w:p>
        </w:tc>
        <w:tc>
          <w:tcPr>
            <w:tcW w:w="20" w:type="dxa"/>
            <w:vAlign w:val="bottom"/>
            <w:tcBorders>
              <w:top w:val="single" w:sz="8" w:color="D5EEEE"/>
            </w:tcBorders>
          </w:tcPr>
          <w:p>
            <w:pPr>
              <w:spacing w:after="0"/>
              <w:rPr>
                <w:sz w:val="18"/>
                <w:szCs w:val="18"/>
                <w:color w:val="auto"/>
              </w:rPr>
            </w:pPr>
          </w:p>
        </w:tc>
        <w:tc>
          <w:tcPr>
            <w:tcW w:w="100" w:type="dxa"/>
            <w:vAlign w:val="bottom"/>
            <w:tcBorders>
              <w:top w:val="single" w:sz="8" w:color="D5EEEE"/>
            </w:tcBorders>
          </w:tcPr>
          <w:p>
            <w:pPr>
              <w:spacing w:after="0"/>
              <w:rPr>
                <w:sz w:val="18"/>
                <w:szCs w:val="18"/>
                <w:color w:val="auto"/>
              </w:rPr>
            </w:pPr>
          </w:p>
        </w:tc>
        <w:tc>
          <w:tcPr>
            <w:tcW w:w="20" w:type="dxa"/>
            <w:vAlign w:val="bottom"/>
            <w:tcBorders>
              <w:top w:val="single" w:sz="8" w:color="D5EEEE"/>
              <w:bottom w:val="single" w:sz="8" w:color="auto"/>
            </w:tcBorders>
          </w:tcPr>
          <w:p>
            <w:pPr>
              <w:spacing w:after="0"/>
              <w:rPr>
                <w:sz w:val="18"/>
                <w:szCs w:val="18"/>
                <w:color w:val="auto"/>
              </w:rPr>
            </w:pPr>
          </w:p>
        </w:tc>
        <w:tc>
          <w:tcPr>
            <w:tcW w:w="1100" w:type="dxa"/>
            <w:vAlign w:val="bottom"/>
            <w:tcBorders>
              <w:top w:val="single" w:sz="8" w:color="D5EEEE"/>
              <w:bottom w:val="single" w:sz="8" w:color="auto"/>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19,692</w:t>
            </w:r>
          </w:p>
        </w:tc>
        <w:tc>
          <w:tcPr>
            <w:tcW w:w="20" w:type="dxa"/>
            <w:vAlign w:val="bottom"/>
            <w:tcBorders>
              <w:top w:val="single" w:sz="8" w:color="D5EEEE"/>
              <w:bottom w:val="single" w:sz="8" w:color="auto"/>
            </w:tcBorders>
          </w:tcPr>
          <w:p>
            <w:pPr>
              <w:spacing w:after="0"/>
              <w:rPr>
                <w:sz w:val="18"/>
                <w:szCs w:val="18"/>
                <w:color w:val="auto"/>
              </w:rPr>
            </w:pPr>
          </w:p>
        </w:tc>
        <w:tc>
          <w:tcPr>
            <w:tcW w:w="80" w:type="dxa"/>
            <w:vAlign w:val="bottom"/>
            <w:tcBorders>
              <w:top w:val="single" w:sz="8" w:color="D5EEEE"/>
            </w:tcBorders>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equivalents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51,112</w:t>
            </w:r>
          </w:p>
        </w:tc>
        <w:tc>
          <w:tcPr>
            <w:tcW w:w="20" w:type="dxa"/>
            <w:vAlign w:val="bottom"/>
          </w:tcPr>
          <w:p>
            <w:pPr>
              <w:spacing w:after="0"/>
              <w:rPr>
                <w:sz w:val="19"/>
                <w:szCs w:val="19"/>
                <w:color w:val="auto"/>
              </w:rPr>
            </w:pPr>
          </w:p>
        </w:tc>
        <w:tc>
          <w:tcPr>
            <w:tcW w:w="80" w:type="dxa"/>
            <w:vAlign w:val="bottom"/>
            <w:vMerge w:val="restart"/>
          </w:tcPr>
          <w:p>
            <w:pPr>
              <w:spacing w:after="0"/>
              <w:rPr>
                <w:sz w:val="19"/>
                <w:szCs w:val="19"/>
                <w:color w:val="auto"/>
              </w:rPr>
            </w:pPr>
          </w:p>
        </w:tc>
        <w:tc>
          <w:tcPr>
            <w:tcW w:w="1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49,341</w:t>
            </w:r>
          </w:p>
        </w:tc>
        <w:tc>
          <w:tcPr>
            <w:tcW w:w="2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1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0" w:type="dxa"/>
            <w:vAlign w:val="bottom"/>
            <w:vMerge w:val="restart"/>
          </w:tcPr>
          <w:p>
            <w:pPr>
              <w:spacing w:after="0"/>
              <w:rPr>
                <w:sz w:val="19"/>
                <w:szCs w:val="19"/>
                <w:color w:val="auto"/>
              </w:rPr>
            </w:pPr>
          </w:p>
        </w:tc>
        <w:tc>
          <w:tcPr>
            <w:tcW w:w="1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100,453</w:t>
            </w:r>
          </w:p>
        </w:tc>
        <w:tc>
          <w:tcPr>
            <w:tcW w:w="20" w:type="dxa"/>
            <w:vAlign w:val="bottom"/>
            <w:vMerge w:val="restart"/>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0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highlight w:val="white"/>
                <w:w w:val="79"/>
              </w:rPr>
              <w:t>$</w:t>
            </w:r>
          </w:p>
        </w:tc>
        <w:tc>
          <w:tcPr>
            <w:tcW w:w="20" w:type="dxa"/>
            <w:vAlign w:val="bottom"/>
            <w:vMerge w:val="continue"/>
          </w:tcPr>
          <w:p>
            <w:pPr>
              <w:spacing w:after="0"/>
              <w:rPr>
                <w:sz w:val="20"/>
                <w:szCs w:val="20"/>
                <w:color w:val="auto"/>
              </w:rPr>
            </w:pPr>
          </w:p>
        </w:tc>
        <w:tc>
          <w:tcPr>
            <w:tcW w:w="13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highlight w:val="white"/>
                <w:w w:val="79"/>
              </w:rPr>
              <w:t>$</w:t>
            </w:r>
          </w:p>
        </w:tc>
        <w:tc>
          <w:tcPr>
            <w:tcW w:w="20" w:type="dxa"/>
            <w:vAlign w:val="bottom"/>
            <w:tcBorders>
              <w:bottom w:val="single" w:sz="8" w:color="auto"/>
            </w:tcBorders>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highlight w:val="white"/>
                <w:w w:val="79"/>
              </w:rPr>
              <w:t>$</w:t>
            </w:r>
          </w:p>
        </w:tc>
        <w:tc>
          <w:tcPr>
            <w:tcW w:w="20" w:type="dxa"/>
            <w:vAlign w:val="bottom"/>
            <w:tcBorders>
              <w:bottom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highlight w:val="white"/>
                <w:w w:val="79"/>
              </w:rPr>
              <w:t>$</w:t>
            </w:r>
          </w:p>
        </w:tc>
        <w:tc>
          <w:tcPr>
            <w:tcW w:w="20" w:type="dxa"/>
            <w:vAlign w:val="bottom"/>
            <w:tcBorders>
              <w:bottom w:val="single" w:sz="8" w:color="auto"/>
            </w:tcBorders>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-2204085</wp:posOffset>
            </wp:positionV>
            <wp:extent cx="6198870" cy="22358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98870" cy="223583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firstLine="490"/>
        <w:spacing w:after="0" w:line="233" w:lineRule="auto"/>
        <w:rPr>
          <w:sz w:val="20"/>
          <w:szCs w:val="20"/>
          <w:color w:val="auto"/>
        </w:rPr>
      </w:pPr>
      <w:r>
        <w:rPr>
          <w:rFonts w:ascii="Times New Roman" w:cs="Times New Roman" w:eastAsia="Times New Roman" w:hAnsi="Times New Roman"/>
          <w:sz w:val="20"/>
          <w:szCs w:val="20"/>
          <w:color w:val="auto"/>
        </w:rPr>
        <w:t>The Company’s Level 1 assets include money market instruments and are valued based upon observable market prices. Level 2 assets consist of commercial paper, asset back securities and corporate debt securities, U.S. Government Agency obligations and U.S Treasury securities. Level 2 securities are valued based upon observable inputs that include reported trades, broker/dealer quotes, bids and offers. As of December 31, 2022 and December 31, 2021, the Company had no investments that were measured using unobservable (Level 3) inputs. There were no transfers between fair value measurement levels during the year-ended December 31, 2022 and the transition period ended December 31, 2021. For the year-ended June 30, 2021, the Company did not have any marketable securities. Cash equivalents consist of money market funds and are classified as a Level 1.</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Leases</w:t>
      </w:r>
    </w:p>
    <w:p>
      <w:pPr>
        <w:spacing w:after="0" w:line="234" w:lineRule="exact"/>
        <w:rPr>
          <w:sz w:val="20"/>
          <w:szCs w:val="20"/>
          <w:color w:val="auto"/>
        </w:rPr>
      </w:pPr>
    </w:p>
    <w:p>
      <w:pPr>
        <w:ind w:right="100" w:firstLine="490"/>
        <w:spacing w:after="0" w:line="248" w:lineRule="auto"/>
        <w:rPr>
          <w:sz w:val="20"/>
          <w:szCs w:val="20"/>
          <w:color w:val="auto"/>
        </w:rPr>
      </w:pPr>
      <w:r>
        <w:rPr>
          <w:rFonts w:ascii="Times New Roman" w:cs="Times New Roman" w:eastAsia="Times New Roman" w:hAnsi="Times New Roman"/>
          <w:sz w:val="20"/>
          <w:szCs w:val="20"/>
          <w:color w:val="auto"/>
        </w:rPr>
        <w:t>During August 2021, the Company remeasured the lease liability for an office lease due to a change in the lease term. As a result of the remeasurement of the lease liability, there was an increase of approximately $392,000 to the operating lease ROU assets and operating lease liabilities. There was no impact on earnings as a result of the modification.</w:t>
      </w:r>
    </w:p>
    <w:p>
      <w:pPr>
        <w:spacing w:after="0" w:line="187" w:lineRule="exact"/>
        <w:rPr>
          <w:sz w:val="20"/>
          <w:szCs w:val="20"/>
          <w:color w:val="auto"/>
        </w:rPr>
      </w:pPr>
    </w:p>
    <w:p>
      <w:pPr>
        <w:ind w:right="620" w:firstLine="490"/>
        <w:spacing w:after="0" w:line="269" w:lineRule="auto"/>
        <w:rPr>
          <w:sz w:val="20"/>
          <w:szCs w:val="20"/>
          <w:color w:val="auto"/>
        </w:rPr>
      </w:pPr>
      <w:r>
        <w:rPr>
          <w:rFonts w:ascii="Times New Roman" w:cs="Times New Roman" w:eastAsia="Times New Roman" w:hAnsi="Times New Roman"/>
          <w:sz w:val="20"/>
          <w:szCs w:val="20"/>
          <w:color w:val="auto"/>
        </w:rPr>
        <w:t>The following table sets forth the Company’s operating lease expenses which are included in general and administrative expenses in the Consolidated Statements of Operations (in thousands):</w:t>
      </w:r>
    </w:p>
    <w:p>
      <w:pPr>
        <w:sectPr>
          <w:pgSz w:w="11880" w:h="15480" w:orient="portrait"/>
          <w:cols w:equalWidth="0" w:num="1">
            <w:col w:w="10720"/>
          </w:cols>
          <w:pgMar w:left="540" w:top="1160" w:right="620" w:bottom="5" w:gutter="0" w:footer="0" w:header="0"/>
        </w:sectPr>
      </w:pPr>
    </w:p>
    <w:p>
      <w:pPr>
        <w:spacing w:after="0" w:line="170" w:lineRule="exact"/>
        <w:rPr>
          <w:sz w:val="20"/>
          <w:szCs w:val="20"/>
          <w:color w:val="auto"/>
        </w:rPr>
      </w:pPr>
    </w:p>
    <w:tbl>
      <w:tblPr>
        <w:tblLayout w:type="fixed"/>
        <w:tblInd w:w="6160" w:type="dxa"/>
        <w:tblCellMar>
          <w:top w:w="0" w:type="dxa"/>
          <w:left w:w="0" w:type="dxa"/>
          <w:bottom w:w="0" w:type="dxa"/>
          <w:right w:w="0" w:type="dxa"/>
        </w:tblCellMar>
      </w:tblPr>
      <w:tr>
        <w:trPr>
          <w:trHeight w:val="185"/>
        </w:trPr>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w w:val="99"/>
              </w:rPr>
              <w:t>Transition</w:t>
            </w:r>
          </w:p>
        </w:tc>
      </w:tr>
      <w:tr>
        <w:trPr>
          <w:trHeight w:val="205"/>
        </w:trPr>
        <w:tc>
          <w:tcPr>
            <w:tcW w:w="120" w:type="dxa"/>
            <w:vAlign w:val="bottom"/>
          </w:tcPr>
          <w:p>
            <w:pPr>
              <w:spacing w:after="0"/>
              <w:rPr>
                <w:sz w:val="17"/>
                <w:szCs w:val="17"/>
                <w:color w:val="auto"/>
              </w:rPr>
            </w:pPr>
          </w:p>
        </w:tc>
        <w:tc>
          <w:tcPr>
            <w:tcW w:w="1120" w:type="dxa"/>
            <w:vAlign w:val="bottom"/>
          </w:tcPr>
          <w:p>
            <w:pPr>
              <w:jc w:val="center"/>
              <w:ind w:right="148"/>
              <w:spacing w:after="0"/>
              <w:rPr>
                <w:sz w:val="20"/>
                <w:szCs w:val="20"/>
                <w:color w:val="auto"/>
              </w:rPr>
            </w:pPr>
            <w:r>
              <w:rPr>
                <w:rFonts w:ascii="Times New Roman" w:cs="Times New Roman" w:eastAsia="Times New Roman" w:hAnsi="Times New Roman"/>
                <w:sz w:val="16"/>
                <w:szCs w:val="16"/>
                <w:b w:val="1"/>
                <w:bCs w:val="1"/>
                <w:color w:val="auto"/>
              </w:rPr>
              <w:t>Year-Ended</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6"/>
                <w:szCs w:val="16"/>
                <w:b w:val="1"/>
                <w:bCs w:val="1"/>
                <w:color w:val="auto"/>
              </w:rPr>
              <w:t>Period Ended</w:t>
            </w:r>
          </w:p>
        </w:tc>
      </w:tr>
      <w:tr>
        <w:trPr>
          <w:trHeight w:val="182"/>
        </w:trPr>
        <w:tc>
          <w:tcPr>
            <w:tcW w:w="1240" w:type="dxa"/>
            <w:vAlign w:val="bottom"/>
            <w:gridSpan w:val="2"/>
          </w:tcPr>
          <w:p>
            <w:pPr>
              <w:jc w:val="center"/>
              <w:ind w:right="8"/>
              <w:spacing w:after="0" w:line="18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40" w:type="dxa"/>
            <w:vAlign w:val="bottom"/>
            <w:gridSpan w:val="2"/>
          </w:tcPr>
          <w:p>
            <w:pPr>
              <w:jc w:val="center"/>
              <w:ind w:left="30"/>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3"/>
        </w:trPr>
        <w:tc>
          <w:tcPr>
            <w:tcW w:w="120" w:type="dxa"/>
            <w:vAlign w:val="bottom"/>
          </w:tcPr>
          <w:p>
            <w:pPr>
              <w:spacing w:after="0"/>
              <w:rPr>
                <w:sz w:val="17"/>
                <w:szCs w:val="17"/>
                <w:color w:val="auto"/>
              </w:rPr>
            </w:pPr>
          </w:p>
        </w:tc>
        <w:tc>
          <w:tcPr>
            <w:tcW w:w="1120" w:type="dxa"/>
            <w:vAlign w:val="bottom"/>
          </w:tcPr>
          <w:p>
            <w:pPr>
              <w:jc w:val="center"/>
              <w:ind w:right="148"/>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60" w:type="dxa"/>
            <w:vAlign w:val="bottom"/>
          </w:tcPr>
          <w:p>
            <w:pPr>
              <w:spacing w:after="0"/>
              <w:rPr>
                <w:sz w:val="17"/>
                <w:szCs w:val="17"/>
                <w:color w:val="auto"/>
              </w:rPr>
            </w:pPr>
          </w:p>
        </w:tc>
        <w:tc>
          <w:tcPr>
            <w:tcW w:w="98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45"/>
        </w:trPr>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20"/>
                <w:szCs w:val="20"/>
                <w:color w:val="auto"/>
              </w:rPr>
              <w:t>775</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w:t>
            </w:r>
          </w:p>
        </w:tc>
      </w:tr>
      <w:tr>
        <w:trPr>
          <w:trHeight w:val="252"/>
        </w:trPr>
        <w:tc>
          <w:tcPr>
            <w:tcW w:w="1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20"/>
                <w:szCs w:val="20"/>
                <w:color w:val="auto"/>
              </w:rPr>
              <w:t>51</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67"/>
        </w:trPr>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20"/>
                <w:szCs w:val="20"/>
                <w:color w:val="auto"/>
              </w:rPr>
              <w:t>826</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shd w:val="clear" w:color="auto" w:fill="D5EEEE"/>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3912870</wp:posOffset>
            </wp:positionH>
            <wp:positionV relativeFrom="paragraph">
              <wp:posOffset>-729615</wp:posOffset>
            </wp:positionV>
            <wp:extent cx="720725" cy="4763"/>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725" cy="4763"/>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-496570</wp:posOffset>
            </wp:positionV>
            <wp:extent cx="6189980" cy="527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89980" cy="527050"/>
                    </a:xfrm>
                    <a:prstGeom prst="rect">
                      <a:avLst/>
                    </a:prstGeom>
                    <a:noFill/>
                  </pic:spPr>
                </pic:pic>
              </a:graphicData>
            </a:graphic>
          </wp:anchor>
        </w:drawing>
      </w:r>
    </w:p>
    <w:p>
      <w:pPr>
        <w:spacing w:after="0" w:line="2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Supplemental cash flow information related to operating leases was as follows (in thousands):</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6"/>
          <w:szCs w:val="16"/>
          <w:b w:val="1"/>
          <w:bCs w:val="1"/>
          <w:color w:val="auto"/>
        </w:rPr>
        <w:t>Year-Ended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0</wp:posOffset>
            </wp:positionV>
            <wp:extent cx="1837055"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37055" cy="37465"/>
                    </a:xfrm>
                    <a:prstGeom prst="rect">
                      <a:avLst/>
                    </a:prstGeom>
                    <a:noFill/>
                  </pic:spPr>
                </pic:pic>
              </a:graphicData>
            </a:graphic>
          </wp:anchor>
        </w:drawing>
      </w:r>
    </w:p>
    <w:p>
      <w:pPr>
        <w:spacing w:after="0" w:line="92" w:lineRule="exact"/>
        <w:rPr>
          <w:sz w:val="20"/>
          <w:szCs w:val="20"/>
          <w:color w:val="auto"/>
        </w:rPr>
      </w:pPr>
    </w:p>
    <w:p>
      <w:pPr>
        <w:ind w:left="183"/>
        <w:spacing w:after="0"/>
        <w:rPr>
          <w:sz w:val="20"/>
          <w:szCs w:val="20"/>
          <w:color w:val="auto"/>
        </w:rPr>
      </w:pPr>
      <w:r>
        <w:rPr>
          <w:rFonts w:ascii="Times New Roman" w:cs="Times New Roman" w:eastAsia="Times New Roman" w:hAnsi="Times New Roman"/>
          <w:sz w:val="16"/>
          <w:szCs w:val="16"/>
          <w:b w:val="1"/>
          <w:bCs w:val="1"/>
          <w:color w:val="auto"/>
        </w:rPr>
        <w:t>June 30, 2021</w:t>
      </w:r>
    </w:p>
    <w:p>
      <w:pPr>
        <w:spacing w:after="0" w:line="110" w:lineRule="exact"/>
        <w:rPr>
          <w:sz w:val="20"/>
          <w:szCs w:val="20"/>
          <w:color w:val="auto"/>
        </w:rPr>
      </w:pPr>
    </w:p>
    <w:p>
      <w:pPr>
        <w:ind w:left="983" w:hanging="983"/>
        <w:spacing w:after="0"/>
        <w:tabs>
          <w:tab w:leader="none" w:pos="983" w:val="left"/>
        </w:tabs>
        <w:numPr>
          <w:ilvl w:val="0"/>
          <w:numId w:val="46"/>
        </w:numPr>
        <w:rPr>
          <w:rFonts w:ascii="Times New Roman" w:cs="Times New Roman" w:eastAsia="Times New Roman" w:hAnsi="Times New Roman"/>
          <w:sz w:val="20"/>
          <w:szCs w:val="20"/>
          <w:color w:val="auto"/>
          <w:shd w:val="clear" w:color="auto" w:fill="D5EEEE"/>
        </w:rPr>
      </w:pPr>
      <w:r>
        <w:rPr>
          <w:rFonts w:ascii="Times New Roman" w:cs="Times New Roman" w:eastAsia="Times New Roman" w:hAnsi="Times New Roman"/>
          <w:sz w:val="20"/>
          <w:szCs w:val="20"/>
          <w:color w:val="auto"/>
        </w:rPr>
        <w:t>731</w:t>
      </w:r>
    </w:p>
    <w:p>
      <w:pPr>
        <w:spacing w:after="0" w:line="14" w:lineRule="exact"/>
        <w:rPr>
          <w:rFonts w:ascii="Times New Roman" w:cs="Times New Roman" w:eastAsia="Times New Roman" w:hAnsi="Times New Roman"/>
          <w:sz w:val="20"/>
          <w:szCs w:val="20"/>
          <w:color w:val="auto"/>
          <w:shd w:val="clear" w:color="auto" w:fill="D5EEEE"/>
        </w:rPr>
      </w:pPr>
    </w:p>
    <w:p>
      <w:pPr>
        <w:ind w:left="1083"/>
        <w:spacing w:after="0"/>
        <w:rPr>
          <w:rFonts w:ascii="Times New Roman" w:cs="Times New Roman" w:eastAsia="Times New Roman" w:hAnsi="Times New Roman"/>
          <w:sz w:val="20"/>
          <w:szCs w:val="20"/>
          <w:color w:val="auto"/>
          <w:shd w:val="clear" w:color="auto" w:fill="D5EEEE"/>
        </w:rPr>
      </w:pPr>
      <w:r>
        <w:rPr>
          <w:rFonts w:ascii="Times New Roman" w:cs="Times New Roman" w:eastAsia="Times New Roman" w:hAnsi="Times New Roman"/>
          <w:sz w:val="15"/>
          <w:szCs w:val="15"/>
          <w:color w:val="auto"/>
        </w:rPr>
        <w:t>48</w:t>
      </w:r>
      <w:r>
        <w:rPr>
          <w:rFonts w:ascii="Times New Roman" w:cs="Times New Roman" w:eastAsia="Times New Roman" w:hAnsi="Times New Roman"/>
          <w:sz w:val="1"/>
          <w:szCs w:val="1"/>
          <w:color w:val="auto"/>
          <w:shd w:val="clear" w:color="auto" w:fill="D5EEEE"/>
        </w:rPr>
        <w:drawing>
          <wp:inline distT="0" distB="0" distL="0" distR="0">
            <wp:extent cx="57785" cy="13335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785" cy="133350"/>
                    </a:xfrm>
                    <a:prstGeom prst="rect">
                      <a:avLst/>
                    </a:prstGeom>
                    <a:noFill/>
                    <a:ln>
                      <a:noFill/>
                    </a:ln>
                  </pic:spPr>
                </pic:pic>
              </a:graphicData>
            </a:graphic>
          </wp:inline>
        </w:drawing>
      </w:r>
    </w:p>
    <w:p>
      <w:pPr>
        <w:spacing w:after="0" w:line="10" w:lineRule="exact"/>
        <w:rPr>
          <w:sz w:val="20"/>
          <w:szCs w:val="20"/>
          <w:color w:val="auto"/>
        </w:rPr>
      </w:pPr>
    </w:p>
    <w:p>
      <w:pPr>
        <w:ind w:left="983" w:hanging="983"/>
        <w:spacing w:after="0"/>
        <w:tabs>
          <w:tab w:leader="none" w:pos="983" w:val="left"/>
        </w:tabs>
        <w:numPr>
          <w:ilvl w:val="0"/>
          <w:numId w:val="47"/>
        </w:numPr>
        <w:rPr>
          <w:rFonts w:ascii="Times New Roman" w:cs="Times New Roman" w:eastAsia="Times New Roman" w:hAnsi="Times New Roman"/>
          <w:sz w:val="20"/>
          <w:szCs w:val="20"/>
          <w:u w:val="single" w:color="auto"/>
          <w:color w:val="auto"/>
          <w:shd w:val="clear" w:color="auto" w:fill="D5EEEE"/>
        </w:rPr>
      </w:pPr>
      <w:r>
        <w:rPr>
          <w:rFonts w:ascii="Times New Roman" w:cs="Times New Roman" w:eastAsia="Times New Roman" w:hAnsi="Times New Roman"/>
          <w:sz w:val="20"/>
          <w:szCs w:val="20"/>
          <w:color w:val="auto"/>
        </w:rPr>
        <w:t>779</w:t>
      </w:r>
    </w:p>
    <w:p>
      <w:pPr>
        <w:spacing w:after="0" w:line="737" w:lineRule="exact"/>
        <w:rPr>
          <w:sz w:val="20"/>
          <w:szCs w:val="20"/>
          <w:color w:val="auto"/>
        </w:rPr>
      </w:pPr>
    </w:p>
    <w:p>
      <w:pPr>
        <w:sectPr>
          <w:pgSz w:w="11880" w:h="15480" w:orient="portrait"/>
          <w:cols w:equalWidth="0" w:num="2">
            <w:col w:w="8640" w:space="237"/>
            <w:col w:w="1843"/>
          </w:cols>
          <w:pgMar w:left="540" w:top="1160" w:right="620" w:bottom="5" w:gutter="0" w:footer="0" w:header="0"/>
          <w:type w:val="continuous"/>
        </w:sectPr>
      </w:pPr>
    </w:p>
    <w:p>
      <w:pPr>
        <w:spacing w:after="0" w:line="47" w:lineRule="exact"/>
        <w:rPr>
          <w:sz w:val="20"/>
          <w:szCs w:val="20"/>
          <w:color w:val="auto"/>
        </w:rPr>
      </w:pPr>
    </w:p>
    <w:tbl>
      <w:tblPr>
        <w:tblLayout w:type="fixed"/>
        <w:tblInd w:w="540" w:type="dxa"/>
        <w:tblCellMar>
          <w:top w:w="0" w:type="dxa"/>
          <w:left w:w="0" w:type="dxa"/>
          <w:bottom w:w="0" w:type="dxa"/>
          <w:right w:w="0" w:type="dxa"/>
        </w:tblCellMar>
      </w:tblPr>
      <w:tr>
        <w:trPr>
          <w:trHeight w:val="185"/>
        </w:trPr>
        <w:tc>
          <w:tcPr>
            <w:tcW w:w="5490" w:type="dxa"/>
            <w:vAlign w:val="bottom"/>
          </w:tcPr>
          <w:p>
            <w:pPr>
              <w:spacing w:after="0"/>
              <w:rPr>
                <w:sz w:val="16"/>
                <w:szCs w:val="16"/>
                <w:color w:val="auto"/>
              </w:rPr>
            </w:pPr>
          </w:p>
        </w:tc>
        <w:tc>
          <w:tcPr>
            <w:tcW w:w="15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9"/>
              </w:rPr>
              <w:t>Transition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9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rPr>
              <w:t>Year-Ended</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Period 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Year-Ended</w:t>
            </w:r>
          </w:p>
        </w:tc>
        <w:tc>
          <w:tcPr>
            <w:tcW w:w="0" w:type="dxa"/>
            <w:vAlign w:val="bottom"/>
          </w:tcPr>
          <w:p>
            <w:pPr>
              <w:spacing w:after="0"/>
              <w:rPr>
                <w:sz w:val="1"/>
                <w:szCs w:val="1"/>
                <w:color w:val="auto"/>
              </w:rPr>
            </w:pPr>
          </w:p>
        </w:tc>
      </w:tr>
      <w:tr>
        <w:trPr>
          <w:trHeight w:val="165"/>
        </w:trPr>
        <w:tc>
          <w:tcPr>
            <w:tcW w:w="549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1120" w:type="dxa"/>
            <w:vAlign w:val="bottom"/>
            <w:gridSpan w:val="3"/>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0" w:type="dxa"/>
            <w:vAlign w:val="bottom"/>
          </w:tcPr>
          <w:p>
            <w:pPr>
              <w:spacing w:after="0"/>
              <w:rPr>
                <w:sz w:val="1"/>
                <w:szCs w:val="1"/>
                <w:color w:val="auto"/>
              </w:rPr>
            </w:pPr>
          </w:p>
        </w:tc>
      </w:tr>
      <w:tr>
        <w:trPr>
          <w:trHeight w:val="128"/>
        </w:trPr>
        <w:tc>
          <w:tcPr>
            <w:tcW w:w="5490" w:type="dxa"/>
            <w:vAlign w:val="bottom"/>
          </w:tcPr>
          <w:p>
            <w:pPr>
              <w:spacing w:after="0"/>
              <w:rPr>
                <w:sz w:val="11"/>
                <w:szCs w:val="11"/>
                <w:color w:val="auto"/>
              </w:rPr>
            </w:pPr>
          </w:p>
        </w:tc>
        <w:tc>
          <w:tcPr>
            <w:tcW w:w="15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5490" w:type="dxa"/>
            <w:vAlign w:val="bottom"/>
            <w:tcBorders>
              <w:bottom w:val="single" w:sz="8" w:color="D5EEEE"/>
            </w:tcBorders>
          </w:tcPr>
          <w:p>
            <w:pPr>
              <w:spacing w:after="0"/>
              <w:rPr>
                <w:sz w:val="6"/>
                <w:szCs w:val="6"/>
                <w:color w:val="auto"/>
              </w:rPr>
            </w:pPr>
          </w:p>
        </w:tc>
        <w:tc>
          <w:tcPr>
            <w:tcW w:w="150" w:type="dxa"/>
            <w:vAlign w:val="bottom"/>
            <w:tcBorders>
              <w:bottom w:val="single" w:sz="8" w:color="D5EEEE"/>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gridSpan w:val="2"/>
            <w:vMerge w:val="continue"/>
          </w:tcPr>
          <w:p>
            <w:pPr>
              <w:spacing w:after="0"/>
              <w:rPr>
                <w:sz w:val="6"/>
                <w:szCs w:val="6"/>
                <w:color w:val="auto"/>
              </w:rPr>
            </w:pPr>
          </w:p>
        </w:tc>
        <w:tc>
          <w:tcPr>
            <w:tcW w:w="100" w:type="dxa"/>
            <w:vAlign w:val="bottom"/>
            <w:tcBorders>
              <w:bottom w:val="single" w:sz="8" w:color="D5EEEE"/>
            </w:tcBorders>
          </w:tcPr>
          <w:p>
            <w:pPr>
              <w:spacing w:after="0"/>
              <w:rPr>
                <w:sz w:val="6"/>
                <w:szCs w:val="6"/>
                <w:color w:val="auto"/>
              </w:rPr>
            </w:pPr>
          </w:p>
        </w:tc>
        <w:tc>
          <w:tcPr>
            <w:tcW w:w="120" w:type="dxa"/>
            <w:vAlign w:val="bottom"/>
            <w:tcBorders>
              <w:bottom w:val="single" w:sz="8" w:color="D5EEEE"/>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60"/>
        </w:trPr>
        <w:tc>
          <w:tcPr>
            <w:tcW w:w="549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liabilities:</w:t>
            </w:r>
          </w:p>
        </w:tc>
        <w:tc>
          <w:tcPr>
            <w:tcW w:w="150" w:type="dxa"/>
            <w:vAlign w:val="bottom"/>
            <w:tcBorders>
              <w:right w:val="single" w:sz="8" w:color="D5EEEE"/>
            </w:tcBorders>
            <w:shd w:val="clear" w:color="auto" w:fill="D5EEE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49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Operating cash outflows from operating leases</w:t>
            </w:r>
          </w:p>
        </w:tc>
        <w:tc>
          <w:tcPr>
            <w:tcW w:w="15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5489575</wp:posOffset>
            </wp:positionH>
            <wp:positionV relativeFrom="paragraph">
              <wp:posOffset>-719455</wp:posOffset>
            </wp:positionV>
            <wp:extent cx="1026795"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6795" cy="37465"/>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-472440</wp:posOffset>
            </wp:positionV>
            <wp:extent cx="6198870" cy="4857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98870" cy="485775"/>
                    </a:xfrm>
                    <a:prstGeom prst="rect">
                      <a:avLst/>
                    </a:prstGeom>
                    <a:noFill/>
                  </pic:spPr>
                </pic:pic>
              </a:graphicData>
            </a:graphic>
          </wp:anchor>
        </w:drawing>
      </w:r>
    </w:p>
    <w:p>
      <w:pPr>
        <w:sectPr>
          <w:pgSz w:w="11880" w:h="15480" w:orient="portrait"/>
          <w:cols w:equalWidth="0" w:num="1">
            <w:col w:w="10720"/>
          </w:cols>
          <w:pgMar w:left="540" w:top="1160" w:right="620" w:bottom="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F-20</w:t>
      </w:r>
    </w:p>
    <w:p>
      <w:pPr>
        <w:sectPr>
          <w:pgSz w:w="11880" w:h="15480" w:orient="portrait"/>
          <w:cols w:equalWidth="0" w:num="1">
            <w:col w:w="10720"/>
          </w:cols>
          <w:pgMar w:left="540" w:top="1160" w:right="620" w:bottom="5" w:gutter="0" w:footer="0" w:header="0"/>
          <w:type w:val="continuous"/>
        </w:sectPr>
      </w:pPr>
    </w:p>
    <w:bookmarkStart w:id="86" w:name="page87"/>
    <w:bookmarkEnd w:id="86"/>
    <w:p>
      <w:pPr>
        <w:ind w:left="480"/>
        <w:spacing w:after="0"/>
        <w:rPr>
          <w:sz w:val="20"/>
          <w:szCs w:val="20"/>
          <w:color w:val="auto"/>
        </w:rPr>
      </w:pPr>
      <w:r>
        <w:rPr>
          <w:rFonts w:ascii="Times New Roman" w:cs="Times New Roman" w:eastAsia="Times New Roman" w:hAnsi="Times New Roman"/>
          <w:sz w:val="20"/>
          <w:szCs w:val="20"/>
          <w:color w:val="auto"/>
        </w:rPr>
        <w:t>Supplemental balance sheet information, related to operating leases was as follows (in thousands):</w:t>
      </w:r>
    </w:p>
    <w:p>
      <w:pPr>
        <w:spacing w:after="0" w:line="247" w:lineRule="exact"/>
        <w:rPr>
          <w:sz w:val="20"/>
          <w:szCs w:val="20"/>
          <w:color w:val="auto"/>
        </w:rPr>
      </w:pPr>
    </w:p>
    <w:tbl>
      <w:tblPr>
        <w:tblLayout w:type="fixed"/>
        <w:tblInd w:w="540" w:type="dxa"/>
        <w:tblCellMar>
          <w:top w:w="0" w:type="dxa"/>
          <w:left w:w="0" w:type="dxa"/>
          <w:bottom w:w="0" w:type="dxa"/>
          <w:right w:w="0" w:type="dxa"/>
        </w:tblCellMar>
      </w:tblPr>
      <w:tr>
        <w:trPr>
          <w:trHeight w:val="185"/>
        </w:trPr>
        <w:tc>
          <w:tcPr>
            <w:tcW w:w="5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4"/>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0" w:type="dxa"/>
            <w:vAlign w:val="bottom"/>
          </w:tcPr>
          <w:p>
            <w:pPr>
              <w:spacing w:after="0"/>
              <w:rPr>
                <w:sz w:val="1"/>
                <w:szCs w:val="1"/>
                <w:color w:val="auto"/>
              </w:rPr>
            </w:pPr>
          </w:p>
        </w:tc>
      </w:tr>
      <w:tr>
        <w:trPr>
          <w:trHeight w:val="91"/>
        </w:trPr>
        <w:tc>
          <w:tcPr>
            <w:tcW w:w="54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gridSpan w:val="5"/>
            <w:vMerge w:val="restart"/>
          </w:tcPr>
          <w:p>
            <w:pPr>
              <w:jc w:val="center"/>
              <w:ind w:right="80"/>
              <w:spacing w:after="0" w:line="182"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7"/>
                <w:szCs w:val="7"/>
                <w:color w:val="auto"/>
              </w:rPr>
            </w:pPr>
          </w:p>
        </w:tc>
        <w:tc>
          <w:tcPr>
            <w:tcW w:w="1360" w:type="dxa"/>
            <w:vAlign w:val="bottom"/>
            <w:gridSpan w:val="6"/>
            <w:vMerge w:val="restart"/>
          </w:tcPr>
          <w:p>
            <w:pPr>
              <w:jc w:val="center"/>
              <w:ind w:right="280"/>
              <w:spacing w:after="0" w:line="18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54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June 30, 2021</w:t>
            </w:r>
          </w:p>
        </w:tc>
        <w:tc>
          <w:tcPr>
            <w:tcW w:w="0" w:type="dxa"/>
            <w:vAlign w:val="bottom"/>
          </w:tcPr>
          <w:p>
            <w:pPr>
              <w:spacing w:after="0"/>
              <w:rPr>
                <w:sz w:val="1"/>
                <w:szCs w:val="1"/>
                <w:color w:val="auto"/>
              </w:rPr>
            </w:pPr>
          </w:p>
        </w:tc>
      </w:tr>
      <w:tr>
        <w:trPr>
          <w:trHeight w:val="131"/>
        </w:trPr>
        <w:tc>
          <w:tcPr>
            <w:tcW w:w="5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restart"/>
          </w:tcPr>
          <w:p>
            <w:pPr>
              <w:jc w:val="center"/>
              <w:ind w:right="25"/>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center"/>
              <w:ind w:right="3"/>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5440" w:type="dxa"/>
            <w:vAlign w:val="bottom"/>
            <w:tcBorders>
              <w:bottom w:val="single" w:sz="8" w:color="D5EEEE"/>
            </w:tcBorders>
          </w:tcPr>
          <w:p>
            <w:pPr>
              <w:spacing w:after="0"/>
              <w:rPr>
                <w:sz w:val="6"/>
                <w:szCs w:val="6"/>
                <w:color w:val="auto"/>
              </w:rPr>
            </w:pPr>
          </w:p>
        </w:tc>
        <w:tc>
          <w:tcPr>
            <w:tcW w:w="20" w:type="dxa"/>
            <w:vAlign w:val="bottom"/>
            <w:tcBorders>
              <w:bottom w:val="single" w:sz="8" w:color="D5EEEE"/>
            </w:tcBorders>
          </w:tcPr>
          <w:p>
            <w:pPr>
              <w:spacing w:after="0"/>
              <w:rPr>
                <w:sz w:val="6"/>
                <w:szCs w:val="6"/>
                <w:color w:val="auto"/>
              </w:rPr>
            </w:pPr>
          </w:p>
        </w:tc>
        <w:tc>
          <w:tcPr>
            <w:tcW w:w="80" w:type="dxa"/>
            <w:vAlign w:val="bottom"/>
            <w:tcBorders>
              <w:bottom w:val="single" w:sz="8" w:color="D5EEEE"/>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bottom w:val="single" w:sz="8" w:color="D5EEEE"/>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D5EEEE"/>
            </w:tcBorders>
          </w:tcPr>
          <w:p>
            <w:pPr>
              <w:spacing w:after="0"/>
              <w:rPr>
                <w:sz w:val="6"/>
                <w:szCs w:val="6"/>
                <w:color w:val="auto"/>
              </w:rPr>
            </w:pPr>
          </w:p>
        </w:tc>
        <w:tc>
          <w:tcPr>
            <w:tcW w:w="80" w:type="dxa"/>
            <w:vAlign w:val="bottom"/>
            <w:tcBorders>
              <w:bottom w:val="single" w:sz="8" w:color="D5EEEE"/>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D5EEEE"/>
            </w:tcBorders>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5440" w:type="dxa"/>
            <w:vAlign w:val="bottom"/>
            <w:shd w:val="clear" w:color="auto" w:fill="D5EEEE"/>
          </w:tcPr>
          <w:p>
            <w:pPr>
              <w:spacing w:after="0"/>
              <w:rPr>
                <w:sz w:val="20"/>
                <w:szCs w:val="20"/>
                <w:color w:val="auto"/>
              </w:rPr>
            </w:pPr>
          </w:p>
        </w:tc>
        <w:tc>
          <w:tcPr>
            <w:tcW w:w="2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10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vMerge w:val="restart"/>
          </w:tcPr>
          <w:p>
            <w:pPr>
              <w:spacing w:after="0"/>
              <w:rPr>
                <w:sz w:val="20"/>
                <w:szCs w:val="20"/>
                <w:color w:val="auto"/>
              </w:rPr>
            </w:pPr>
          </w:p>
        </w:tc>
        <w:tc>
          <w:tcPr>
            <w:tcW w:w="10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851</w:t>
            </w:r>
          </w:p>
        </w:tc>
        <w:tc>
          <w:tcPr>
            <w:tcW w:w="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1,544</w:t>
            </w:r>
          </w:p>
        </w:tc>
        <w:tc>
          <w:tcPr>
            <w:tcW w:w="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20" w:type="dxa"/>
            <w:vAlign w:val="bottom"/>
            <w:vMerge w:val="restart"/>
          </w:tcPr>
          <w:p>
            <w:pPr>
              <w:jc w:val="right"/>
              <w:ind w:right="5"/>
              <w:spacing w:after="0"/>
              <w:rPr>
                <w:sz w:val="20"/>
                <w:szCs w:val="20"/>
                <w:color w:val="auto"/>
              </w:rPr>
            </w:pPr>
            <w:r>
              <w:rPr>
                <w:rFonts w:ascii="Times New Roman" w:cs="Times New Roman" w:eastAsia="Times New Roman" w:hAnsi="Times New Roman"/>
                <w:sz w:val="20"/>
                <w:szCs w:val="20"/>
                <w:color w:val="auto"/>
              </w:rPr>
              <w:t>1,48</w:t>
            </w:r>
          </w:p>
        </w:tc>
        <w:tc>
          <w:tcPr>
            <w:tcW w:w="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5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1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auto"/>
            </w:tcBorders>
            <w:vMerge w:val="continue"/>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bottom w:val="single" w:sz="8" w:color="D5EEEE"/>
            </w:tcBorders>
            <w:vMerge w:val="continue"/>
          </w:tcPr>
          <w:p>
            <w:pPr>
              <w:spacing w:after="0"/>
              <w:rPr>
                <w:sz w:val="21"/>
                <w:szCs w:val="21"/>
                <w:color w:val="auto"/>
              </w:rPr>
            </w:pPr>
          </w:p>
        </w:tc>
        <w:tc>
          <w:tcPr>
            <w:tcW w:w="1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1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Borders>
              <w:bottom w:val="single" w:sz="8" w:color="auto"/>
            </w:tcBorders>
            <w:vMerge w:val="continue"/>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D5EEEE"/>
            </w:tcBorders>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544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D5EEEE"/>
            </w:tcBorders>
            <w:shd w:val="clear" w:color="auto" w:fill="D5EEEE"/>
          </w:tcPr>
          <w:p>
            <w:pPr>
              <w:spacing w:after="0"/>
              <w:rPr>
                <w:sz w:val="18"/>
                <w:szCs w:val="18"/>
                <w:color w:val="auto"/>
              </w:rPr>
            </w:pPr>
          </w:p>
        </w:tc>
        <w:tc>
          <w:tcPr>
            <w:tcW w:w="8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D5EEEE"/>
            </w:tcBorders>
            <w:shd w:val="clear" w:color="auto" w:fill="D5EEEE"/>
          </w:tcPr>
          <w:p>
            <w:pPr>
              <w:jc w:val="right"/>
              <w:spacing w:after="0" w:line="212"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Borders>
              <w:top w:val="single" w:sz="8" w:color="D5EEEE"/>
            </w:tcBorders>
          </w:tcPr>
          <w:p>
            <w:pPr>
              <w:spacing w:after="0"/>
              <w:rPr>
                <w:sz w:val="18"/>
                <w:szCs w:val="18"/>
                <w:color w:val="auto"/>
              </w:rPr>
            </w:pPr>
          </w:p>
        </w:tc>
        <w:tc>
          <w:tcPr>
            <w:tcW w:w="960" w:type="dxa"/>
            <w:vAlign w:val="bottom"/>
            <w:tcBorders>
              <w:top w:val="single" w:sz="8" w:color="D5EEEE"/>
            </w:tcBorders>
            <w:shd w:val="clear" w:color="auto" w:fill="D5EEEE"/>
          </w:tcPr>
          <w:p>
            <w:pPr>
              <w:jc w:val="right"/>
              <w:spacing w:after="0" w:line="212" w:lineRule="exact"/>
              <w:rPr>
                <w:sz w:val="20"/>
                <w:szCs w:val="20"/>
                <w:color w:val="auto"/>
              </w:rPr>
            </w:pPr>
            <w:r>
              <w:rPr>
                <w:rFonts w:ascii="Times New Roman" w:cs="Times New Roman" w:eastAsia="Times New Roman" w:hAnsi="Times New Roman"/>
                <w:sz w:val="20"/>
                <w:szCs w:val="20"/>
                <w:color w:val="auto"/>
              </w:rPr>
              <w:t>851</w:t>
            </w:r>
          </w:p>
        </w:tc>
        <w:tc>
          <w:tcPr>
            <w:tcW w:w="20" w:type="dxa"/>
            <w:vAlign w:val="bottom"/>
            <w:tcBorders>
              <w:top w:val="single" w:sz="8" w:color="D5EEEE"/>
            </w:tcBorders>
            <w:shd w:val="clear" w:color="auto" w:fill="D5EEEE"/>
          </w:tcPr>
          <w:p>
            <w:pPr>
              <w:spacing w:after="0"/>
              <w:rPr>
                <w:sz w:val="18"/>
                <w:szCs w:val="18"/>
                <w:color w:val="auto"/>
              </w:rPr>
            </w:pPr>
          </w:p>
        </w:tc>
        <w:tc>
          <w:tcPr>
            <w:tcW w:w="18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D5EEEE"/>
            </w:tcBorders>
          </w:tcPr>
          <w:p>
            <w:pPr>
              <w:spacing w:after="0"/>
              <w:rPr>
                <w:sz w:val="18"/>
                <w:szCs w:val="18"/>
                <w:color w:val="auto"/>
              </w:rPr>
            </w:pPr>
          </w:p>
        </w:tc>
        <w:tc>
          <w:tcPr>
            <w:tcW w:w="100" w:type="dxa"/>
            <w:vAlign w:val="bottom"/>
            <w:tcBorders>
              <w:top w:val="single" w:sz="8" w:color="D5EEEE"/>
            </w:tcBorders>
            <w:shd w:val="clear" w:color="auto" w:fill="D5EEEE"/>
          </w:tcPr>
          <w:p>
            <w:pPr>
              <w:jc w:val="right"/>
              <w:spacing w:after="0" w:line="212"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Borders>
              <w:top w:val="single" w:sz="8" w:color="D5EEEE"/>
            </w:tcBorders>
          </w:tcPr>
          <w:p>
            <w:pPr>
              <w:spacing w:after="0"/>
              <w:rPr>
                <w:sz w:val="18"/>
                <w:szCs w:val="18"/>
                <w:color w:val="auto"/>
              </w:rPr>
            </w:pPr>
          </w:p>
        </w:tc>
        <w:tc>
          <w:tcPr>
            <w:tcW w:w="960" w:type="dxa"/>
            <w:vAlign w:val="bottom"/>
            <w:tcBorders>
              <w:top w:val="single" w:sz="8" w:color="D5EEEE"/>
            </w:tcBorders>
            <w:shd w:val="clear" w:color="auto" w:fill="D5EEEE"/>
          </w:tcPr>
          <w:p>
            <w:pPr>
              <w:jc w:val="right"/>
              <w:spacing w:after="0" w:line="212" w:lineRule="exact"/>
              <w:rPr>
                <w:sz w:val="20"/>
                <w:szCs w:val="20"/>
                <w:color w:val="auto"/>
              </w:rPr>
            </w:pPr>
            <w:r>
              <w:rPr>
                <w:rFonts w:ascii="Times New Roman" w:cs="Times New Roman" w:eastAsia="Times New Roman" w:hAnsi="Times New Roman"/>
                <w:sz w:val="20"/>
                <w:szCs w:val="20"/>
                <w:color w:val="auto"/>
              </w:rPr>
              <w:t>1,544</w:t>
            </w:r>
          </w:p>
        </w:tc>
        <w:tc>
          <w:tcPr>
            <w:tcW w:w="20" w:type="dxa"/>
            <w:vAlign w:val="bottom"/>
            <w:tcBorders>
              <w:top w:val="single" w:sz="8" w:color="D5EEEE"/>
            </w:tcBorders>
            <w:shd w:val="clear" w:color="auto" w:fill="D5EEEE"/>
          </w:tcPr>
          <w:p>
            <w:pPr>
              <w:spacing w:after="0"/>
              <w:rPr>
                <w:sz w:val="18"/>
                <w:szCs w:val="18"/>
                <w:color w:val="auto"/>
              </w:rPr>
            </w:pPr>
          </w:p>
        </w:tc>
        <w:tc>
          <w:tcPr>
            <w:tcW w:w="180" w:type="dxa"/>
            <w:vAlign w:val="bottom"/>
            <w:tcBorders>
              <w:top w:val="single" w:sz="8" w:color="D5EEEE"/>
            </w:tcBorders>
            <w:shd w:val="clear" w:color="auto" w:fill="D5EEEE"/>
          </w:tcPr>
          <w:p>
            <w:pPr>
              <w:spacing w:after="0"/>
              <w:rPr>
                <w:sz w:val="18"/>
                <w:szCs w:val="18"/>
                <w:color w:val="auto"/>
              </w:rPr>
            </w:pPr>
          </w:p>
        </w:tc>
        <w:tc>
          <w:tcPr>
            <w:tcW w:w="80" w:type="dxa"/>
            <w:vAlign w:val="bottom"/>
            <w:tcBorders>
              <w:top w:val="single" w:sz="8" w:color="D5EEEE"/>
            </w:tcBorders>
          </w:tcPr>
          <w:p>
            <w:pPr>
              <w:spacing w:after="0"/>
              <w:rPr>
                <w:sz w:val="18"/>
                <w:szCs w:val="18"/>
                <w:color w:val="auto"/>
              </w:rPr>
            </w:pPr>
          </w:p>
        </w:tc>
        <w:tc>
          <w:tcPr>
            <w:tcW w:w="100" w:type="dxa"/>
            <w:vAlign w:val="bottom"/>
            <w:shd w:val="clear" w:color="auto" w:fill="D5EEEE"/>
          </w:tcPr>
          <w:p>
            <w:pPr>
              <w:jc w:val="right"/>
              <w:spacing w:after="0" w:line="212"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Pr>
          <w:p>
            <w:pPr>
              <w:spacing w:after="0"/>
              <w:rPr>
                <w:sz w:val="18"/>
                <w:szCs w:val="18"/>
                <w:color w:val="auto"/>
              </w:rPr>
            </w:pPr>
          </w:p>
        </w:tc>
        <w:tc>
          <w:tcPr>
            <w:tcW w:w="1120" w:type="dxa"/>
            <w:vAlign w:val="bottom"/>
            <w:tcBorders>
              <w:top w:val="single" w:sz="8" w:color="D5EEEE"/>
            </w:tcBorders>
            <w:shd w:val="clear" w:color="auto" w:fill="D5EEEE"/>
          </w:tcPr>
          <w:p>
            <w:pPr>
              <w:jc w:val="right"/>
              <w:ind w:right="5"/>
              <w:spacing w:after="0" w:line="212" w:lineRule="exact"/>
              <w:rPr>
                <w:sz w:val="20"/>
                <w:szCs w:val="20"/>
                <w:color w:val="auto"/>
              </w:rPr>
            </w:pPr>
            <w:r>
              <w:rPr>
                <w:rFonts w:ascii="Times New Roman" w:cs="Times New Roman" w:eastAsia="Times New Roman" w:hAnsi="Times New Roman"/>
                <w:sz w:val="20"/>
                <w:szCs w:val="20"/>
                <w:color w:val="auto"/>
              </w:rPr>
              <w:t>1,48</w:t>
            </w:r>
          </w:p>
        </w:tc>
        <w:tc>
          <w:tcPr>
            <w:tcW w:w="20" w:type="dxa"/>
            <w:vAlign w:val="bottom"/>
            <w:tcBorders>
              <w:top w:val="single" w:sz="8" w:color="D5EEEE"/>
            </w:tcBorders>
            <w:shd w:val="clear" w:color="auto" w:fill="D5EEEE"/>
          </w:tcPr>
          <w:p>
            <w:pPr>
              <w:spacing w:after="0"/>
              <w:rPr>
                <w:sz w:val="18"/>
                <w:szCs w:val="18"/>
                <w:color w:val="auto"/>
              </w:rPr>
            </w:pPr>
          </w:p>
        </w:tc>
        <w:tc>
          <w:tcPr>
            <w:tcW w:w="180" w:type="dxa"/>
            <w:vAlign w:val="bottom"/>
            <w:tcBorders>
              <w:top w:val="single" w:sz="8" w:color="D5EEEE"/>
            </w:tcBorders>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546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gridSpan w:val="2"/>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3"/>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gridSpan w:val="2"/>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p>
        </w:tc>
        <w:tc>
          <w:tcPr>
            <w:tcW w:w="18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1000" w:type="dxa"/>
            <w:vAlign w:val="bottom"/>
            <w:gridSpan w:val="3"/>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5440" w:type="dxa"/>
            <w:vAlign w:val="bottom"/>
            <w:tcBorders>
              <w:bottom w:val="single" w:sz="8" w:color="D5EEEE"/>
            </w:tcBorders>
          </w:tcPr>
          <w:p>
            <w:pPr>
              <w:spacing w:after="0"/>
              <w:rPr>
                <w:sz w:val="22"/>
                <w:szCs w:val="22"/>
                <w:color w:val="auto"/>
              </w:rPr>
            </w:pPr>
          </w:p>
        </w:tc>
        <w:tc>
          <w:tcPr>
            <w:tcW w:w="20" w:type="dxa"/>
            <w:vAlign w:val="bottom"/>
            <w:tcBorders>
              <w:bottom w:val="single" w:sz="8" w:color="D5EEEE"/>
            </w:tcBorders>
          </w:tcPr>
          <w:p>
            <w:pPr>
              <w:spacing w:after="0"/>
              <w:rPr>
                <w:sz w:val="22"/>
                <w:szCs w:val="22"/>
                <w:color w:val="auto"/>
              </w:rPr>
            </w:pPr>
          </w:p>
        </w:tc>
        <w:tc>
          <w:tcPr>
            <w:tcW w:w="80" w:type="dxa"/>
            <w:vAlign w:val="bottom"/>
            <w:tcBorders>
              <w:bottom w:val="single" w:sz="8" w:color="D5EEEE"/>
            </w:tcBorders>
          </w:tcPr>
          <w:p>
            <w:pPr>
              <w:spacing w:after="0"/>
              <w:rPr>
                <w:sz w:val="22"/>
                <w:szCs w:val="22"/>
                <w:color w:val="auto"/>
              </w:rPr>
            </w:pPr>
          </w:p>
        </w:tc>
        <w:tc>
          <w:tcPr>
            <w:tcW w:w="100" w:type="dxa"/>
            <w:vAlign w:val="bottom"/>
            <w:tcBorders>
              <w:bottom w:val="single" w:sz="8" w:color="D5EEEE"/>
            </w:tcBorders>
          </w:tcPr>
          <w:p>
            <w:pPr>
              <w:spacing w:after="0"/>
              <w:rPr>
                <w:sz w:val="22"/>
                <w:szCs w:val="22"/>
                <w:color w:val="auto"/>
              </w:rPr>
            </w:pPr>
          </w:p>
        </w:tc>
        <w:tc>
          <w:tcPr>
            <w:tcW w:w="20" w:type="dxa"/>
            <w:vAlign w:val="bottom"/>
            <w:tcBorders>
              <w:bottom w:val="single" w:sz="8" w:color="D5EEEE"/>
            </w:tcBorders>
          </w:tcPr>
          <w:p>
            <w:pPr>
              <w:spacing w:after="0"/>
              <w:rPr>
                <w:sz w:val="22"/>
                <w:szCs w:val="22"/>
                <w:color w:val="auto"/>
              </w:rPr>
            </w:pPr>
          </w:p>
        </w:tc>
        <w:tc>
          <w:tcPr>
            <w:tcW w:w="980" w:type="dxa"/>
            <w:vAlign w:val="bottom"/>
            <w:tcBorders>
              <w:bottom w:val="single" w:sz="8" w:color="D5EEEE"/>
            </w:tcBorders>
            <w:gridSpan w:val="2"/>
          </w:tcPr>
          <w:p>
            <w:pPr>
              <w:spacing w:after="0"/>
              <w:rPr>
                <w:sz w:val="22"/>
                <w:szCs w:val="22"/>
                <w:color w:val="auto"/>
              </w:rPr>
            </w:pPr>
          </w:p>
        </w:tc>
        <w:tc>
          <w:tcPr>
            <w:tcW w:w="180" w:type="dxa"/>
            <w:vAlign w:val="bottom"/>
            <w:tcBorders>
              <w:bottom w:val="single" w:sz="8" w:color="D5EEEE"/>
            </w:tcBorders>
          </w:tcPr>
          <w:p>
            <w:pPr>
              <w:spacing w:after="0"/>
              <w:rPr>
                <w:sz w:val="22"/>
                <w:szCs w:val="22"/>
                <w:color w:val="auto"/>
              </w:rPr>
            </w:pPr>
          </w:p>
        </w:tc>
        <w:tc>
          <w:tcPr>
            <w:tcW w:w="100" w:type="dxa"/>
            <w:vAlign w:val="bottom"/>
            <w:tcBorders>
              <w:bottom w:val="single" w:sz="8" w:color="D5EEEE"/>
            </w:tcBorders>
          </w:tcPr>
          <w:p>
            <w:pPr>
              <w:spacing w:after="0"/>
              <w:rPr>
                <w:sz w:val="22"/>
                <w:szCs w:val="22"/>
                <w:color w:val="auto"/>
              </w:rPr>
            </w:pPr>
          </w:p>
        </w:tc>
        <w:tc>
          <w:tcPr>
            <w:tcW w:w="100" w:type="dxa"/>
            <w:vAlign w:val="bottom"/>
            <w:tcBorders>
              <w:bottom w:val="single" w:sz="8" w:color="D5EEEE"/>
            </w:tcBorders>
          </w:tcPr>
          <w:p>
            <w:pPr>
              <w:spacing w:after="0"/>
              <w:rPr>
                <w:sz w:val="22"/>
                <w:szCs w:val="22"/>
                <w:color w:val="auto"/>
              </w:rPr>
            </w:pPr>
          </w:p>
        </w:tc>
        <w:tc>
          <w:tcPr>
            <w:tcW w:w="20" w:type="dxa"/>
            <w:vAlign w:val="bottom"/>
            <w:tcBorders>
              <w:bottom w:val="single" w:sz="8" w:color="D5EEEE"/>
            </w:tcBorders>
          </w:tcPr>
          <w:p>
            <w:pPr>
              <w:spacing w:after="0"/>
              <w:rPr>
                <w:sz w:val="22"/>
                <w:szCs w:val="22"/>
                <w:color w:val="auto"/>
              </w:rPr>
            </w:pPr>
          </w:p>
        </w:tc>
        <w:tc>
          <w:tcPr>
            <w:tcW w:w="980" w:type="dxa"/>
            <w:vAlign w:val="bottom"/>
            <w:tcBorders>
              <w:bottom w:val="single" w:sz="8" w:color="D5EEEE"/>
            </w:tcBorders>
            <w:gridSpan w:val="2"/>
          </w:tcPr>
          <w:p>
            <w:pPr>
              <w:spacing w:after="0"/>
              <w:rPr>
                <w:sz w:val="22"/>
                <w:szCs w:val="22"/>
                <w:color w:val="auto"/>
              </w:rPr>
            </w:pPr>
          </w:p>
        </w:tc>
        <w:tc>
          <w:tcPr>
            <w:tcW w:w="180" w:type="dxa"/>
            <w:vAlign w:val="bottom"/>
            <w:tcBorders>
              <w:bottom w:val="single" w:sz="8" w:color="D5EEEE"/>
            </w:tcBorders>
          </w:tcPr>
          <w:p>
            <w:pPr>
              <w:spacing w:after="0"/>
              <w:rPr>
                <w:sz w:val="22"/>
                <w:szCs w:val="22"/>
                <w:color w:val="auto"/>
              </w:rPr>
            </w:pPr>
          </w:p>
        </w:tc>
        <w:tc>
          <w:tcPr>
            <w:tcW w:w="80" w:type="dxa"/>
            <w:vAlign w:val="bottom"/>
            <w:tcBorders>
              <w:bottom w:val="single" w:sz="8" w:color="D5EEEE"/>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tcBorders>
              <w:bottom w:val="single" w:sz="8" w:color="D5EEEE"/>
            </w:tcBorders>
          </w:tcPr>
          <w:p>
            <w:pPr>
              <w:spacing w:after="0"/>
              <w:rPr>
                <w:sz w:val="22"/>
                <w:szCs w:val="22"/>
                <w:color w:val="auto"/>
              </w:rPr>
            </w:pPr>
          </w:p>
        </w:tc>
        <w:tc>
          <w:tcPr>
            <w:tcW w:w="20" w:type="dxa"/>
            <w:vAlign w:val="bottom"/>
            <w:tcBorders>
              <w:bottom w:val="single" w:sz="8" w:color="D5EEEE"/>
            </w:tcBorders>
          </w:tcPr>
          <w:p>
            <w:pPr>
              <w:spacing w:after="0"/>
              <w:rPr>
                <w:sz w:val="22"/>
                <w:szCs w:val="22"/>
                <w:color w:val="auto"/>
              </w:rPr>
            </w:pPr>
          </w:p>
        </w:tc>
        <w:tc>
          <w:tcPr>
            <w:tcW w:w="180" w:type="dxa"/>
            <w:vAlign w:val="bottom"/>
            <w:tcBorders>
              <w:bottom w:val="single" w:sz="8" w:color="D5EEEE"/>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5440" w:type="dxa"/>
            <w:vAlign w:val="bottom"/>
            <w:shd w:val="clear" w:color="auto" w:fill="D5EEEE"/>
          </w:tcPr>
          <w:p>
            <w:pPr>
              <w:spacing w:after="0"/>
              <w:rPr>
                <w:sz w:val="18"/>
                <w:szCs w:val="18"/>
                <w:color w:val="auto"/>
              </w:rPr>
            </w:pPr>
          </w:p>
        </w:tc>
        <w:tc>
          <w:tcPr>
            <w:tcW w:w="20" w:type="dxa"/>
            <w:vAlign w:val="bottom"/>
            <w:shd w:val="clear" w:color="auto" w:fill="D5EEEE"/>
          </w:tcPr>
          <w:p>
            <w:pPr>
              <w:spacing w:after="0"/>
              <w:rPr>
                <w:sz w:val="18"/>
                <w:szCs w:val="18"/>
                <w:color w:val="auto"/>
              </w:rPr>
            </w:pPr>
          </w:p>
        </w:tc>
        <w:tc>
          <w:tcPr>
            <w:tcW w:w="80" w:type="dxa"/>
            <w:vAlign w:val="bottom"/>
            <w:shd w:val="clear" w:color="auto" w:fill="D5EEEE"/>
          </w:tcPr>
          <w:p>
            <w:pPr>
              <w:spacing w:after="0"/>
              <w:rPr>
                <w:sz w:val="18"/>
                <w:szCs w:val="18"/>
                <w:color w:val="auto"/>
              </w:rPr>
            </w:pPr>
          </w:p>
        </w:tc>
        <w:tc>
          <w:tcPr>
            <w:tcW w:w="100" w:type="dxa"/>
            <w:vAlign w:val="bottom"/>
            <w:shd w:val="clear" w:color="auto" w:fill="D5EEEE"/>
          </w:tcPr>
          <w:p>
            <w:pPr>
              <w:jc w:val="right"/>
              <w:spacing w:after="0" w:line="207"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Pr>
          <w:p>
            <w:pPr>
              <w:spacing w:after="0"/>
              <w:rPr>
                <w:sz w:val="18"/>
                <w:szCs w:val="18"/>
                <w:color w:val="auto"/>
              </w:rPr>
            </w:pPr>
          </w:p>
        </w:tc>
        <w:tc>
          <w:tcPr>
            <w:tcW w:w="960" w:type="dxa"/>
            <w:vAlign w:val="bottom"/>
            <w:shd w:val="clear" w:color="auto" w:fill="D5EEEE"/>
          </w:tcPr>
          <w:p>
            <w:pPr>
              <w:jc w:val="right"/>
              <w:spacing w:after="0" w:line="207" w:lineRule="exact"/>
              <w:rPr>
                <w:sz w:val="20"/>
                <w:szCs w:val="20"/>
                <w:color w:val="auto"/>
              </w:rPr>
            </w:pPr>
            <w:r>
              <w:rPr>
                <w:rFonts w:ascii="Times New Roman" w:cs="Times New Roman" w:eastAsia="Times New Roman" w:hAnsi="Times New Roman"/>
                <w:sz w:val="20"/>
                <w:szCs w:val="20"/>
                <w:color w:val="auto"/>
              </w:rPr>
              <w:t>612</w:t>
            </w:r>
          </w:p>
        </w:tc>
        <w:tc>
          <w:tcPr>
            <w:tcW w:w="20" w:type="dxa"/>
            <w:vAlign w:val="bottom"/>
            <w:shd w:val="clear" w:color="auto" w:fill="D5EEEE"/>
          </w:tcPr>
          <w:p>
            <w:pPr>
              <w:spacing w:after="0"/>
              <w:rPr>
                <w:sz w:val="18"/>
                <w:szCs w:val="18"/>
                <w:color w:val="auto"/>
              </w:rPr>
            </w:pPr>
          </w:p>
        </w:tc>
        <w:tc>
          <w:tcPr>
            <w:tcW w:w="180" w:type="dxa"/>
            <w:vAlign w:val="bottom"/>
            <w:shd w:val="clear" w:color="auto" w:fill="D5EEE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shd w:val="clear" w:color="auto" w:fill="D5EEEE"/>
          </w:tcPr>
          <w:p>
            <w:pPr>
              <w:jc w:val="right"/>
              <w:spacing w:after="0" w:line="207"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Pr>
          <w:p>
            <w:pPr>
              <w:spacing w:after="0"/>
              <w:rPr>
                <w:sz w:val="18"/>
                <w:szCs w:val="18"/>
                <w:color w:val="auto"/>
              </w:rPr>
            </w:pPr>
          </w:p>
        </w:tc>
        <w:tc>
          <w:tcPr>
            <w:tcW w:w="960" w:type="dxa"/>
            <w:vAlign w:val="bottom"/>
            <w:shd w:val="clear" w:color="auto" w:fill="D5EEEE"/>
          </w:tcPr>
          <w:p>
            <w:pPr>
              <w:jc w:val="right"/>
              <w:spacing w:after="0" w:line="207" w:lineRule="exact"/>
              <w:rPr>
                <w:sz w:val="20"/>
                <w:szCs w:val="20"/>
                <w:color w:val="auto"/>
              </w:rPr>
            </w:pPr>
            <w:r>
              <w:rPr>
                <w:rFonts w:ascii="Times New Roman" w:cs="Times New Roman" w:eastAsia="Times New Roman" w:hAnsi="Times New Roman"/>
                <w:sz w:val="20"/>
                <w:szCs w:val="20"/>
                <w:color w:val="auto"/>
              </w:rPr>
              <w:t>720</w:t>
            </w:r>
          </w:p>
        </w:tc>
        <w:tc>
          <w:tcPr>
            <w:tcW w:w="20" w:type="dxa"/>
            <w:vAlign w:val="bottom"/>
            <w:shd w:val="clear" w:color="auto" w:fill="D5EEEE"/>
          </w:tcPr>
          <w:p>
            <w:pPr>
              <w:spacing w:after="0"/>
              <w:rPr>
                <w:sz w:val="18"/>
                <w:szCs w:val="18"/>
                <w:color w:val="auto"/>
              </w:rPr>
            </w:pPr>
          </w:p>
        </w:tc>
        <w:tc>
          <w:tcPr>
            <w:tcW w:w="180" w:type="dxa"/>
            <w:vAlign w:val="bottom"/>
            <w:shd w:val="clear" w:color="auto" w:fill="D5EEE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shd w:val="clear" w:color="auto" w:fill="D5EEEE"/>
          </w:tcPr>
          <w:p>
            <w:pPr>
              <w:jc w:val="right"/>
              <w:spacing w:after="0" w:line="207"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Pr>
          <w:p>
            <w:pPr>
              <w:spacing w:after="0"/>
              <w:rPr>
                <w:sz w:val="18"/>
                <w:szCs w:val="18"/>
                <w:color w:val="auto"/>
              </w:rPr>
            </w:pPr>
          </w:p>
        </w:tc>
        <w:tc>
          <w:tcPr>
            <w:tcW w:w="1120" w:type="dxa"/>
            <w:vAlign w:val="bottom"/>
            <w:shd w:val="clear" w:color="auto" w:fill="D5EEEE"/>
          </w:tcPr>
          <w:p>
            <w:pPr>
              <w:jc w:val="right"/>
              <w:ind w:right="5"/>
              <w:spacing w:after="0" w:line="207" w:lineRule="exact"/>
              <w:rPr>
                <w:sz w:val="20"/>
                <w:szCs w:val="20"/>
                <w:color w:val="auto"/>
              </w:rPr>
            </w:pPr>
            <w:r>
              <w:rPr>
                <w:rFonts w:ascii="Times New Roman" w:cs="Times New Roman" w:eastAsia="Times New Roman" w:hAnsi="Times New Roman"/>
                <w:sz w:val="20"/>
                <w:szCs w:val="20"/>
                <w:color w:val="auto"/>
              </w:rPr>
              <w:t>70</w:t>
            </w:r>
          </w:p>
        </w:tc>
        <w:tc>
          <w:tcPr>
            <w:tcW w:w="20" w:type="dxa"/>
            <w:vAlign w:val="bottom"/>
            <w:shd w:val="clear" w:color="auto" w:fill="D5EEEE"/>
          </w:tcPr>
          <w:p>
            <w:pPr>
              <w:spacing w:after="0"/>
              <w:rPr>
                <w:sz w:val="18"/>
                <w:szCs w:val="18"/>
                <w:color w:val="auto"/>
              </w:rPr>
            </w:pPr>
          </w:p>
        </w:tc>
        <w:tc>
          <w:tcPr>
            <w:tcW w:w="180" w:type="dxa"/>
            <w:vAlign w:val="bottom"/>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5440" w:type="dxa"/>
            <w:vAlign w:val="bottom"/>
            <w:tcBorders>
              <w:bottom w:val="single" w:sz="8" w:color="D5EEEE"/>
            </w:tcBorders>
          </w:tcPr>
          <w:p>
            <w:pPr>
              <w:spacing w:after="0"/>
              <w:rPr>
                <w:sz w:val="23"/>
                <w:szCs w:val="23"/>
                <w:color w:val="auto"/>
              </w:rPr>
            </w:pPr>
          </w:p>
        </w:tc>
        <w:tc>
          <w:tcPr>
            <w:tcW w:w="20" w:type="dxa"/>
            <w:vAlign w:val="bottom"/>
            <w:tcBorders>
              <w:bottom w:val="single" w:sz="8" w:color="D5EEEE"/>
            </w:tcBorders>
          </w:tcPr>
          <w:p>
            <w:pPr>
              <w:spacing w:after="0"/>
              <w:rPr>
                <w:sz w:val="23"/>
                <w:szCs w:val="23"/>
                <w:color w:val="auto"/>
              </w:rPr>
            </w:pPr>
          </w:p>
        </w:tc>
        <w:tc>
          <w:tcPr>
            <w:tcW w:w="80" w:type="dxa"/>
            <w:vAlign w:val="bottom"/>
            <w:tcBorders>
              <w:bottom w:val="single" w:sz="8" w:color="D5EEEE"/>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306</w:t>
            </w: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D5EEEE"/>
            </w:tcBorders>
          </w:tcPr>
          <w:p>
            <w:pPr>
              <w:spacing w:after="0"/>
              <w:rPr>
                <w:sz w:val="23"/>
                <w:szCs w:val="23"/>
                <w:color w:val="auto"/>
              </w:rPr>
            </w:pPr>
          </w:p>
        </w:tc>
        <w:tc>
          <w:tcPr>
            <w:tcW w:w="100" w:type="dxa"/>
            <w:vAlign w:val="bottom"/>
            <w:tcBorders>
              <w:bottom w:val="single" w:sz="8" w:color="D5EEEE"/>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918</w:t>
            </w: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D5EEEE"/>
            </w:tcBorders>
          </w:tcPr>
          <w:p>
            <w:pPr>
              <w:spacing w:after="0"/>
              <w:rPr>
                <w:sz w:val="23"/>
                <w:szCs w:val="23"/>
                <w:color w:val="auto"/>
              </w:rPr>
            </w:pPr>
          </w:p>
        </w:tc>
        <w:tc>
          <w:tcPr>
            <w:tcW w:w="80" w:type="dxa"/>
            <w:vAlign w:val="bottom"/>
            <w:tcBorders>
              <w:bottom w:val="single" w:sz="8" w:color="D5EEEE"/>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87</w:t>
            </w: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D5EEEE"/>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44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D5EEEE"/>
            </w:tcBorders>
            <w:shd w:val="clear" w:color="auto" w:fill="D5EEEE"/>
          </w:tcPr>
          <w:p>
            <w:pPr>
              <w:spacing w:after="0"/>
              <w:rPr>
                <w:sz w:val="18"/>
                <w:szCs w:val="18"/>
                <w:color w:val="auto"/>
              </w:rPr>
            </w:pPr>
          </w:p>
        </w:tc>
        <w:tc>
          <w:tcPr>
            <w:tcW w:w="8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D5EEEE"/>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Borders>
              <w:top w:val="single" w:sz="8" w:color="D5EEEE"/>
            </w:tcBorders>
          </w:tcPr>
          <w:p>
            <w:pPr>
              <w:spacing w:after="0"/>
              <w:rPr>
                <w:sz w:val="18"/>
                <w:szCs w:val="18"/>
                <w:color w:val="auto"/>
              </w:rPr>
            </w:pPr>
          </w:p>
        </w:tc>
        <w:tc>
          <w:tcPr>
            <w:tcW w:w="960" w:type="dxa"/>
            <w:vAlign w:val="bottom"/>
            <w:tcBorders>
              <w:top w:val="single" w:sz="8" w:color="D5EEEE"/>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rPr>
              <w:t>918</w:t>
            </w:r>
          </w:p>
        </w:tc>
        <w:tc>
          <w:tcPr>
            <w:tcW w:w="20" w:type="dxa"/>
            <w:vAlign w:val="bottom"/>
            <w:tcBorders>
              <w:top w:val="single" w:sz="8" w:color="D5EEEE"/>
            </w:tcBorders>
            <w:shd w:val="clear" w:color="auto" w:fill="D5EEEE"/>
          </w:tcPr>
          <w:p>
            <w:pPr>
              <w:spacing w:after="0"/>
              <w:rPr>
                <w:sz w:val="18"/>
                <w:szCs w:val="18"/>
                <w:color w:val="auto"/>
              </w:rPr>
            </w:pPr>
          </w:p>
        </w:tc>
        <w:tc>
          <w:tcPr>
            <w:tcW w:w="18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D5EEEE"/>
            </w:tcBorders>
          </w:tcPr>
          <w:p>
            <w:pPr>
              <w:spacing w:after="0"/>
              <w:rPr>
                <w:sz w:val="18"/>
                <w:szCs w:val="18"/>
                <w:color w:val="auto"/>
              </w:rPr>
            </w:pPr>
          </w:p>
        </w:tc>
        <w:tc>
          <w:tcPr>
            <w:tcW w:w="100" w:type="dxa"/>
            <w:vAlign w:val="bottom"/>
            <w:tcBorders>
              <w:top w:val="single" w:sz="8" w:color="D5EEEE"/>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Borders>
              <w:top w:val="single" w:sz="8" w:color="D5EEEE"/>
            </w:tcBorders>
          </w:tcPr>
          <w:p>
            <w:pPr>
              <w:spacing w:after="0"/>
              <w:rPr>
                <w:sz w:val="18"/>
                <w:szCs w:val="18"/>
                <w:color w:val="auto"/>
              </w:rPr>
            </w:pPr>
          </w:p>
        </w:tc>
        <w:tc>
          <w:tcPr>
            <w:tcW w:w="960" w:type="dxa"/>
            <w:vAlign w:val="bottom"/>
            <w:tcBorders>
              <w:top w:val="single" w:sz="8" w:color="D5EEEE"/>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rPr>
              <w:t>1,638</w:t>
            </w:r>
          </w:p>
        </w:tc>
        <w:tc>
          <w:tcPr>
            <w:tcW w:w="20" w:type="dxa"/>
            <w:vAlign w:val="bottom"/>
            <w:tcBorders>
              <w:top w:val="single" w:sz="8" w:color="D5EEEE"/>
            </w:tcBorders>
            <w:shd w:val="clear" w:color="auto" w:fill="D5EEEE"/>
          </w:tcPr>
          <w:p>
            <w:pPr>
              <w:spacing w:after="0"/>
              <w:rPr>
                <w:sz w:val="18"/>
                <w:szCs w:val="18"/>
                <w:color w:val="auto"/>
              </w:rPr>
            </w:pPr>
          </w:p>
        </w:tc>
        <w:tc>
          <w:tcPr>
            <w:tcW w:w="180" w:type="dxa"/>
            <w:vAlign w:val="bottom"/>
            <w:tcBorders>
              <w:top w:val="single" w:sz="8" w:color="D5EEEE"/>
            </w:tcBorders>
            <w:shd w:val="clear" w:color="auto" w:fill="D5EEEE"/>
          </w:tcPr>
          <w:p>
            <w:pPr>
              <w:spacing w:after="0"/>
              <w:rPr>
                <w:sz w:val="18"/>
                <w:szCs w:val="18"/>
                <w:color w:val="auto"/>
              </w:rPr>
            </w:pPr>
          </w:p>
        </w:tc>
        <w:tc>
          <w:tcPr>
            <w:tcW w:w="80" w:type="dxa"/>
            <w:vAlign w:val="bottom"/>
            <w:tcBorders>
              <w:top w:val="single" w:sz="8" w:color="D5EEEE"/>
            </w:tcBorders>
          </w:tcPr>
          <w:p>
            <w:pPr>
              <w:spacing w:after="0"/>
              <w:rPr>
                <w:sz w:val="18"/>
                <w:szCs w:val="18"/>
                <w:color w:val="auto"/>
              </w:rPr>
            </w:pPr>
          </w:p>
        </w:tc>
        <w:tc>
          <w:tcPr>
            <w:tcW w:w="100" w:type="dxa"/>
            <w:vAlign w:val="bottom"/>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Pr>
          <w:p>
            <w:pPr>
              <w:spacing w:after="0"/>
              <w:rPr>
                <w:sz w:val="18"/>
                <w:szCs w:val="18"/>
                <w:color w:val="auto"/>
              </w:rPr>
            </w:pPr>
          </w:p>
        </w:tc>
        <w:tc>
          <w:tcPr>
            <w:tcW w:w="1120" w:type="dxa"/>
            <w:vAlign w:val="bottom"/>
            <w:tcBorders>
              <w:top w:val="single" w:sz="8" w:color="D5EEEE"/>
            </w:tcBorders>
            <w:shd w:val="clear" w:color="auto" w:fill="D5EEEE"/>
          </w:tcPr>
          <w:p>
            <w:pPr>
              <w:jc w:val="right"/>
              <w:ind w:right="5"/>
              <w:spacing w:after="0" w:line="209" w:lineRule="exact"/>
              <w:rPr>
                <w:sz w:val="20"/>
                <w:szCs w:val="20"/>
                <w:color w:val="auto"/>
              </w:rPr>
            </w:pPr>
            <w:r>
              <w:rPr>
                <w:rFonts w:ascii="Times New Roman" w:cs="Times New Roman" w:eastAsia="Times New Roman" w:hAnsi="Times New Roman"/>
                <w:sz w:val="20"/>
                <w:szCs w:val="20"/>
                <w:color w:val="auto"/>
              </w:rPr>
              <w:t>1,58</w:t>
            </w:r>
          </w:p>
        </w:tc>
        <w:tc>
          <w:tcPr>
            <w:tcW w:w="20" w:type="dxa"/>
            <w:vAlign w:val="bottom"/>
            <w:tcBorders>
              <w:top w:val="single" w:sz="8" w:color="D5EEEE"/>
            </w:tcBorders>
            <w:shd w:val="clear" w:color="auto" w:fill="D5EEEE"/>
          </w:tcPr>
          <w:p>
            <w:pPr>
              <w:spacing w:after="0"/>
              <w:rPr>
                <w:sz w:val="18"/>
                <w:szCs w:val="18"/>
                <w:color w:val="auto"/>
              </w:rPr>
            </w:pPr>
          </w:p>
        </w:tc>
        <w:tc>
          <w:tcPr>
            <w:tcW w:w="180" w:type="dxa"/>
            <w:vAlign w:val="bottom"/>
            <w:tcBorders>
              <w:top w:val="single" w:sz="8" w:color="D5EEEE"/>
            </w:tcBorders>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546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gridSpan w:val="2"/>
          </w:tcPr>
          <w:p>
            <w:pPr>
              <w:spacing w:after="0"/>
              <w:rPr>
                <w:sz w:val="5"/>
                <w:szCs w:val="5"/>
                <w:color w:val="auto"/>
              </w:rPr>
            </w:pPr>
          </w:p>
        </w:tc>
        <w:tc>
          <w:tcPr>
            <w:tcW w:w="980" w:type="dxa"/>
            <w:vAlign w:val="bottom"/>
            <w:gridSpan w:val="2"/>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3"/>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9"/>
        </w:trPr>
        <w:tc>
          <w:tcPr>
            <w:tcW w:w="5660" w:type="dxa"/>
            <w:vAlign w:val="bottom"/>
            <w:tcBorders>
              <w:bottom w:val="single" w:sz="8" w:color="D5EEEE"/>
            </w:tcBorders>
            <w:gridSpan w:val="5"/>
          </w:tcPr>
          <w:p>
            <w:pPr>
              <w:ind w:left="160"/>
              <w:spacing w:after="0"/>
              <w:rPr>
                <w:sz w:val="20"/>
                <w:szCs w:val="20"/>
                <w:color w:val="auto"/>
              </w:rPr>
            </w:pPr>
            <w:r>
              <w:rPr>
                <w:rFonts w:ascii="Times New Roman" w:cs="Times New Roman" w:eastAsia="Times New Roman" w:hAnsi="Times New Roman"/>
                <w:sz w:val="20"/>
                <w:szCs w:val="20"/>
                <w:color w:val="auto"/>
              </w:rPr>
              <w:t>(years)</w:t>
            </w:r>
          </w:p>
        </w:tc>
        <w:tc>
          <w:tcPr>
            <w:tcW w:w="980" w:type="dxa"/>
            <w:vAlign w:val="bottom"/>
            <w:tcBorders>
              <w:bottom w:val="single" w:sz="8" w:color="D5EEEE"/>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1.44</w:t>
            </w:r>
          </w:p>
        </w:tc>
        <w:tc>
          <w:tcPr>
            <w:tcW w:w="180" w:type="dxa"/>
            <w:vAlign w:val="bottom"/>
            <w:tcBorders>
              <w:bottom w:val="single" w:sz="8" w:color="D5EEEE"/>
            </w:tcBorders>
          </w:tcPr>
          <w:p>
            <w:pPr>
              <w:spacing w:after="0"/>
              <w:rPr>
                <w:sz w:val="24"/>
                <w:szCs w:val="24"/>
                <w:color w:val="auto"/>
              </w:rPr>
            </w:pPr>
          </w:p>
        </w:tc>
        <w:tc>
          <w:tcPr>
            <w:tcW w:w="100" w:type="dxa"/>
            <w:vAlign w:val="bottom"/>
            <w:tcBorders>
              <w:bottom w:val="single" w:sz="8" w:color="D5EEEE"/>
            </w:tcBorders>
          </w:tcPr>
          <w:p>
            <w:pPr>
              <w:spacing w:after="0"/>
              <w:rPr>
                <w:sz w:val="24"/>
                <w:szCs w:val="24"/>
                <w:color w:val="auto"/>
              </w:rPr>
            </w:pPr>
          </w:p>
        </w:tc>
        <w:tc>
          <w:tcPr>
            <w:tcW w:w="100" w:type="dxa"/>
            <w:vAlign w:val="bottom"/>
            <w:tcBorders>
              <w:bottom w:val="single" w:sz="8" w:color="D5EEEE"/>
            </w:tcBorders>
          </w:tcPr>
          <w:p>
            <w:pPr>
              <w:spacing w:after="0"/>
              <w:rPr>
                <w:sz w:val="24"/>
                <w:szCs w:val="24"/>
                <w:color w:val="auto"/>
              </w:rPr>
            </w:pPr>
          </w:p>
        </w:tc>
        <w:tc>
          <w:tcPr>
            <w:tcW w:w="1000" w:type="dxa"/>
            <w:vAlign w:val="bottom"/>
            <w:tcBorders>
              <w:bottom w:val="single" w:sz="8" w:color="D5EEEE"/>
            </w:tcBorders>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2.30</w:t>
            </w:r>
          </w:p>
        </w:tc>
        <w:tc>
          <w:tcPr>
            <w:tcW w:w="180" w:type="dxa"/>
            <w:vAlign w:val="bottom"/>
            <w:tcBorders>
              <w:bottom w:val="single" w:sz="8" w:color="D5EEEE"/>
            </w:tcBorders>
          </w:tcPr>
          <w:p>
            <w:pPr>
              <w:spacing w:after="0"/>
              <w:rPr>
                <w:sz w:val="24"/>
                <w:szCs w:val="24"/>
                <w:color w:val="auto"/>
              </w:rPr>
            </w:pPr>
          </w:p>
        </w:tc>
        <w:tc>
          <w:tcPr>
            <w:tcW w:w="80" w:type="dxa"/>
            <w:vAlign w:val="bottom"/>
            <w:tcBorders>
              <w:bottom w:val="single" w:sz="8" w:color="D5EE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2.6</w:t>
            </w:r>
          </w:p>
        </w:tc>
        <w:tc>
          <w:tcPr>
            <w:tcW w:w="20" w:type="dxa"/>
            <w:vAlign w:val="bottom"/>
          </w:tcPr>
          <w:p>
            <w:pPr>
              <w:spacing w:after="0"/>
              <w:rPr>
                <w:sz w:val="24"/>
                <w:szCs w:val="24"/>
                <w:color w:val="auto"/>
              </w:rPr>
            </w:pPr>
          </w:p>
        </w:tc>
        <w:tc>
          <w:tcPr>
            <w:tcW w:w="180" w:type="dxa"/>
            <w:vAlign w:val="bottom"/>
            <w:tcBorders>
              <w:bottom w:val="single" w:sz="8" w:color="D5EEEE"/>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440" w:type="dxa"/>
            <w:vAlign w:val="bottom"/>
            <w:shd w:val="clear" w:color="auto" w:fill="D5EEEE"/>
          </w:tcPr>
          <w:p>
            <w:pPr>
              <w:spacing w:after="0" w:line="228" w:lineRule="exact"/>
              <w:rPr>
                <w:sz w:val="20"/>
                <w:szCs w:val="20"/>
                <w:color w:val="auto"/>
              </w:rPr>
            </w:pPr>
            <w:r>
              <w:rPr>
                <w:rFonts w:ascii="Times New Roman" w:cs="Times New Roman" w:eastAsia="Times New Roman" w:hAnsi="Times New Roman"/>
                <w:sz w:val="20"/>
                <w:szCs w:val="20"/>
                <w:color w:val="auto"/>
              </w:rPr>
              <w:t>Operating lease weighted average discount rate</w:t>
            </w:r>
          </w:p>
        </w:tc>
        <w:tc>
          <w:tcPr>
            <w:tcW w:w="100" w:type="dxa"/>
            <w:vAlign w:val="bottom"/>
            <w:gridSpan w:val="2"/>
            <w:shd w:val="clear" w:color="auto" w:fill="D5EEE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D5EEEE"/>
          </w:tcPr>
          <w:p>
            <w:pPr>
              <w:jc w:val="right"/>
              <w:spacing w:after="0" w:line="228" w:lineRule="exact"/>
              <w:rPr>
                <w:sz w:val="20"/>
                <w:szCs w:val="20"/>
                <w:color w:val="auto"/>
              </w:rPr>
            </w:pPr>
            <w:r>
              <w:rPr>
                <w:rFonts w:ascii="Times New Roman" w:cs="Times New Roman" w:eastAsia="Times New Roman" w:hAnsi="Times New Roman"/>
                <w:sz w:val="20"/>
                <w:szCs w:val="20"/>
                <w:color w:val="auto"/>
              </w:rPr>
              <w:t>6.71</w:t>
            </w:r>
          </w:p>
        </w:tc>
        <w:tc>
          <w:tcPr>
            <w:tcW w:w="20" w:type="dxa"/>
            <w:vAlign w:val="bottom"/>
          </w:tcPr>
          <w:p>
            <w:pPr>
              <w:spacing w:after="0"/>
              <w:rPr>
                <w:sz w:val="19"/>
                <w:szCs w:val="19"/>
                <w:color w:val="auto"/>
              </w:rPr>
            </w:pPr>
          </w:p>
        </w:tc>
        <w:tc>
          <w:tcPr>
            <w:tcW w:w="180" w:type="dxa"/>
            <w:vAlign w:val="bottom"/>
            <w:shd w:val="clear" w:color="auto" w:fill="D5EEEE"/>
          </w:tcPr>
          <w:p>
            <w:pPr>
              <w:jc w:val="right"/>
              <w:spacing w:after="0" w:line="228" w:lineRule="exact"/>
              <w:rPr>
                <w:sz w:val="20"/>
                <w:szCs w:val="20"/>
                <w:color w:val="auto"/>
              </w:rPr>
            </w:pPr>
            <w:r>
              <w:rPr>
                <w:rFonts w:ascii="Times New Roman" w:cs="Times New Roman" w:eastAsia="Times New Roman" w:hAnsi="Times New Roman"/>
                <w:sz w:val="20"/>
                <w:szCs w:val="20"/>
                <w:color w:val="auto"/>
                <w:w w:val="95"/>
                <w:shd w:val="clear" w:color="auto" w:fill="D5EEEE"/>
              </w:rPr>
              <w:t>%</w:t>
            </w:r>
          </w:p>
        </w:tc>
        <w:tc>
          <w:tcPr>
            <w:tcW w:w="100" w:type="dxa"/>
            <w:vAlign w:val="bottom"/>
            <w:shd w:val="clear" w:color="auto" w:fill="D5EEE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3"/>
          </w:tcPr>
          <w:p>
            <w:pPr>
              <w:jc w:val="right"/>
              <w:ind w:right="20"/>
              <w:spacing w:after="0" w:line="228" w:lineRule="exact"/>
              <w:rPr>
                <w:sz w:val="20"/>
                <w:szCs w:val="20"/>
                <w:color w:val="auto"/>
              </w:rPr>
            </w:pPr>
            <w:r>
              <w:rPr>
                <w:rFonts w:ascii="Times New Roman" w:cs="Times New Roman" w:eastAsia="Times New Roman" w:hAnsi="Times New Roman"/>
                <w:sz w:val="20"/>
                <w:szCs w:val="20"/>
                <w:color w:val="auto"/>
              </w:rPr>
              <w:t>6.51%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3"/>
          </w:tcPr>
          <w:p>
            <w:pPr>
              <w:jc w:val="right"/>
              <w:ind w:right="20"/>
              <w:spacing w:after="0" w:line="228" w:lineRule="exact"/>
              <w:rPr>
                <w:sz w:val="20"/>
                <w:szCs w:val="20"/>
                <w:color w:val="auto"/>
              </w:rPr>
            </w:pPr>
            <w:r>
              <w:rPr>
                <w:rFonts w:ascii="Times New Roman" w:cs="Times New Roman" w:eastAsia="Times New Roman" w:hAnsi="Times New Roman"/>
                <w:sz w:val="20"/>
                <w:szCs w:val="20"/>
                <w:color w:val="auto"/>
              </w:rPr>
              <w:t>6.70%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-1781810</wp:posOffset>
            </wp:positionV>
            <wp:extent cx="6198870" cy="1795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98870" cy="1795145"/>
                    </a:xfrm>
                    <a:prstGeom prst="rect">
                      <a:avLst/>
                    </a:prstGeom>
                    <a:noFill/>
                  </pic:spPr>
                </pic:pic>
              </a:graphicData>
            </a:graphic>
          </wp:anchor>
        </w:drawing>
      </w:r>
    </w:p>
    <w:p>
      <w:pPr>
        <w:spacing w:after="0" w:line="2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As of December 31, 2022, maturities of the Company’s operating lease liabilities are as follows (in thousands):</w:t>
      </w:r>
    </w:p>
    <w:p>
      <w:pPr>
        <w:spacing w:after="0" w:line="247"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6"/>
          <w:szCs w:val="16"/>
          <w:b w:val="1"/>
          <w:bCs w:val="1"/>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0</wp:posOffset>
            </wp:positionV>
            <wp:extent cx="6189980" cy="8375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89980" cy="837565"/>
                    </a:xfrm>
                    <a:prstGeom prst="rect">
                      <a:avLst/>
                    </a:prstGeom>
                    <a:noFill/>
                  </pic:spPr>
                </pic:pic>
              </a:graphicData>
            </a:graphic>
          </wp:anchor>
        </w:drawing>
      </w:r>
    </w:p>
    <w:p>
      <w:pPr>
        <w:ind w:left="9860"/>
        <w:spacing w:after="0"/>
        <w:rPr>
          <w:sz w:val="20"/>
          <w:szCs w:val="20"/>
          <w:color w:val="auto"/>
        </w:rPr>
      </w:pPr>
      <w:r>
        <w:rPr>
          <w:rFonts w:ascii="Times New Roman" w:cs="Times New Roman" w:eastAsia="Times New Roman" w:hAnsi="Times New Roman"/>
          <w:sz w:val="20"/>
          <w:szCs w:val="20"/>
          <w:color w:val="auto"/>
        </w:rPr>
        <w:t>649</w:t>
      </w:r>
    </w:p>
    <w:p>
      <w:pPr>
        <w:spacing w:after="0" w:line="15" w:lineRule="exact"/>
        <w:rPr>
          <w:sz w:val="20"/>
          <w:szCs w:val="20"/>
          <w:color w:val="auto"/>
        </w:rPr>
      </w:pPr>
    </w:p>
    <w:tbl>
      <w:tblPr>
        <w:tblLayout w:type="fixed"/>
        <w:tblInd w:w="540" w:type="dxa"/>
        <w:tblCellMar>
          <w:top w:w="0" w:type="dxa"/>
          <w:left w:w="0" w:type="dxa"/>
          <w:bottom w:w="0" w:type="dxa"/>
          <w:right w:w="0" w:type="dxa"/>
        </w:tblCellMar>
      </w:tblPr>
      <w:tr>
        <w:trPr>
          <w:trHeight w:val="252"/>
        </w:trPr>
        <w:tc>
          <w:tcPr>
            <w:tcW w:w="6500" w:type="dxa"/>
            <w:vAlign w:val="bottom"/>
            <w:tcBorders>
              <w:bottom w:val="single" w:sz="8" w:color="D5EEEE"/>
            </w:tcBorders>
          </w:tcPr>
          <w:p>
            <w:pPr>
              <w:spacing w:after="0"/>
              <w:rPr>
                <w:sz w:val="21"/>
                <w:szCs w:val="21"/>
                <w:color w:val="auto"/>
              </w:rPr>
            </w:pPr>
          </w:p>
        </w:tc>
        <w:tc>
          <w:tcPr>
            <w:tcW w:w="160" w:type="dxa"/>
            <w:vAlign w:val="bottom"/>
            <w:tcBorders>
              <w:bottom w:val="single" w:sz="8" w:color="D5EEEE"/>
            </w:tcBorders>
          </w:tcPr>
          <w:p>
            <w:pPr>
              <w:spacing w:after="0"/>
              <w:rPr>
                <w:sz w:val="21"/>
                <w:szCs w:val="21"/>
                <w:color w:val="auto"/>
              </w:rPr>
            </w:pPr>
          </w:p>
        </w:tc>
        <w:tc>
          <w:tcPr>
            <w:tcW w:w="1600" w:type="dxa"/>
            <w:vAlign w:val="bottom"/>
            <w:tcBorders>
              <w:bottom w:val="single" w:sz="8" w:color="D5EEEE"/>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314</w:t>
            </w:r>
          </w:p>
        </w:tc>
        <w:tc>
          <w:tcPr>
            <w:tcW w:w="100" w:type="dxa"/>
            <w:vAlign w:val="bottom"/>
            <w:tcBorders>
              <w:bottom w:val="single" w:sz="8" w:color="D5EEEE"/>
            </w:tcBorders>
          </w:tcPr>
          <w:p>
            <w:pPr>
              <w:spacing w:after="0"/>
              <w:rPr>
                <w:sz w:val="21"/>
                <w:szCs w:val="21"/>
                <w:color w:val="auto"/>
              </w:rPr>
            </w:pPr>
          </w:p>
        </w:tc>
      </w:tr>
      <w:tr>
        <w:trPr>
          <w:trHeight w:val="230"/>
        </w:trPr>
        <w:tc>
          <w:tcPr>
            <w:tcW w:w="6500" w:type="dxa"/>
            <w:vAlign w:val="bottom"/>
            <w:shd w:val="clear" w:color="auto" w:fill="D5EEEE"/>
          </w:tcPr>
          <w:p>
            <w:pPr>
              <w:spacing w:after="0"/>
              <w:rPr>
                <w:sz w:val="20"/>
                <w:szCs w:val="20"/>
                <w:color w:val="auto"/>
              </w:rPr>
            </w:pPr>
          </w:p>
        </w:tc>
        <w:tc>
          <w:tcPr>
            <w:tcW w:w="160" w:type="dxa"/>
            <w:vAlign w:val="bottom"/>
            <w:shd w:val="clear" w:color="auto" w:fill="D5EEEE"/>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shd w:val="clear" w:color="auto" w:fill="D5EEEE"/>
          </w:tcPr>
          <w:p>
            <w:pPr>
              <w:jc w:val="right"/>
              <w:spacing w:after="0" w:line="228" w:lineRule="exact"/>
              <w:rPr>
                <w:sz w:val="20"/>
                <w:szCs w:val="20"/>
                <w:color w:val="auto"/>
              </w:rPr>
            </w:pPr>
            <w:r>
              <w:rPr>
                <w:rFonts w:ascii="Times New Roman" w:cs="Times New Roman" w:eastAsia="Times New Roman" w:hAnsi="Times New Roman"/>
                <w:sz w:val="20"/>
                <w:szCs w:val="20"/>
                <w:color w:val="auto"/>
              </w:rPr>
              <w:t>963</w:t>
            </w:r>
          </w:p>
        </w:tc>
        <w:tc>
          <w:tcPr>
            <w:tcW w:w="100" w:type="dxa"/>
            <w:vAlign w:val="bottom"/>
            <w:shd w:val="clear" w:color="auto" w:fill="D5EEEE"/>
          </w:tcPr>
          <w:p>
            <w:pPr>
              <w:spacing w:after="0"/>
              <w:rPr>
                <w:sz w:val="20"/>
                <w:szCs w:val="20"/>
                <w:color w:val="auto"/>
              </w:rPr>
            </w:pPr>
          </w:p>
        </w:tc>
      </w:tr>
      <w:tr>
        <w:trPr>
          <w:trHeight w:val="262"/>
        </w:trPr>
        <w:tc>
          <w:tcPr>
            <w:tcW w:w="6500" w:type="dxa"/>
            <w:vAlign w:val="bottom"/>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160" w:type="dxa"/>
            <w:vAlign w:val="bottom"/>
            <w:tcBorders>
              <w:bottom w:val="single" w:sz="8" w:color="D5EEEE"/>
            </w:tcBorders>
          </w:tcPr>
          <w:p>
            <w:pPr>
              <w:spacing w:after="0"/>
              <w:rPr>
                <w:sz w:val="22"/>
                <w:szCs w:val="22"/>
                <w:color w:val="auto"/>
              </w:rPr>
            </w:pPr>
          </w:p>
        </w:tc>
        <w:tc>
          <w:tcPr>
            <w:tcW w:w="1600" w:type="dxa"/>
            <w:vAlign w:val="bottom"/>
            <w:tcBorders>
              <w:bottom w:val="single" w:sz="8" w:color="D5EEEE"/>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100" w:type="dxa"/>
            <w:vAlign w:val="bottom"/>
            <w:tcBorders>
              <w:bottom w:val="single" w:sz="8" w:color="D5EEEE"/>
            </w:tcBorders>
          </w:tcPr>
          <w:p>
            <w:pPr>
              <w:spacing w:after="0"/>
              <w:rPr>
                <w:sz w:val="22"/>
                <w:szCs w:val="22"/>
                <w:color w:val="auto"/>
              </w:rPr>
            </w:pPr>
          </w:p>
        </w:tc>
      </w:tr>
      <w:tr>
        <w:trPr>
          <w:trHeight w:val="212"/>
        </w:trPr>
        <w:tc>
          <w:tcPr>
            <w:tcW w:w="6500" w:type="dxa"/>
            <w:vAlign w:val="bottom"/>
            <w:tcBorders>
              <w:top w:val="single" w:sz="8" w:color="D5EEEE"/>
            </w:tcBorders>
            <w:shd w:val="clear" w:color="auto" w:fill="D5EEEE"/>
          </w:tcPr>
          <w:p>
            <w:pPr>
              <w:spacing w:after="0"/>
              <w:rPr>
                <w:sz w:val="18"/>
                <w:szCs w:val="18"/>
                <w:color w:val="auto"/>
              </w:rPr>
            </w:pPr>
          </w:p>
        </w:tc>
        <w:tc>
          <w:tcPr>
            <w:tcW w:w="160" w:type="dxa"/>
            <w:vAlign w:val="bottom"/>
            <w:tcBorders>
              <w:top w:val="single" w:sz="8" w:color="D5EEEE"/>
            </w:tcBorders>
            <w:shd w:val="clear" w:color="auto" w:fill="D5EEEE"/>
          </w:tcPr>
          <w:p>
            <w:pPr>
              <w:spacing w:after="0"/>
              <w:rPr>
                <w:sz w:val="18"/>
                <w:szCs w:val="18"/>
                <w:color w:val="auto"/>
              </w:rPr>
            </w:pPr>
          </w:p>
        </w:tc>
        <w:tc>
          <w:tcPr>
            <w:tcW w:w="1600" w:type="dxa"/>
            <w:vAlign w:val="bottom"/>
            <w:tcBorders>
              <w:top w:val="single" w:sz="8" w:color="D5EEEE"/>
            </w:tcBorders>
          </w:tcPr>
          <w:p>
            <w:pPr>
              <w:spacing w:after="0"/>
              <w:rPr>
                <w:sz w:val="18"/>
                <w:szCs w:val="18"/>
                <w:color w:val="auto"/>
              </w:rPr>
            </w:pPr>
          </w:p>
        </w:tc>
        <w:tc>
          <w:tcPr>
            <w:tcW w:w="100" w:type="dxa"/>
            <w:vAlign w:val="bottom"/>
            <w:shd w:val="clear" w:color="auto" w:fill="D5EEEE"/>
          </w:tcPr>
          <w:p>
            <w:pPr>
              <w:jc w:val="right"/>
              <w:spacing w:after="0" w:line="212"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Pr>
          <w:p>
            <w:pPr>
              <w:spacing w:after="0"/>
              <w:rPr>
                <w:sz w:val="18"/>
                <w:szCs w:val="18"/>
                <w:color w:val="auto"/>
              </w:rPr>
            </w:pPr>
          </w:p>
        </w:tc>
        <w:tc>
          <w:tcPr>
            <w:tcW w:w="1240" w:type="dxa"/>
            <w:vAlign w:val="bottom"/>
            <w:tcBorders>
              <w:top w:val="single" w:sz="8" w:color="D5EEEE"/>
            </w:tcBorders>
            <w:shd w:val="clear" w:color="auto" w:fill="D5EEEE"/>
          </w:tcPr>
          <w:p>
            <w:pPr>
              <w:jc w:val="right"/>
              <w:spacing w:after="0" w:line="212" w:lineRule="exact"/>
              <w:rPr>
                <w:sz w:val="20"/>
                <w:szCs w:val="20"/>
                <w:color w:val="auto"/>
              </w:rPr>
            </w:pPr>
            <w:r>
              <w:rPr>
                <w:rFonts w:ascii="Times New Roman" w:cs="Times New Roman" w:eastAsia="Times New Roman" w:hAnsi="Times New Roman"/>
                <w:sz w:val="20"/>
                <w:szCs w:val="20"/>
                <w:color w:val="auto"/>
              </w:rPr>
              <w:t>918</w:t>
            </w:r>
          </w:p>
        </w:tc>
        <w:tc>
          <w:tcPr>
            <w:tcW w:w="100" w:type="dxa"/>
            <w:vAlign w:val="bottom"/>
            <w:tcBorders>
              <w:top w:val="single" w:sz="8" w:color="D5EEEE"/>
            </w:tcBorders>
            <w:shd w:val="clear" w:color="auto" w:fill="D5EEEE"/>
          </w:tcPr>
          <w:p>
            <w:pPr>
              <w:spacing w:after="0"/>
              <w:rPr>
                <w:sz w:val="18"/>
                <w:szCs w:val="18"/>
                <w:color w:val="auto"/>
              </w:rPr>
            </w:pPr>
          </w:p>
        </w:tc>
      </w:tr>
    </w:tbl>
    <w:p>
      <w:pPr>
        <w:spacing w:after="0" w:line="300" w:lineRule="exact"/>
        <w:rPr>
          <w:sz w:val="20"/>
          <w:szCs w:val="20"/>
          <w:color w:val="auto"/>
        </w:rPr>
      </w:pPr>
    </w:p>
    <w:p>
      <w:pPr>
        <w:ind w:right="80" w:firstLine="490"/>
        <w:spacing w:after="0" w:line="259" w:lineRule="auto"/>
        <w:rPr>
          <w:sz w:val="20"/>
          <w:szCs w:val="20"/>
          <w:color w:val="auto"/>
        </w:rPr>
      </w:pPr>
      <w:r>
        <w:rPr>
          <w:rFonts w:ascii="Times New Roman" w:cs="Times New Roman" w:eastAsia="Times New Roman" w:hAnsi="Times New Roman"/>
          <w:sz w:val="20"/>
          <w:szCs w:val="20"/>
          <w:color w:val="auto"/>
        </w:rPr>
        <w:t>At December 31, 2022 there were no leases entered into that had not yet commenced. On February 1, 2023, the Company executed the fifth amendment to the lease of the administrative and office space in Valencia, California. The lease was extended for 39 months and is currently leased through October 31, 2026, with an average monthly base rent charge of approximately $37,000.</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Inventory</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composition of inventories is as follows (in thousands):</w:t>
      </w:r>
    </w:p>
    <w:p>
      <w:pPr>
        <w:spacing w:after="0" w:line="247" w:lineRule="exact"/>
        <w:rPr>
          <w:sz w:val="20"/>
          <w:szCs w:val="20"/>
          <w:color w:val="auto"/>
        </w:rPr>
      </w:pPr>
    </w:p>
    <w:tbl>
      <w:tblPr>
        <w:tblLayout w:type="fixed"/>
        <w:tblInd w:w="4320" w:type="dxa"/>
        <w:tblCellMar>
          <w:top w:w="0" w:type="dxa"/>
          <w:left w:w="0" w:type="dxa"/>
          <w:bottom w:w="0" w:type="dxa"/>
          <w:right w:w="0" w:type="dxa"/>
        </w:tblCellMar>
      </w:tblPr>
      <w:tr>
        <w:trPr>
          <w:trHeight w:val="204"/>
        </w:trPr>
        <w:tc>
          <w:tcPr>
            <w:tcW w:w="2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60" w:type="dxa"/>
            <w:vAlign w:val="bottom"/>
          </w:tcPr>
          <w:p>
            <w:pPr>
              <w:jc w:val="right"/>
              <w:ind w:right="1127"/>
              <w:spacing w:after="0"/>
              <w:rPr>
                <w:sz w:val="20"/>
                <w:szCs w:val="20"/>
                <w:color w:val="auto"/>
              </w:rPr>
            </w:pPr>
            <w:r>
              <w:rPr>
                <w:rFonts w:ascii="Times New Roman" w:cs="Times New Roman" w:eastAsia="Times New Roman" w:hAnsi="Times New Roman"/>
                <w:sz w:val="16"/>
                <w:szCs w:val="16"/>
                <w:b w:val="1"/>
                <w:bCs w:val="1"/>
                <w:color w:val="auto"/>
              </w:rPr>
              <w:t>As of</w:t>
            </w:r>
          </w:p>
        </w:tc>
        <w:tc>
          <w:tcPr>
            <w:tcW w:w="3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2080" w:type="dxa"/>
            <w:vAlign w:val="bottom"/>
          </w:tcPr>
          <w:p>
            <w:pPr>
              <w:jc w:val="right"/>
              <w:ind w:right="524"/>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360" w:type="dxa"/>
            <w:vAlign w:val="bottom"/>
          </w:tcPr>
          <w:p>
            <w:pPr>
              <w:spacing w:after="0"/>
              <w:rPr>
                <w:sz w:val="17"/>
                <w:szCs w:val="17"/>
                <w:color w:val="auto"/>
              </w:rPr>
            </w:pPr>
          </w:p>
        </w:tc>
        <w:tc>
          <w:tcPr>
            <w:tcW w:w="1860" w:type="dxa"/>
            <w:vAlign w:val="bottom"/>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380" w:type="dxa"/>
            <w:vAlign w:val="bottom"/>
          </w:tcPr>
          <w:p>
            <w:pPr>
              <w:spacing w:after="0"/>
              <w:rPr>
                <w:sz w:val="17"/>
                <w:szCs w:val="17"/>
                <w:color w:val="auto"/>
              </w:rPr>
            </w:pPr>
          </w:p>
        </w:tc>
        <w:tc>
          <w:tcPr>
            <w:tcW w:w="1400" w:type="dxa"/>
            <w:vAlign w:val="bottom"/>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June 30, 2021</w:t>
            </w:r>
          </w:p>
        </w:tc>
      </w:tr>
      <w:tr>
        <w:trPr>
          <w:trHeight w:val="245"/>
        </w:trPr>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8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auto"/>
              </w:rPr>
              <w:t>1,131</w:t>
            </w: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shd w:val="clear" w:color="auto" w:fill="D5EEEE"/>
              </w:rPr>
              <w:t>$</w:t>
            </w:r>
          </w:p>
        </w:tc>
        <w:tc>
          <w:tcPr>
            <w:tcW w:w="186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rPr>
              <w:t>1,222</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shd w:val="clear" w:color="auto" w:fill="D5EEEE"/>
              </w:rPr>
              <w:t>$</w:t>
            </w:r>
          </w:p>
        </w:tc>
        <w:tc>
          <w:tcPr>
            <w:tcW w:w="14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98</w:t>
            </w:r>
          </w:p>
        </w:tc>
      </w:tr>
      <w:tr>
        <w:trPr>
          <w:trHeight w:val="247"/>
        </w:trPr>
        <w:tc>
          <w:tcPr>
            <w:tcW w:w="280" w:type="dxa"/>
            <w:vAlign w:val="bottom"/>
          </w:tcPr>
          <w:p>
            <w:pPr>
              <w:spacing w:after="0"/>
              <w:rPr>
                <w:sz w:val="21"/>
                <w:szCs w:val="21"/>
                <w:color w:val="auto"/>
              </w:rPr>
            </w:pPr>
          </w:p>
        </w:tc>
        <w:tc>
          <w:tcPr>
            <w:tcW w:w="208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auto"/>
              </w:rPr>
              <w:t>384</w:t>
            </w:r>
          </w:p>
        </w:tc>
        <w:tc>
          <w:tcPr>
            <w:tcW w:w="360" w:type="dxa"/>
            <w:vAlign w:val="bottom"/>
          </w:tcPr>
          <w:p>
            <w:pPr>
              <w:spacing w:after="0"/>
              <w:rPr>
                <w:sz w:val="21"/>
                <w:szCs w:val="21"/>
                <w:color w:val="auto"/>
              </w:rPr>
            </w:pPr>
          </w:p>
        </w:tc>
        <w:tc>
          <w:tcPr>
            <w:tcW w:w="186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rPr>
              <w:t>176</w:t>
            </w:r>
          </w:p>
        </w:tc>
        <w:tc>
          <w:tcPr>
            <w:tcW w:w="380" w:type="dxa"/>
            <w:vAlign w:val="bottom"/>
          </w:tcPr>
          <w:p>
            <w:pPr>
              <w:spacing w:after="0"/>
              <w:rPr>
                <w:sz w:val="21"/>
                <w:szCs w:val="21"/>
                <w:color w:val="auto"/>
              </w:rPr>
            </w:pPr>
          </w:p>
        </w:tc>
        <w:tc>
          <w:tcPr>
            <w:tcW w:w="14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24</w:t>
            </w:r>
          </w:p>
        </w:tc>
      </w:tr>
      <w:tr>
        <w:trPr>
          <w:trHeight w:val="250"/>
        </w:trPr>
        <w:tc>
          <w:tcPr>
            <w:tcW w:w="280" w:type="dxa"/>
            <w:vAlign w:val="bottom"/>
          </w:tcPr>
          <w:p>
            <w:pPr>
              <w:spacing w:after="0"/>
              <w:rPr>
                <w:sz w:val="21"/>
                <w:szCs w:val="21"/>
                <w:color w:val="auto"/>
              </w:rPr>
            </w:pPr>
          </w:p>
        </w:tc>
        <w:tc>
          <w:tcPr>
            <w:tcW w:w="208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auto"/>
              </w:rPr>
              <w:t>610</w:t>
            </w:r>
          </w:p>
        </w:tc>
        <w:tc>
          <w:tcPr>
            <w:tcW w:w="360" w:type="dxa"/>
            <w:vAlign w:val="bottom"/>
          </w:tcPr>
          <w:p>
            <w:pPr>
              <w:spacing w:after="0"/>
              <w:rPr>
                <w:sz w:val="21"/>
                <w:szCs w:val="21"/>
                <w:color w:val="auto"/>
              </w:rPr>
            </w:pPr>
          </w:p>
        </w:tc>
        <w:tc>
          <w:tcPr>
            <w:tcW w:w="186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rPr>
              <w:t>734</w:t>
            </w:r>
          </w:p>
        </w:tc>
        <w:tc>
          <w:tcPr>
            <w:tcW w:w="380" w:type="dxa"/>
            <w:vAlign w:val="bottom"/>
          </w:tcPr>
          <w:p>
            <w:pPr>
              <w:spacing w:after="0"/>
              <w:rPr>
                <w:sz w:val="21"/>
                <w:szCs w:val="21"/>
                <w:color w:val="auto"/>
              </w:rPr>
            </w:pPr>
          </w:p>
        </w:tc>
        <w:tc>
          <w:tcPr>
            <w:tcW w:w="14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42</w:t>
            </w:r>
          </w:p>
        </w:tc>
      </w:tr>
      <w:tr>
        <w:trPr>
          <w:trHeight w:val="267"/>
        </w:trPr>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2080" w:type="dxa"/>
            <w:vAlign w:val="bottom"/>
          </w:tcPr>
          <w:p>
            <w:pPr>
              <w:jc w:val="right"/>
              <w:ind w:right="64"/>
              <w:spacing w:after="0"/>
              <w:rPr>
                <w:sz w:val="20"/>
                <w:szCs w:val="20"/>
                <w:color w:val="auto"/>
              </w:rPr>
            </w:pPr>
            <w:r>
              <w:rPr>
                <w:rFonts w:ascii="Times New Roman" w:cs="Times New Roman" w:eastAsia="Times New Roman" w:hAnsi="Times New Roman"/>
                <w:sz w:val="20"/>
                <w:szCs w:val="20"/>
                <w:color w:val="auto"/>
              </w:rPr>
              <w:t>2,125</w:t>
            </w: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20"/>
                <w:szCs w:val="20"/>
                <w:u w:val="single" w:color="auto"/>
                <w:color w:val="auto"/>
                <w:highlight w:val="white"/>
              </w:rPr>
              <w:t>$</w:t>
            </w:r>
          </w:p>
        </w:tc>
        <w:tc>
          <w:tcPr>
            <w:tcW w:w="1860" w:type="dxa"/>
            <w:vAlign w:val="bottom"/>
          </w:tcPr>
          <w:p>
            <w:pPr>
              <w:jc w:val="right"/>
              <w:ind w:right="47"/>
              <w:spacing w:after="0"/>
              <w:rPr>
                <w:sz w:val="20"/>
                <w:szCs w:val="20"/>
                <w:color w:val="auto"/>
              </w:rPr>
            </w:pPr>
            <w:r>
              <w:rPr>
                <w:rFonts w:ascii="Times New Roman" w:cs="Times New Roman" w:eastAsia="Times New Roman" w:hAnsi="Times New Roman"/>
                <w:sz w:val="20"/>
                <w:szCs w:val="20"/>
                <w:color w:val="auto"/>
              </w:rPr>
              <w:t>2,132</w:t>
            </w: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20"/>
                <w:szCs w:val="20"/>
                <w:u w:val="single" w:color="auto"/>
                <w:color w:val="auto"/>
                <w:highlight w:val="white"/>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-782320</wp:posOffset>
            </wp:positionV>
            <wp:extent cx="4045585"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045585" cy="3746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-652780</wp:posOffset>
            </wp:positionV>
            <wp:extent cx="6875780" cy="6826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75780" cy="682625"/>
                    </a:xfrm>
                    <a:prstGeom prst="rect">
                      <a:avLst/>
                    </a:prstGeom>
                    <a:noFill/>
                  </pic:spPr>
                </pic:pic>
              </a:graphicData>
            </a:graphic>
          </wp:anchor>
        </w:drawing>
      </w:r>
    </w:p>
    <w:p>
      <w:pPr>
        <w:spacing w:after="0" w:line="298" w:lineRule="exact"/>
        <w:rPr>
          <w:sz w:val="20"/>
          <w:szCs w:val="20"/>
          <w:color w:val="auto"/>
        </w:rPr>
      </w:pPr>
    </w:p>
    <w:p>
      <w:pPr>
        <w:ind w:right="80" w:firstLine="550"/>
        <w:spacing w:after="0" w:line="256" w:lineRule="auto"/>
        <w:rPr>
          <w:sz w:val="20"/>
          <w:szCs w:val="20"/>
          <w:color w:val="auto"/>
        </w:rPr>
      </w:pPr>
      <w:r>
        <w:rPr>
          <w:rFonts w:ascii="Times New Roman" w:cs="Times New Roman" w:eastAsia="Times New Roman" w:hAnsi="Times New Roman"/>
          <w:sz w:val="20"/>
          <w:szCs w:val="20"/>
          <w:color w:val="auto"/>
        </w:rPr>
        <w:t>The Company has reduced the carrying value of its inventories to reflect the lower of cost or net realizable value. Charges for estimated excess and obsolescence are recorded in cost of sales in the Consolidated Statement of Operations and were $375,000, $44,000 and $226,000 for the year-ended December 31, 2022, the transition period ended December 31, 2021, and the year-ended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30, 2021, respectively.</w:t>
      </w:r>
    </w:p>
    <w:p>
      <w:pPr>
        <w:sectPr>
          <w:pgSz w:w="11880" w:h="15480" w:orient="portrait"/>
          <w:cols w:equalWidth="0" w:num="1">
            <w:col w:w="10680"/>
          </w:cols>
          <w:pgMar w:left="540" w:top="887" w:right="660" w:bottom="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auto"/>
        </w:rPr>
        <w:t>F-21</w:t>
      </w:r>
    </w:p>
    <w:p>
      <w:pPr>
        <w:sectPr>
          <w:pgSz w:w="11880" w:h="15480" w:orient="portrait"/>
          <w:cols w:equalWidth="0" w:num="1">
            <w:col w:w="10680"/>
          </w:cols>
          <w:pgMar w:left="540" w:top="887" w:right="660" w:bottom="5"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20"/>
          <w:szCs w:val="20"/>
          <w:b w:val="1"/>
          <w:bCs w:val="1"/>
          <w:color w:val="auto"/>
        </w:rPr>
        <w:t>8. Intangible Assets</w:t>
      </w:r>
    </w:p>
    <w:p>
      <w:pPr>
        <w:spacing w:after="0" w:line="1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composition of intangible assets is as follows (in thousands):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11"/>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11"/>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As o</w:t>
            </w:r>
            <w:r>
              <w:rPr>
                <w:rFonts w:ascii="Times New Roman" w:cs="Times New Roman" w:eastAsia="Times New Roman" w:hAnsi="Times New Roman"/>
                <w:sz w:val="18"/>
                <w:szCs w:val="18"/>
                <w:b w:val="1"/>
                <w:bCs w:val="1"/>
                <w:u w:val="single" w:color="auto"/>
                <w:color w:val="auto"/>
              </w:rPr>
              <w:t>f</w:t>
            </w:r>
            <w:r>
              <w:rPr>
                <w:rFonts w:ascii="Times New Roman" w:cs="Times New Roman" w:eastAsia="Times New Roman" w:hAnsi="Times New Roman"/>
                <w:sz w:val="18"/>
                <w:szCs w:val="18"/>
                <w:b w:val="1"/>
                <w:bCs w:val="1"/>
                <w:color w:val="auto"/>
              </w:rPr>
              <w:t xml:space="preserve"> December 31, 2021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60" w:type="dxa"/>
            <w:vAlign w:val="bottom"/>
            <w:gridSpan w:val="11"/>
          </w:tcPr>
          <w:p>
            <w:pPr>
              <w:ind w:left="380"/>
              <w:spacing w:after="0"/>
              <w:rPr>
                <w:sz w:val="20"/>
                <w:szCs w:val="20"/>
                <w:color w:val="auto"/>
              </w:rPr>
            </w:pPr>
            <w:r>
              <w:rPr>
                <w:rFonts w:ascii="Times New Roman" w:cs="Times New Roman" w:eastAsia="Times New Roman" w:hAnsi="Times New Roman"/>
                <w:sz w:val="18"/>
                <w:szCs w:val="18"/>
                <w:b w:val="1"/>
                <w:bCs w:val="1"/>
                <w:color w:val="auto"/>
                <w:w w:val="98"/>
              </w:rPr>
              <w:t>As of June 30, 2021</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520" w:type="dxa"/>
            <w:vAlign w:val="bottom"/>
            <w:tcBorders>
              <w:top w:val="single" w:sz="8" w:color="auto"/>
            </w:tcBorders>
            <w:vMerge w:val="restart"/>
          </w:tcPr>
          <w:p>
            <w:pPr>
              <w:jc w:val="right"/>
              <w:ind w:right="101"/>
              <w:spacing w:after="0" w:line="183" w:lineRule="exact"/>
              <w:rPr>
                <w:sz w:val="20"/>
                <w:szCs w:val="20"/>
                <w:color w:val="auto"/>
              </w:rPr>
            </w:pPr>
            <w:r>
              <w:rPr>
                <w:rFonts w:ascii="Times New Roman" w:cs="Times New Roman" w:eastAsia="Times New Roman" w:hAnsi="Times New Roman"/>
                <w:sz w:val="18"/>
                <w:szCs w:val="18"/>
                <w:b w:val="1"/>
                <w:bCs w:val="1"/>
                <w:color w:val="auto"/>
              </w:rPr>
              <w:t>Net</w:t>
            </w:r>
          </w:p>
        </w:tc>
        <w:tc>
          <w:tcPr>
            <w:tcW w:w="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vMerge w:val="restart"/>
          </w:tcPr>
          <w:p>
            <w:pPr>
              <w:jc w:val="right"/>
              <w:ind w:right="81"/>
              <w:spacing w:after="0" w:line="183" w:lineRule="exact"/>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vMerge w:val="restart"/>
          </w:tcPr>
          <w:p>
            <w:pPr>
              <w:spacing w:after="0" w:line="20" w:lineRule="exact"/>
              <w:rPr>
                <w:sz w:val="1"/>
                <w:szCs w:val="1"/>
                <w:color w:val="auto"/>
              </w:rPr>
            </w:pPr>
          </w:p>
        </w:tc>
        <w:tc>
          <w:tcPr>
            <w:tcW w:w="520" w:type="dxa"/>
            <w:vAlign w:val="bottom"/>
            <w:tcBorders>
              <w:top w:val="single" w:sz="8" w:color="auto"/>
            </w:tcBorders>
            <w:gridSpan w:val="2"/>
            <w:vMerge w:val="restart"/>
          </w:tcPr>
          <w:p>
            <w:pPr>
              <w:jc w:val="center"/>
              <w:ind w:right="220"/>
              <w:spacing w:after="0" w:line="183"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0" w:type="dxa"/>
            <w:vAlign w:val="bottom"/>
          </w:tcPr>
          <w:p>
            <w:pPr>
              <w:spacing w:after="0" w:line="20" w:lineRule="exact"/>
              <w:rPr>
                <w:sz w:val="1"/>
                <w:szCs w:val="1"/>
                <w:color w:val="auto"/>
              </w:rPr>
            </w:pPr>
          </w:p>
        </w:tc>
      </w:tr>
      <w:tr>
        <w:trPr>
          <w:trHeight w:val="164"/>
        </w:trPr>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8"/>
                <w:szCs w:val="18"/>
                <w:color w:val="auto"/>
              </w:rPr>
            </w:pPr>
          </w:p>
        </w:tc>
        <w:tc>
          <w:tcPr>
            <w:tcW w:w="112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6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Gross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Carry</w:t>
            </w:r>
          </w:p>
        </w:tc>
        <w:tc>
          <w:tcPr>
            <w:tcW w:w="60" w:type="dxa"/>
            <w:vAlign w:val="bottom"/>
          </w:tcPr>
          <w:p>
            <w:pPr>
              <w:spacing w:after="0"/>
              <w:rPr>
                <w:sz w:val="18"/>
                <w:szCs w:val="18"/>
                <w:color w:val="auto"/>
              </w:rPr>
            </w:pPr>
          </w:p>
        </w:tc>
        <w:tc>
          <w:tcPr>
            <w:tcW w:w="7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Carry</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Gross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40" w:type="dxa"/>
            <w:vAlign w:val="bottom"/>
          </w:tcPr>
          <w:p>
            <w:pPr>
              <w:spacing w:after="0"/>
              <w:rPr>
                <w:sz w:val="18"/>
                <w:szCs w:val="18"/>
                <w:color w:val="auto"/>
              </w:rPr>
            </w:pPr>
          </w:p>
        </w:tc>
        <w:tc>
          <w:tcPr>
            <w:tcW w:w="68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Carry</w:t>
            </w:r>
          </w:p>
        </w:tc>
        <w:tc>
          <w:tcPr>
            <w:tcW w:w="0" w:type="dxa"/>
            <w:vAlign w:val="bottom"/>
          </w:tcPr>
          <w:p>
            <w:pPr>
              <w:spacing w:after="0"/>
              <w:rPr>
                <w:sz w:val="1"/>
                <w:szCs w:val="1"/>
                <w:color w:val="auto"/>
              </w:rPr>
            </w:pPr>
          </w:p>
        </w:tc>
      </w:tr>
      <w:tr>
        <w:trPr>
          <w:trHeight w:val="228"/>
        </w:trPr>
        <w:tc>
          <w:tcPr>
            <w:tcW w:w="1840" w:type="dxa"/>
            <w:vAlign w:val="bottom"/>
          </w:tcPr>
          <w:p>
            <w:pPr>
              <w:spacing w:after="0"/>
              <w:rPr>
                <w:sz w:val="19"/>
                <w:szCs w:val="19"/>
                <w:color w:val="auto"/>
              </w:rPr>
            </w:pPr>
          </w:p>
        </w:tc>
        <w:tc>
          <w:tcPr>
            <w:tcW w:w="11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Average Life</w:t>
            </w:r>
          </w:p>
        </w:tc>
        <w:tc>
          <w:tcPr>
            <w:tcW w:w="186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Amount Amortization</w:t>
            </w:r>
          </w:p>
        </w:tc>
        <w:tc>
          <w:tcPr>
            <w:tcW w:w="40" w:type="dxa"/>
            <w:vAlign w:val="bottom"/>
          </w:tcPr>
          <w:p>
            <w:pPr>
              <w:spacing w:after="0"/>
              <w:rPr>
                <w:sz w:val="19"/>
                <w:szCs w:val="19"/>
                <w:color w:val="auto"/>
              </w:rPr>
            </w:pPr>
          </w:p>
        </w:tc>
        <w:tc>
          <w:tcPr>
            <w:tcW w:w="14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Amount Amount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40" w:type="dxa"/>
            <w:vAlign w:val="bottom"/>
          </w:tcPr>
          <w:p>
            <w:pPr>
              <w:spacing w:after="0"/>
              <w:rPr>
                <w:sz w:val="19"/>
                <w:szCs w:val="19"/>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Amoun</w:t>
            </w:r>
          </w:p>
        </w:tc>
        <w:tc>
          <w:tcPr>
            <w:tcW w:w="0" w:type="dxa"/>
            <w:vAlign w:val="bottom"/>
          </w:tcPr>
          <w:p>
            <w:pPr>
              <w:spacing w:after="0"/>
              <w:rPr>
                <w:sz w:val="1"/>
                <w:szCs w:val="1"/>
                <w:color w:val="auto"/>
              </w:rPr>
            </w:pPr>
          </w:p>
        </w:tc>
      </w:tr>
      <w:tr>
        <w:trPr>
          <w:trHeight w:val="225"/>
        </w:trPr>
        <w:tc>
          <w:tcPr>
            <w:tcW w:w="1840" w:type="dxa"/>
            <w:vAlign w:val="bottom"/>
            <w:tcBorders>
              <w:top w:val="single" w:sz="8" w:color="D5EEEE"/>
              <w:right w:val="single" w:sz="8" w:color="D5EEEE"/>
            </w:tcBorders>
            <w:shd w:val="clear" w:color="auto" w:fill="D5EEEE"/>
          </w:tcPr>
          <w:p>
            <w:pPr>
              <w:spacing w:after="0"/>
              <w:rPr>
                <w:sz w:val="19"/>
                <w:szCs w:val="19"/>
                <w:color w:val="auto"/>
              </w:rPr>
            </w:pPr>
          </w:p>
        </w:tc>
        <w:tc>
          <w:tcPr>
            <w:tcW w:w="140" w:type="dxa"/>
            <w:vAlign w:val="bottom"/>
            <w:tcBorders>
              <w:top w:val="single" w:sz="8" w:color="D5EEEE"/>
            </w:tcBorders>
          </w:tcPr>
          <w:p>
            <w:pPr>
              <w:spacing w:after="0"/>
              <w:rPr>
                <w:sz w:val="19"/>
                <w:szCs w:val="19"/>
                <w:color w:val="auto"/>
              </w:rPr>
            </w:pPr>
          </w:p>
        </w:tc>
        <w:tc>
          <w:tcPr>
            <w:tcW w:w="860" w:type="dxa"/>
            <w:vAlign w:val="bottom"/>
            <w:tcBorders>
              <w:top w:val="single" w:sz="8" w:color="D5EEEE"/>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2</w:t>
            </w:r>
          </w:p>
        </w:tc>
        <w:tc>
          <w:tcPr>
            <w:tcW w:w="60" w:type="dxa"/>
            <w:vAlign w:val="bottom"/>
            <w:tcBorders>
              <w:top w:val="single" w:sz="8" w:color="D5EEEE"/>
              <w:right w:val="single" w:sz="8" w:color="D5EEEE"/>
            </w:tcBorders>
          </w:tcPr>
          <w:p>
            <w:pPr>
              <w:spacing w:after="0"/>
              <w:rPr>
                <w:sz w:val="19"/>
                <w:szCs w:val="19"/>
                <w:color w:val="auto"/>
              </w:rPr>
            </w:pPr>
          </w:p>
        </w:tc>
        <w:tc>
          <w:tcPr>
            <w:tcW w:w="60" w:type="dxa"/>
            <w:vAlign w:val="bottom"/>
            <w:tcBorders>
              <w:top w:val="single" w:sz="8" w:color="D5EEEE"/>
            </w:tcBorders>
          </w:tcPr>
          <w:p>
            <w:pPr>
              <w:spacing w:after="0"/>
              <w:rPr>
                <w:sz w:val="19"/>
                <w:szCs w:val="19"/>
                <w:color w:val="auto"/>
              </w:rPr>
            </w:pPr>
          </w:p>
        </w:tc>
        <w:tc>
          <w:tcPr>
            <w:tcW w:w="100" w:type="dxa"/>
            <w:vAlign w:val="bottom"/>
            <w:tcBorders>
              <w:top w:val="single" w:sz="8" w:color="D5EEEE"/>
            </w:tcBorders>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Borders>
              <w:top w:val="single" w:sz="8" w:color="D5EEEE"/>
            </w:tcBorders>
          </w:tcPr>
          <w:p>
            <w:pPr>
              <w:spacing w:after="0"/>
              <w:rPr>
                <w:sz w:val="19"/>
                <w:szCs w:val="19"/>
                <w:color w:val="auto"/>
              </w:rPr>
            </w:pPr>
          </w:p>
        </w:tc>
        <w:tc>
          <w:tcPr>
            <w:tcW w:w="540" w:type="dxa"/>
            <w:vAlign w:val="bottom"/>
            <w:tcBorders>
              <w:top w:val="single" w:sz="8" w:color="D5EEEE"/>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17</w:t>
            </w:r>
          </w:p>
        </w:tc>
        <w:tc>
          <w:tcPr>
            <w:tcW w:w="60" w:type="dxa"/>
            <w:vAlign w:val="bottom"/>
            <w:tcBorders>
              <w:top w:val="single" w:sz="8" w:color="D5EEEE"/>
              <w:left w:val="single" w:sz="8" w:color="D5EEEE"/>
            </w:tcBorders>
          </w:tcPr>
          <w:p>
            <w:pPr>
              <w:spacing w:after="0"/>
              <w:rPr>
                <w:sz w:val="19"/>
                <w:szCs w:val="19"/>
                <w:color w:val="auto"/>
              </w:rPr>
            </w:pPr>
          </w:p>
        </w:tc>
        <w:tc>
          <w:tcPr>
            <w:tcW w:w="20" w:type="dxa"/>
            <w:vAlign w:val="bottom"/>
            <w:tcBorders>
              <w:top w:val="single" w:sz="8" w:color="D5EEEE"/>
            </w:tcBorders>
          </w:tcPr>
          <w:p>
            <w:pPr>
              <w:spacing w:after="0"/>
              <w:rPr>
                <w:sz w:val="19"/>
                <w:szCs w:val="19"/>
                <w:color w:val="auto"/>
              </w:rPr>
            </w:pPr>
          </w:p>
        </w:tc>
        <w:tc>
          <w:tcPr>
            <w:tcW w:w="160" w:type="dxa"/>
            <w:vAlign w:val="bottom"/>
            <w:tcBorders>
              <w:top w:val="single" w:sz="8" w:color="D5EEEE"/>
              <w:right w:val="single" w:sz="8" w:color="D5EEEE"/>
            </w:tcBorders>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shd w:val="clear" w:color="auto" w:fill="D5EEEE"/>
              </w:rPr>
              <w:t>$</w:t>
            </w:r>
          </w:p>
        </w:tc>
        <w:tc>
          <w:tcPr>
            <w:tcW w:w="880" w:type="dxa"/>
            <w:vAlign w:val="bottom"/>
            <w:tcBorders>
              <w:top w:val="single" w:sz="8" w:color="D5EEEE"/>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(16</w:t>
            </w:r>
          </w:p>
        </w:tc>
        <w:tc>
          <w:tcPr>
            <w:tcW w:w="80" w:type="dxa"/>
            <w:vAlign w:val="bottom"/>
            <w:tcBorders>
              <w:top w:val="single" w:sz="8" w:color="D5EEEE"/>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w w:val="89"/>
                <w:shd w:val="clear" w:color="auto" w:fill="D5EEEE"/>
              </w:rPr>
              <w:t>)</w:t>
            </w:r>
          </w:p>
        </w:tc>
        <w:tc>
          <w:tcPr>
            <w:tcW w:w="40" w:type="dxa"/>
            <w:vAlign w:val="bottom"/>
            <w:tcBorders>
              <w:top w:val="single" w:sz="8" w:color="D5EEEE"/>
              <w:right w:val="single" w:sz="8" w:color="D5EEEE"/>
            </w:tcBorders>
            <w:shd w:val="clear" w:color="auto" w:fill="D5EEEE"/>
          </w:tcPr>
          <w:p>
            <w:pPr>
              <w:spacing w:after="0"/>
              <w:rPr>
                <w:sz w:val="19"/>
                <w:szCs w:val="19"/>
                <w:color w:val="auto"/>
              </w:rPr>
            </w:pPr>
          </w:p>
        </w:tc>
        <w:tc>
          <w:tcPr>
            <w:tcW w:w="100" w:type="dxa"/>
            <w:vAlign w:val="bottom"/>
            <w:tcBorders>
              <w:top w:val="single" w:sz="8" w:color="D5EEEE"/>
            </w:tcBorders>
            <w:gridSpan w:val="2"/>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Borders>
              <w:top w:val="single" w:sz="8" w:color="D5EEEE"/>
            </w:tcBorders>
          </w:tcPr>
          <w:p>
            <w:pPr>
              <w:spacing w:after="0"/>
              <w:rPr>
                <w:sz w:val="19"/>
                <w:szCs w:val="19"/>
                <w:color w:val="auto"/>
              </w:rPr>
            </w:pPr>
          </w:p>
        </w:tc>
        <w:tc>
          <w:tcPr>
            <w:tcW w:w="520" w:type="dxa"/>
            <w:vAlign w:val="bottom"/>
            <w:tcBorders>
              <w:top w:val="single" w:sz="8" w:color="D5EEEE"/>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w:t>
            </w:r>
          </w:p>
        </w:tc>
        <w:tc>
          <w:tcPr>
            <w:tcW w:w="60" w:type="dxa"/>
            <w:vAlign w:val="bottom"/>
            <w:tcBorders>
              <w:top w:val="single" w:sz="8" w:color="D5EEEE"/>
              <w:left w:val="single" w:sz="8" w:color="D5EEEE"/>
            </w:tcBorders>
          </w:tcPr>
          <w:p>
            <w:pPr>
              <w:spacing w:after="0"/>
              <w:rPr>
                <w:sz w:val="19"/>
                <w:szCs w:val="19"/>
                <w:color w:val="auto"/>
              </w:rPr>
            </w:pPr>
          </w:p>
        </w:tc>
        <w:tc>
          <w:tcPr>
            <w:tcW w:w="100" w:type="dxa"/>
            <w:vAlign w:val="bottom"/>
            <w:tcBorders>
              <w:top w:val="single" w:sz="8" w:color="D5EEEE"/>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Borders>
              <w:top w:val="single" w:sz="8" w:color="D5EEEE"/>
            </w:tcBorders>
          </w:tcPr>
          <w:p>
            <w:pPr>
              <w:spacing w:after="0"/>
              <w:rPr>
                <w:sz w:val="19"/>
                <w:szCs w:val="19"/>
                <w:color w:val="auto"/>
              </w:rPr>
            </w:pPr>
          </w:p>
        </w:tc>
        <w:tc>
          <w:tcPr>
            <w:tcW w:w="500" w:type="dxa"/>
            <w:vAlign w:val="bottom"/>
            <w:tcBorders>
              <w:top w:val="single" w:sz="8" w:color="D5EEEE"/>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209</w:t>
            </w:r>
          </w:p>
        </w:tc>
        <w:tc>
          <w:tcPr>
            <w:tcW w:w="80" w:type="dxa"/>
            <w:vAlign w:val="bottom"/>
            <w:tcBorders>
              <w:top w:val="single" w:sz="8" w:color="D5EEEE"/>
              <w:right w:val="single" w:sz="8" w:color="D5EEEE"/>
            </w:tcBorders>
            <w:shd w:val="clear" w:color="auto" w:fill="D5EEEE"/>
          </w:tcPr>
          <w:p>
            <w:pPr>
              <w:spacing w:after="0"/>
              <w:rPr>
                <w:sz w:val="19"/>
                <w:szCs w:val="19"/>
                <w:color w:val="auto"/>
              </w:rPr>
            </w:pPr>
          </w:p>
        </w:tc>
        <w:tc>
          <w:tcPr>
            <w:tcW w:w="40" w:type="dxa"/>
            <w:vAlign w:val="bottom"/>
            <w:tcBorders>
              <w:top w:val="single" w:sz="8" w:color="D5EEEE"/>
            </w:tcBorders>
          </w:tcPr>
          <w:p>
            <w:pPr>
              <w:spacing w:after="0"/>
              <w:rPr>
                <w:sz w:val="19"/>
                <w:szCs w:val="19"/>
                <w:color w:val="auto"/>
              </w:rPr>
            </w:pPr>
          </w:p>
        </w:tc>
        <w:tc>
          <w:tcPr>
            <w:tcW w:w="20" w:type="dxa"/>
            <w:vAlign w:val="bottom"/>
            <w:tcBorders>
              <w:top w:val="single" w:sz="8" w:color="D5EEEE"/>
            </w:tcBorders>
          </w:tcPr>
          <w:p>
            <w:pPr>
              <w:spacing w:after="0"/>
              <w:rPr>
                <w:sz w:val="19"/>
                <w:szCs w:val="19"/>
                <w:color w:val="auto"/>
              </w:rPr>
            </w:pPr>
          </w:p>
        </w:tc>
        <w:tc>
          <w:tcPr>
            <w:tcW w:w="12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w w:val="99"/>
                <w:shd w:val="clear" w:color="auto" w:fill="D5EEEE"/>
              </w:rPr>
              <w:t>$</w:t>
            </w:r>
          </w:p>
        </w:tc>
        <w:tc>
          <w:tcPr>
            <w:tcW w:w="20" w:type="dxa"/>
            <w:vAlign w:val="bottom"/>
          </w:tcPr>
          <w:p>
            <w:pPr>
              <w:spacing w:after="0"/>
              <w:rPr>
                <w:sz w:val="19"/>
                <w:szCs w:val="19"/>
                <w:color w:val="auto"/>
              </w:rPr>
            </w:pPr>
          </w:p>
        </w:tc>
        <w:tc>
          <w:tcPr>
            <w:tcW w:w="880" w:type="dxa"/>
            <w:vAlign w:val="bottom"/>
            <w:tcBorders>
              <w:top w:val="single" w:sz="8" w:color="D5EEEE"/>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(182)</w:t>
            </w:r>
          </w:p>
        </w:tc>
        <w:tc>
          <w:tcPr>
            <w:tcW w:w="20" w:type="dxa"/>
            <w:vAlign w:val="bottom"/>
            <w:tcBorders>
              <w:top w:val="single" w:sz="8" w:color="D5EEEE"/>
            </w:tcBorders>
            <w:shd w:val="clear" w:color="auto" w:fill="D5EEEE"/>
          </w:tcPr>
          <w:p>
            <w:pPr>
              <w:spacing w:after="0"/>
              <w:rPr>
                <w:sz w:val="19"/>
                <w:szCs w:val="19"/>
                <w:color w:val="auto"/>
              </w:rPr>
            </w:pPr>
          </w:p>
        </w:tc>
        <w:tc>
          <w:tcPr>
            <w:tcW w:w="80" w:type="dxa"/>
            <w:vAlign w:val="bottom"/>
            <w:tcBorders>
              <w:top w:val="single" w:sz="8" w:color="D5EEEE"/>
            </w:tcBorders>
            <w:shd w:val="clear" w:color="auto" w:fill="D5EEEE"/>
          </w:tcPr>
          <w:p>
            <w:pPr>
              <w:spacing w:after="0"/>
              <w:rPr>
                <w:sz w:val="19"/>
                <w:szCs w:val="19"/>
                <w:color w:val="auto"/>
              </w:rPr>
            </w:pPr>
          </w:p>
        </w:tc>
        <w:tc>
          <w:tcPr>
            <w:tcW w:w="160" w:type="dxa"/>
            <w:vAlign w:val="bottom"/>
            <w:tcBorders>
              <w:left w:val="single" w:sz="8" w:color="D5EEEE"/>
              <w:right w:val="single" w:sz="8" w:color="D5EEEE"/>
            </w:tcBorders>
            <w:shd w:val="clear" w:color="auto" w:fill="D5EEEE"/>
          </w:tcPr>
          <w:p>
            <w:pPr>
              <w:ind w:left="20"/>
              <w:spacing w:after="0" w:line="225" w:lineRule="exact"/>
              <w:rPr>
                <w:sz w:val="20"/>
                <w:szCs w:val="20"/>
                <w:color w:val="auto"/>
              </w:rPr>
            </w:pPr>
            <w:r>
              <w:rPr>
                <w:rFonts w:ascii="Times New Roman" w:cs="Times New Roman" w:eastAsia="Times New Roman" w:hAnsi="Times New Roman"/>
                <w:sz w:val="20"/>
                <w:szCs w:val="20"/>
                <w:color w:val="auto"/>
                <w:w w:val="99"/>
                <w:shd w:val="clear" w:color="auto" w:fill="D5EEEE"/>
              </w:rPr>
              <w:t>$</w:t>
            </w:r>
          </w:p>
        </w:tc>
        <w:tc>
          <w:tcPr>
            <w:tcW w:w="500" w:type="dxa"/>
            <w:vAlign w:val="bottom"/>
            <w:tcBorders>
              <w:top w:val="single" w:sz="8" w:color="D5EEEE"/>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27</w:t>
            </w:r>
          </w:p>
        </w:tc>
        <w:tc>
          <w:tcPr>
            <w:tcW w:w="100" w:type="dxa"/>
            <w:vAlign w:val="bottom"/>
            <w:tcBorders>
              <w:top w:val="single" w:sz="8" w:color="D5EEEE"/>
              <w:left w:val="single" w:sz="8" w:color="D5EEEE"/>
            </w:tcBorders>
          </w:tcPr>
          <w:p>
            <w:pPr>
              <w:spacing w:after="0"/>
              <w:rPr>
                <w:sz w:val="19"/>
                <w:szCs w:val="19"/>
                <w:color w:val="auto"/>
              </w:rPr>
            </w:pPr>
          </w:p>
        </w:tc>
        <w:tc>
          <w:tcPr>
            <w:tcW w:w="20" w:type="dxa"/>
            <w:vAlign w:val="bottom"/>
            <w:tcBorders>
              <w:top w:val="single" w:sz="8" w:color="D5EEEE"/>
            </w:tcBorders>
          </w:tcPr>
          <w:p>
            <w:pPr>
              <w:spacing w:after="0"/>
              <w:rPr>
                <w:sz w:val="19"/>
                <w:szCs w:val="19"/>
                <w:color w:val="auto"/>
              </w:rPr>
            </w:pPr>
          </w:p>
        </w:tc>
        <w:tc>
          <w:tcPr>
            <w:tcW w:w="120" w:type="dxa"/>
            <w:vAlign w:val="bottom"/>
            <w:tcBorders>
              <w:top w:val="single" w:sz="8" w:color="D5EEEE"/>
              <w:right w:val="single" w:sz="8" w:color="D5EEEE"/>
            </w:tcBorders>
            <w:shd w:val="clear" w:color="auto" w:fill="D5EEEE"/>
          </w:tcPr>
          <w:p>
            <w:pPr>
              <w:spacing w:after="0"/>
              <w:rPr>
                <w:sz w:val="20"/>
                <w:szCs w:val="20"/>
                <w:color w:val="auto"/>
              </w:rPr>
            </w:pPr>
            <w:r>
              <w:rPr>
                <w:rFonts w:ascii="Times New Roman" w:cs="Times New Roman" w:eastAsia="Times New Roman" w:hAnsi="Times New Roman"/>
                <w:sz w:val="18"/>
                <w:szCs w:val="18"/>
                <w:color w:val="auto"/>
                <w:w w:val="88"/>
                <w:shd w:val="clear" w:color="auto" w:fill="D5EEEE"/>
              </w:rPr>
              <w:t>$</w:t>
            </w:r>
          </w:p>
        </w:tc>
        <w:tc>
          <w:tcPr>
            <w:tcW w:w="20" w:type="dxa"/>
            <w:vAlign w:val="bottom"/>
            <w:tcBorders>
              <w:top w:val="single" w:sz="8" w:color="D5EEEE"/>
            </w:tcBorders>
          </w:tcPr>
          <w:p>
            <w:pPr>
              <w:spacing w:after="0"/>
              <w:rPr>
                <w:sz w:val="19"/>
                <w:szCs w:val="19"/>
                <w:color w:val="auto"/>
              </w:rPr>
            </w:pPr>
          </w:p>
        </w:tc>
        <w:tc>
          <w:tcPr>
            <w:tcW w:w="480" w:type="dxa"/>
            <w:vAlign w:val="bottom"/>
            <w:tcBorders>
              <w:top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60" w:type="dxa"/>
            <w:vAlign w:val="bottom"/>
            <w:tcBorders>
              <w:top w:val="single" w:sz="8" w:color="D5EEEE"/>
              <w:right w:val="single" w:sz="8" w:color="D5EEEE"/>
            </w:tcBorders>
            <w:shd w:val="clear" w:color="auto" w:fill="D5EEEE"/>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18"/>
                <w:szCs w:val="18"/>
                <w:color w:val="auto"/>
                <w:shd w:val="clear" w:color="auto" w:fill="D5EEEE"/>
              </w:rPr>
              <w:t>$</w:t>
            </w:r>
          </w:p>
        </w:tc>
        <w:tc>
          <w:tcPr>
            <w:tcW w:w="20" w:type="dxa"/>
            <w:vAlign w:val="bottom"/>
            <w:tcBorders>
              <w:top w:val="single" w:sz="8" w:color="D5EEEE"/>
            </w:tcBorders>
          </w:tcPr>
          <w:p>
            <w:pPr>
              <w:spacing w:after="0"/>
              <w:rPr>
                <w:sz w:val="19"/>
                <w:szCs w:val="19"/>
                <w:color w:val="auto"/>
              </w:rPr>
            </w:pPr>
          </w:p>
        </w:tc>
        <w:tc>
          <w:tcPr>
            <w:tcW w:w="880" w:type="dxa"/>
            <w:vAlign w:val="bottom"/>
            <w:tcBorders>
              <w:top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 w:type="dxa"/>
            <w:vAlign w:val="bottom"/>
            <w:tcBorders>
              <w:top w:val="single" w:sz="8" w:color="D5EEEE"/>
            </w:tcBorders>
            <w:shd w:val="clear" w:color="auto" w:fill="D5EEEE"/>
          </w:tcPr>
          <w:p>
            <w:pPr>
              <w:spacing w:after="0"/>
              <w:rPr>
                <w:sz w:val="19"/>
                <w:szCs w:val="19"/>
                <w:color w:val="auto"/>
              </w:rPr>
            </w:pPr>
          </w:p>
        </w:tc>
        <w:tc>
          <w:tcPr>
            <w:tcW w:w="60" w:type="dxa"/>
            <w:vAlign w:val="bottom"/>
            <w:tcBorders>
              <w:top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5EEEE"/>
              </w:rPr>
              <w:t>)</w:t>
            </w:r>
          </w:p>
        </w:tc>
        <w:tc>
          <w:tcPr>
            <w:tcW w:w="40" w:type="dxa"/>
            <w:vAlign w:val="bottom"/>
            <w:tcBorders>
              <w:top w:val="single" w:sz="8" w:color="D5EEEE"/>
              <w:right w:val="single" w:sz="8" w:color="D5EEEE"/>
            </w:tcBorders>
            <w:shd w:val="clear" w:color="auto" w:fill="D5EEEE"/>
          </w:tcPr>
          <w:p>
            <w:pPr>
              <w:spacing w:after="0"/>
              <w:rPr>
                <w:sz w:val="19"/>
                <w:szCs w:val="19"/>
                <w:color w:val="auto"/>
              </w:rPr>
            </w:pPr>
          </w:p>
        </w:tc>
        <w:tc>
          <w:tcPr>
            <w:tcW w:w="10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w w:val="88"/>
                <w:shd w:val="clear" w:color="auto" w:fill="D5EEEE"/>
              </w:rPr>
              <w:t>$</w:t>
            </w:r>
          </w:p>
        </w:tc>
        <w:tc>
          <w:tcPr>
            <w:tcW w:w="60" w:type="dxa"/>
            <w:vAlign w:val="bottom"/>
            <w:tcBorders>
              <w:right w:val="single" w:sz="8" w:color="D5EEEE"/>
            </w:tcBorders>
          </w:tcPr>
          <w:p>
            <w:pPr>
              <w:spacing w:after="0"/>
              <w:rPr>
                <w:sz w:val="19"/>
                <w:szCs w:val="19"/>
                <w:color w:val="auto"/>
              </w:rPr>
            </w:pPr>
          </w:p>
        </w:tc>
        <w:tc>
          <w:tcPr>
            <w:tcW w:w="460" w:type="dxa"/>
            <w:vAlign w:val="bottom"/>
            <w:tcBorders>
              <w:top w:val="single" w:sz="8" w:color="D5EEEE"/>
            </w:tcBorders>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Borders>
              <w:top w:val="single" w:sz="8" w:color="D5EEEE"/>
              <w:right w:val="single" w:sz="8" w:color="D5EEEE"/>
            </w:tcBorders>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840" w:type="dxa"/>
            <w:vAlign w:val="bottom"/>
            <w:tcBorders>
              <w:bottom w:val="single" w:sz="8" w:color="D5EEEE"/>
            </w:tcBorders>
          </w:tcPr>
          <w:p>
            <w:pPr>
              <w:spacing w:after="0"/>
              <w:rPr>
                <w:sz w:val="19"/>
                <w:szCs w:val="19"/>
                <w:color w:val="auto"/>
              </w:rPr>
            </w:pPr>
          </w:p>
        </w:tc>
        <w:tc>
          <w:tcPr>
            <w:tcW w:w="140" w:type="dxa"/>
            <w:vAlign w:val="bottom"/>
            <w:tcBorders>
              <w:bottom w:val="single" w:sz="8" w:color="D5EEEE"/>
            </w:tcBorders>
          </w:tcPr>
          <w:p>
            <w:pPr>
              <w:spacing w:after="0"/>
              <w:rPr>
                <w:sz w:val="19"/>
                <w:szCs w:val="19"/>
                <w:color w:val="auto"/>
              </w:rPr>
            </w:pPr>
          </w:p>
        </w:tc>
        <w:tc>
          <w:tcPr>
            <w:tcW w:w="86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13</w:t>
            </w:r>
          </w:p>
        </w:tc>
        <w:tc>
          <w:tcPr>
            <w:tcW w:w="60" w:type="dxa"/>
            <w:vAlign w:val="bottom"/>
            <w:tcBorders>
              <w:bottom w:val="single" w:sz="8" w:color="D5EEEE"/>
            </w:tcBorders>
          </w:tcPr>
          <w:p>
            <w:pPr>
              <w:spacing w:after="0"/>
              <w:rPr>
                <w:sz w:val="19"/>
                <w:szCs w:val="19"/>
                <w:color w:val="auto"/>
              </w:rPr>
            </w:pPr>
          </w:p>
        </w:tc>
        <w:tc>
          <w:tcPr>
            <w:tcW w:w="6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54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137</w:t>
            </w:r>
          </w:p>
        </w:tc>
        <w:tc>
          <w:tcPr>
            <w:tcW w:w="6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60" w:type="dxa"/>
            <w:vAlign w:val="bottom"/>
            <w:tcBorders>
              <w:bottom w:val="single" w:sz="8" w:color="D5EEEE"/>
            </w:tcBorders>
          </w:tcPr>
          <w:p>
            <w:pPr>
              <w:spacing w:after="0"/>
              <w:rPr>
                <w:sz w:val="19"/>
                <w:szCs w:val="19"/>
                <w:color w:val="auto"/>
              </w:rPr>
            </w:pPr>
          </w:p>
        </w:tc>
        <w:tc>
          <w:tcPr>
            <w:tcW w:w="88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(28</w:t>
            </w:r>
          </w:p>
        </w:tc>
        <w:tc>
          <w:tcPr>
            <w:tcW w:w="8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white"/>
                <w:w w:val="89"/>
              </w:rPr>
              <w:t>)</w:t>
            </w:r>
          </w:p>
        </w:tc>
        <w:tc>
          <w:tcPr>
            <w:tcW w:w="4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52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109</w:t>
            </w:r>
          </w:p>
        </w:tc>
        <w:tc>
          <w:tcPr>
            <w:tcW w:w="6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50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123</w:t>
            </w:r>
          </w:p>
        </w:tc>
        <w:tc>
          <w:tcPr>
            <w:tcW w:w="80" w:type="dxa"/>
            <w:vAlign w:val="bottom"/>
            <w:tcBorders>
              <w:bottom w:val="single" w:sz="8" w:color="D5EEEE"/>
            </w:tcBorders>
          </w:tcPr>
          <w:p>
            <w:pPr>
              <w:spacing w:after="0"/>
              <w:rPr>
                <w:sz w:val="19"/>
                <w:szCs w:val="19"/>
                <w:color w:val="auto"/>
              </w:rPr>
            </w:pPr>
          </w:p>
        </w:tc>
        <w:tc>
          <w:tcPr>
            <w:tcW w:w="4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(18)</w:t>
            </w:r>
          </w:p>
        </w:tc>
        <w:tc>
          <w:tcPr>
            <w:tcW w:w="20" w:type="dxa"/>
            <w:vAlign w:val="bottom"/>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105</w:t>
            </w: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2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48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60" w:type="dxa"/>
            <w:vAlign w:val="bottom"/>
            <w:tcBorders>
              <w:bottom w:val="single" w:sz="8" w:color="D5EEEE"/>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88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Borders>
              <w:bottom w:val="single" w:sz="8" w:color="D5EEEE"/>
            </w:tcBorders>
          </w:tcPr>
          <w:p>
            <w:pPr>
              <w:spacing w:after="0"/>
              <w:rPr>
                <w:sz w:val="19"/>
                <w:szCs w:val="19"/>
                <w:color w:val="auto"/>
              </w:rPr>
            </w:pPr>
          </w:p>
        </w:tc>
        <w:tc>
          <w:tcPr>
            <w:tcW w:w="6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40" w:type="dxa"/>
            <w:vAlign w:val="bottom"/>
            <w:tcBorders>
              <w:bottom w:val="single" w:sz="8" w:color="D5EEEE"/>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40" w:type="dxa"/>
            <w:vAlign w:val="bottom"/>
            <w:tcBorders>
              <w:right w:val="single" w:sz="8" w:color="D5EEEE"/>
            </w:tcBorders>
            <w:shd w:val="clear" w:color="auto" w:fill="D5EEE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14</w:t>
            </w:r>
          </w:p>
        </w:tc>
        <w:tc>
          <w:tcPr>
            <w:tcW w:w="60" w:type="dxa"/>
            <w:vAlign w:val="bottom"/>
            <w:tcBorders>
              <w:right w:val="single" w:sz="8" w:color="D5EEEE"/>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194</w:t>
            </w:r>
          </w:p>
        </w:tc>
        <w:tc>
          <w:tcPr>
            <w:tcW w:w="60" w:type="dxa"/>
            <w:vAlign w:val="bottom"/>
            <w:tcBorders>
              <w:left w:val="single" w:sz="8" w:color="D5EEEE"/>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right w:val="single" w:sz="8" w:color="D5EEEE"/>
            </w:tcBorders>
          </w:tcPr>
          <w:p>
            <w:pPr>
              <w:spacing w:after="0"/>
              <w:rPr>
                <w:sz w:val="19"/>
                <w:szCs w:val="19"/>
                <w:color w:val="auto"/>
              </w:rPr>
            </w:pPr>
          </w:p>
        </w:tc>
        <w:tc>
          <w:tcPr>
            <w:tcW w:w="88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(39</w:t>
            </w:r>
          </w:p>
        </w:tc>
        <w:tc>
          <w:tcPr>
            <w:tcW w:w="8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w w:val="89"/>
                <w:shd w:val="clear" w:color="auto" w:fill="D5EEEE"/>
              </w:rPr>
              <w:t>)</w:t>
            </w:r>
          </w:p>
        </w:tc>
        <w:tc>
          <w:tcPr>
            <w:tcW w:w="40" w:type="dxa"/>
            <w:vAlign w:val="bottom"/>
            <w:tcBorders>
              <w:right w:val="single" w:sz="8" w:color="D5EEEE"/>
            </w:tcBorders>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155</w:t>
            </w:r>
          </w:p>
        </w:tc>
        <w:tc>
          <w:tcPr>
            <w:tcW w:w="60" w:type="dxa"/>
            <w:vAlign w:val="bottom"/>
            <w:tcBorders>
              <w:left w:val="single" w:sz="8" w:color="D5EEEE"/>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192</w:t>
            </w:r>
          </w:p>
        </w:tc>
        <w:tc>
          <w:tcPr>
            <w:tcW w:w="80" w:type="dxa"/>
            <w:vAlign w:val="bottom"/>
            <w:tcBorders>
              <w:right w:val="single" w:sz="8" w:color="D5EEEE"/>
            </w:tcBorders>
            <w:shd w:val="clear" w:color="auto" w:fill="D5EEEE"/>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(25)</w:t>
            </w:r>
          </w:p>
        </w:tc>
        <w:tc>
          <w:tcPr>
            <w:tcW w:w="20" w:type="dxa"/>
            <w:vAlign w:val="bottom"/>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160" w:type="dxa"/>
            <w:vAlign w:val="bottom"/>
            <w:tcBorders>
              <w:left w:val="single" w:sz="8" w:color="D5EEEE"/>
              <w:right w:val="single" w:sz="8" w:color="D5EEEE"/>
            </w:tcBorders>
          </w:tcPr>
          <w:p>
            <w:pPr>
              <w:spacing w:after="0"/>
              <w:rPr>
                <w:sz w:val="19"/>
                <w:szCs w:val="19"/>
                <w:color w:val="auto"/>
              </w:rPr>
            </w:pPr>
          </w:p>
        </w:tc>
        <w:tc>
          <w:tcPr>
            <w:tcW w:w="50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167</w:t>
            </w:r>
          </w:p>
        </w:tc>
        <w:tc>
          <w:tcPr>
            <w:tcW w:w="100" w:type="dxa"/>
            <w:vAlign w:val="bottom"/>
            <w:tcBorders>
              <w:left w:val="single" w:sz="8" w:color="D5EEEE"/>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60" w:type="dxa"/>
            <w:vAlign w:val="bottom"/>
            <w:tcBorders>
              <w:right w:val="single" w:sz="8" w:color="D5EEEE"/>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c>
          <w:tcPr>
            <w:tcW w:w="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5EEEE"/>
              </w:rPr>
              <w:t>)</w:t>
            </w:r>
          </w:p>
        </w:tc>
        <w:tc>
          <w:tcPr>
            <w:tcW w:w="40" w:type="dxa"/>
            <w:vAlign w:val="bottom"/>
            <w:tcBorders>
              <w:right w:val="single" w:sz="8" w:color="D5EEEE"/>
            </w:tcBorders>
            <w:shd w:val="clear" w:color="auto" w:fill="D5EEEE"/>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right w:val="single" w:sz="8" w:color="D5EEEE"/>
            </w:tcBorders>
          </w:tcPr>
          <w:p>
            <w:pPr>
              <w:spacing w:after="0"/>
              <w:rPr>
                <w:sz w:val="19"/>
                <w:szCs w:val="19"/>
                <w:color w:val="auto"/>
              </w:rPr>
            </w:pPr>
          </w:p>
        </w:tc>
        <w:tc>
          <w:tcPr>
            <w:tcW w:w="46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Borders>
              <w:right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840" w:type="dxa"/>
            <w:vAlign w:val="bottom"/>
            <w:tcBorders>
              <w:bottom w:val="single" w:sz="8" w:color="D5EEEE"/>
            </w:tcBorders>
          </w:tcPr>
          <w:p>
            <w:pPr>
              <w:spacing w:after="0"/>
              <w:rPr>
                <w:sz w:val="19"/>
                <w:szCs w:val="19"/>
                <w:color w:val="auto"/>
              </w:rPr>
            </w:pPr>
          </w:p>
        </w:tc>
        <w:tc>
          <w:tcPr>
            <w:tcW w:w="140" w:type="dxa"/>
            <w:vAlign w:val="bottom"/>
            <w:tcBorders>
              <w:bottom w:val="single" w:sz="8" w:color="D5EEEE"/>
            </w:tcBorders>
          </w:tcPr>
          <w:p>
            <w:pPr>
              <w:spacing w:after="0"/>
              <w:rPr>
                <w:sz w:val="19"/>
                <w:szCs w:val="19"/>
                <w:color w:val="auto"/>
              </w:rPr>
            </w:pPr>
          </w:p>
        </w:tc>
        <w:tc>
          <w:tcPr>
            <w:tcW w:w="86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19</w:t>
            </w:r>
          </w:p>
        </w:tc>
        <w:tc>
          <w:tcPr>
            <w:tcW w:w="60" w:type="dxa"/>
            <w:vAlign w:val="bottom"/>
            <w:tcBorders>
              <w:bottom w:val="single" w:sz="8" w:color="D5EEEE"/>
            </w:tcBorders>
          </w:tcPr>
          <w:p>
            <w:pPr>
              <w:spacing w:after="0"/>
              <w:rPr>
                <w:sz w:val="19"/>
                <w:szCs w:val="19"/>
                <w:color w:val="auto"/>
              </w:rPr>
            </w:pPr>
          </w:p>
        </w:tc>
        <w:tc>
          <w:tcPr>
            <w:tcW w:w="6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54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89</w:t>
            </w:r>
          </w:p>
        </w:tc>
        <w:tc>
          <w:tcPr>
            <w:tcW w:w="6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60" w:type="dxa"/>
            <w:vAlign w:val="bottom"/>
            <w:tcBorders>
              <w:bottom w:val="single" w:sz="8" w:color="D5EEEE"/>
            </w:tcBorders>
          </w:tcPr>
          <w:p>
            <w:pPr>
              <w:spacing w:after="0"/>
              <w:rPr>
                <w:sz w:val="19"/>
                <w:szCs w:val="19"/>
                <w:color w:val="auto"/>
              </w:rPr>
            </w:pPr>
          </w:p>
        </w:tc>
        <w:tc>
          <w:tcPr>
            <w:tcW w:w="960" w:type="dxa"/>
            <w:vAlign w:val="bottom"/>
            <w:tcBorders>
              <w:bottom w:val="single" w:sz="8" w:color="D5EEEE"/>
            </w:tcBorders>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(6)</w:t>
            </w:r>
          </w:p>
        </w:tc>
        <w:tc>
          <w:tcPr>
            <w:tcW w:w="4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52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83</w:t>
            </w:r>
          </w:p>
        </w:tc>
        <w:tc>
          <w:tcPr>
            <w:tcW w:w="6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50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46</w:t>
            </w:r>
          </w:p>
        </w:tc>
        <w:tc>
          <w:tcPr>
            <w:tcW w:w="80" w:type="dxa"/>
            <w:vAlign w:val="bottom"/>
            <w:tcBorders>
              <w:bottom w:val="single" w:sz="8" w:color="D5EEEE"/>
            </w:tcBorders>
          </w:tcPr>
          <w:p>
            <w:pPr>
              <w:spacing w:after="0"/>
              <w:rPr>
                <w:sz w:val="19"/>
                <w:szCs w:val="19"/>
                <w:color w:val="auto"/>
              </w:rPr>
            </w:pPr>
          </w:p>
        </w:tc>
        <w:tc>
          <w:tcPr>
            <w:tcW w:w="4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(3)</w:t>
            </w:r>
          </w:p>
        </w:tc>
        <w:tc>
          <w:tcPr>
            <w:tcW w:w="160" w:type="dxa"/>
            <w:vAlign w:val="bottom"/>
          </w:tcPr>
          <w:p>
            <w:pPr>
              <w:spacing w:after="0"/>
              <w:rPr>
                <w:sz w:val="19"/>
                <w:szCs w:val="19"/>
                <w:color w:val="auto"/>
              </w:rPr>
            </w:pPr>
          </w:p>
        </w:tc>
        <w:tc>
          <w:tcPr>
            <w:tcW w:w="5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43</w:t>
            </w: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2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48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Borders>
              <w:bottom w:val="single" w:sz="8" w:color="D5EEEE"/>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88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D5EEEE"/>
            </w:tcBorders>
          </w:tcPr>
          <w:p>
            <w:pPr>
              <w:spacing w:after="0"/>
              <w:rPr>
                <w:sz w:val="19"/>
                <w:szCs w:val="19"/>
                <w:color w:val="auto"/>
              </w:rPr>
            </w:pPr>
          </w:p>
        </w:tc>
        <w:tc>
          <w:tcPr>
            <w:tcW w:w="6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40" w:type="dxa"/>
            <w:vAlign w:val="bottom"/>
            <w:tcBorders>
              <w:bottom w:val="single" w:sz="8" w:color="D5EEEE"/>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40" w:type="dxa"/>
            <w:vAlign w:val="bottom"/>
            <w:tcBorders>
              <w:right w:val="single" w:sz="8" w:color="D5EEEE"/>
            </w:tcBorders>
            <w:shd w:val="clear" w:color="auto" w:fill="D5EEE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20</w:t>
            </w:r>
          </w:p>
        </w:tc>
        <w:tc>
          <w:tcPr>
            <w:tcW w:w="60" w:type="dxa"/>
            <w:vAlign w:val="bottom"/>
            <w:tcBorders>
              <w:right w:val="single" w:sz="8" w:color="D5EEEE"/>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43</w:t>
            </w:r>
          </w:p>
        </w:tc>
        <w:tc>
          <w:tcPr>
            <w:tcW w:w="60" w:type="dxa"/>
            <w:vAlign w:val="bottom"/>
            <w:tcBorders>
              <w:left w:val="single" w:sz="8" w:color="D5EEEE"/>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39</w:t>
            </w:r>
          </w:p>
        </w:tc>
        <w:tc>
          <w:tcPr>
            <w:tcW w:w="60" w:type="dxa"/>
            <w:vAlign w:val="bottom"/>
            <w:tcBorders>
              <w:left w:val="single" w:sz="8" w:color="D5EEEE"/>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39</w:t>
            </w:r>
          </w:p>
        </w:tc>
        <w:tc>
          <w:tcPr>
            <w:tcW w:w="80" w:type="dxa"/>
            <w:vAlign w:val="bottom"/>
            <w:tcBorders>
              <w:right w:val="single" w:sz="8" w:color="D5EEEE"/>
            </w:tcBorders>
            <w:shd w:val="clear" w:color="auto" w:fill="D5EEEE"/>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(2)</w:t>
            </w:r>
          </w:p>
        </w:tc>
        <w:tc>
          <w:tcPr>
            <w:tcW w:w="160" w:type="dxa"/>
            <w:vAlign w:val="bottom"/>
            <w:tcBorders>
              <w:right w:val="single" w:sz="8" w:color="D5EEEE"/>
            </w:tcBorders>
          </w:tcPr>
          <w:p>
            <w:pPr>
              <w:spacing w:after="0"/>
              <w:rPr>
                <w:sz w:val="19"/>
                <w:szCs w:val="19"/>
                <w:color w:val="auto"/>
              </w:rPr>
            </w:pPr>
          </w:p>
        </w:tc>
        <w:tc>
          <w:tcPr>
            <w:tcW w:w="50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37</w:t>
            </w:r>
          </w:p>
        </w:tc>
        <w:tc>
          <w:tcPr>
            <w:tcW w:w="100" w:type="dxa"/>
            <w:vAlign w:val="bottom"/>
            <w:tcBorders>
              <w:left w:val="single" w:sz="8" w:color="D5EEEE"/>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Borders>
              <w:right w:val="single" w:sz="8" w:color="D5EEEE"/>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5EEEE"/>
              </w:rPr>
              <w:t>)</w:t>
            </w:r>
          </w:p>
        </w:tc>
        <w:tc>
          <w:tcPr>
            <w:tcW w:w="40" w:type="dxa"/>
            <w:vAlign w:val="bottom"/>
            <w:tcBorders>
              <w:right w:val="single" w:sz="8" w:color="D5EEEE"/>
            </w:tcBorders>
            <w:shd w:val="clear" w:color="auto" w:fill="D5EEEE"/>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right w:val="single" w:sz="8" w:color="D5EEEE"/>
            </w:tcBorders>
          </w:tcPr>
          <w:p>
            <w:pPr>
              <w:spacing w:after="0"/>
              <w:rPr>
                <w:sz w:val="19"/>
                <w:szCs w:val="19"/>
                <w:color w:val="auto"/>
              </w:rPr>
            </w:pPr>
          </w:p>
        </w:tc>
        <w:tc>
          <w:tcPr>
            <w:tcW w:w="460" w:type="dxa"/>
            <w:vAlign w:val="bottom"/>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right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40" w:type="dxa"/>
            <w:vAlign w:val="bottom"/>
            <w:tcBorders>
              <w:top w:val="single" w:sz="8" w:color="D5EEEE"/>
              <w:bottom w:val="single" w:sz="8" w:color="D5EEEE"/>
            </w:tcBorders>
          </w:tcPr>
          <w:p>
            <w:pPr>
              <w:spacing w:after="0"/>
              <w:rPr>
                <w:sz w:val="19"/>
                <w:szCs w:val="19"/>
                <w:color w:val="auto"/>
              </w:rPr>
            </w:pPr>
          </w:p>
        </w:tc>
        <w:tc>
          <w:tcPr>
            <w:tcW w:w="140" w:type="dxa"/>
            <w:vAlign w:val="bottom"/>
            <w:tcBorders>
              <w:bottom w:val="single" w:sz="8" w:color="D5EEEE"/>
            </w:tcBorders>
          </w:tcPr>
          <w:p>
            <w:pPr>
              <w:spacing w:after="0"/>
              <w:rPr>
                <w:sz w:val="19"/>
                <w:szCs w:val="19"/>
                <w:color w:val="auto"/>
              </w:rPr>
            </w:pPr>
          </w:p>
        </w:tc>
        <w:tc>
          <w:tcPr>
            <w:tcW w:w="860" w:type="dxa"/>
            <w:vAlign w:val="bottom"/>
            <w:tcBorders>
              <w:top w:val="single" w:sz="8" w:color="D5EEEE"/>
              <w:bottom w:val="single" w:sz="8" w:color="D5EEEE"/>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13</w:t>
            </w:r>
          </w:p>
        </w:tc>
        <w:tc>
          <w:tcPr>
            <w:tcW w:w="60" w:type="dxa"/>
            <w:vAlign w:val="bottom"/>
            <w:tcBorders>
              <w:bottom w:val="single" w:sz="8" w:color="D5EEEE"/>
            </w:tcBorders>
          </w:tcPr>
          <w:p>
            <w:pPr>
              <w:spacing w:after="0"/>
              <w:rPr>
                <w:sz w:val="19"/>
                <w:szCs w:val="19"/>
                <w:color w:val="auto"/>
              </w:rPr>
            </w:pPr>
          </w:p>
        </w:tc>
        <w:tc>
          <w:tcPr>
            <w:tcW w:w="6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540" w:type="dxa"/>
            <w:vAlign w:val="bottom"/>
            <w:tcBorders>
              <w:top w:val="single" w:sz="8" w:color="D5EEEE"/>
              <w:bottom w:val="single" w:sz="8" w:color="D5EEEE"/>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2</w:t>
            </w:r>
          </w:p>
        </w:tc>
        <w:tc>
          <w:tcPr>
            <w:tcW w:w="6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60" w:type="dxa"/>
            <w:vAlign w:val="bottom"/>
            <w:tcBorders>
              <w:bottom w:val="single" w:sz="8" w:color="D5EEEE"/>
            </w:tcBorders>
          </w:tcPr>
          <w:p>
            <w:pPr>
              <w:spacing w:after="0"/>
              <w:rPr>
                <w:sz w:val="19"/>
                <w:szCs w:val="19"/>
                <w:color w:val="auto"/>
              </w:rPr>
            </w:pPr>
          </w:p>
        </w:tc>
        <w:tc>
          <w:tcPr>
            <w:tcW w:w="880" w:type="dxa"/>
            <w:vAlign w:val="bottom"/>
            <w:tcBorders>
              <w:bottom w:val="single" w:sz="8" w:color="D5EEEE"/>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D5EEEE"/>
            </w:tcBorders>
          </w:tcPr>
          <w:p>
            <w:pPr>
              <w:spacing w:after="0"/>
              <w:rPr>
                <w:sz w:val="19"/>
                <w:szCs w:val="19"/>
                <w:color w:val="auto"/>
              </w:rPr>
            </w:pPr>
          </w:p>
        </w:tc>
        <w:tc>
          <w:tcPr>
            <w:tcW w:w="4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520" w:type="dxa"/>
            <w:vAlign w:val="bottom"/>
            <w:tcBorders>
              <w:top w:val="single" w:sz="8" w:color="D5EEEE"/>
              <w:bottom w:val="single" w:sz="8" w:color="D5EEEE"/>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2</w:t>
            </w:r>
          </w:p>
        </w:tc>
        <w:tc>
          <w:tcPr>
            <w:tcW w:w="6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500" w:type="dxa"/>
            <w:vAlign w:val="bottom"/>
            <w:tcBorders>
              <w:top w:val="single" w:sz="8" w:color="D5EEEE"/>
              <w:bottom w:val="single" w:sz="8" w:color="D5EEEE"/>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2</w:t>
            </w:r>
          </w:p>
        </w:tc>
        <w:tc>
          <w:tcPr>
            <w:tcW w:w="80" w:type="dxa"/>
            <w:vAlign w:val="bottom"/>
            <w:tcBorders>
              <w:top w:val="single" w:sz="8" w:color="D5EEEE"/>
              <w:bottom w:val="single" w:sz="8" w:color="D5EEEE"/>
            </w:tcBorders>
          </w:tcPr>
          <w:p>
            <w:pPr>
              <w:spacing w:after="0"/>
              <w:rPr>
                <w:sz w:val="19"/>
                <w:szCs w:val="19"/>
                <w:color w:val="auto"/>
              </w:rPr>
            </w:pPr>
          </w:p>
        </w:tc>
        <w:tc>
          <w:tcPr>
            <w:tcW w:w="4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D5EEEE"/>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2</w:t>
            </w: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2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48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5EEEE"/>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88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5EEEE"/>
            </w:tcBorders>
          </w:tcPr>
          <w:p>
            <w:pPr>
              <w:spacing w:after="0"/>
              <w:rPr>
                <w:sz w:val="19"/>
                <w:szCs w:val="19"/>
                <w:color w:val="auto"/>
              </w:rPr>
            </w:pPr>
          </w:p>
        </w:tc>
        <w:tc>
          <w:tcPr>
            <w:tcW w:w="60" w:type="dxa"/>
            <w:vAlign w:val="bottom"/>
            <w:tcBorders>
              <w:top w:val="single" w:sz="8" w:color="D5EEEE"/>
              <w:bottom w:val="single" w:sz="8" w:color="D5EEEE"/>
            </w:tcBorders>
          </w:tcPr>
          <w:p>
            <w:pPr>
              <w:spacing w:after="0"/>
              <w:rPr>
                <w:sz w:val="19"/>
                <w:szCs w:val="19"/>
                <w:color w:val="auto"/>
              </w:rPr>
            </w:pPr>
          </w:p>
        </w:tc>
        <w:tc>
          <w:tcPr>
            <w:tcW w:w="40" w:type="dxa"/>
            <w:vAlign w:val="bottom"/>
            <w:tcBorders>
              <w:top w:val="single" w:sz="8" w:color="D5EEEE"/>
              <w:bottom w:val="single" w:sz="8" w:color="D5EEEE"/>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top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40" w:type="dxa"/>
            <w:vAlign w:val="bottom"/>
            <w:tcBorders>
              <w:bottom w:val="single" w:sz="8" w:color="D5EEEE"/>
              <w:right w:val="single" w:sz="8" w:color="D5EEEE"/>
            </w:tcBorders>
            <w:shd w:val="clear" w:color="auto" w:fill="D5EEE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bottom w:val="single" w:sz="8" w:color="D5EEEE"/>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19</w:t>
            </w:r>
          </w:p>
        </w:tc>
        <w:tc>
          <w:tcPr>
            <w:tcW w:w="60" w:type="dxa"/>
            <w:vAlign w:val="bottom"/>
            <w:tcBorders>
              <w:right w:val="single" w:sz="8" w:color="D5EEEE"/>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bottom w:val="single" w:sz="8" w:color="D5EEEE"/>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13</w:t>
            </w:r>
          </w:p>
        </w:tc>
        <w:tc>
          <w:tcPr>
            <w:tcW w:w="60" w:type="dxa"/>
            <w:vAlign w:val="bottom"/>
            <w:tcBorders>
              <w:left w:val="single" w:sz="8" w:color="D5EEEE"/>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right w:val="single" w:sz="8" w:color="D5EEEE"/>
            </w:tcBorders>
          </w:tcPr>
          <w:p>
            <w:pPr>
              <w:spacing w:after="0"/>
              <w:rPr>
                <w:sz w:val="19"/>
                <w:szCs w:val="19"/>
                <w:color w:val="auto"/>
              </w:rPr>
            </w:pPr>
          </w:p>
        </w:tc>
        <w:tc>
          <w:tcPr>
            <w:tcW w:w="880" w:type="dxa"/>
            <w:vAlign w:val="bottom"/>
            <w:tcBorders>
              <w:bottom w:val="single" w:sz="8" w:color="D5EEEE"/>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D5EEEE"/>
            </w:tcBorders>
            <w:shd w:val="clear" w:color="auto" w:fill="D5EEEE"/>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Borders>
              <w:bottom w:val="single" w:sz="8" w:color="D5EEEE"/>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13</w:t>
            </w:r>
          </w:p>
        </w:tc>
        <w:tc>
          <w:tcPr>
            <w:tcW w:w="60" w:type="dxa"/>
            <w:vAlign w:val="bottom"/>
            <w:tcBorders>
              <w:left w:val="single" w:sz="8" w:color="D5EEEE"/>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bottom w:val="single" w:sz="8" w:color="D5EEEE"/>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3</w:t>
            </w:r>
          </w:p>
        </w:tc>
        <w:tc>
          <w:tcPr>
            <w:tcW w:w="80" w:type="dxa"/>
            <w:vAlign w:val="bottom"/>
            <w:tcBorders>
              <w:bottom w:val="single" w:sz="8" w:color="D5EEEE"/>
              <w:right w:val="single" w:sz="8" w:color="D5EEEE"/>
            </w:tcBorders>
            <w:shd w:val="clear" w:color="auto" w:fill="D5EEEE"/>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bottom w:val="single" w:sz="8" w:color="D5EEEE"/>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80" w:type="dxa"/>
            <w:vAlign w:val="bottom"/>
            <w:tcBorders>
              <w:bottom w:val="single" w:sz="8" w:color="D5EEEE"/>
            </w:tcBorders>
            <w:shd w:val="clear" w:color="auto" w:fill="D5EEEE"/>
          </w:tcPr>
          <w:p>
            <w:pPr>
              <w:spacing w:after="0"/>
              <w:rPr>
                <w:sz w:val="19"/>
                <w:szCs w:val="19"/>
                <w:color w:val="auto"/>
              </w:rPr>
            </w:pPr>
          </w:p>
        </w:tc>
        <w:tc>
          <w:tcPr>
            <w:tcW w:w="160" w:type="dxa"/>
            <w:vAlign w:val="bottom"/>
            <w:tcBorders>
              <w:right w:val="single" w:sz="8" w:color="D5EEEE"/>
            </w:tcBorders>
          </w:tcPr>
          <w:p>
            <w:pPr>
              <w:spacing w:after="0"/>
              <w:rPr>
                <w:sz w:val="19"/>
                <w:szCs w:val="19"/>
                <w:color w:val="auto"/>
              </w:rPr>
            </w:pPr>
          </w:p>
        </w:tc>
        <w:tc>
          <w:tcPr>
            <w:tcW w:w="500" w:type="dxa"/>
            <w:vAlign w:val="bottom"/>
            <w:tcBorders>
              <w:bottom w:val="single" w:sz="8" w:color="D5EEEE"/>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3</w:t>
            </w:r>
          </w:p>
        </w:tc>
        <w:tc>
          <w:tcPr>
            <w:tcW w:w="100" w:type="dxa"/>
            <w:vAlign w:val="bottom"/>
            <w:tcBorders>
              <w:left w:val="single" w:sz="8" w:color="D5EEEE"/>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right w:val="single" w:sz="8" w:color="D5EEEE"/>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Borders>
              <w:bottom w:val="single" w:sz="8" w:color="D5EEEE"/>
            </w:tcBorders>
            <w:shd w:val="clear" w:color="auto" w:fill="D5EEEE"/>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right w:val="single" w:sz="8" w:color="D5EEEE"/>
            </w:tcBorders>
          </w:tcPr>
          <w:p>
            <w:pPr>
              <w:spacing w:after="0"/>
              <w:rPr>
                <w:sz w:val="19"/>
                <w:szCs w:val="19"/>
                <w:color w:val="auto"/>
              </w:rPr>
            </w:pPr>
          </w:p>
        </w:tc>
        <w:tc>
          <w:tcPr>
            <w:tcW w:w="460" w:type="dxa"/>
            <w:vAlign w:val="bottom"/>
            <w:tcBorders>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right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40" w:type="dxa"/>
            <w:vAlign w:val="bottom"/>
            <w:tcBorders>
              <w:bottom w:val="single" w:sz="8" w:color="D5EEEE"/>
            </w:tcBorders>
          </w:tcPr>
          <w:p>
            <w:pPr>
              <w:spacing w:after="0"/>
              <w:rPr>
                <w:sz w:val="19"/>
                <w:szCs w:val="19"/>
                <w:color w:val="auto"/>
              </w:rPr>
            </w:pPr>
          </w:p>
        </w:tc>
        <w:tc>
          <w:tcPr>
            <w:tcW w:w="140" w:type="dxa"/>
            <w:vAlign w:val="bottom"/>
            <w:tcBorders>
              <w:bottom w:val="single" w:sz="8" w:color="D5EEEE"/>
            </w:tcBorders>
          </w:tcPr>
          <w:p>
            <w:pPr>
              <w:spacing w:after="0"/>
              <w:rPr>
                <w:sz w:val="19"/>
                <w:szCs w:val="19"/>
                <w:color w:val="auto"/>
              </w:rPr>
            </w:pPr>
          </w:p>
        </w:tc>
        <w:tc>
          <w:tcPr>
            <w:tcW w:w="86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19</w:t>
            </w:r>
          </w:p>
        </w:tc>
        <w:tc>
          <w:tcPr>
            <w:tcW w:w="60" w:type="dxa"/>
            <w:vAlign w:val="bottom"/>
            <w:tcBorders>
              <w:bottom w:val="single" w:sz="8" w:color="D5EEEE"/>
            </w:tcBorders>
          </w:tcPr>
          <w:p>
            <w:pPr>
              <w:spacing w:after="0"/>
              <w:rPr>
                <w:sz w:val="19"/>
                <w:szCs w:val="19"/>
                <w:color w:val="auto"/>
              </w:rPr>
            </w:pPr>
          </w:p>
        </w:tc>
        <w:tc>
          <w:tcPr>
            <w:tcW w:w="6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54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3</w:t>
            </w:r>
          </w:p>
        </w:tc>
        <w:tc>
          <w:tcPr>
            <w:tcW w:w="6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60" w:type="dxa"/>
            <w:vAlign w:val="bottom"/>
            <w:tcBorders>
              <w:bottom w:val="single" w:sz="8" w:color="D5EEEE"/>
            </w:tcBorders>
          </w:tcPr>
          <w:p>
            <w:pPr>
              <w:spacing w:after="0"/>
              <w:rPr>
                <w:sz w:val="19"/>
                <w:szCs w:val="19"/>
                <w:color w:val="auto"/>
              </w:rPr>
            </w:pPr>
          </w:p>
        </w:tc>
        <w:tc>
          <w:tcPr>
            <w:tcW w:w="88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D5EEEE"/>
            </w:tcBorders>
          </w:tcPr>
          <w:p>
            <w:pPr>
              <w:spacing w:after="0"/>
              <w:rPr>
                <w:sz w:val="19"/>
                <w:szCs w:val="19"/>
                <w:color w:val="auto"/>
              </w:rPr>
            </w:pPr>
          </w:p>
        </w:tc>
        <w:tc>
          <w:tcPr>
            <w:tcW w:w="4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52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3</w:t>
            </w:r>
          </w:p>
        </w:tc>
        <w:tc>
          <w:tcPr>
            <w:tcW w:w="6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50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3</w:t>
            </w:r>
          </w:p>
        </w:tc>
        <w:tc>
          <w:tcPr>
            <w:tcW w:w="80" w:type="dxa"/>
            <w:vAlign w:val="bottom"/>
            <w:tcBorders>
              <w:bottom w:val="single" w:sz="8" w:color="D5EEEE"/>
            </w:tcBorders>
          </w:tcPr>
          <w:p>
            <w:pPr>
              <w:spacing w:after="0"/>
              <w:rPr>
                <w:sz w:val="19"/>
                <w:szCs w:val="19"/>
                <w:color w:val="auto"/>
              </w:rPr>
            </w:pPr>
          </w:p>
        </w:tc>
        <w:tc>
          <w:tcPr>
            <w:tcW w:w="4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3</w:t>
            </w: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2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48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5EEEE"/>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88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5EEEE"/>
            </w:tcBorders>
          </w:tcPr>
          <w:p>
            <w:pPr>
              <w:spacing w:after="0"/>
              <w:rPr>
                <w:sz w:val="19"/>
                <w:szCs w:val="19"/>
                <w:color w:val="auto"/>
              </w:rPr>
            </w:pPr>
          </w:p>
        </w:tc>
        <w:tc>
          <w:tcPr>
            <w:tcW w:w="60" w:type="dxa"/>
            <w:vAlign w:val="bottom"/>
            <w:tcBorders>
              <w:bottom w:val="single" w:sz="8" w:color="D5EEEE"/>
            </w:tcBorders>
          </w:tcPr>
          <w:p>
            <w:pPr>
              <w:spacing w:after="0"/>
              <w:rPr>
                <w:sz w:val="19"/>
                <w:szCs w:val="19"/>
                <w:color w:val="auto"/>
              </w:rPr>
            </w:pPr>
          </w:p>
        </w:tc>
        <w:tc>
          <w:tcPr>
            <w:tcW w:w="40" w:type="dxa"/>
            <w:vAlign w:val="bottom"/>
            <w:tcBorders>
              <w:bottom w:val="single" w:sz="8" w:color="D5EEEE"/>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840" w:type="dxa"/>
            <w:vAlign w:val="bottom"/>
            <w:tcBorders>
              <w:right w:val="single" w:sz="8" w:color="D5EEEE"/>
            </w:tcBorders>
            <w:shd w:val="clear" w:color="auto" w:fill="D5EEE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shd w:val="clear" w:color="auto" w:fill="D5EEEE"/>
          </w:tcPr>
          <w:p>
            <w:pPr>
              <w:jc w:val="right"/>
              <w:spacing w:after="0" w:line="228" w:lineRule="exact"/>
              <w:rPr>
                <w:sz w:val="20"/>
                <w:szCs w:val="20"/>
                <w:color w:val="auto"/>
              </w:rPr>
            </w:pPr>
            <w:r>
              <w:rPr>
                <w:rFonts w:ascii="Times New Roman" w:cs="Times New Roman" w:eastAsia="Times New Roman" w:hAnsi="Times New Roman"/>
                <w:sz w:val="20"/>
                <w:szCs w:val="20"/>
                <w:color w:val="auto"/>
              </w:rPr>
              <w:t>19</w:t>
            </w:r>
          </w:p>
        </w:tc>
        <w:tc>
          <w:tcPr>
            <w:tcW w:w="60" w:type="dxa"/>
            <w:vAlign w:val="bottom"/>
            <w:tcBorders>
              <w:right w:val="single" w:sz="8" w:color="D5EEEE"/>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D5EEEE"/>
          </w:tcPr>
          <w:p>
            <w:pPr>
              <w:jc w:val="right"/>
              <w:spacing w:after="0" w:line="228" w:lineRule="exact"/>
              <w:rPr>
                <w:sz w:val="20"/>
                <w:szCs w:val="20"/>
                <w:color w:val="auto"/>
              </w:rPr>
            </w:pPr>
            <w:r>
              <w:rPr>
                <w:rFonts w:ascii="Times New Roman" w:cs="Times New Roman" w:eastAsia="Times New Roman" w:hAnsi="Times New Roman"/>
                <w:sz w:val="20"/>
                <w:szCs w:val="20"/>
                <w:color w:val="auto"/>
              </w:rPr>
              <w:t>6</w:t>
            </w:r>
          </w:p>
        </w:tc>
        <w:tc>
          <w:tcPr>
            <w:tcW w:w="60" w:type="dxa"/>
            <w:vAlign w:val="bottom"/>
            <w:tcBorders>
              <w:left w:val="single" w:sz="8" w:color="D5EEEE"/>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right w:val="single" w:sz="8" w:color="D5EEEE"/>
            </w:tcBorders>
          </w:tcPr>
          <w:p>
            <w:pPr>
              <w:spacing w:after="0"/>
              <w:rPr>
                <w:sz w:val="19"/>
                <w:szCs w:val="19"/>
                <w:color w:val="auto"/>
              </w:rPr>
            </w:pPr>
          </w:p>
        </w:tc>
        <w:tc>
          <w:tcPr>
            <w:tcW w:w="880" w:type="dxa"/>
            <w:vAlign w:val="bottom"/>
            <w:shd w:val="clear" w:color="auto" w:fill="D5EEEE"/>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D5EEEE"/>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shd w:val="clear" w:color="auto" w:fill="D5EEEE"/>
          </w:tcPr>
          <w:p>
            <w:pPr>
              <w:jc w:val="right"/>
              <w:spacing w:after="0" w:line="228" w:lineRule="exact"/>
              <w:rPr>
                <w:sz w:val="20"/>
                <w:szCs w:val="20"/>
                <w:color w:val="auto"/>
              </w:rPr>
            </w:pPr>
            <w:r>
              <w:rPr>
                <w:rFonts w:ascii="Times New Roman" w:cs="Times New Roman" w:eastAsia="Times New Roman" w:hAnsi="Times New Roman"/>
                <w:sz w:val="20"/>
                <w:szCs w:val="20"/>
                <w:color w:val="auto"/>
              </w:rPr>
              <w:t>6</w:t>
            </w:r>
          </w:p>
        </w:tc>
        <w:tc>
          <w:tcPr>
            <w:tcW w:w="60" w:type="dxa"/>
            <w:vAlign w:val="bottom"/>
            <w:tcBorders>
              <w:left w:val="single" w:sz="8" w:color="D5EEEE"/>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shd w:val="clear" w:color="auto" w:fill="D5EEEE"/>
          </w:tcPr>
          <w:p>
            <w:pPr>
              <w:jc w:val="right"/>
              <w:spacing w:after="0" w:line="228" w:lineRule="exact"/>
              <w:rPr>
                <w:sz w:val="20"/>
                <w:szCs w:val="20"/>
                <w:color w:val="auto"/>
              </w:rPr>
            </w:pPr>
            <w:r>
              <w:rPr>
                <w:rFonts w:ascii="Times New Roman" w:cs="Times New Roman" w:eastAsia="Times New Roman" w:hAnsi="Times New Roman"/>
                <w:sz w:val="20"/>
                <w:szCs w:val="20"/>
                <w:color w:val="auto"/>
              </w:rPr>
              <w:t>6</w:t>
            </w:r>
          </w:p>
        </w:tc>
        <w:tc>
          <w:tcPr>
            <w:tcW w:w="80" w:type="dxa"/>
            <w:vAlign w:val="bottom"/>
            <w:tcBorders>
              <w:right w:val="single" w:sz="8" w:color="D5EEEE"/>
            </w:tcBorders>
            <w:shd w:val="clear" w:color="auto" w:fill="D5EEEE"/>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D5EEEE"/>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160" w:type="dxa"/>
            <w:vAlign w:val="bottom"/>
            <w:tcBorders>
              <w:right w:val="single" w:sz="8" w:color="D5EEEE"/>
            </w:tcBorders>
          </w:tcPr>
          <w:p>
            <w:pPr>
              <w:spacing w:after="0"/>
              <w:rPr>
                <w:sz w:val="19"/>
                <w:szCs w:val="19"/>
                <w:color w:val="auto"/>
              </w:rPr>
            </w:pPr>
          </w:p>
        </w:tc>
        <w:tc>
          <w:tcPr>
            <w:tcW w:w="500" w:type="dxa"/>
            <w:vAlign w:val="bottom"/>
            <w:shd w:val="clear" w:color="auto" w:fill="D5EEEE"/>
          </w:tcPr>
          <w:p>
            <w:pPr>
              <w:jc w:val="right"/>
              <w:spacing w:after="0" w:line="228" w:lineRule="exact"/>
              <w:rPr>
                <w:sz w:val="20"/>
                <w:szCs w:val="20"/>
                <w:color w:val="auto"/>
              </w:rPr>
            </w:pPr>
            <w:r>
              <w:rPr>
                <w:rFonts w:ascii="Times New Roman" w:cs="Times New Roman" w:eastAsia="Times New Roman" w:hAnsi="Times New Roman"/>
                <w:sz w:val="20"/>
                <w:szCs w:val="20"/>
                <w:color w:val="auto"/>
              </w:rPr>
              <w:t>6</w:t>
            </w:r>
          </w:p>
        </w:tc>
        <w:tc>
          <w:tcPr>
            <w:tcW w:w="100" w:type="dxa"/>
            <w:vAlign w:val="bottom"/>
            <w:tcBorders>
              <w:left w:val="single" w:sz="8" w:color="D5EEEE"/>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right w:val="single" w:sz="8" w:color="D5EEEE"/>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shd w:val="clear" w:color="auto" w:fill="D5EEEE"/>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right w:val="single" w:sz="8" w:color="D5EEEE"/>
            </w:tcBorders>
          </w:tcPr>
          <w:p>
            <w:pPr>
              <w:spacing w:after="0"/>
              <w:rPr>
                <w:sz w:val="19"/>
                <w:szCs w:val="19"/>
                <w:color w:val="auto"/>
              </w:rPr>
            </w:pPr>
          </w:p>
        </w:tc>
        <w:tc>
          <w:tcPr>
            <w:tcW w:w="4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right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840" w:type="dxa"/>
            <w:vAlign w:val="bottom"/>
          </w:tcPr>
          <w:p>
            <w:pPr>
              <w:spacing w:after="0"/>
              <w:rPr>
                <w:sz w:val="23"/>
                <w:szCs w:val="23"/>
                <w:color w:val="auto"/>
              </w:rPr>
            </w:pPr>
          </w:p>
        </w:tc>
        <w:tc>
          <w:tcPr>
            <w:tcW w:w="140" w:type="dxa"/>
            <w:vAlign w:val="bottom"/>
            <w:tcBorders>
              <w:bottom w:val="single" w:sz="8" w:color="D5EEEE"/>
            </w:tcBorders>
          </w:tcPr>
          <w:p>
            <w:pPr>
              <w:spacing w:after="0"/>
              <w:rPr>
                <w:sz w:val="23"/>
                <w:szCs w:val="23"/>
                <w:color w:val="auto"/>
              </w:rPr>
            </w:pPr>
          </w:p>
        </w:tc>
        <w:tc>
          <w:tcPr>
            <w:tcW w:w="86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Indefinite</w:t>
            </w:r>
          </w:p>
        </w:tc>
        <w:tc>
          <w:tcPr>
            <w:tcW w:w="60" w:type="dxa"/>
            <w:vAlign w:val="bottom"/>
            <w:tcBorders>
              <w:bottom w:val="single" w:sz="8" w:color="D5EEEE"/>
            </w:tcBorders>
          </w:tcPr>
          <w:p>
            <w:pPr>
              <w:spacing w:after="0"/>
              <w:rPr>
                <w:sz w:val="23"/>
                <w:szCs w:val="23"/>
                <w:color w:val="auto"/>
              </w:rPr>
            </w:pPr>
          </w:p>
        </w:tc>
        <w:tc>
          <w:tcPr>
            <w:tcW w:w="60" w:type="dxa"/>
            <w:vAlign w:val="bottom"/>
            <w:tcBorders>
              <w:bottom w:val="single" w:sz="8" w:color="D5EEEE"/>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54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D5EEEE"/>
            </w:tcBorders>
          </w:tcPr>
          <w:p>
            <w:pPr>
              <w:spacing w:after="0"/>
              <w:rPr>
                <w:sz w:val="23"/>
                <w:szCs w:val="23"/>
                <w:color w:val="auto"/>
              </w:rPr>
            </w:pPr>
          </w:p>
        </w:tc>
        <w:tc>
          <w:tcPr>
            <w:tcW w:w="40" w:type="dxa"/>
            <w:vAlign w:val="bottom"/>
            <w:tcBorders>
              <w:bottom w:val="single" w:sz="8" w:color="D5EEEE"/>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54</w:t>
            </w:r>
          </w:p>
        </w:tc>
        <w:tc>
          <w:tcPr>
            <w:tcW w:w="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50</w:t>
            </w:r>
          </w:p>
        </w:tc>
        <w:tc>
          <w:tcPr>
            <w:tcW w:w="80" w:type="dxa"/>
            <w:vAlign w:val="bottom"/>
            <w:tcBorders>
              <w:bottom w:val="single" w:sz="8" w:color="auto"/>
            </w:tcBorders>
          </w:tcPr>
          <w:p>
            <w:pPr>
              <w:spacing w:after="0"/>
              <w:rPr>
                <w:sz w:val="23"/>
                <w:szCs w:val="23"/>
                <w:color w:val="auto"/>
              </w:rPr>
            </w:pPr>
          </w:p>
        </w:tc>
        <w:tc>
          <w:tcPr>
            <w:tcW w:w="40" w:type="dxa"/>
            <w:vAlign w:val="bottom"/>
            <w:tcBorders>
              <w:bottom w:val="single" w:sz="8" w:color="D5EEEE"/>
            </w:tcBorders>
          </w:tcPr>
          <w:p>
            <w:pPr>
              <w:spacing w:after="0"/>
              <w:rPr>
                <w:sz w:val="23"/>
                <w:szCs w:val="23"/>
                <w:color w:val="auto"/>
              </w:rPr>
            </w:pPr>
          </w:p>
        </w:tc>
        <w:tc>
          <w:tcPr>
            <w:tcW w:w="20" w:type="dxa"/>
            <w:vAlign w:val="bottom"/>
            <w:tcBorders>
              <w:bottom w:val="single" w:sz="8" w:color="D5EEEE"/>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50</w:t>
            </w:r>
          </w:p>
        </w:tc>
        <w:tc>
          <w:tcPr>
            <w:tcW w:w="100" w:type="dxa"/>
            <w:vAlign w:val="bottom"/>
            <w:tcBorders>
              <w:bottom w:val="single" w:sz="8" w:color="D5EEEE"/>
            </w:tcBorders>
          </w:tcPr>
          <w:p>
            <w:pPr>
              <w:spacing w:after="0"/>
              <w:rPr>
                <w:sz w:val="23"/>
                <w:szCs w:val="23"/>
                <w:color w:val="auto"/>
              </w:rPr>
            </w:pPr>
          </w:p>
        </w:tc>
        <w:tc>
          <w:tcPr>
            <w:tcW w:w="20" w:type="dxa"/>
            <w:vAlign w:val="bottom"/>
            <w:tcBorders>
              <w:bottom w:val="single" w:sz="8" w:color="D5EEEE"/>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D5EEEE"/>
            </w:tcBorders>
          </w:tcPr>
          <w:p>
            <w:pPr>
              <w:spacing w:after="0"/>
              <w:rPr>
                <w:sz w:val="23"/>
                <w:szCs w:val="23"/>
                <w:color w:val="auto"/>
              </w:rPr>
            </w:pPr>
          </w:p>
        </w:tc>
        <w:tc>
          <w:tcPr>
            <w:tcW w:w="40" w:type="dxa"/>
            <w:vAlign w:val="bottom"/>
            <w:tcBorders>
              <w:bottom w:val="single" w:sz="8" w:color="D5EEEE"/>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1840" w:type="dxa"/>
            <w:vAlign w:val="bottom"/>
            <w:tcBorders>
              <w:top w:val="single" w:sz="8" w:color="D5EEEE"/>
              <w:right w:val="single" w:sz="8" w:color="D5EEEE"/>
            </w:tcBorders>
            <w:vMerge w:val="restart"/>
            <w:shd w:val="clear" w:color="auto" w:fill="D5EEEE"/>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40" w:type="dxa"/>
            <w:vAlign w:val="bottom"/>
            <w:tcBorders>
              <w:top w:val="single" w:sz="8" w:color="D5EEEE"/>
            </w:tcBorders>
          </w:tcPr>
          <w:p>
            <w:pPr>
              <w:spacing w:after="0"/>
              <w:rPr>
                <w:sz w:val="16"/>
                <w:szCs w:val="16"/>
                <w:color w:val="auto"/>
              </w:rPr>
            </w:pPr>
          </w:p>
        </w:tc>
        <w:tc>
          <w:tcPr>
            <w:tcW w:w="860" w:type="dxa"/>
            <w:vAlign w:val="bottom"/>
            <w:tcBorders>
              <w:top w:val="single" w:sz="8" w:color="D5EEEE"/>
            </w:tcBorders>
          </w:tcPr>
          <w:p>
            <w:pPr>
              <w:spacing w:after="0"/>
              <w:rPr>
                <w:sz w:val="16"/>
                <w:szCs w:val="16"/>
                <w:color w:val="auto"/>
              </w:rPr>
            </w:pPr>
          </w:p>
        </w:tc>
        <w:tc>
          <w:tcPr>
            <w:tcW w:w="60" w:type="dxa"/>
            <w:vAlign w:val="bottom"/>
            <w:tcBorders>
              <w:top w:val="single" w:sz="8" w:color="D5EEEE"/>
            </w:tcBorders>
          </w:tcPr>
          <w:p>
            <w:pPr>
              <w:spacing w:after="0"/>
              <w:rPr>
                <w:sz w:val="16"/>
                <w:szCs w:val="16"/>
                <w:color w:val="auto"/>
              </w:rPr>
            </w:pPr>
          </w:p>
        </w:tc>
        <w:tc>
          <w:tcPr>
            <w:tcW w:w="60" w:type="dxa"/>
            <w:vAlign w:val="bottom"/>
            <w:tcBorders>
              <w:top w:val="single" w:sz="8" w:color="D5EEEE"/>
            </w:tcBorders>
          </w:tcPr>
          <w:p>
            <w:pPr>
              <w:spacing w:after="0"/>
              <w:rPr>
                <w:sz w:val="16"/>
                <w:szCs w:val="16"/>
                <w:color w:val="auto"/>
              </w:rPr>
            </w:pPr>
          </w:p>
        </w:tc>
        <w:tc>
          <w:tcPr>
            <w:tcW w:w="100" w:type="dxa"/>
            <w:vAlign w:val="bottom"/>
            <w:tcBorders>
              <w:top w:val="single" w:sz="8" w:color="D5EEEE"/>
            </w:tcBorders>
          </w:tcPr>
          <w:p>
            <w:pPr>
              <w:spacing w:after="0"/>
              <w:rPr>
                <w:sz w:val="16"/>
                <w:szCs w:val="16"/>
                <w:color w:val="auto"/>
              </w:rPr>
            </w:pPr>
          </w:p>
        </w:tc>
        <w:tc>
          <w:tcPr>
            <w:tcW w:w="20" w:type="dxa"/>
            <w:vAlign w:val="bottom"/>
            <w:tcBorders>
              <w:top w:val="single" w:sz="8" w:color="D5EEEE"/>
            </w:tcBorders>
            <w:vMerge w:val="restart"/>
          </w:tcPr>
          <w:p>
            <w:pPr>
              <w:spacing w:after="0"/>
              <w:rPr>
                <w:sz w:val="16"/>
                <w:szCs w:val="16"/>
                <w:color w:val="auto"/>
              </w:rPr>
            </w:pPr>
          </w:p>
        </w:tc>
        <w:tc>
          <w:tcPr>
            <w:tcW w:w="540" w:type="dxa"/>
            <w:vAlign w:val="bottom"/>
            <w:tcBorders>
              <w:top w:val="single" w:sz="8" w:color="D5EEEE"/>
            </w:tcBorders>
            <w:shd w:val="clear" w:color="auto" w:fill="D5EEEE"/>
          </w:tcPr>
          <w:p>
            <w:pPr>
              <w:spacing w:after="0"/>
              <w:rPr>
                <w:sz w:val="16"/>
                <w:szCs w:val="16"/>
                <w:color w:val="auto"/>
              </w:rPr>
            </w:pPr>
          </w:p>
        </w:tc>
        <w:tc>
          <w:tcPr>
            <w:tcW w:w="60" w:type="dxa"/>
            <w:vAlign w:val="bottom"/>
            <w:tcBorders>
              <w:left w:val="single" w:sz="8" w:color="D5EEEE"/>
            </w:tcBorders>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160" w:type="dxa"/>
            <w:vAlign w:val="bottom"/>
            <w:tcBorders>
              <w:top w:val="single" w:sz="8" w:color="D5EEEE"/>
              <w:right w:val="single" w:sz="8" w:color="D5EEEE"/>
            </w:tcBorders>
          </w:tcPr>
          <w:p>
            <w:pPr>
              <w:spacing w:after="0"/>
              <w:rPr>
                <w:sz w:val="16"/>
                <w:szCs w:val="16"/>
                <w:color w:val="auto"/>
              </w:rPr>
            </w:pPr>
          </w:p>
        </w:tc>
        <w:tc>
          <w:tcPr>
            <w:tcW w:w="880" w:type="dxa"/>
            <w:vAlign w:val="bottom"/>
            <w:tcBorders>
              <w:top w:val="single" w:sz="8" w:color="D5EEEE"/>
            </w:tcBorders>
            <w:shd w:val="clear" w:color="auto" w:fill="D5EEEE"/>
          </w:tcPr>
          <w:p>
            <w:pPr>
              <w:spacing w:after="0"/>
              <w:rPr>
                <w:sz w:val="16"/>
                <w:szCs w:val="16"/>
                <w:color w:val="auto"/>
              </w:rPr>
            </w:pPr>
          </w:p>
        </w:tc>
        <w:tc>
          <w:tcPr>
            <w:tcW w:w="80" w:type="dxa"/>
            <w:vAlign w:val="bottom"/>
            <w:tcBorders>
              <w:top w:val="single" w:sz="8" w:color="D5EEEE"/>
            </w:tcBorders>
            <w:shd w:val="clear" w:color="auto" w:fill="D5EEEE"/>
          </w:tcPr>
          <w:p>
            <w:pPr>
              <w:spacing w:after="0"/>
              <w:rPr>
                <w:sz w:val="16"/>
                <w:szCs w:val="16"/>
                <w:color w:val="auto"/>
              </w:rPr>
            </w:pPr>
          </w:p>
        </w:tc>
        <w:tc>
          <w:tcPr>
            <w:tcW w:w="40" w:type="dxa"/>
            <w:vAlign w:val="bottom"/>
            <w:tcBorders>
              <w:top w:val="single" w:sz="8" w:color="D5EEEE"/>
              <w:right w:val="single" w:sz="8" w:color="D5EEEE"/>
            </w:tcBorders>
            <w:vMerge w:val="restart"/>
            <w:shd w:val="clear" w:color="auto" w:fill="D5EEEE"/>
          </w:tcPr>
          <w:p>
            <w:pPr>
              <w:spacing w:after="0"/>
              <w:rPr>
                <w:sz w:val="16"/>
                <w:szCs w:val="16"/>
                <w:color w:val="auto"/>
              </w:rPr>
            </w:pPr>
          </w:p>
        </w:tc>
        <w:tc>
          <w:tcPr>
            <w:tcW w:w="100" w:type="dxa"/>
            <w:vAlign w:val="bottom"/>
            <w:tcBorders>
              <w:top w:val="single" w:sz="8" w:color="D5EEEE"/>
            </w:tcBorders>
            <w:gridSpan w:val="2"/>
          </w:tcPr>
          <w:p>
            <w:pPr>
              <w:spacing w:after="0"/>
              <w:rPr>
                <w:sz w:val="16"/>
                <w:szCs w:val="16"/>
                <w:color w:val="auto"/>
              </w:rPr>
            </w:pPr>
          </w:p>
        </w:tc>
        <w:tc>
          <w:tcPr>
            <w:tcW w:w="20" w:type="dxa"/>
            <w:vAlign w:val="bottom"/>
            <w:tcBorders>
              <w:top w:val="single" w:sz="8" w:color="D5EEEE"/>
            </w:tcBorders>
            <w:vMerge w:val="restart"/>
          </w:tcPr>
          <w:p>
            <w:pPr>
              <w:spacing w:after="0"/>
              <w:rPr>
                <w:sz w:val="16"/>
                <w:szCs w:val="16"/>
                <w:color w:val="auto"/>
              </w:rPr>
            </w:pPr>
          </w:p>
        </w:tc>
        <w:tc>
          <w:tcPr>
            <w:tcW w:w="520" w:type="dxa"/>
            <w:vAlign w:val="bottom"/>
            <w:tcBorders>
              <w:top w:val="single" w:sz="8" w:color="D5EEEE"/>
            </w:tcBorders>
            <w:shd w:val="clear" w:color="auto" w:fill="D5EEEE"/>
          </w:tcPr>
          <w:p>
            <w:pPr>
              <w:spacing w:after="0"/>
              <w:rPr>
                <w:sz w:val="16"/>
                <w:szCs w:val="16"/>
                <w:color w:val="auto"/>
              </w:rPr>
            </w:pPr>
          </w:p>
        </w:tc>
        <w:tc>
          <w:tcPr>
            <w:tcW w:w="60" w:type="dxa"/>
            <w:vAlign w:val="bottom"/>
            <w:tcBorders>
              <w:left w:val="single" w:sz="8" w:color="D5EEEE"/>
            </w:tcBorders>
            <w:vMerge w:val="restart"/>
          </w:tcPr>
          <w:p>
            <w:pPr>
              <w:spacing w:after="0"/>
              <w:rPr>
                <w:sz w:val="16"/>
                <w:szCs w:val="16"/>
                <w:color w:val="auto"/>
              </w:rPr>
            </w:pPr>
          </w:p>
        </w:tc>
        <w:tc>
          <w:tcPr>
            <w:tcW w:w="100" w:type="dxa"/>
            <w:vAlign w:val="bottom"/>
            <w:tcBorders>
              <w:top w:val="single" w:sz="8" w:color="D5EEEE"/>
            </w:tcBorders>
          </w:tcPr>
          <w:p>
            <w:pPr>
              <w:spacing w:after="0"/>
              <w:rPr>
                <w:sz w:val="16"/>
                <w:szCs w:val="16"/>
                <w:color w:val="auto"/>
              </w:rPr>
            </w:pPr>
          </w:p>
        </w:tc>
        <w:tc>
          <w:tcPr>
            <w:tcW w:w="20" w:type="dxa"/>
            <w:vAlign w:val="bottom"/>
            <w:tcBorders>
              <w:top w:val="single" w:sz="8" w:color="D5EEEE"/>
            </w:tcBorders>
            <w:vMerge w:val="restart"/>
          </w:tcPr>
          <w:p>
            <w:pPr>
              <w:spacing w:after="0"/>
              <w:rPr>
                <w:sz w:val="16"/>
                <w:szCs w:val="16"/>
                <w:color w:val="auto"/>
              </w:rPr>
            </w:pPr>
          </w:p>
        </w:tc>
        <w:tc>
          <w:tcPr>
            <w:tcW w:w="500" w:type="dxa"/>
            <w:vAlign w:val="bottom"/>
            <w:tcBorders>
              <w:top w:val="single" w:sz="8" w:color="D5EEEE"/>
            </w:tcBorders>
            <w:shd w:val="clear" w:color="auto" w:fill="D5EEEE"/>
          </w:tcPr>
          <w:p>
            <w:pPr>
              <w:spacing w:after="0"/>
              <w:rPr>
                <w:sz w:val="16"/>
                <w:szCs w:val="16"/>
                <w:color w:val="auto"/>
              </w:rPr>
            </w:pPr>
          </w:p>
        </w:tc>
        <w:tc>
          <w:tcPr>
            <w:tcW w:w="80" w:type="dxa"/>
            <w:vAlign w:val="bottom"/>
            <w:tcBorders>
              <w:top w:val="single" w:sz="8" w:color="D5EEEE"/>
              <w:right w:val="single" w:sz="8" w:color="D5EEEE"/>
            </w:tcBorders>
            <w:vMerge w:val="restart"/>
            <w:shd w:val="clear" w:color="auto" w:fill="D5EEEE"/>
          </w:tcPr>
          <w:p>
            <w:pPr>
              <w:spacing w:after="0"/>
              <w:rPr>
                <w:sz w:val="16"/>
                <w:szCs w:val="16"/>
                <w:color w:val="auto"/>
              </w:rPr>
            </w:pPr>
          </w:p>
        </w:tc>
        <w:tc>
          <w:tcPr>
            <w:tcW w:w="40" w:type="dxa"/>
            <w:vAlign w:val="bottom"/>
            <w:tcBorders>
              <w:top w:val="single" w:sz="8" w:color="D5EEEE"/>
            </w:tcBorders>
            <w:vMerge w:val="restart"/>
          </w:tcPr>
          <w:p>
            <w:pPr>
              <w:spacing w:after="0"/>
              <w:rPr>
                <w:sz w:val="16"/>
                <w:szCs w:val="16"/>
                <w:color w:val="auto"/>
              </w:rPr>
            </w:pPr>
          </w:p>
        </w:tc>
        <w:tc>
          <w:tcPr>
            <w:tcW w:w="20" w:type="dxa"/>
            <w:vAlign w:val="bottom"/>
            <w:tcBorders>
              <w:top w:val="single" w:sz="8" w:color="D5EEEE"/>
            </w:tcBorders>
            <w:vMerge w:val="restart"/>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880" w:type="dxa"/>
            <w:vAlign w:val="bottom"/>
            <w:tcBorders>
              <w:top w:val="single" w:sz="8" w:color="D5EEEE"/>
            </w:tcBorders>
            <w:shd w:val="clear" w:color="auto" w:fill="D5EEEE"/>
          </w:tcPr>
          <w:p>
            <w:pPr>
              <w:spacing w:after="0"/>
              <w:rPr>
                <w:sz w:val="16"/>
                <w:szCs w:val="16"/>
                <w:color w:val="auto"/>
              </w:rPr>
            </w:pPr>
          </w:p>
        </w:tc>
        <w:tc>
          <w:tcPr>
            <w:tcW w:w="20" w:type="dxa"/>
            <w:vAlign w:val="bottom"/>
            <w:tcBorders>
              <w:top w:val="single" w:sz="8" w:color="D5EEEE"/>
            </w:tcBorders>
            <w:vMerge w:val="restart"/>
            <w:shd w:val="clear" w:color="auto" w:fill="D5EEEE"/>
          </w:tcPr>
          <w:p>
            <w:pPr>
              <w:spacing w:after="0"/>
              <w:rPr>
                <w:sz w:val="16"/>
                <w:szCs w:val="16"/>
                <w:color w:val="auto"/>
              </w:rPr>
            </w:pPr>
          </w:p>
        </w:tc>
        <w:tc>
          <w:tcPr>
            <w:tcW w:w="80" w:type="dxa"/>
            <w:vAlign w:val="bottom"/>
            <w:tcBorders>
              <w:top w:val="single" w:sz="8" w:color="D5EEEE"/>
            </w:tcBorders>
            <w:shd w:val="clear" w:color="auto" w:fill="D5EEEE"/>
          </w:tcPr>
          <w:p>
            <w:pPr>
              <w:spacing w:after="0"/>
              <w:rPr>
                <w:sz w:val="16"/>
                <w:szCs w:val="16"/>
                <w:color w:val="auto"/>
              </w:rPr>
            </w:pPr>
          </w:p>
        </w:tc>
        <w:tc>
          <w:tcPr>
            <w:tcW w:w="160" w:type="dxa"/>
            <w:vAlign w:val="bottom"/>
            <w:tcBorders>
              <w:left w:val="single" w:sz="8" w:color="D5EEEE"/>
              <w:right w:val="single" w:sz="8" w:color="D5EEEE"/>
            </w:tcBorders>
          </w:tcPr>
          <w:p>
            <w:pPr>
              <w:spacing w:after="0"/>
              <w:rPr>
                <w:sz w:val="16"/>
                <w:szCs w:val="16"/>
                <w:color w:val="auto"/>
              </w:rPr>
            </w:pPr>
          </w:p>
        </w:tc>
        <w:tc>
          <w:tcPr>
            <w:tcW w:w="500" w:type="dxa"/>
            <w:vAlign w:val="bottom"/>
            <w:tcBorders>
              <w:top w:val="single" w:sz="8" w:color="D5EEEE"/>
            </w:tcBorders>
            <w:shd w:val="clear" w:color="auto" w:fill="D5EEEE"/>
          </w:tcPr>
          <w:p>
            <w:pPr>
              <w:spacing w:after="0"/>
              <w:rPr>
                <w:sz w:val="16"/>
                <w:szCs w:val="16"/>
                <w:color w:val="auto"/>
              </w:rPr>
            </w:pPr>
          </w:p>
        </w:tc>
        <w:tc>
          <w:tcPr>
            <w:tcW w:w="100" w:type="dxa"/>
            <w:vAlign w:val="bottom"/>
            <w:tcBorders>
              <w:top w:val="single" w:sz="8" w:color="D5EEEE"/>
              <w:left w:val="single" w:sz="8" w:color="D5EEEE"/>
            </w:tcBorders>
          </w:tcPr>
          <w:p>
            <w:pPr>
              <w:spacing w:after="0"/>
              <w:rPr>
                <w:sz w:val="16"/>
                <w:szCs w:val="16"/>
                <w:color w:val="auto"/>
              </w:rPr>
            </w:pPr>
          </w:p>
        </w:tc>
        <w:tc>
          <w:tcPr>
            <w:tcW w:w="140" w:type="dxa"/>
            <w:vAlign w:val="bottom"/>
            <w:tcBorders>
              <w:top w:val="single" w:sz="8" w:color="D5EEEE"/>
            </w:tcBorders>
            <w:gridSpan w:val="2"/>
          </w:tcPr>
          <w:p>
            <w:pPr>
              <w:spacing w:after="0"/>
              <w:rPr>
                <w:sz w:val="16"/>
                <w:szCs w:val="16"/>
                <w:color w:val="auto"/>
              </w:rPr>
            </w:pPr>
          </w:p>
        </w:tc>
        <w:tc>
          <w:tcPr>
            <w:tcW w:w="20" w:type="dxa"/>
            <w:vAlign w:val="bottom"/>
            <w:tcBorders>
              <w:top w:val="single" w:sz="8" w:color="D5EEEE"/>
            </w:tcBorders>
          </w:tcPr>
          <w:p>
            <w:pPr>
              <w:spacing w:after="0"/>
              <w:rPr>
                <w:sz w:val="16"/>
                <w:szCs w:val="16"/>
                <w:color w:val="auto"/>
              </w:rPr>
            </w:pPr>
          </w:p>
        </w:tc>
        <w:tc>
          <w:tcPr>
            <w:tcW w:w="540" w:type="dxa"/>
            <w:vAlign w:val="bottom"/>
            <w:tcBorders>
              <w:top w:val="single" w:sz="8" w:color="D5EEEE"/>
              <w:right w:val="single" w:sz="8" w:color="D5EEEE"/>
            </w:tcBorders>
            <w:gridSpan w:val="2"/>
            <w:shd w:val="clear" w:color="auto" w:fill="D5EEE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D5EEEE"/>
            </w:tcBorders>
          </w:tcPr>
          <w:p>
            <w:pPr>
              <w:spacing w:after="0"/>
              <w:rPr>
                <w:sz w:val="16"/>
                <w:szCs w:val="16"/>
                <w:color w:val="auto"/>
              </w:rPr>
            </w:pPr>
          </w:p>
        </w:tc>
        <w:tc>
          <w:tcPr>
            <w:tcW w:w="20" w:type="dxa"/>
            <w:vAlign w:val="bottom"/>
            <w:tcBorders>
              <w:top w:val="single" w:sz="8" w:color="D5EEEE"/>
            </w:tcBorders>
          </w:tcPr>
          <w:p>
            <w:pPr>
              <w:spacing w:after="0"/>
              <w:rPr>
                <w:sz w:val="16"/>
                <w:szCs w:val="16"/>
                <w:color w:val="auto"/>
              </w:rPr>
            </w:pPr>
          </w:p>
        </w:tc>
        <w:tc>
          <w:tcPr>
            <w:tcW w:w="1000" w:type="dxa"/>
            <w:vAlign w:val="bottom"/>
            <w:tcBorders>
              <w:top w:val="single" w:sz="8" w:color="D5EEEE"/>
              <w:right w:val="single" w:sz="8" w:color="D5EEEE"/>
            </w:tcBorders>
            <w:gridSpan w:val="4"/>
            <w:shd w:val="clear" w:color="auto" w:fill="D5EEEE"/>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right w:val="single" w:sz="8" w:color="D5EEEE"/>
            </w:tcBorders>
          </w:tcPr>
          <w:p>
            <w:pPr>
              <w:spacing w:after="0"/>
              <w:rPr>
                <w:sz w:val="16"/>
                <w:szCs w:val="16"/>
                <w:color w:val="auto"/>
              </w:rPr>
            </w:pPr>
          </w:p>
        </w:tc>
        <w:tc>
          <w:tcPr>
            <w:tcW w:w="460" w:type="dxa"/>
            <w:vAlign w:val="bottom"/>
            <w:tcBorders>
              <w:top w:val="single" w:sz="8" w:color="D5EEEE"/>
            </w:tcBorders>
            <w:shd w:val="clear" w:color="auto" w:fill="D5EEEE"/>
          </w:tcPr>
          <w:p>
            <w:pPr>
              <w:spacing w:after="0"/>
              <w:rPr>
                <w:sz w:val="16"/>
                <w:szCs w:val="16"/>
                <w:color w:val="auto"/>
              </w:rPr>
            </w:pPr>
          </w:p>
        </w:tc>
        <w:tc>
          <w:tcPr>
            <w:tcW w:w="60" w:type="dxa"/>
            <w:vAlign w:val="bottom"/>
            <w:tcBorders>
              <w:top w:val="single" w:sz="8" w:color="D5EEEE"/>
              <w:right w:val="single" w:sz="8" w:color="D5EEEE"/>
            </w:tcBorders>
            <w:shd w:val="clear" w:color="auto" w:fill="D5EEE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840" w:type="dxa"/>
            <w:vAlign w:val="bottom"/>
            <w:tcBorders>
              <w:right w:val="single" w:sz="8" w:color="D5EEEE"/>
            </w:tcBorders>
            <w:vMerge w:val="continue"/>
            <w:shd w:val="clear" w:color="auto" w:fill="D5EE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vMerge w:val="restart"/>
            <w:shd w:val="clear" w:color="auto" w:fill="D5EEEE"/>
          </w:tcPr>
          <w:p>
            <w:pPr>
              <w:spacing w:after="0"/>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vMerge w:val="continue"/>
          </w:tcPr>
          <w:p>
            <w:pPr>
              <w:spacing w:after="0" w:line="20" w:lineRule="exact"/>
              <w:rPr>
                <w:sz w:val="1"/>
                <w:szCs w:val="1"/>
                <w:color w:val="auto"/>
              </w:rPr>
            </w:pPr>
          </w:p>
        </w:tc>
        <w:tc>
          <w:tcPr>
            <w:tcW w:w="540" w:type="dxa"/>
            <w:vAlign w:val="bottom"/>
            <w:vMerge w:val="restart"/>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558</w:t>
            </w:r>
          </w:p>
        </w:tc>
        <w:tc>
          <w:tcPr>
            <w:tcW w:w="60" w:type="dxa"/>
            <w:vAlign w:val="bottom"/>
            <w:tcBorders>
              <w:left w:val="single" w:sz="8" w:color="D5EEEE"/>
            </w:tcBorders>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tcBorders>
              <w:right w:val="single" w:sz="8" w:color="D5EEEE"/>
            </w:tcBorders>
            <w:vMerge w:val="restart"/>
            <w:shd w:val="clear" w:color="auto" w:fill="D5EEEE"/>
          </w:tcPr>
          <w:p>
            <w:pPr>
              <w:spacing w:after="0"/>
              <w:rPr>
                <w:sz w:val="20"/>
                <w:szCs w:val="20"/>
                <w:color w:val="auto"/>
              </w:rPr>
            </w:pPr>
            <w:r>
              <w:rPr>
                <w:rFonts w:ascii="Times New Roman" w:cs="Times New Roman" w:eastAsia="Times New Roman" w:hAnsi="Times New Roman"/>
                <w:sz w:val="20"/>
                <w:szCs w:val="20"/>
                <w:color w:val="auto"/>
                <w:shd w:val="clear" w:color="auto" w:fill="D5EEEE"/>
              </w:rPr>
              <w:t>$</w:t>
            </w:r>
          </w:p>
        </w:tc>
        <w:tc>
          <w:tcPr>
            <w:tcW w:w="880" w:type="dxa"/>
            <w:vAlign w:val="bottom"/>
            <w:vMerge w:val="restart"/>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80" w:type="dxa"/>
            <w:vAlign w:val="bottom"/>
            <w:vMerge w:val="restart"/>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D5EEEE"/>
              </w:rPr>
              <w:t>)</w:t>
            </w:r>
          </w:p>
        </w:tc>
        <w:tc>
          <w:tcPr>
            <w:tcW w:w="40" w:type="dxa"/>
            <w:vAlign w:val="bottom"/>
            <w:tcBorders>
              <w:right w:val="single" w:sz="8" w:color="D5EEEE"/>
            </w:tcBorders>
            <w:vMerge w:val="continue"/>
            <w:shd w:val="clear" w:color="auto" w:fill="D5EEEE"/>
          </w:tcPr>
          <w:p>
            <w:pPr>
              <w:spacing w:after="0" w:line="20" w:lineRule="exact"/>
              <w:rPr>
                <w:sz w:val="1"/>
                <w:szCs w:val="1"/>
                <w:color w:val="auto"/>
              </w:rPr>
            </w:pPr>
          </w:p>
        </w:tc>
        <w:tc>
          <w:tcPr>
            <w:tcW w:w="100" w:type="dxa"/>
            <w:vAlign w:val="bottom"/>
            <w:gridSpan w:val="2"/>
            <w:vMerge w:val="restart"/>
            <w:shd w:val="clear" w:color="auto" w:fill="D5EEEE"/>
          </w:tcPr>
          <w:p>
            <w:pPr>
              <w:spacing w:after="0"/>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vMerge w:val="continue"/>
          </w:tcPr>
          <w:p>
            <w:pPr>
              <w:spacing w:after="0" w:line="20" w:lineRule="exact"/>
              <w:rPr>
                <w:sz w:val="1"/>
                <w:szCs w:val="1"/>
                <w:color w:val="auto"/>
              </w:rPr>
            </w:pPr>
          </w:p>
        </w:tc>
        <w:tc>
          <w:tcPr>
            <w:tcW w:w="520" w:type="dxa"/>
            <w:vAlign w:val="bottom"/>
            <w:vMerge w:val="restart"/>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465</w:t>
            </w:r>
          </w:p>
        </w:tc>
        <w:tc>
          <w:tcPr>
            <w:tcW w:w="60" w:type="dxa"/>
            <w:vAlign w:val="bottom"/>
            <w:tcBorders>
              <w:left w:val="single" w:sz="8" w:color="D5EEEE"/>
            </w:tcBorders>
            <w:vMerge w:val="continue"/>
          </w:tcPr>
          <w:p>
            <w:pPr>
              <w:spacing w:after="0" w:line="20" w:lineRule="exact"/>
              <w:rPr>
                <w:sz w:val="1"/>
                <w:szCs w:val="1"/>
                <w:color w:val="auto"/>
              </w:rPr>
            </w:pPr>
          </w:p>
        </w:tc>
        <w:tc>
          <w:tcPr>
            <w:tcW w:w="100" w:type="dxa"/>
            <w:vAlign w:val="bottom"/>
            <w:vMerge w:val="restart"/>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vMerge w:val="continue"/>
          </w:tcPr>
          <w:p>
            <w:pPr>
              <w:spacing w:after="0" w:line="20" w:lineRule="exact"/>
              <w:rPr>
                <w:sz w:val="1"/>
                <w:szCs w:val="1"/>
                <w:color w:val="auto"/>
              </w:rPr>
            </w:pPr>
          </w:p>
        </w:tc>
        <w:tc>
          <w:tcPr>
            <w:tcW w:w="500" w:type="dxa"/>
            <w:vAlign w:val="bottom"/>
            <w:vMerge w:val="restart"/>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673</w:t>
            </w:r>
          </w:p>
        </w:tc>
        <w:tc>
          <w:tcPr>
            <w:tcW w:w="80" w:type="dxa"/>
            <w:vAlign w:val="bottom"/>
            <w:tcBorders>
              <w:right w:val="single" w:sz="8" w:color="D5EEEE"/>
            </w:tcBorders>
            <w:vMerge w:val="continue"/>
            <w:shd w:val="clear" w:color="auto" w:fill="D5EEE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restart"/>
            <w:shd w:val="clear" w:color="auto" w:fill="D5EEEE"/>
          </w:tcPr>
          <w:p>
            <w:pPr>
              <w:spacing w:after="0"/>
              <w:rPr>
                <w:sz w:val="20"/>
                <w:szCs w:val="20"/>
                <w:color w:val="auto"/>
              </w:rPr>
            </w:pPr>
            <w:r>
              <w:rPr>
                <w:rFonts w:ascii="Times New Roman" w:cs="Times New Roman" w:eastAsia="Times New Roman" w:hAnsi="Times New Roman"/>
                <w:sz w:val="20"/>
                <w:szCs w:val="20"/>
                <w:color w:val="auto"/>
                <w:w w:val="99"/>
                <w:shd w:val="clear" w:color="auto" w:fill="D5EEEE"/>
              </w:rPr>
              <w:t>$</w:t>
            </w:r>
          </w:p>
        </w:tc>
        <w:tc>
          <w:tcPr>
            <w:tcW w:w="20" w:type="dxa"/>
            <w:vAlign w:val="bottom"/>
            <w:vMerge w:val="continue"/>
          </w:tcPr>
          <w:p>
            <w:pPr>
              <w:spacing w:after="0" w:line="20" w:lineRule="exact"/>
              <w:rPr>
                <w:sz w:val="1"/>
                <w:szCs w:val="1"/>
                <w:color w:val="auto"/>
              </w:rPr>
            </w:pPr>
          </w:p>
        </w:tc>
        <w:tc>
          <w:tcPr>
            <w:tcW w:w="880" w:type="dxa"/>
            <w:vAlign w:val="bottom"/>
            <w:vMerge w:val="restart"/>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(230)</w:t>
            </w:r>
          </w:p>
        </w:tc>
        <w:tc>
          <w:tcPr>
            <w:tcW w:w="20" w:type="dxa"/>
            <w:vAlign w:val="bottom"/>
            <w:vMerge w:val="continue"/>
            <w:shd w:val="clear" w:color="auto" w:fill="D5EEEE"/>
          </w:tcPr>
          <w:p>
            <w:pPr>
              <w:spacing w:after="0" w:line="20" w:lineRule="exact"/>
              <w:rPr>
                <w:sz w:val="1"/>
                <w:szCs w:val="1"/>
                <w:color w:val="auto"/>
              </w:rPr>
            </w:pPr>
          </w:p>
        </w:tc>
        <w:tc>
          <w:tcPr>
            <w:tcW w:w="80" w:type="dxa"/>
            <w:vAlign w:val="bottom"/>
            <w:shd w:val="clear" w:color="auto" w:fill="D5EEEE"/>
          </w:tcPr>
          <w:p>
            <w:pPr>
              <w:spacing w:after="0" w:line="20" w:lineRule="exact"/>
              <w:rPr>
                <w:sz w:val="1"/>
                <w:szCs w:val="1"/>
                <w:color w:val="auto"/>
              </w:rPr>
            </w:pPr>
          </w:p>
        </w:tc>
        <w:tc>
          <w:tcPr>
            <w:tcW w:w="160" w:type="dxa"/>
            <w:vAlign w:val="bottom"/>
            <w:tcBorders>
              <w:left w:val="single" w:sz="8" w:color="D5EEEE"/>
              <w:right w:val="single" w:sz="8" w:color="D5EEEE"/>
            </w:tcBorders>
            <w:vMerge w:val="restart"/>
            <w:shd w:val="clear" w:color="auto" w:fill="D5EEEE"/>
          </w:tcPr>
          <w:p>
            <w:pPr>
              <w:ind w:left="20"/>
              <w:spacing w:after="0"/>
              <w:rPr>
                <w:sz w:val="20"/>
                <w:szCs w:val="20"/>
                <w:color w:val="auto"/>
              </w:rPr>
            </w:pPr>
            <w:r>
              <w:rPr>
                <w:rFonts w:ascii="Times New Roman" w:cs="Times New Roman" w:eastAsia="Times New Roman" w:hAnsi="Times New Roman"/>
                <w:sz w:val="20"/>
                <w:szCs w:val="20"/>
                <w:color w:val="auto"/>
                <w:w w:val="99"/>
                <w:shd w:val="clear" w:color="auto" w:fill="D5EEEE"/>
              </w:rPr>
              <w:t>$</w:t>
            </w:r>
          </w:p>
        </w:tc>
        <w:tc>
          <w:tcPr>
            <w:tcW w:w="500" w:type="dxa"/>
            <w:vAlign w:val="bottom"/>
            <w:vMerge w:val="restart"/>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443</w:t>
            </w:r>
          </w:p>
        </w:tc>
        <w:tc>
          <w:tcPr>
            <w:tcW w:w="100" w:type="dxa"/>
            <w:vAlign w:val="bottom"/>
            <w:tcBorders>
              <w:left w:val="single" w:sz="8" w:color="D5EEEE"/>
            </w:tcBorders>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vMerge w:val="restart"/>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60" w:type="dxa"/>
            <w:vAlign w:val="bottom"/>
            <w:tcBorders>
              <w:right w:val="single" w:sz="8" w:color="D5EEEE"/>
            </w:tcBorders>
            <w:vMerge w:val="restart"/>
            <w:shd w:val="clear" w:color="auto" w:fill="D5EEE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vMerge w:val="restart"/>
            <w:shd w:val="clear" w:color="auto" w:fill="D5EEEE"/>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0" w:type="dxa"/>
            <w:vAlign w:val="bottom"/>
            <w:vMerge w:val="restart"/>
            <w:shd w:val="clear" w:color="auto" w:fill="D5EEEE"/>
          </w:tcPr>
          <w:p>
            <w:pPr>
              <w:spacing w:after="0" w:line="20" w:lineRule="exact"/>
              <w:rPr>
                <w:sz w:val="1"/>
                <w:szCs w:val="1"/>
                <w:color w:val="auto"/>
              </w:rPr>
            </w:pPr>
          </w:p>
        </w:tc>
        <w:tc>
          <w:tcPr>
            <w:tcW w:w="60" w:type="dxa"/>
            <w:vAlign w:val="bottom"/>
            <w:vMerge w:val="restart"/>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5EEEE"/>
              </w:rPr>
              <w:t>)</w:t>
            </w:r>
          </w:p>
        </w:tc>
        <w:tc>
          <w:tcPr>
            <w:tcW w:w="40" w:type="dxa"/>
            <w:vAlign w:val="bottom"/>
            <w:tcBorders>
              <w:right w:val="single" w:sz="8" w:color="D5EEEE"/>
            </w:tcBorders>
            <w:vMerge w:val="restart"/>
            <w:shd w:val="clear" w:color="auto" w:fill="D5EE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D5EEEE"/>
            </w:tcBorders>
            <w:vMerge w:val="restart"/>
          </w:tcPr>
          <w:p>
            <w:pPr>
              <w:spacing w:after="0" w:line="20" w:lineRule="exact"/>
              <w:rPr>
                <w:sz w:val="1"/>
                <w:szCs w:val="1"/>
                <w:color w:val="auto"/>
              </w:rPr>
            </w:pPr>
          </w:p>
        </w:tc>
        <w:tc>
          <w:tcPr>
            <w:tcW w:w="460" w:type="dxa"/>
            <w:vAlign w:val="bottom"/>
            <w:vMerge w:val="restart"/>
            <w:shd w:val="clear" w:color="auto" w:fill="D5EEEE"/>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Borders>
              <w:right w:val="single" w:sz="8" w:color="D5EEEE"/>
            </w:tcBorders>
            <w:shd w:val="clear" w:color="auto" w:fill="D5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40" w:type="dxa"/>
            <w:vAlign w:val="bottom"/>
            <w:tcBorders>
              <w:right w:val="single" w:sz="8" w:color="D5EEEE"/>
            </w:tcBorders>
            <w:vMerge w:val="continue"/>
            <w:shd w:val="clear" w:color="auto" w:fill="D5EEE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vMerge w:val="continue"/>
            <w:shd w:val="clear" w:color="auto" w:fill="D5EEEE"/>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vMerge w:val="continue"/>
            <w:shd w:val="clear" w:color="auto" w:fill="D5EEEE"/>
          </w:tcPr>
          <w:p>
            <w:pPr>
              <w:spacing w:after="0"/>
              <w:rPr>
                <w:sz w:val="18"/>
                <w:szCs w:val="18"/>
                <w:color w:val="auto"/>
              </w:rPr>
            </w:pPr>
          </w:p>
        </w:tc>
        <w:tc>
          <w:tcPr>
            <w:tcW w:w="60" w:type="dxa"/>
            <w:vAlign w:val="bottom"/>
            <w:tcBorders>
              <w:left w:val="single" w:sz="8" w:color="D5EEEE"/>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D5EEEE"/>
            </w:tcBorders>
            <w:vMerge w:val="continue"/>
            <w:shd w:val="clear" w:color="auto" w:fill="D5EEEE"/>
          </w:tcPr>
          <w:p>
            <w:pPr>
              <w:spacing w:after="0"/>
              <w:rPr>
                <w:sz w:val="18"/>
                <w:szCs w:val="18"/>
                <w:color w:val="auto"/>
              </w:rPr>
            </w:pPr>
          </w:p>
        </w:tc>
        <w:tc>
          <w:tcPr>
            <w:tcW w:w="880" w:type="dxa"/>
            <w:vAlign w:val="bottom"/>
            <w:vMerge w:val="continue"/>
            <w:shd w:val="clear" w:color="auto" w:fill="D5EEEE"/>
          </w:tcPr>
          <w:p>
            <w:pPr>
              <w:spacing w:after="0"/>
              <w:rPr>
                <w:sz w:val="18"/>
                <w:szCs w:val="18"/>
                <w:color w:val="auto"/>
              </w:rPr>
            </w:pPr>
          </w:p>
        </w:tc>
        <w:tc>
          <w:tcPr>
            <w:tcW w:w="80" w:type="dxa"/>
            <w:vAlign w:val="bottom"/>
            <w:vMerge w:val="continue"/>
            <w:shd w:val="clear" w:color="auto" w:fill="D5EEEE"/>
          </w:tcPr>
          <w:p>
            <w:pPr>
              <w:spacing w:after="0"/>
              <w:rPr>
                <w:sz w:val="18"/>
                <w:szCs w:val="18"/>
                <w:color w:val="auto"/>
              </w:rPr>
            </w:pPr>
          </w:p>
        </w:tc>
        <w:tc>
          <w:tcPr>
            <w:tcW w:w="40" w:type="dxa"/>
            <w:vAlign w:val="bottom"/>
            <w:tcBorders>
              <w:right w:val="single" w:sz="8" w:color="D5EEEE"/>
            </w:tcBorders>
            <w:shd w:val="clear" w:color="auto" w:fill="D5EEEE"/>
          </w:tcPr>
          <w:p>
            <w:pPr>
              <w:spacing w:after="0"/>
              <w:rPr>
                <w:sz w:val="18"/>
                <w:szCs w:val="18"/>
                <w:color w:val="auto"/>
              </w:rPr>
            </w:pPr>
          </w:p>
        </w:tc>
        <w:tc>
          <w:tcPr>
            <w:tcW w:w="100" w:type="dxa"/>
            <w:vAlign w:val="bottom"/>
            <w:tcBorders>
              <w:bottom w:val="single" w:sz="8" w:color="auto"/>
            </w:tcBorders>
            <w:gridSpan w:val="2"/>
            <w:vMerge w:val="continue"/>
            <w:shd w:val="clear" w:color="auto" w:fill="D5EEE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vMerge w:val="continue"/>
            <w:shd w:val="clear" w:color="auto" w:fill="D5EEEE"/>
          </w:tcPr>
          <w:p>
            <w:pPr>
              <w:spacing w:after="0"/>
              <w:rPr>
                <w:sz w:val="18"/>
                <w:szCs w:val="18"/>
                <w:color w:val="auto"/>
              </w:rPr>
            </w:pPr>
          </w:p>
        </w:tc>
        <w:tc>
          <w:tcPr>
            <w:tcW w:w="60" w:type="dxa"/>
            <w:vAlign w:val="bottom"/>
            <w:tcBorders>
              <w:left w:val="single" w:sz="8" w:color="D5EEEE"/>
              <w:bottom w:val="single" w:sz="8" w:color="auto"/>
            </w:tcBorders>
          </w:tcPr>
          <w:p>
            <w:pPr>
              <w:spacing w:after="0"/>
              <w:rPr>
                <w:sz w:val="18"/>
                <w:szCs w:val="18"/>
                <w:color w:val="auto"/>
              </w:rPr>
            </w:pPr>
          </w:p>
        </w:tc>
        <w:tc>
          <w:tcPr>
            <w:tcW w:w="100" w:type="dxa"/>
            <w:vAlign w:val="bottom"/>
            <w:tcBorders>
              <w:bottom w:val="single" w:sz="8" w:color="auto"/>
            </w:tcBorders>
            <w:vMerge w:val="continue"/>
            <w:shd w:val="clear" w:color="auto" w:fill="D5EEE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vMerge w:val="continue"/>
            <w:shd w:val="clear" w:color="auto" w:fill="D5EEEE"/>
          </w:tcPr>
          <w:p>
            <w:pPr>
              <w:spacing w:after="0"/>
              <w:rPr>
                <w:sz w:val="18"/>
                <w:szCs w:val="18"/>
                <w:color w:val="auto"/>
              </w:rPr>
            </w:pPr>
          </w:p>
        </w:tc>
        <w:tc>
          <w:tcPr>
            <w:tcW w:w="80" w:type="dxa"/>
            <w:vAlign w:val="bottom"/>
            <w:tcBorders>
              <w:right w:val="single" w:sz="8" w:color="D5EEEE"/>
            </w:tcBorders>
            <w:shd w:val="clear" w:color="auto" w:fill="D5EEE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vMerge w:val="continue"/>
            <w:shd w:val="clear" w:color="auto" w:fill="D5EEE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80" w:type="dxa"/>
            <w:vAlign w:val="bottom"/>
            <w:vMerge w:val="continue"/>
            <w:shd w:val="clear" w:color="auto" w:fill="D5EEEE"/>
          </w:tcPr>
          <w:p>
            <w:pPr>
              <w:spacing w:after="0"/>
              <w:rPr>
                <w:sz w:val="18"/>
                <w:szCs w:val="18"/>
                <w:color w:val="auto"/>
              </w:rPr>
            </w:pPr>
          </w:p>
        </w:tc>
        <w:tc>
          <w:tcPr>
            <w:tcW w:w="20" w:type="dxa"/>
            <w:vAlign w:val="bottom"/>
            <w:shd w:val="clear" w:color="auto" w:fill="D5EEEE"/>
          </w:tcPr>
          <w:p>
            <w:pPr>
              <w:spacing w:after="0"/>
              <w:rPr>
                <w:sz w:val="18"/>
                <w:szCs w:val="18"/>
                <w:color w:val="auto"/>
              </w:rPr>
            </w:pPr>
          </w:p>
        </w:tc>
        <w:tc>
          <w:tcPr>
            <w:tcW w:w="80" w:type="dxa"/>
            <w:vAlign w:val="bottom"/>
            <w:shd w:val="clear" w:color="auto" w:fill="D5EEEE"/>
          </w:tcPr>
          <w:p>
            <w:pPr>
              <w:spacing w:after="0"/>
              <w:rPr>
                <w:sz w:val="18"/>
                <w:szCs w:val="18"/>
                <w:color w:val="auto"/>
              </w:rPr>
            </w:pPr>
          </w:p>
        </w:tc>
        <w:tc>
          <w:tcPr>
            <w:tcW w:w="160" w:type="dxa"/>
            <w:vAlign w:val="bottom"/>
            <w:tcBorders>
              <w:left w:val="single" w:sz="8" w:color="D5EEEE"/>
              <w:bottom w:val="single" w:sz="8" w:color="auto"/>
              <w:right w:val="single" w:sz="8" w:color="D5EEEE"/>
            </w:tcBorders>
            <w:vMerge w:val="continue"/>
            <w:shd w:val="clear" w:color="auto" w:fill="D5EEEE"/>
          </w:tcPr>
          <w:p>
            <w:pPr>
              <w:spacing w:after="0"/>
              <w:rPr>
                <w:sz w:val="18"/>
                <w:szCs w:val="18"/>
                <w:color w:val="auto"/>
              </w:rPr>
            </w:pPr>
          </w:p>
        </w:tc>
        <w:tc>
          <w:tcPr>
            <w:tcW w:w="500" w:type="dxa"/>
            <w:vAlign w:val="bottom"/>
            <w:vMerge w:val="continue"/>
            <w:shd w:val="clear" w:color="auto" w:fill="D5EEEE"/>
          </w:tcPr>
          <w:p>
            <w:pPr>
              <w:spacing w:after="0"/>
              <w:rPr>
                <w:sz w:val="18"/>
                <w:szCs w:val="18"/>
                <w:color w:val="auto"/>
              </w:rPr>
            </w:pPr>
          </w:p>
        </w:tc>
        <w:tc>
          <w:tcPr>
            <w:tcW w:w="100" w:type="dxa"/>
            <w:vAlign w:val="bottom"/>
            <w:tcBorders>
              <w:left w:val="single" w:sz="8" w:color="D5EEEE"/>
            </w:tcBorders>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right w:val="single" w:sz="8" w:color="D5EEEE"/>
            </w:tcBorders>
            <w:shd w:val="clear" w:color="auto" w:fill="D5EEEE"/>
          </w:tcPr>
          <w:p>
            <w:pPr>
              <w:spacing w:after="0"/>
              <w:rPr>
                <w:sz w:val="20"/>
                <w:szCs w:val="20"/>
                <w:color w:val="auto"/>
              </w:rPr>
            </w:pPr>
            <w:r>
              <w:rPr>
                <w:rFonts w:ascii="Times New Roman" w:cs="Times New Roman" w:eastAsia="Times New Roman" w:hAnsi="Times New Roman"/>
                <w:sz w:val="18"/>
                <w:szCs w:val="18"/>
                <w:color w:val="auto"/>
                <w:w w:val="88"/>
                <w:shd w:val="clear" w:color="auto" w:fill="D5EEEE"/>
              </w:rPr>
              <w:t>$</w:t>
            </w:r>
          </w:p>
        </w:tc>
        <w:tc>
          <w:tcPr>
            <w:tcW w:w="20" w:type="dxa"/>
            <w:vAlign w:val="bottom"/>
            <w:tcBorders>
              <w:bottom w:val="single" w:sz="8" w:color="auto"/>
            </w:tcBorders>
            <w:vMerge w:val="continue"/>
          </w:tcPr>
          <w:p>
            <w:pPr>
              <w:spacing w:after="0"/>
              <w:rPr>
                <w:sz w:val="18"/>
                <w:szCs w:val="18"/>
                <w:color w:val="auto"/>
              </w:rPr>
            </w:pPr>
          </w:p>
        </w:tc>
        <w:tc>
          <w:tcPr>
            <w:tcW w:w="480" w:type="dxa"/>
            <w:vAlign w:val="bottom"/>
            <w:vMerge w:val="continue"/>
            <w:shd w:val="clear" w:color="auto" w:fill="D5EEEE"/>
          </w:tcPr>
          <w:p>
            <w:pPr>
              <w:spacing w:after="0"/>
              <w:rPr>
                <w:sz w:val="18"/>
                <w:szCs w:val="18"/>
                <w:color w:val="auto"/>
              </w:rPr>
            </w:pPr>
          </w:p>
        </w:tc>
        <w:tc>
          <w:tcPr>
            <w:tcW w:w="60" w:type="dxa"/>
            <w:vAlign w:val="bottom"/>
            <w:tcBorders>
              <w:right w:val="single" w:sz="8" w:color="D5EEEE"/>
            </w:tcBorders>
            <w:vMerge w:val="continue"/>
            <w:shd w:val="clear" w:color="auto" w:fill="D5EEEE"/>
          </w:tcPr>
          <w:p>
            <w:pPr>
              <w:spacing w:after="0"/>
              <w:rPr>
                <w:sz w:val="18"/>
                <w:szCs w:val="18"/>
                <w:color w:val="auto"/>
              </w:rPr>
            </w:pPr>
          </w:p>
        </w:tc>
        <w:tc>
          <w:tcPr>
            <w:tcW w:w="40" w:type="dxa"/>
            <w:vAlign w:val="bottom"/>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8"/>
                <w:szCs w:val="18"/>
                <w:color w:val="auto"/>
                <w:shd w:val="clear" w:color="auto" w:fill="D5EEEE"/>
              </w:rPr>
              <w:t>$</w:t>
            </w:r>
          </w:p>
        </w:tc>
        <w:tc>
          <w:tcPr>
            <w:tcW w:w="20" w:type="dxa"/>
            <w:vAlign w:val="bottom"/>
            <w:tcBorders>
              <w:bottom w:val="single" w:sz="8" w:color="auto"/>
            </w:tcBorders>
            <w:vMerge w:val="continue"/>
          </w:tcPr>
          <w:p>
            <w:pPr>
              <w:spacing w:after="0"/>
              <w:rPr>
                <w:sz w:val="18"/>
                <w:szCs w:val="18"/>
                <w:color w:val="auto"/>
              </w:rPr>
            </w:pPr>
          </w:p>
        </w:tc>
        <w:tc>
          <w:tcPr>
            <w:tcW w:w="880" w:type="dxa"/>
            <w:vAlign w:val="bottom"/>
            <w:vMerge w:val="continue"/>
            <w:shd w:val="clear" w:color="auto" w:fill="D5EEEE"/>
          </w:tcPr>
          <w:p>
            <w:pPr>
              <w:spacing w:after="0"/>
              <w:rPr>
                <w:sz w:val="18"/>
                <w:szCs w:val="18"/>
                <w:color w:val="auto"/>
              </w:rPr>
            </w:pPr>
          </w:p>
        </w:tc>
        <w:tc>
          <w:tcPr>
            <w:tcW w:w="20" w:type="dxa"/>
            <w:vAlign w:val="bottom"/>
            <w:vMerge w:val="continue"/>
            <w:shd w:val="clear" w:color="auto" w:fill="D5EEEE"/>
          </w:tcPr>
          <w:p>
            <w:pPr>
              <w:spacing w:after="0"/>
              <w:rPr>
                <w:sz w:val="18"/>
                <w:szCs w:val="18"/>
                <w:color w:val="auto"/>
              </w:rPr>
            </w:pPr>
          </w:p>
        </w:tc>
        <w:tc>
          <w:tcPr>
            <w:tcW w:w="60" w:type="dxa"/>
            <w:vAlign w:val="bottom"/>
            <w:vMerge w:val="continue"/>
            <w:shd w:val="clear" w:color="auto" w:fill="D5EEEE"/>
          </w:tcPr>
          <w:p>
            <w:pPr>
              <w:spacing w:after="0"/>
              <w:rPr>
                <w:sz w:val="18"/>
                <w:szCs w:val="18"/>
                <w:color w:val="auto"/>
              </w:rPr>
            </w:pPr>
          </w:p>
        </w:tc>
        <w:tc>
          <w:tcPr>
            <w:tcW w:w="40" w:type="dxa"/>
            <w:vAlign w:val="bottom"/>
            <w:tcBorders>
              <w:right w:val="single" w:sz="8" w:color="D5EEEE"/>
            </w:tcBorders>
            <w:vMerge w:val="continue"/>
            <w:shd w:val="clear" w:color="auto" w:fill="D5EEEE"/>
          </w:tcPr>
          <w:p>
            <w:pPr>
              <w:spacing w:after="0"/>
              <w:rPr>
                <w:sz w:val="18"/>
                <w:szCs w:val="18"/>
                <w:color w:val="auto"/>
              </w:rPr>
            </w:pPr>
          </w:p>
        </w:tc>
        <w:tc>
          <w:tcPr>
            <w:tcW w:w="10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18"/>
                <w:szCs w:val="18"/>
                <w:color w:val="auto"/>
                <w:w w:val="88"/>
                <w:shd w:val="clear" w:color="auto" w:fill="D5EEEE"/>
              </w:rPr>
              <w:t>$</w:t>
            </w:r>
          </w:p>
        </w:tc>
        <w:tc>
          <w:tcPr>
            <w:tcW w:w="60" w:type="dxa"/>
            <w:vAlign w:val="bottom"/>
            <w:tcBorders>
              <w:bottom w:val="single" w:sz="8" w:color="auto"/>
              <w:right w:val="single" w:sz="8" w:color="D5EEEE"/>
            </w:tcBorders>
            <w:vMerge w:val="continue"/>
          </w:tcPr>
          <w:p>
            <w:pPr>
              <w:spacing w:after="0"/>
              <w:rPr>
                <w:sz w:val="18"/>
                <w:szCs w:val="18"/>
                <w:color w:val="auto"/>
              </w:rPr>
            </w:pPr>
          </w:p>
        </w:tc>
        <w:tc>
          <w:tcPr>
            <w:tcW w:w="460" w:type="dxa"/>
            <w:vAlign w:val="bottom"/>
            <w:tcBorders>
              <w:bottom w:val="single" w:sz="8" w:color="auto"/>
            </w:tcBorders>
            <w:vMerge w:val="continue"/>
            <w:shd w:val="clear" w:color="auto" w:fill="D5EEEE"/>
          </w:tcPr>
          <w:p>
            <w:pPr>
              <w:spacing w:after="0"/>
              <w:rPr>
                <w:sz w:val="18"/>
                <w:szCs w:val="18"/>
                <w:color w:val="auto"/>
              </w:rPr>
            </w:pPr>
          </w:p>
        </w:tc>
        <w:tc>
          <w:tcPr>
            <w:tcW w:w="60" w:type="dxa"/>
            <w:vAlign w:val="bottom"/>
            <w:tcBorders>
              <w:bottom w:val="single" w:sz="8" w:color="auto"/>
              <w:right w:val="single" w:sz="8" w:color="D5EEEE"/>
            </w:tcBorders>
            <w:shd w:val="clear" w:color="auto" w:fill="D5EEE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3054350</wp:posOffset>
            </wp:positionH>
            <wp:positionV relativeFrom="paragraph">
              <wp:posOffset>-2289175</wp:posOffset>
            </wp:positionV>
            <wp:extent cx="3804920"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04920" cy="3746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-1882140</wp:posOffset>
            </wp:positionV>
            <wp:extent cx="6875780" cy="1913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75780" cy="1913890"/>
                    </a:xfrm>
                    <a:prstGeom prst="rect">
                      <a:avLst/>
                    </a:prstGeom>
                    <a:noFill/>
                  </pic:spPr>
                </pic:pic>
              </a:graphicData>
            </a:graphic>
          </wp:anchor>
        </w:drawing>
      </w:r>
    </w:p>
    <w:p>
      <w:pPr>
        <w:spacing w:after="0" w:line="265" w:lineRule="exact"/>
        <w:rPr>
          <w:sz w:val="20"/>
          <w:szCs w:val="20"/>
          <w:color w:val="auto"/>
        </w:rPr>
      </w:pPr>
    </w:p>
    <w:p>
      <w:pPr>
        <w:ind w:firstLine="720"/>
        <w:spacing w:after="0" w:line="245" w:lineRule="auto"/>
        <w:rPr>
          <w:sz w:val="20"/>
          <w:szCs w:val="20"/>
          <w:color w:val="auto"/>
        </w:rPr>
      </w:pPr>
      <w:r>
        <w:rPr>
          <w:rFonts w:ascii="Times New Roman" w:cs="Times New Roman" w:eastAsia="Times New Roman" w:hAnsi="Times New Roman"/>
          <w:sz w:val="20"/>
          <w:szCs w:val="20"/>
          <w:color w:val="auto"/>
        </w:rPr>
        <w:t>During the year-ended December 31, 2022, the Company did not identify any events or changes in circumstances that indicated the carrying value of its intangibles may not be recoverable. As such, there was no impairment of intangibles assets recognized for the year-ended December 31, 2022. During the transition period ended December 31, 2021, the Company recorded impairment charge of $42,000 in general and administrative expenses. During the year-ended June 30, 2021, the Company did not identify any events or changes in circumstances that indicated the carrying value of its intangibles may not be recoverable. As such, there was no impairment of intangibles assets recognized for the year-ended June 30, 2021. Amortization expense of intangibles included in the Consolidated Statements of Operations was $58,000, $56,000 and $109,000 for the year-ended December 31, 2022,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transition period ended December 31, 2021 and the year-ended June 30, 2021, respectively.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expects the future amortization of amortizable intangible assets held at December 31, 2022 to be (in thousands):</w:t>
      </w:r>
    </w:p>
    <w:p>
      <w:pPr>
        <w:spacing w:after="0" w:line="288"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20"/>
          <w:szCs w:val="20"/>
          <w:b w:val="1"/>
          <w:bCs w:val="1"/>
          <w:color w:val="auto"/>
        </w:rPr>
        <w:t>Estimated Amortization</w:t>
      </w:r>
    </w:p>
    <w:p>
      <w:pPr>
        <w:jc w:val="center"/>
        <w:ind w:left="7560"/>
        <w:spacing w:after="0"/>
        <w:rPr>
          <w:sz w:val="20"/>
          <w:szCs w:val="20"/>
          <w:color w:val="auto"/>
        </w:rPr>
      </w:pPr>
      <w:r>
        <w:rPr>
          <w:rFonts w:ascii="Times New Roman" w:cs="Times New Roman" w:eastAsia="Times New Roman" w:hAnsi="Times New Roman"/>
          <w:sz w:val="20"/>
          <w:szCs w:val="20"/>
          <w:b w:val="1"/>
          <w:bCs w:val="1"/>
          <w:color w:val="auto"/>
        </w:rPr>
        <w:t>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2540</wp:posOffset>
            </wp:positionV>
            <wp:extent cx="6198870" cy="11461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98870" cy="1146175"/>
                    </a:xfrm>
                    <a:prstGeom prst="rect">
                      <a:avLst/>
                    </a:prstGeom>
                    <a:noFill/>
                  </pic:spPr>
                </pic:pic>
              </a:graphicData>
            </a:graphic>
          </wp:anchor>
        </w:drawing>
      </w:r>
    </w:p>
    <w:tbl>
      <w:tblPr>
        <w:tblLayout w:type="fixed"/>
        <w:tblInd w:w="8420" w:type="dxa"/>
        <w:tblCellMar>
          <w:top w:w="0" w:type="dxa"/>
          <w:left w:w="0" w:type="dxa"/>
          <w:bottom w:w="0" w:type="dxa"/>
          <w:right w:w="0" w:type="dxa"/>
        </w:tblCellMar>
      </w:tblPr>
      <w:tr>
        <w:trPr>
          <w:trHeight w:val="250"/>
        </w:trPr>
        <w:tc>
          <w:tcPr>
            <w:tcW w:w="1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Pr>
          <w:p>
            <w:pPr>
              <w:spacing w:after="0"/>
              <w:rPr>
                <w:sz w:val="21"/>
                <w:szCs w:val="21"/>
                <w:color w:val="auto"/>
              </w:rPr>
            </w:pPr>
          </w:p>
        </w:tc>
        <w:tc>
          <w:tcPr>
            <w:tcW w:w="16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40" w:type="dxa"/>
            <w:vAlign w:val="bottom"/>
            <w:tcBorders>
              <w:right w:val="single" w:sz="8" w:color="D5EEEE"/>
            </w:tcBorders>
            <w:shd w:val="clear" w:color="auto" w:fill="D5EEEE"/>
          </w:tcPr>
          <w:p>
            <w:pPr>
              <w:spacing w:after="0"/>
              <w:rPr>
                <w:sz w:val="21"/>
                <w:szCs w:val="21"/>
                <w:color w:val="auto"/>
              </w:rPr>
            </w:pPr>
          </w:p>
        </w:tc>
      </w:tr>
      <w:tr>
        <w:trPr>
          <w:trHeight w:val="245"/>
        </w:trPr>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40" w:type="dxa"/>
            <w:vAlign w:val="bottom"/>
          </w:tcPr>
          <w:p>
            <w:pPr>
              <w:spacing w:after="0"/>
              <w:rPr>
                <w:sz w:val="21"/>
                <w:szCs w:val="21"/>
                <w:color w:val="auto"/>
              </w:rPr>
            </w:pPr>
          </w:p>
        </w:tc>
      </w:tr>
      <w:tr>
        <w:trPr>
          <w:trHeight w:val="260"/>
        </w:trPr>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40" w:type="dxa"/>
            <w:vAlign w:val="bottom"/>
            <w:tcBorders>
              <w:right w:val="single" w:sz="8" w:color="D5EEEE"/>
            </w:tcBorders>
          </w:tcPr>
          <w:p>
            <w:pPr>
              <w:spacing w:after="0"/>
              <w:rPr>
                <w:sz w:val="22"/>
                <w:szCs w:val="22"/>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40" w:type="dxa"/>
            <w:vAlign w:val="bottom"/>
          </w:tcPr>
          <w:p>
            <w:pPr>
              <w:spacing w:after="0"/>
              <w:rPr>
                <w:sz w:val="20"/>
                <w:szCs w:val="20"/>
                <w:color w:val="auto"/>
              </w:rPr>
            </w:pPr>
          </w:p>
        </w:tc>
      </w:tr>
      <w:tr>
        <w:trPr>
          <w:trHeight w:val="259"/>
        </w:trPr>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40" w:type="dxa"/>
            <w:vAlign w:val="bottom"/>
            <w:tcBorders>
              <w:right w:val="single" w:sz="8" w:color="D5EEEE"/>
            </w:tcBorders>
          </w:tcPr>
          <w:p>
            <w:pPr>
              <w:spacing w:after="0"/>
              <w:rPr>
                <w:sz w:val="22"/>
                <w:szCs w:val="22"/>
                <w:color w:val="auto"/>
              </w:rPr>
            </w:pPr>
          </w:p>
        </w:tc>
      </w:tr>
      <w:tr>
        <w:trPr>
          <w:trHeight w:val="255"/>
        </w:trPr>
        <w:tc>
          <w:tcPr>
            <w:tcW w:w="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245</w:t>
            </w:r>
          </w:p>
        </w:tc>
        <w:tc>
          <w:tcPr>
            <w:tcW w:w="40" w:type="dxa"/>
            <w:vAlign w:val="bottom"/>
            <w:tcBorders>
              <w:bottom w:val="single" w:sz="8" w:color="auto"/>
            </w:tcBorders>
          </w:tcPr>
          <w:p>
            <w:pPr>
              <w:spacing w:after="0"/>
              <w:rPr>
                <w:sz w:val="21"/>
                <w:szCs w:val="21"/>
                <w:color w:val="auto"/>
              </w:rPr>
            </w:pPr>
          </w:p>
        </w:tc>
      </w:tr>
      <w:tr>
        <w:trPr>
          <w:trHeight w:val="210"/>
        </w:trPr>
        <w:tc>
          <w:tcPr>
            <w:tcW w:w="140" w:type="dxa"/>
            <w:vAlign w:val="bottom"/>
            <w:tcBorders>
              <w:top w:val="single" w:sz="8" w:color="D5EEEE"/>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w w:val="79"/>
                <w:shd w:val="clear" w:color="auto" w:fill="D5EEEE"/>
              </w:rPr>
              <w:t>$</w:t>
            </w:r>
          </w:p>
        </w:tc>
        <w:tc>
          <w:tcPr>
            <w:tcW w:w="20" w:type="dxa"/>
            <w:vAlign w:val="bottom"/>
            <w:tcBorders>
              <w:top w:val="single" w:sz="8" w:color="D5EEEE"/>
            </w:tcBorders>
          </w:tcPr>
          <w:p>
            <w:pPr>
              <w:spacing w:after="0"/>
              <w:rPr>
                <w:sz w:val="18"/>
                <w:szCs w:val="18"/>
                <w:color w:val="auto"/>
              </w:rPr>
            </w:pPr>
          </w:p>
        </w:tc>
        <w:tc>
          <w:tcPr>
            <w:tcW w:w="1640" w:type="dxa"/>
            <w:vAlign w:val="bottom"/>
            <w:tcBorders>
              <w:top w:val="single" w:sz="8" w:color="D5EEEE"/>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411</w:t>
            </w:r>
          </w:p>
        </w:tc>
        <w:tc>
          <w:tcPr>
            <w:tcW w:w="40" w:type="dxa"/>
            <w:vAlign w:val="bottom"/>
            <w:tcBorders>
              <w:top w:val="single" w:sz="8" w:color="D5EEEE"/>
              <w:right w:val="single" w:sz="8" w:color="D5EEEE"/>
            </w:tcBorders>
            <w:shd w:val="clear" w:color="auto" w:fill="D5EEEE"/>
          </w:tcPr>
          <w:p>
            <w:pPr>
              <w:spacing w:after="0"/>
              <w:rPr>
                <w:sz w:val="18"/>
                <w:szCs w:val="18"/>
                <w:color w:val="auto"/>
              </w:rPr>
            </w:pPr>
          </w:p>
        </w:tc>
      </w:tr>
    </w:tbl>
    <w:p>
      <w:pPr>
        <w:spacing w:after="0" w:line="200" w:lineRule="exact"/>
        <w:rPr>
          <w:sz w:val="20"/>
          <w:szCs w:val="20"/>
          <w:color w:val="auto"/>
        </w:rPr>
      </w:pPr>
    </w:p>
    <w:p>
      <w:pPr>
        <w:sectPr>
          <w:pgSz w:w="11880" w:h="15480" w:orient="portrait"/>
          <w:cols w:equalWidth="0" w:num="1">
            <w:col w:w="10800"/>
          </w:cols>
          <w:pgMar w:left="540" w:top="884" w:right="540" w:bottom="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F-22</w:t>
      </w:r>
    </w:p>
    <w:p>
      <w:pPr>
        <w:sectPr>
          <w:pgSz w:w="11880" w:h="15480" w:orient="portrait"/>
          <w:cols w:equalWidth="0" w:num="1">
            <w:col w:w="10800"/>
          </w:cols>
          <w:pgMar w:left="540" w:top="884" w:right="540" w:bottom="5"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20"/>
          <w:szCs w:val="20"/>
          <w:b w:val="1"/>
          <w:bCs w:val="1"/>
          <w:color w:val="auto"/>
        </w:rPr>
        <w:t>9. Property and Equipment, net</w:t>
      </w:r>
    </w:p>
    <w:p>
      <w:pPr>
        <w:spacing w:after="0" w:line="1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composition of property and equipment, net is as follows (in thousands):</w:t>
      </w:r>
    </w:p>
    <w:p>
      <w:pPr>
        <w:spacing w:after="0" w:line="245"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185"/>
        </w:trPr>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0" w:type="dxa"/>
            <w:vAlign w:val="bottom"/>
          </w:tcPr>
          <w:p>
            <w:pPr>
              <w:spacing w:after="0"/>
              <w:rPr>
                <w:sz w:val="1"/>
                <w:szCs w:val="1"/>
                <w:color w:val="auto"/>
              </w:rPr>
            </w:pPr>
          </w:p>
        </w:tc>
      </w:tr>
      <w:tr>
        <w:trPr>
          <w:trHeight w:val="223"/>
        </w:trPr>
        <w:tc>
          <w:tcPr>
            <w:tcW w:w="2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4"/>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Useful Lives</w:t>
            </w:r>
          </w:p>
        </w:tc>
        <w:tc>
          <w:tcPr>
            <w:tcW w:w="1220" w:type="dxa"/>
            <w:vAlign w:val="bottom"/>
            <w:gridSpan w:val="2"/>
          </w:tcPr>
          <w:p>
            <w:pPr>
              <w:jc w:val="center"/>
              <w:ind w:right="4"/>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jc w:val="center"/>
              <w:ind w:right="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00" w:type="dxa"/>
            <w:vAlign w:val="bottom"/>
            <w:tcBorders>
              <w:top w:val="single" w:sz="8" w:color="D5EEEE"/>
            </w:tcBorders>
            <w:shd w:val="clear" w:color="auto" w:fill="D5EEEE"/>
          </w:tcPr>
          <w:p>
            <w:pPr>
              <w:spacing w:after="0"/>
              <w:rPr>
                <w:sz w:val="18"/>
                <w:szCs w:val="18"/>
                <w:color w:val="auto"/>
              </w:rPr>
            </w:pPr>
          </w:p>
        </w:tc>
        <w:tc>
          <w:tcPr>
            <w:tcW w:w="120" w:type="dxa"/>
            <w:vAlign w:val="bottom"/>
            <w:tcBorders>
              <w:top w:val="single" w:sz="8" w:color="D5EEEE"/>
            </w:tcBorders>
            <w:shd w:val="clear" w:color="auto" w:fill="D5EEEE"/>
          </w:tcPr>
          <w:p>
            <w:pPr>
              <w:spacing w:after="0"/>
              <w:rPr>
                <w:sz w:val="18"/>
                <w:szCs w:val="18"/>
                <w:color w:val="auto"/>
              </w:rPr>
            </w:pPr>
          </w:p>
        </w:tc>
        <w:tc>
          <w:tcPr>
            <w:tcW w:w="1540" w:type="dxa"/>
            <w:vAlign w:val="bottom"/>
            <w:tcBorders>
              <w:top w:val="single" w:sz="8" w:color="auto"/>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rPr>
              <w:t>3 years</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auto"/>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rPr>
              <w:t>755</w:t>
            </w:r>
          </w:p>
        </w:tc>
        <w:tc>
          <w:tcPr>
            <w:tcW w:w="20" w:type="dxa"/>
            <w:vAlign w:val="bottom"/>
            <w:tcBorders>
              <w:top w:val="single" w:sz="8" w:color="auto"/>
            </w:tcBorders>
            <w:shd w:val="clear" w:color="auto" w:fill="D5EEEE"/>
          </w:tcPr>
          <w:p>
            <w:pPr>
              <w:spacing w:after="0"/>
              <w:rPr>
                <w:sz w:val="18"/>
                <w:szCs w:val="18"/>
                <w:color w:val="auto"/>
              </w:rPr>
            </w:pPr>
          </w:p>
        </w:tc>
        <w:tc>
          <w:tcPr>
            <w:tcW w:w="8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D5EEEE"/>
            </w:tcBorders>
          </w:tcPr>
          <w:p>
            <w:pPr>
              <w:spacing w:after="0"/>
              <w:rPr>
                <w:sz w:val="18"/>
                <w:szCs w:val="18"/>
                <w:color w:val="auto"/>
              </w:rPr>
            </w:pPr>
          </w:p>
        </w:tc>
        <w:tc>
          <w:tcPr>
            <w:tcW w:w="20" w:type="dxa"/>
            <w:vAlign w:val="bottom"/>
            <w:tcBorders>
              <w:top w:val="single" w:sz="8" w:color="D5EEEE"/>
            </w:tcBorders>
          </w:tcPr>
          <w:p>
            <w:pPr>
              <w:spacing w:after="0"/>
              <w:rPr>
                <w:sz w:val="18"/>
                <w:szCs w:val="18"/>
                <w:color w:val="auto"/>
              </w:rPr>
            </w:pPr>
          </w:p>
        </w:tc>
        <w:tc>
          <w:tcPr>
            <w:tcW w:w="100" w:type="dxa"/>
            <w:vAlign w:val="bottom"/>
            <w:tcBorders>
              <w:top w:val="single" w:sz="8" w:color="auto"/>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1000" w:type="dxa"/>
            <w:vAlign w:val="bottom"/>
            <w:tcBorders>
              <w:top w:val="single" w:sz="8" w:color="auto"/>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rPr>
              <w:t>740</w:t>
            </w:r>
          </w:p>
        </w:tc>
        <w:tc>
          <w:tcPr>
            <w:tcW w:w="80" w:type="dxa"/>
            <w:vAlign w:val="bottom"/>
            <w:tcBorders>
              <w:top w:val="single" w:sz="8" w:color="auto"/>
              <w:right w:val="single" w:sz="8" w:color="D5EEEE"/>
            </w:tcBorders>
            <w:shd w:val="clear" w:color="auto" w:fill="D5EEEE"/>
          </w:tcPr>
          <w:p>
            <w:pPr>
              <w:spacing w:after="0"/>
              <w:rPr>
                <w:sz w:val="18"/>
                <w:szCs w:val="18"/>
                <w:color w:val="auto"/>
              </w:rPr>
            </w:pPr>
          </w:p>
        </w:tc>
        <w:tc>
          <w:tcPr>
            <w:tcW w:w="120" w:type="dxa"/>
            <w:vAlign w:val="bottom"/>
            <w:tcBorders>
              <w:top w:val="single" w:sz="8" w:color="D5EEEE"/>
            </w:tcBorders>
          </w:tcPr>
          <w:p>
            <w:pPr>
              <w:spacing w:after="0"/>
              <w:rPr>
                <w:sz w:val="18"/>
                <w:szCs w:val="18"/>
                <w:color w:val="auto"/>
              </w:rPr>
            </w:pPr>
          </w:p>
        </w:tc>
        <w:tc>
          <w:tcPr>
            <w:tcW w:w="20" w:type="dxa"/>
            <w:vAlign w:val="bottom"/>
            <w:tcBorders>
              <w:top w:val="single" w:sz="8" w:color="D5EEEE"/>
            </w:tcBorders>
          </w:tcPr>
          <w:p>
            <w:pPr>
              <w:spacing w:after="0"/>
              <w:rPr>
                <w:sz w:val="18"/>
                <w:szCs w:val="18"/>
                <w:color w:val="auto"/>
              </w:rPr>
            </w:pPr>
          </w:p>
        </w:tc>
        <w:tc>
          <w:tcPr>
            <w:tcW w:w="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rPr>
              <w:t>722</w:t>
            </w:r>
          </w:p>
        </w:tc>
        <w:tc>
          <w:tcPr>
            <w:tcW w:w="40" w:type="dxa"/>
            <w:vAlign w:val="bottom"/>
            <w:tcBorders>
              <w:left w:val="single" w:sz="8" w:color="D5EEEE"/>
            </w:tcBorders>
          </w:tcPr>
          <w:p>
            <w:pPr>
              <w:spacing w:after="0"/>
              <w:rPr>
                <w:sz w:val="18"/>
                <w:szCs w:val="18"/>
                <w:color w:val="auto"/>
              </w:rPr>
            </w:pPr>
          </w:p>
        </w:tc>
        <w:tc>
          <w:tcPr>
            <w:tcW w:w="4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D5EEEE"/>
            </w:tcBorders>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800" w:type="dxa"/>
            <w:vAlign w:val="bottom"/>
            <w:tcBorders>
              <w:bottom w:val="single" w:sz="8" w:color="D5EEEE"/>
            </w:tcBorders>
          </w:tcPr>
          <w:p>
            <w:pPr>
              <w:spacing w:after="0"/>
              <w:rPr>
                <w:sz w:val="21"/>
                <w:szCs w:val="21"/>
                <w:color w:val="auto"/>
              </w:rPr>
            </w:pPr>
          </w:p>
        </w:tc>
        <w:tc>
          <w:tcPr>
            <w:tcW w:w="120" w:type="dxa"/>
            <w:vAlign w:val="bottom"/>
            <w:tcBorders>
              <w:bottom w:val="single" w:sz="8" w:color="D5EEEE"/>
            </w:tcBorders>
          </w:tcPr>
          <w:p>
            <w:pPr>
              <w:spacing w:after="0"/>
              <w:rPr>
                <w:sz w:val="21"/>
                <w:szCs w:val="21"/>
                <w:color w:val="auto"/>
              </w:rPr>
            </w:pPr>
          </w:p>
        </w:tc>
        <w:tc>
          <w:tcPr>
            <w:tcW w:w="15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3 years</w:t>
            </w:r>
          </w:p>
        </w:tc>
        <w:tc>
          <w:tcPr>
            <w:tcW w:w="20" w:type="dxa"/>
            <w:vAlign w:val="bottom"/>
            <w:tcBorders>
              <w:bottom w:val="single" w:sz="8" w:color="D5EEEE"/>
            </w:tcBorders>
          </w:tcPr>
          <w:p>
            <w:pPr>
              <w:spacing w:after="0"/>
              <w:rPr>
                <w:sz w:val="21"/>
                <w:szCs w:val="21"/>
                <w:color w:val="auto"/>
              </w:rPr>
            </w:pPr>
          </w:p>
        </w:tc>
        <w:tc>
          <w:tcPr>
            <w:tcW w:w="12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20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871</w:t>
            </w:r>
          </w:p>
        </w:tc>
        <w:tc>
          <w:tcPr>
            <w:tcW w:w="2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811</w:t>
            </w:r>
          </w:p>
        </w:tc>
        <w:tc>
          <w:tcPr>
            <w:tcW w:w="80" w:type="dxa"/>
            <w:vAlign w:val="bottom"/>
          </w:tcPr>
          <w:p>
            <w:pPr>
              <w:spacing w:after="0"/>
              <w:rPr>
                <w:sz w:val="21"/>
                <w:szCs w:val="21"/>
                <w:color w:val="auto"/>
              </w:rPr>
            </w:pPr>
          </w:p>
        </w:tc>
        <w:tc>
          <w:tcPr>
            <w:tcW w:w="12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775</w:t>
            </w:r>
          </w:p>
        </w:tc>
        <w:tc>
          <w:tcPr>
            <w:tcW w:w="40" w:type="dxa"/>
            <w:vAlign w:val="bottom"/>
          </w:tcPr>
          <w:p>
            <w:pPr>
              <w:spacing w:after="0"/>
              <w:rPr>
                <w:sz w:val="21"/>
                <w:szCs w:val="21"/>
                <w:color w:val="auto"/>
              </w:rPr>
            </w:pPr>
          </w:p>
        </w:tc>
        <w:tc>
          <w:tcPr>
            <w:tcW w:w="4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800" w:type="dxa"/>
            <w:vAlign w:val="bottom"/>
            <w:tcBorders>
              <w:bottom w:val="single" w:sz="8" w:color="D5EEEE"/>
            </w:tcBorders>
            <w:shd w:val="clear" w:color="auto" w:fill="D5EEEE"/>
          </w:tcPr>
          <w:p>
            <w:pPr>
              <w:spacing w:after="0"/>
              <w:rPr>
                <w:sz w:val="19"/>
                <w:szCs w:val="19"/>
                <w:color w:val="auto"/>
              </w:rPr>
            </w:pPr>
          </w:p>
        </w:tc>
        <w:tc>
          <w:tcPr>
            <w:tcW w:w="120" w:type="dxa"/>
            <w:vAlign w:val="bottom"/>
            <w:tcBorders>
              <w:bottom w:val="single" w:sz="8" w:color="D5EEEE"/>
            </w:tcBorders>
            <w:shd w:val="clear" w:color="auto" w:fill="D5EEEE"/>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Borders>
              <w:bottom w:val="single" w:sz="8" w:color="D5EEEE"/>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258</w:t>
            </w:r>
          </w:p>
        </w:tc>
        <w:tc>
          <w:tcPr>
            <w:tcW w:w="20" w:type="dxa"/>
            <w:vAlign w:val="bottom"/>
            <w:tcBorders>
              <w:bottom w:val="single" w:sz="8" w:color="D5EEEE"/>
            </w:tcBorders>
            <w:shd w:val="clear" w:color="auto" w:fill="D5EEEE"/>
          </w:tcPr>
          <w:p>
            <w:pPr>
              <w:spacing w:after="0"/>
              <w:rPr>
                <w:sz w:val="19"/>
                <w:szCs w:val="19"/>
                <w:color w:val="auto"/>
              </w:rPr>
            </w:pPr>
          </w:p>
        </w:tc>
        <w:tc>
          <w:tcPr>
            <w:tcW w:w="80" w:type="dxa"/>
            <w:vAlign w:val="bottom"/>
            <w:tcBorders>
              <w:bottom w:val="single" w:sz="8" w:color="D5EEEE"/>
            </w:tcBorders>
            <w:shd w:val="clear" w:color="auto" w:fill="D5EEE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D5EEEE"/>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29</w:t>
            </w:r>
          </w:p>
        </w:tc>
        <w:tc>
          <w:tcPr>
            <w:tcW w:w="80" w:type="dxa"/>
            <w:vAlign w:val="bottom"/>
            <w:tcBorders>
              <w:right w:val="single" w:sz="8" w:color="D5EEEE"/>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bottom w:val="single" w:sz="8" w:color="D5EEEE"/>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48</w:t>
            </w:r>
          </w:p>
        </w:tc>
        <w:tc>
          <w:tcPr>
            <w:tcW w:w="40" w:type="dxa"/>
            <w:vAlign w:val="bottom"/>
          </w:tcPr>
          <w:p>
            <w:pPr>
              <w:spacing w:after="0"/>
              <w:rPr>
                <w:sz w:val="19"/>
                <w:szCs w:val="19"/>
                <w:color w:val="auto"/>
              </w:rPr>
            </w:pPr>
          </w:p>
        </w:tc>
        <w:tc>
          <w:tcPr>
            <w:tcW w:w="40" w:type="dxa"/>
            <w:vAlign w:val="bottom"/>
            <w:tcBorders>
              <w:bottom w:val="single" w:sz="8" w:color="D5EEEE"/>
            </w:tcBorders>
            <w:shd w:val="clear" w:color="auto" w:fill="D5EEEE"/>
          </w:tcPr>
          <w:p>
            <w:pPr>
              <w:spacing w:after="0"/>
              <w:rPr>
                <w:sz w:val="19"/>
                <w:szCs w:val="19"/>
                <w:color w:val="auto"/>
              </w:rPr>
            </w:pPr>
          </w:p>
        </w:tc>
        <w:tc>
          <w:tcPr>
            <w:tcW w:w="20" w:type="dxa"/>
            <w:vAlign w:val="bottom"/>
            <w:tcBorders>
              <w:bottom w:val="single" w:sz="8" w:color="D5EEEE"/>
            </w:tcBorders>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800" w:type="dxa"/>
            <w:vAlign w:val="bottom"/>
            <w:tcBorders>
              <w:bottom w:val="single" w:sz="8" w:color="D5EEEE"/>
            </w:tcBorders>
          </w:tcPr>
          <w:p>
            <w:pPr>
              <w:spacing w:after="0"/>
              <w:rPr>
                <w:sz w:val="19"/>
                <w:szCs w:val="19"/>
                <w:color w:val="auto"/>
              </w:rPr>
            </w:pPr>
          </w:p>
        </w:tc>
        <w:tc>
          <w:tcPr>
            <w:tcW w:w="120" w:type="dxa"/>
            <w:vAlign w:val="bottom"/>
            <w:tcBorders>
              <w:bottom w:val="single" w:sz="8" w:color="D5EEEE"/>
            </w:tcBorders>
          </w:tcPr>
          <w:p>
            <w:pPr>
              <w:spacing w:after="0"/>
              <w:rPr>
                <w:sz w:val="19"/>
                <w:szCs w:val="19"/>
                <w:color w:val="auto"/>
              </w:rPr>
            </w:pPr>
          </w:p>
        </w:tc>
        <w:tc>
          <w:tcPr>
            <w:tcW w:w="154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7 years</w:t>
            </w:r>
          </w:p>
        </w:tc>
        <w:tc>
          <w:tcPr>
            <w:tcW w:w="20" w:type="dxa"/>
            <w:vAlign w:val="bottom"/>
            <w:tcBorders>
              <w:bottom w:val="single" w:sz="8" w:color="D5EEEE"/>
            </w:tcBorders>
          </w:tcPr>
          <w:p>
            <w:pPr>
              <w:spacing w:after="0"/>
              <w:rPr>
                <w:sz w:val="19"/>
                <w:szCs w:val="19"/>
                <w:color w:val="auto"/>
              </w:rPr>
            </w:pPr>
          </w:p>
        </w:tc>
        <w:tc>
          <w:tcPr>
            <w:tcW w:w="1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20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439</w:t>
            </w:r>
          </w:p>
        </w:tc>
        <w:tc>
          <w:tcPr>
            <w:tcW w:w="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10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440</w:t>
            </w:r>
          </w:p>
        </w:tc>
        <w:tc>
          <w:tcPr>
            <w:tcW w:w="80" w:type="dxa"/>
            <w:vAlign w:val="bottom"/>
          </w:tcPr>
          <w:p>
            <w:pPr>
              <w:spacing w:after="0"/>
              <w:rPr>
                <w:sz w:val="19"/>
                <w:szCs w:val="19"/>
                <w:color w:val="auto"/>
              </w:rPr>
            </w:pPr>
          </w:p>
        </w:tc>
        <w:tc>
          <w:tcPr>
            <w:tcW w:w="12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98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440</w:t>
            </w:r>
          </w:p>
        </w:tc>
        <w:tc>
          <w:tcPr>
            <w:tcW w:w="40" w:type="dxa"/>
            <w:vAlign w:val="bottom"/>
          </w:tcPr>
          <w:p>
            <w:pPr>
              <w:spacing w:after="0"/>
              <w:rPr>
                <w:sz w:val="19"/>
                <w:szCs w:val="19"/>
                <w:color w:val="auto"/>
              </w:rPr>
            </w:pPr>
          </w:p>
        </w:tc>
        <w:tc>
          <w:tcPr>
            <w:tcW w:w="4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80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540" w:type="dxa"/>
            <w:vAlign w:val="bottom"/>
            <w:shd w:val="clear" w:color="auto" w:fill="D5EEEE"/>
          </w:tcPr>
          <w:p>
            <w:pPr>
              <w:jc w:val="right"/>
              <w:spacing w:after="0" w:line="228" w:lineRule="exact"/>
              <w:rPr>
                <w:sz w:val="20"/>
                <w:szCs w:val="20"/>
                <w:color w:val="auto"/>
              </w:rPr>
            </w:pPr>
            <w:r>
              <w:rPr>
                <w:rFonts w:ascii="Times New Roman" w:cs="Times New Roman" w:eastAsia="Times New Roman" w:hAnsi="Times New Roman"/>
                <w:sz w:val="20"/>
                <w:szCs w:val="20"/>
                <w:color w:val="auto"/>
              </w:rPr>
              <w:t>5 years</w:t>
            </w:r>
          </w:p>
        </w:tc>
        <w:tc>
          <w:tcPr>
            <w:tcW w:w="20" w:type="dxa"/>
            <w:vAlign w:val="bottom"/>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shd w:val="clear" w:color="auto" w:fill="D5EEEE"/>
          </w:tcPr>
          <w:p>
            <w:pPr>
              <w:jc w:val="right"/>
              <w:spacing w:after="0" w:line="228" w:lineRule="exact"/>
              <w:rPr>
                <w:sz w:val="20"/>
                <w:szCs w:val="20"/>
                <w:color w:val="auto"/>
              </w:rPr>
            </w:pPr>
            <w:r>
              <w:rPr>
                <w:rFonts w:ascii="Times New Roman" w:cs="Times New Roman" w:eastAsia="Times New Roman" w:hAnsi="Times New Roman"/>
                <w:sz w:val="20"/>
                <w:szCs w:val="20"/>
                <w:color w:val="auto"/>
              </w:rPr>
              <w:t>643</w:t>
            </w:r>
          </w:p>
        </w:tc>
        <w:tc>
          <w:tcPr>
            <w:tcW w:w="2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shd w:val="clear" w:color="auto" w:fill="D5EEEE"/>
          </w:tcPr>
          <w:p>
            <w:pPr>
              <w:jc w:val="right"/>
              <w:spacing w:after="0" w:line="228" w:lineRule="exact"/>
              <w:rPr>
                <w:sz w:val="20"/>
                <w:szCs w:val="20"/>
                <w:color w:val="auto"/>
              </w:rPr>
            </w:pPr>
            <w:r>
              <w:rPr>
                <w:rFonts w:ascii="Times New Roman" w:cs="Times New Roman" w:eastAsia="Times New Roman" w:hAnsi="Times New Roman"/>
                <w:sz w:val="20"/>
                <w:szCs w:val="20"/>
                <w:color w:val="auto"/>
              </w:rPr>
              <w:t>566</w:t>
            </w:r>
          </w:p>
        </w:tc>
        <w:tc>
          <w:tcPr>
            <w:tcW w:w="80" w:type="dxa"/>
            <w:vAlign w:val="bottom"/>
            <w:tcBorders>
              <w:right w:val="single" w:sz="8" w:color="D5EEEE"/>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shd w:val="clear" w:color="auto" w:fill="D5EEEE"/>
          </w:tcPr>
          <w:p>
            <w:pPr>
              <w:jc w:val="right"/>
              <w:spacing w:after="0" w:line="228" w:lineRule="exact"/>
              <w:rPr>
                <w:sz w:val="20"/>
                <w:szCs w:val="20"/>
                <w:color w:val="auto"/>
              </w:rPr>
            </w:pPr>
            <w:r>
              <w:rPr>
                <w:rFonts w:ascii="Times New Roman" w:cs="Times New Roman" w:eastAsia="Times New Roman" w:hAnsi="Times New Roman"/>
                <w:sz w:val="20"/>
                <w:szCs w:val="20"/>
                <w:color w:val="auto"/>
              </w:rPr>
              <w:t>523</w:t>
            </w:r>
          </w:p>
        </w:tc>
        <w:tc>
          <w:tcPr>
            <w:tcW w:w="40" w:type="dxa"/>
            <w:vAlign w:val="bottom"/>
          </w:tcPr>
          <w:p>
            <w:pPr>
              <w:spacing w:after="0"/>
              <w:rPr>
                <w:sz w:val="21"/>
                <w:szCs w:val="21"/>
                <w:color w:val="auto"/>
              </w:rPr>
            </w:pPr>
          </w:p>
        </w:tc>
        <w:tc>
          <w:tcPr>
            <w:tcW w:w="4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Lesser of life or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lease term</w:t>
            </w: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800" w:type="dxa"/>
            <w:vAlign w:val="bottom"/>
            <w:tcBorders>
              <w:bottom w:val="single" w:sz="8" w:color="D5EEEE"/>
            </w:tcBorders>
          </w:tcPr>
          <w:p>
            <w:pPr>
              <w:spacing w:after="0"/>
              <w:rPr>
                <w:sz w:val="19"/>
                <w:szCs w:val="19"/>
                <w:color w:val="auto"/>
              </w:rPr>
            </w:pPr>
          </w:p>
        </w:tc>
        <w:tc>
          <w:tcPr>
            <w:tcW w:w="120" w:type="dxa"/>
            <w:vAlign w:val="bottom"/>
            <w:tcBorders>
              <w:bottom w:val="single" w:sz="8" w:color="D5EEEE"/>
            </w:tcBorders>
          </w:tcPr>
          <w:p>
            <w:pPr>
              <w:spacing w:after="0"/>
              <w:rPr>
                <w:sz w:val="19"/>
                <w:szCs w:val="19"/>
                <w:color w:val="auto"/>
              </w:rPr>
            </w:pPr>
          </w:p>
        </w:tc>
        <w:tc>
          <w:tcPr>
            <w:tcW w:w="1540" w:type="dxa"/>
            <w:vAlign w:val="bottom"/>
            <w:tcBorders>
              <w:bottom w:val="single" w:sz="8" w:color="D5EEEE"/>
            </w:tcBorders>
            <w:vMerge w:val="continue"/>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120" w:type="dxa"/>
            <w:vAlign w:val="bottom"/>
            <w:tcBorders>
              <w:bottom w:val="single" w:sz="8" w:color="D5EEEE"/>
            </w:tcBorders>
            <w:vMerge w:val="continue"/>
          </w:tcPr>
          <w:p>
            <w:pPr>
              <w:spacing w:after="0"/>
              <w:rPr>
                <w:sz w:val="19"/>
                <w:szCs w:val="19"/>
                <w:color w:val="auto"/>
              </w:rPr>
            </w:pPr>
          </w:p>
        </w:tc>
        <w:tc>
          <w:tcPr>
            <w:tcW w:w="100" w:type="dxa"/>
            <w:vAlign w:val="bottom"/>
            <w:tcBorders>
              <w:bottom w:val="single" w:sz="8" w:color="D5EEEE"/>
            </w:tcBorders>
            <w:vMerge w:val="continue"/>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1200" w:type="dxa"/>
            <w:vAlign w:val="bottom"/>
            <w:tcBorders>
              <w:bottom w:val="single" w:sz="8" w:color="D5EEEE"/>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257</w:t>
            </w:r>
          </w:p>
        </w:tc>
        <w:tc>
          <w:tcPr>
            <w:tcW w:w="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10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242</w:t>
            </w:r>
          </w:p>
        </w:tc>
        <w:tc>
          <w:tcPr>
            <w:tcW w:w="80" w:type="dxa"/>
            <w:vAlign w:val="bottom"/>
            <w:vMerge w:val="continue"/>
          </w:tcPr>
          <w:p>
            <w:pPr>
              <w:spacing w:after="0"/>
              <w:rPr>
                <w:sz w:val="19"/>
                <w:szCs w:val="19"/>
                <w:color w:val="auto"/>
              </w:rPr>
            </w:pPr>
          </w:p>
        </w:tc>
        <w:tc>
          <w:tcPr>
            <w:tcW w:w="12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9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242</w:t>
            </w:r>
          </w:p>
        </w:tc>
        <w:tc>
          <w:tcPr>
            <w:tcW w:w="40" w:type="dxa"/>
            <w:vAlign w:val="bottom"/>
          </w:tcPr>
          <w:p>
            <w:pPr>
              <w:spacing w:after="0"/>
              <w:rPr>
                <w:sz w:val="19"/>
                <w:szCs w:val="19"/>
                <w:color w:val="auto"/>
              </w:rPr>
            </w:pPr>
          </w:p>
        </w:tc>
        <w:tc>
          <w:tcPr>
            <w:tcW w:w="4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800" w:type="dxa"/>
            <w:vAlign w:val="bottom"/>
            <w:shd w:val="clear" w:color="auto" w:fill="D5EEEE"/>
          </w:tcPr>
          <w:p>
            <w:pPr>
              <w:spacing w:after="0"/>
              <w:rPr>
                <w:sz w:val="19"/>
                <w:szCs w:val="19"/>
                <w:color w:val="auto"/>
              </w:rPr>
            </w:pPr>
          </w:p>
        </w:tc>
        <w:tc>
          <w:tcPr>
            <w:tcW w:w="120" w:type="dxa"/>
            <w:vAlign w:val="bottom"/>
            <w:shd w:val="clear" w:color="auto" w:fill="D5EEEE"/>
          </w:tcPr>
          <w:p>
            <w:pPr>
              <w:spacing w:after="0"/>
              <w:rPr>
                <w:sz w:val="19"/>
                <w:szCs w:val="19"/>
                <w:color w:val="auto"/>
              </w:rPr>
            </w:pPr>
          </w:p>
        </w:tc>
        <w:tc>
          <w:tcPr>
            <w:tcW w:w="1540" w:type="dxa"/>
            <w:vAlign w:val="bottom"/>
            <w:shd w:val="clear" w:color="auto" w:fill="D5EEEE"/>
          </w:tcPr>
          <w:p>
            <w:pPr>
              <w:jc w:val="right"/>
              <w:spacing w:after="0" w:line="228" w:lineRule="exact"/>
              <w:rPr>
                <w:sz w:val="20"/>
                <w:szCs w:val="20"/>
                <w:color w:val="auto"/>
              </w:rPr>
            </w:pPr>
            <w:r>
              <w:rPr>
                <w:rFonts w:ascii="Times New Roman" w:cs="Times New Roman" w:eastAsia="Times New Roman" w:hAnsi="Times New Roman"/>
                <w:sz w:val="20"/>
                <w:szCs w:val="20"/>
                <w:color w:val="auto"/>
              </w:rPr>
              <w:t>5 years</w:t>
            </w:r>
          </w:p>
        </w:tc>
        <w:tc>
          <w:tcPr>
            <w:tcW w:w="20" w:type="dxa"/>
            <w:vAlign w:val="bottom"/>
          </w:tcPr>
          <w:p>
            <w:pPr>
              <w:spacing w:after="0"/>
              <w:rPr>
                <w:sz w:val="19"/>
                <w:szCs w:val="19"/>
                <w:color w:val="auto"/>
              </w:rPr>
            </w:pPr>
          </w:p>
        </w:tc>
        <w:tc>
          <w:tcPr>
            <w:tcW w:w="120" w:type="dxa"/>
            <w:vAlign w:val="bottom"/>
            <w:shd w:val="clear" w:color="auto" w:fill="D5EEE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D5EEEE"/>
          </w:tcPr>
          <w:p>
            <w:pPr>
              <w:jc w:val="right"/>
              <w:spacing w:after="0" w:line="228" w:lineRule="exact"/>
              <w:rPr>
                <w:sz w:val="20"/>
                <w:szCs w:val="20"/>
                <w:color w:val="auto"/>
              </w:rPr>
            </w:pPr>
            <w:r>
              <w:rPr>
                <w:rFonts w:ascii="Times New Roman" w:cs="Times New Roman" w:eastAsia="Times New Roman" w:hAnsi="Times New Roman"/>
                <w:sz w:val="20"/>
                <w:szCs w:val="20"/>
                <w:color w:val="auto"/>
              </w:rPr>
              <w:t>129</w:t>
            </w:r>
          </w:p>
        </w:tc>
        <w:tc>
          <w:tcPr>
            <w:tcW w:w="20" w:type="dxa"/>
            <w:vAlign w:val="bottom"/>
            <w:shd w:val="clear" w:color="auto" w:fill="D5EEEE"/>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shd w:val="clear" w:color="auto" w:fill="D5EEEE"/>
          </w:tcPr>
          <w:p>
            <w:pPr>
              <w:jc w:val="right"/>
              <w:spacing w:after="0" w:line="228" w:lineRule="exact"/>
              <w:rPr>
                <w:sz w:val="20"/>
                <w:szCs w:val="20"/>
                <w:color w:val="auto"/>
              </w:rPr>
            </w:pPr>
            <w:r>
              <w:rPr>
                <w:rFonts w:ascii="Times New Roman" w:cs="Times New Roman" w:eastAsia="Times New Roman" w:hAnsi="Times New Roman"/>
                <w:sz w:val="20"/>
                <w:szCs w:val="20"/>
                <w:color w:val="auto"/>
              </w:rPr>
              <w:t>129</w:t>
            </w:r>
          </w:p>
        </w:tc>
        <w:tc>
          <w:tcPr>
            <w:tcW w:w="80" w:type="dxa"/>
            <w:vAlign w:val="bottom"/>
            <w:tcBorders>
              <w:right w:val="single" w:sz="8" w:color="D5EEEE"/>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shd w:val="clear" w:color="auto" w:fill="D5EEEE"/>
          </w:tcPr>
          <w:p>
            <w:pPr>
              <w:jc w:val="right"/>
              <w:spacing w:after="0" w:line="228" w:lineRule="exact"/>
              <w:rPr>
                <w:sz w:val="20"/>
                <w:szCs w:val="20"/>
                <w:color w:val="auto"/>
              </w:rPr>
            </w:pPr>
            <w:r>
              <w:rPr>
                <w:rFonts w:ascii="Times New Roman" w:cs="Times New Roman" w:eastAsia="Times New Roman" w:hAnsi="Times New Roman"/>
                <w:sz w:val="20"/>
                <w:szCs w:val="20"/>
                <w:color w:val="auto"/>
              </w:rPr>
              <w:t>129</w:t>
            </w:r>
          </w:p>
        </w:tc>
        <w:tc>
          <w:tcPr>
            <w:tcW w:w="40" w:type="dxa"/>
            <w:vAlign w:val="bottom"/>
          </w:tcPr>
          <w:p>
            <w:pPr>
              <w:spacing w:after="0"/>
              <w:rPr>
                <w:sz w:val="19"/>
                <w:szCs w:val="19"/>
                <w:color w:val="auto"/>
              </w:rPr>
            </w:pPr>
          </w:p>
        </w:tc>
        <w:tc>
          <w:tcPr>
            <w:tcW w:w="4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0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Less: accumulated amortization</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and depreciation</w:t>
            </w:r>
          </w:p>
        </w:tc>
        <w:tc>
          <w:tcPr>
            <w:tcW w:w="12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8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vMerge w:val="continue"/>
          </w:tcPr>
          <w:p>
            <w:pPr>
              <w:spacing w:after="0"/>
              <w:rPr>
                <w:sz w:val="21"/>
                <w:szCs w:val="21"/>
                <w:color w:val="auto"/>
              </w:rPr>
            </w:pPr>
          </w:p>
        </w:tc>
        <w:tc>
          <w:tcPr>
            <w:tcW w:w="12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(2,152)</w:t>
            </w:r>
          </w:p>
        </w:tc>
        <w:tc>
          <w:tcPr>
            <w:tcW w:w="1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(1,695)</w:t>
            </w:r>
          </w:p>
        </w:tc>
        <w:tc>
          <w:tcPr>
            <w:tcW w:w="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(1,421)</w:t>
            </w:r>
          </w:p>
        </w:tc>
        <w:tc>
          <w:tcPr>
            <w:tcW w:w="4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800" w:type="dxa"/>
            <w:vAlign w:val="bottom"/>
            <w:tcBorders>
              <w:top w:val="single" w:sz="8" w:color="D5EEEE"/>
            </w:tcBorders>
            <w:shd w:val="clear" w:color="auto" w:fill="D5EEEE"/>
          </w:tcPr>
          <w:p>
            <w:pPr>
              <w:spacing w:after="0"/>
              <w:rPr>
                <w:sz w:val="18"/>
                <w:szCs w:val="18"/>
                <w:color w:val="auto"/>
              </w:rPr>
            </w:pPr>
          </w:p>
        </w:tc>
        <w:tc>
          <w:tcPr>
            <w:tcW w:w="120" w:type="dxa"/>
            <w:vAlign w:val="bottom"/>
            <w:tcBorders>
              <w:top w:val="single" w:sz="8" w:color="D5EEEE"/>
            </w:tcBorders>
            <w:shd w:val="clear" w:color="auto" w:fill="D5EEEE"/>
          </w:tcPr>
          <w:p>
            <w:pPr>
              <w:spacing w:after="0"/>
              <w:rPr>
                <w:sz w:val="18"/>
                <w:szCs w:val="18"/>
                <w:color w:val="auto"/>
              </w:rPr>
            </w:pPr>
          </w:p>
        </w:tc>
        <w:tc>
          <w:tcPr>
            <w:tcW w:w="1680" w:type="dxa"/>
            <w:vAlign w:val="bottom"/>
            <w:tcBorders>
              <w:top w:val="single" w:sz="8" w:color="D5EEEE"/>
            </w:tcBorders>
            <w:gridSpan w:val="3"/>
          </w:tcPr>
          <w:p>
            <w:pPr>
              <w:spacing w:after="0"/>
              <w:rPr>
                <w:sz w:val="18"/>
                <w:szCs w:val="18"/>
                <w:color w:val="auto"/>
              </w:rPr>
            </w:pPr>
          </w:p>
        </w:tc>
        <w:tc>
          <w:tcPr>
            <w:tcW w:w="100" w:type="dxa"/>
            <w:vAlign w:val="bottom"/>
            <w:tcBorders>
              <w:top w:val="single" w:sz="8" w:color="auto"/>
            </w:tcBorders>
            <w:shd w:val="clear" w:color="auto" w:fill="D5EEEE"/>
          </w:tcPr>
          <w:p>
            <w:pPr>
              <w:jc w:val="right"/>
              <w:spacing w:after="0" w:line="212"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shd w:val="clear" w:color="auto" w:fill="D5EEEE"/>
          </w:tcPr>
          <w:p>
            <w:pPr>
              <w:jc w:val="right"/>
              <w:spacing w:after="0" w:line="212" w:lineRule="exact"/>
              <w:rPr>
                <w:sz w:val="20"/>
                <w:szCs w:val="20"/>
                <w:color w:val="auto"/>
              </w:rPr>
            </w:pPr>
            <w:r>
              <w:rPr>
                <w:rFonts w:ascii="Times New Roman" w:cs="Times New Roman" w:eastAsia="Times New Roman" w:hAnsi="Times New Roman"/>
                <w:sz w:val="20"/>
                <w:szCs w:val="20"/>
                <w:color w:val="auto"/>
              </w:rPr>
              <w:t>1,200</w:t>
            </w:r>
          </w:p>
        </w:tc>
        <w:tc>
          <w:tcPr>
            <w:tcW w:w="20" w:type="dxa"/>
            <w:vAlign w:val="bottom"/>
            <w:tcBorders>
              <w:top w:val="single" w:sz="8" w:color="auto"/>
            </w:tcBorders>
            <w:shd w:val="clear" w:color="auto" w:fill="D5EEEE"/>
          </w:tcPr>
          <w:p>
            <w:pPr>
              <w:spacing w:after="0"/>
              <w:rPr>
                <w:sz w:val="18"/>
                <w:szCs w:val="18"/>
                <w:color w:val="auto"/>
              </w:rPr>
            </w:pPr>
          </w:p>
        </w:tc>
        <w:tc>
          <w:tcPr>
            <w:tcW w:w="8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D5EEEE"/>
            </w:tcBorders>
          </w:tcPr>
          <w:p>
            <w:pPr>
              <w:spacing w:after="0"/>
              <w:rPr>
                <w:sz w:val="18"/>
                <w:szCs w:val="18"/>
                <w:color w:val="auto"/>
              </w:rPr>
            </w:pPr>
          </w:p>
        </w:tc>
        <w:tc>
          <w:tcPr>
            <w:tcW w:w="20" w:type="dxa"/>
            <w:vAlign w:val="bottom"/>
            <w:tcBorders>
              <w:top w:val="single" w:sz="8" w:color="D5EEEE"/>
              <w:bottom w:val="single" w:sz="8" w:color="auto"/>
            </w:tcBorders>
          </w:tcPr>
          <w:p>
            <w:pPr>
              <w:spacing w:after="0"/>
              <w:rPr>
                <w:sz w:val="18"/>
                <w:szCs w:val="18"/>
                <w:color w:val="auto"/>
              </w:rPr>
            </w:pPr>
          </w:p>
        </w:tc>
        <w:tc>
          <w:tcPr>
            <w:tcW w:w="100" w:type="dxa"/>
            <w:vAlign w:val="bottom"/>
            <w:tcBorders>
              <w:top w:val="single" w:sz="8" w:color="auto"/>
              <w:bottom w:val="single" w:sz="8" w:color="auto"/>
            </w:tcBorders>
            <w:shd w:val="clear" w:color="auto" w:fill="D5EEEE"/>
          </w:tcPr>
          <w:p>
            <w:pPr>
              <w:jc w:val="right"/>
              <w:spacing w:after="0" w:line="212"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1000" w:type="dxa"/>
            <w:vAlign w:val="bottom"/>
            <w:tcBorders>
              <w:top w:val="single" w:sz="8" w:color="auto"/>
            </w:tcBorders>
            <w:shd w:val="clear" w:color="auto" w:fill="D5EEEE"/>
          </w:tcPr>
          <w:p>
            <w:pPr>
              <w:jc w:val="right"/>
              <w:spacing w:after="0" w:line="212" w:lineRule="exact"/>
              <w:rPr>
                <w:sz w:val="20"/>
                <w:szCs w:val="20"/>
                <w:color w:val="auto"/>
              </w:rPr>
            </w:pPr>
            <w:r>
              <w:rPr>
                <w:rFonts w:ascii="Times New Roman" w:cs="Times New Roman" w:eastAsia="Times New Roman" w:hAnsi="Times New Roman"/>
                <w:sz w:val="20"/>
                <w:szCs w:val="20"/>
                <w:color w:val="auto"/>
              </w:rPr>
              <w:t>1,262</w:t>
            </w:r>
          </w:p>
        </w:tc>
        <w:tc>
          <w:tcPr>
            <w:tcW w:w="80" w:type="dxa"/>
            <w:vAlign w:val="bottom"/>
            <w:tcBorders>
              <w:top w:val="single" w:sz="8" w:color="auto"/>
              <w:right w:val="single" w:sz="8" w:color="D5EEEE"/>
            </w:tcBorders>
            <w:shd w:val="clear" w:color="auto" w:fill="D5EEEE"/>
          </w:tcPr>
          <w:p>
            <w:pPr>
              <w:spacing w:after="0"/>
              <w:rPr>
                <w:sz w:val="18"/>
                <w:szCs w:val="18"/>
                <w:color w:val="auto"/>
              </w:rPr>
            </w:pPr>
          </w:p>
        </w:tc>
        <w:tc>
          <w:tcPr>
            <w:tcW w:w="120" w:type="dxa"/>
            <w:vAlign w:val="bottom"/>
            <w:tcBorders>
              <w:top w:val="single" w:sz="8" w:color="D5EEEE"/>
            </w:tcBorders>
          </w:tcPr>
          <w:p>
            <w:pPr>
              <w:spacing w:after="0"/>
              <w:rPr>
                <w:sz w:val="18"/>
                <w:szCs w:val="18"/>
                <w:color w:val="auto"/>
              </w:rPr>
            </w:pPr>
          </w:p>
        </w:tc>
        <w:tc>
          <w:tcPr>
            <w:tcW w:w="20" w:type="dxa"/>
            <w:vAlign w:val="bottom"/>
            <w:tcBorders>
              <w:top w:val="single" w:sz="8" w:color="D5EEEE"/>
              <w:bottom w:val="single" w:sz="8" w:color="auto"/>
            </w:tcBorders>
          </w:tcPr>
          <w:p>
            <w:pPr>
              <w:spacing w:after="0"/>
              <w:rPr>
                <w:sz w:val="18"/>
                <w:szCs w:val="18"/>
                <w:color w:val="auto"/>
              </w:rPr>
            </w:pPr>
          </w:p>
        </w:tc>
        <w:tc>
          <w:tcPr>
            <w:tcW w:w="8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tcBorders>
            <w:shd w:val="clear" w:color="auto" w:fill="D5EEEE"/>
          </w:tcPr>
          <w:p>
            <w:pPr>
              <w:jc w:val="right"/>
              <w:spacing w:after="0" w:line="212" w:lineRule="exact"/>
              <w:rPr>
                <w:sz w:val="20"/>
                <w:szCs w:val="20"/>
                <w:color w:val="auto"/>
              </w:rPr>
            </w:pPr>
            <w:r>
              <w:rPr>
                <w:rFonts w:ascii="Times New Roman" w:cs="Times New Roman" w:eastAsia="Times New Roman" w:hAnsi="Times New Roman"/>
                <w:sz w:val="20"/>
                <w:szCs w:val="20"/>
                <w:color w:val="auto"/>
              </w:rPr>
              <w:t>1,458</w:t>
            </w:r>
          </w:p>
        </w:tc>
        <w:tc>
          <w:tcPr>
            <w:tcW w:w="40" w:type="dxa"/>
            <w:vAlign w:val="bottom"/>
            <w:tcBorders>
              <w:left w:val="single" w:sz="8" w:color="D5EEEE"/>
            </w:tcBorders>
          </w:tcPr>
          <w:p>
            <w:pPr>
              <w:spacing w:after="0"/>
              <w:rPr>
                <w:sz w:val="18"/>
                <w:szCs w:val="18"/>
                <w:color w:val="auto"/>
              </w:rPr>
            </w:pPr>
          </w:p>
        </w:tc>
        <w:tc>
          <w:tcPr>
            <w:tcW w:w="4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D5EEEE"/>
            </w:tcBorders>
            <w:shd w:val="clear" w:color="auto" w:fill="D5EEE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673100</wp:posOffset>
            </wp:positionH>
            <wp:positionV relativeFrom="paragraph">
              <wp:posOffset>-1720850</wp:posOffset>
            </wp:positionV>
            <wp:extent cx="5513070" cy="17526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13070" cy="1752600"/>
                    </a:xfrm>
                    <a:prstGeom prst="rect">
                      <a:avLst/>
                    </a:prstGeom>
                    <a:noFill/>
                  </pic:spPr>
                </pic:pic>
              </a:graphicData>
            </a:graphic>
          </wp:anchor>
        </w:drawing>
      </w:r>
    </w:p>
    <w:p>
      <w:pPr>
        <w:spacing w:after="0" w:line="265" w:lineRule="exact"/>
        <w:rPr>
          <w:sz w:val="20"/>
          <w:szCs w:val="20"/>
          <w:color w:val="auto"/>
        </w:rPr>
      </w:pPr>
    </w:p>
    <w:p>
      <w:pPr>
        <w:ind w:firstLine="720"/>
        <w:spacing w:after="0" w:line="279" w:lineRule="auto"/>
        <w:rPr>
          <w:sz w:val="20"/>
          <w:szCs w:val="20"/>
          <w:color w:val="auto"/>
        </w:rPr>
      </w:pPr>
      <w:r>
        <w:rPr>
          <w:rFonts w:ascii="Times New Roman" w:cs="Times New Roman" w:eastAsia="Times New Roman" w:hAnsi="Times New Roman"/>
          <w:sz w:val="20"/>
          <w:szCs w:val="20"/>
          <w:color w:val="auto"/>
        </w:rPr>
        <w:t>Depreciation expense related to plant and equipment was $510,000, $274,000 and $606,000 for the year-ended December 31, 2022, the transition period ended December 31, 2021, and the year-ended June 30, 2021, respectively.</w:t>
      </w:r>
    </w:p>
    <w:p>
      <w:pPr>
        <w:spacing w:after="0" w:line="283" w:lineRule="exact"/>
        <w:rPr>
          <w:sz w:val="20"/>
          <w:szCs w:val="20"/>
          <w:color w:val="auto"/>
        </w:rPr>
      </w:pPr>
    </w:p>
    <w:p>
      <w:pPr>
        <w:jc w:val="both"/>
        <w:ind w:right="4780"/>
        <w:spacing w:after="0" w:line="441" w:lineRule="auto"/>
        <w:tabs>
          <w:tab w:leader="none" w:pos="302" w:val="left"/>
        </w:tabs>
        <w:numPr>
          <w:ilvl w:val="0"/>
          <w:numId w:val="4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Prepaids and Other Current Assets and Other Long—Term Assets </w:t>
      </w:r>
      <w:r>
        <w:rPr>
          <w:rFonts w:ascii="Times New Roman" w:cs="Times New Roman" w:eastAsia="Times New Roman" w:hAnsi="Times New Roman"/>
          <w:sz w:val="19"/>
          <w:szCs w:val="19"/>
          <w:color w:val="auto"/>
        </w:rPr>
        <w:t>Prepaids and other current assets consisted of the following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80" w:type="dxa"/>
            <w:vAlign w:val="bottom"/>
            <w:gridSpan w:val="3"/>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rPr>
              <w:t>As of</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gridSpan w:val="3"/>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5"/>
              </w:rPr>
              <w:t>As of</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As of</w:t>
            </w:r>
          </w:p>
        </w:tc>
        <w:tc>
          <w:tcPr>
            <w:tcW w:w="80" w:type="dxa"/>
            <w:vAlign w:val="bottom"/>
          </w:tcPr>
          <w:p>
            <w:pPr>
              <w:spacing w:after="0"/>
              <w:rPr>
                <w:sz w:val="20"/>
                <w:szCs w:val="20"/>
                <w:color w:val="auto"/>
              </w:rPr>
            </w:pPr>
          </w:p>
        </w:tc>
      </w:tr>
      <w:tr>
        <w:trPr>
          <w:trHeight w:val="230"/>
        </w:trPr>
        <w:tc>
          <w:tcPr>
            <w:tcW w:w="5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80" w:type="dxa"/>
            <w:vAlign w:val="bottom"/>
            <w:gridSpan w:val="3"/>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gridSpan w:val="3"/>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June 30,</w:t>
            </w:r>
          </w:p>
        </w:tc>
        <w:tc>
          <w:tcPr>
            <w:tcW w:w="80" w:type="dxa"/>
            <w:vAlign w:val="bottom"/>
          </w:tcPr>
          <w:p>
            <w:pPr>
              <w:spacing w:after="0"/>
              <w:rPr>
                <w:sz w:val="20"/>
                <w:szCs w:val="20"/>
                <w:color w:val="auto"/>
              </w:rPr>
            </w:pPr>
          </w:p>
        </w:tc>
      </w:tr>
      <w:tr>
        <w:trPr>
          <w:trHeight w:val="274"/>
        </w:trPr>
        <w:tc>
          <w:tcPr>
            <w:tcW w:w="54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160" w:type="dxa"/>
            <w:vAlign w:val="bottom"/>
            <w:tcBorders>
              <w:bottom w:val="single" w:sz="8" w:color="D5EEEE"/>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2022</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D5EEEE"/>
            </w:tcBorders>
          </w:tcPr>
          <w:p>
            <w:pPr>
              <w:spacing w:after="0"/>
              <w:rPr>
                <w:sz w:val="23"/>
                <w:szCs w:val="23"/>
                <w:color w:val="auto"/>
              </w:rPr>
            </w:pPr>
          </w:p>
        </w:tc>
        <w:tc>
          <w:tcPr>
            <w:tcW w:w="140" w:type="dxa"/>
            <w:vAlign w:val="bottom"/>
            <w:tcBorders>
              <w:bottom w:val="single" w:sz="8" w:color="D5EEEE"/>
            </w:tcBorders>
          </w:tcPr>
          <w:p>
            <w:pPr>
              <w:spacing w:after="0"/>
              <w:rPr>
                <w:sz w:val="23"/>
                <w:szCs w:val="23"/>
                <w:color w:val="auto"/>
              </w:rPr>
            </w:pPr>
          </w:p>
        </w:tc>
        <w:tc>
          <w:tcPr>
            <w:tcW w:w="20" w:type="dxa"/>
            <w:vAlign w:val="bottom"/>
            <w:tcBorders>
              <w:bottom w:val="single" w:sz="8" w:color="D5EEEE"/>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2021</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D5EEEE"/>
            </w:tcBorders>
          </w:tcPr>
          <w:p>
            <w:pPr>
              <w:spacing w:after="0"/>
              <w:rPr>
                <w:sz w:val="23"/>
                <w:szCs w:val="23"/>
                <w:color w:val="auto"/>
              </w:rPr>
            </w:pPr>
          </w:p>
        </w:tc>
        <w:tc>
          <w:tcPr>
            <w:tcW w:w="160" w:type="dxa"/>
            <w:vAlign w:val="bottom"/>
            <w:tcBorders>
              <w:bottom w:val="single" w:sz="8" w:color="D5EEEE"/>
            </w:tcBorders>
          </w:tcPr>
          <w:p>
            <w:pPr>
              <w:spacing w:after="0"/>
              <w:rPr>
                <w:sz w:val="23"/>
                <w:szCs w:val="23"/>
                <w:color w:val="auto"/>
              </w:rPr>
            </w:pPr>
          </w:p>
        </w:tc>
        <w:tc>
          <w:tcPr>
            <w:tcW w:w="20" w:type="dxa"/>
            <w:vAlign w:val="bottom"/>
            <w:tcBorders>
              <w:bottom w:val="single" w:sz="8" w:color="D5EEEE"/>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2021</w:t>
            </w:r>
          </w:p>
        </w:tc>
        <w:tc>
          <w:tcPr>
            <w:tcW w:w="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r>
      <w:tr>
        <w:trPr>
          <w:trHeight w:val="210"/>
        </w:trPr>
        <w:tc>
          <w:tcPr>
            <w:tcW w:w="540" w:type="dxa"/>
            <w:vAlign w:val="bottom"/>
          </w:tcPr>
          <w:p>
            <w:pPr>
              <w:spacing w:after="0"/>
              <w:rPr>
                <w:sz w:val="18"/>
                <w:szCs w:val="18"/>
                <w:color w:val="auto"/>
              </w:rPr>
            </w:pPr>
          </w:p>
        </w:tc>
        <w:tc>
          <w:tcPr>
            <w:tcW w:w="3720" w:type="dxa"/>
            <w:vAlign w:val="bottom"/>
            <w:tcBorders>
              <w:top w:val="single" w:sz="8" w:color="D5EEEE"/>
            </w:tcBorders>
            <w:shd w:val="clear" w:color="auto" w:fill="D5EEEE"/>
          </w:tcPr>
          <w:p>
            <w:pPr>
              <w:spacing w:after="0"/>
              <w:rPr>
                <w:sz w:val="18"/>
                <w:szCs w:val="18"/>
                <w:color w:val="auto"/>
              </w:rPr>
            </w:pPr>
          </w:p>
        </w:tc>
        <w:tc>
          <w:tcPr>
            <w:tcW w:w="16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D5EEEE"/>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Borders>
              <w:top w:val="single" w:sz="8" w:color="D5EEEE"/>
            </w:tcBorders>
          </w:tcPr>
          <w:p>
            <w:pPr>
              <w:spacing w:after="0"/>
              <w:rPr>
                <w:sz w:val="18"/>
                <w:szCs w:val="18"/>
                <w:color w:val="auto"/>
              </w:rPr>
            </w:pPr>
          </w:p>
        </w:tc>
        <w:tc>
          <w:tcPr>
            <w:tcW w:w="1860" w:type="dxa"/>
            <w:vAlign w:val="bottom"/>
            <w:tcBorders>
              <w:top w:val="single" w:sz="8" w:color="D5EEEE"/>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rPr>
              <w:t>921</w:t>
            </w:r>
          </w:p>
        </w:tc>
        <w:tc>
          <w:tcPr>
            <w:tcW w:w="2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D5EEEE"/>
            </w:tcBorders>
            <w:shd w:val="clear" w:color="auto" w:fill="D5EEEE"/>
          </w:tcPr>
          <w:p>
            <w:pPr>
              <w:spacing w:after="0"/>
              <w:rPr>
                <w:sz w:val="18"/>
                <w:szCs w:val="18"/>
                <w:color w:val="auto"/>
              </w:rPr>
            </w:pPr>
          </w:p>
        </w:tc>
        <w:tc>
          <w:tcPr>
            <w:tcW w:w="140" w:type="dxa"/>
            <w:vAlign w:val="bottom"/>
            <w:tcBorders>
              <w:top w:val="single" w:sz="8" w:color="D5EEEE"/>
            </w:tcBorders>
          </w:tcPr>
          <w:p>
            <w:pPr>
              <w:spacing w:after="0"/>
              <w:rPr>
                <w:sz w:val="18"/>
                <w:szCs w:val="18"/>
                <w:color w:val="auto"/>
              </w:rPr>
            </w:pPr>
          </w:p>
        </w:tc>
        <w:tc>
          <w:tcPr>
            <w:tcW w:w="20" w:type="dxa"/>
            <w:vAlign w:val="bottom"/>
            <w:tcBorders>
              <w:top w:val="single" w:sz="8" w:color="D5EEEE"/>
            </w:tcBorders>
          </w:tcPr>
          <w:p>
            <w:pPr>
              <w:spacing w:after="0"/>
              <w:rPr>
                <w:sz w:val="18"/>
                <w:szCs w:val="18"/>
                <w:color w:val="auto"/>
              </w:rPr>
            </w:pPr>
          </w:p>
        </w:tc>
        <w:tc>
          <w:tcPr>
            <w:tcW w:w="100" w:type="dxa"/>
            <w:vAlign w:val="bottom"/>
            <w:tcBorders>
              <w:top w:val="single" w:sz="8" w:color="D5EEEE"/>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Borders>
              <w:top w:val="single" w:sz="8" w:color="D5EEEE"/>
            </w:tcBorders>
          </w:tcPr>
          <w:p>
            <w:pPr>
              <w:spacing w:after="0"/>
              <w:rPr>
                <w:sz w:val="18"/>
                <w:szCs w:val="18"/>
                <w:color w:val="auto"/>
              </w:rPr>
            </w:pPr>
          </w:p>
        </w:tc>
        <w:tc>
          <w:tcPr>
            <w:tcW w:w="1620" w:type="dxa"/>
            <w:vAlign w:val="bottom"/>
            <w:tcBorders>
              <w:top w:val="single" w:sz="8" w:color="D5EEEE"/>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rPr>
              <w:t>1,124</w:t>
            </w:r>
          </w:p>
        </w:tc>
        <w:tc>
          <w:tcPr>
            <w:tcW w:w="20" w:type="dxa"/>
            <w:vAlign w:val="bottom"/>
            <w:tcBorders>
              <w:top w:val="single" w:sz="8" w:color="D5EEEE"/>
            </w:tcBorders>
            <w:shd w:val="clear" w:color="auto" w:fill="D5EEEE"/>
          </w:tcPr>
          <w:p>
            <w:pPr>
              <w:spacing w:after="0"/>
              <w:rPr>
                <w:sz w:val="18"/>
                <w:szCs w:val="18"/>
                <w:color w:val="auto"/>
              </w:rPr>
            </w:pPr>
          </w:p>
        </w:tc>
        <w:tc>
          <w:tcPr>
            <w:tcW w:w="80" w:type="dxa"/>
            <w:vAlign w:val="bottom"/>
            <w:tcBorders>
              <w:top w:val="single" w:sz="8" w:color="D5EEEE"/>
            </w:tcBorders>
            <w:shd w:val="clear" w:color="auto" w:fill="D5EEEE"/>
          </w:tcPr>
          <w:p>
            <w:pPr>
              <w:spacing w:after="0"/>
              <w:rPr>
                <w:sz w:val="18"/>
                <w:szCs w:val="18"/>
                <w:color w:val="auto"/>
              </w:rPr>
            </w:pPr>
          </w:p>
        </w:tc>
        <w:tc>
          <w:tcPr>
            <w:tcW w:w="160" w:type="dxa"/>
            <w:vAlign w:val="bottom"/>
            <w:tcBorders>
              <w:top w:val="single" w:sz="8" w:color="D5EEEE"/>
            </w:tcBorders>
          </w:tcPr>
          <w:p>
            <w:pPr>
              <w:spacing w:after="0"/>
              <w:rPr>
                <w:sz w:val="18"/>
                <w:szCs w:val="18"/>
                <w:color w:val="auto"/>
              </w:rPr>
            </w:pPr>
          </w:p>
        </w:tc>
        <w:tc>
          <w:tcPr>
            <w:tcW w:w="20" w:type="dxa"/>
            <w:vAlign w:val="bottom"/>
            <w:tcBorders>
              <w:top w:val="single" w:sz="8" w:color="D5EEEE"/>
            </w:tcBorders>
          </w:tcPr>
          <w:p>
            <w:pPr>
              <w:spacing w:after="0"/>
              <w:rPr>
                <w:sz w:val="18"/>
                <w:szCs w:val="18"/>
                <w:color w:val="auto"/>
              </w:rPr>
            </w:pPr>
          </w:p>
        </w:tc>
        <w:tc>
          <w:tcPr>
            <w:tcW w:w="100" w:type="dxa"/>
            <w:vAlign w:val="bottom"/>
            <w:tcBorders>
              <w:top w:val="single" w:sz="8" w:color="D5EEEE"/>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1360" w:type="dxa"/>
            <w:vAlign w:val="bottom"/>
            <w:tcBorders>
              <w:top w:val="single" w:sz="8" w:color="D5EEEE"/>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rPr>
              <w:t>853</w:t>
            </w:r>
          </w:p>
        </w:tc>
        <w:tc>
          <w:tcPr>
            <w:tcW w:w="20" w:type="dxa"/>
            <w:vAlign w:val="bottom"/>
            <w:tcBorders>
              <w:top w:val="single" w:sz="8" w:color="D5EEEE"/>
            </w:tcBorders>
            <w:shd w:val="clear" w:color="auto" w:fill="D5EEEE"/>
          </w:tcPr>
          <w:p>
            <w:pPr>
              <w:spacing w:after="0"/>
              <w:rPr>
                <w:sz w:val="18"/>
                <w:szCs w:val="18"/>
                <w:color w:val="auto"/>
              </w:rPr>
            </w:pPr>
          </w:p>
        </w:tc>
        <w:tc>
          <w:tcPr>
            <w:tcW w:w="80" w:type="dxa"/>
            <w:vAlign w:val="bottom"/>
            <w:tcBorders>
              <w:top w:val="single" w:sz="8" w:color="D5EEEE"/>
            </w:tcBorders>
            <w:shd w:val="clear" w:color="auto" w:fill="D5EEEE"/>
          </w:tcPr>
          <w:p>
            <w:pPr>
              <w:spacing w:after="0"/>
              <w:rPr>
                <w:sz w:val="18"/>
                <w:szCs w:val="18"/>
                <w:color w:val="auto"/>
              </w:rPr>
            </w:pPr>
          </w:p>
        </w:tc>
      </w:tr>
      <w:tr>
        <w:trPr>
          <w:trHeight w:val="245"/>
        </w:trPr>
        <w:tc>
          <w:tcPr>
            <w:tcW w:w="540" w:type="dxa"/>
            <w:vAlign w:val="bottom"/>
          </w:tcPr>
          <w:p>
            <w:pPr>
              <w:spacing w:after="0"/>
              <w:rPr>
                <w:sz w:val="21"/>
                <w:szCs w:val="21"/>
                <w:color w:val="auto"/>
              </w:rPr>
            </w:pPr>
          </w:p>
        </w:tc>
        <w:tc>
          <w:tcPr>
            <w:tcW w:w="3720" w:type="dxa"/>
            <w:vAlign w:val="bottom"/>
            <w:tcBorders>
              <w:bottom w:val="single" w:sz="8" w:color="D5EEEE"/>
            </w:tcBorders>
          </w:tcPr>
          <w:p>
            <w:pPr>
              <w:spacing w:after="0"/>
              <w:rPr>
                <w:sz w:val="21"/>
                <w:szCs w:val="21"/>
                <w:color w:val="auto"/>
              </w:rPr>
            </w:pPr>
          </w:p>
        </w:tc>
        <w:tc>
          <w:tcPr>
            <w:tcW w:w="16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86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14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62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16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r>
      <w:tr>
        <w:trPr>
          <w:trHeight w:val="225"/>
        </w:trPr>
        <w:tc>
          <w:tcPr>
            <w:tcW w:w="540" w:type="dxa"/>
            <w:vAlign w:val="bottom"/>
          </w:tcPr>
          <w:p>
            <w:pPr>
              <w:spacing w:after="0"/>
              <w:rPr>
                <w:sz w:val="19"/>
                <w:szCs w:val="19"/>
                <w:color w:val="auto"/>
              </w:rPr>
            </w:pPr>
          </w:p>
        </w:tc>
        <w:tc>
          <w:tcPr>
            <w:tcW w:w="372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6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168</w:t>
            </w:r>
          </w:p>
        </w:tc>
        <w:tc>
          <w:tcPr>
            <w:tcW w:w="2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1640" w:type="dxa"/>
            <w:vAlign w:val="bottom"/>
            <w:gridSpan w:val="2"/>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72</w:t>
            </w:r>
          </w:p>
        </w:tc>
        <w:tc>
          <w:tcPr>
            <w:tcW w:w="20" w:type="dxa"/>
            <w:vAlign w:val="bottom"/>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80" w:type="dxa"/>
            <w:vAlign w:val="bottom"/>
            <w:shd w:val="clear" w:color="auto" w:fill="D5EEEE"/>
          </w:tcPr>
          <w:p>
            <w:pPr>
              <w:spacing w:after="0"/>
              <w:rPr>
                <w:sz w:val="19"/>
                <w:szCs w:val="19"/>
                <w:color w:val="auto"/>
              </w:rPr>
            </w:pPr>
          </w:p>
        </w:tc>
      </w:tr>
      <w:tr>
        <w:trPr>
          <w:trHeight w:val="245"/>
        </w:trPr>
        <w:tc>
          <w:tcPr>
            <w:tcW w:w="540" w:type="dxa"/>
            <w:vAlign w:val="bottom"/>
          </w:tcPr>
          <w:p>
            <w:pPr>
              <w:spacing w:after="0"/>
              <w:rPr>
                <w:sz w:val="21"/>
                <w:szCs w:val="21"/>
                <w:color w:val="auto"/>
              </w:rPr>
            </w:pPr>
          </w:p>
        </w:tc>
        <w:tc>
          <w:tcPr>
            <w:tcW w:w="3720" w:type="dxa"/>
            <w:vAlign w:val="bottom"/>
            <w:tcBorders>
              <w:bottom w:val="single" w:sz="8" w:color="D5EEEE"/>
            </w:tcBorders>
          </w:tcPr>
          <w:p>
            <w:pPr>
              <w:spacing w:after="0"/>
              <w:rPr>
                <w:sz w:val="21"/>
                <w:szCs w:val="21"/>
                <w:color w:val="auto"/>
              </w:rPr>
            </w:pPr>
          </w:p>
        </w:tc>
        <w:tc>
          <w:tcPr>
            <w:tcW w:w="16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86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252</w:t>
            </w: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14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62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16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r>
      <w:tr>
        <w:trPr>
          <w:trHeight w:val="227"/>
        </w:trPr>
        <w:tc>
          <w:tcPr>
            <w:tcW w:w="540" w:type="dxa"/>
            <w:vAlign w:val="bottom"/>
          </w:tcPr>
          <w:p>
            <w:pPr>
              <w:spacing w:after="0"/>
              <w:rPr>
                <w:sz w:val="19"/>
                <w:szCs w:val="19"/>
                <w:color w:val="auto"/>
              </w:rPr>
            </w:pPr>
          </w:p>
        </w:tc>
        <w:tc>
          <w:tcPr>
            <w:tcW w:w="3720" w:type="dxa"/>
            <w:vAlign w:val="bottom"/>
            <w:tcBorders>
              <w:bottom w:val="single" w:sz="8" w:color="D5EEEE"/>
            </w:tcBorders>
            <w:shd w:val="clear" w:color="auto" w:fill="D5EEEE"/>
          </w:tcPr>
          <w:p>
            <w:pPr>
              <w:spacing w:after="0"/>
              <w:rPr>
                <w:sz w:val="19"/>
                <w:szCs w:val="19"/>
                <w:color w:val="auto"/>
              </w:rPr>
            </w:pPr>
          </w:p>
        </w:tc>
        <w:tc>
          <w:tcPr>
            <w:tcW w:w="160" w:type="dxa"/>
            <w:vAlign w:val="bottom"/>
            <w:tcBorders>
              <w:bottom w:val="single" w:sz="8" w:color="D5EEEE"/>
            </w:tcBorders>
            <w:shd w:val="clear" w:color="auto" w:fill="D5EEE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shd w:val="clear" w:color="auto" w:fill="D5EEEE"/>
          </w:tcPr>
          <w:p>
            <w:pPr>
              <w:jc w:val="right"/>
              <w:spacing w:after="0" w:line="228" w:lineRule="exact"/>
              <w:rPr>
                <w:sz w:val="20"/>
                <w:szCs w:val="20"/>
                <w:color w:val="auto"/>
              </w:rPr>
            </w:pPr>
            <w:r>
              <w:rPr>
                <w:rFonts w:ascii="Times New Roman" w:cs="Times New Roman" w:eastAsia="Times New Roman" w:hAnsi="Times New Roman"/>
                <w:sz w:val="20"/>
                <w:szCs w:val="20"/>
                <w:color w:val="auto"/>
              </w:rPr>
              <w:t>127</w:t>
            </w:r>
          </w:p>
        </w:tc>
        <w:tc>
          <w:tcPr>
            <w:tcW w:w="20" w:type="dxa"/>
            <w:vAlign w:val="bottom"/>
            <w:tcBorders>
              <w:bottom w:val="single" w:sz="8" w:color="auto"/>
            </w:tcBorders>
            <w:shd w:val="clear" w:color="auto" w:fill="D5EEEE"/>
          </w:tcPr>
          <w:p>
            <w:pPr>
              <w:spacing w:after="0"/>
              <w:rPr>
                <w:sz w:val="19"/>
                <w:szCs w:val="19"/>
                <w:color w:val="auto"/>
              </w:rPr>
            </w:pPr>
          </w:p>
        </w:tc>
        <w:tc>
          <w:tcPr>
            <w:tcW w:w="100" w:type="dxa"/>
            <w:vAlign w:val="bottom"/>
            <w:tcBorders>
              <w:bottom w:val="single" w:sz="8" w:color="D5EEEE"/>
            </w:tcBorders>
            <w:shd w:val="clear" w:color="auto" w:fill="D5EEEE"/>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shd w:val="clear" w:color="auto" w:fill="D5EEEE"/>
          </w:tcPr>
          <w:p>
            <w:pPr>
              <w:spacing w:after="0"/>
              <w:rPr>
                <w:sz w:val="19"/>
                <w:szCs w:val="19"/>
                <w:color w:val="auto"/>
              </w:rPr>
            </w:pPr>
          </w:p>
        </w:tc>
        <w:tc>
          <w:tcPr>
            <w:tcW w:w="20" w:type="dxa"/>
            <w:vAlign w:val="bottom"/>
            <w:tcBorders>
              <w:bottom w:val="single" w:sz="8" w:color="auto"/>
            </w:tcBorders>
            <w:shd w:val="clear" w:color="auto" w:fill="D5EEEE"/>
          </w:tcPr>
          <w:p>
            <w:pPr>
              <w:spacing w:after="0"/>
              <w:rPr>
                <w:sz w:val="19"/>
                <w:szCs w:val="19"/>
                <w:color w:val="auto"/>
              </w:rPr>
            </w:pPr>
          </w:p>
        </w:tc>
        <w:tc>
          <w:tcPr>
            <w:tcW w:w="1620" w:type="dxa"/>
            <w:vAlign w:val="bottom"/>
            <w:tcBorders>
              <w:bottom w:val="single" w:sz="8" w:color="auto"/>
            </w:tcBorders>
            <w:shd w:val="clear" w:color="auto" w:fill="D5EEEE"/>
          </w:tcPr>
          <w:p>
            <w:pPr>
              <w:jc w:val="right"/>
              <w:spacing w:after="0" w:line="228" w:lineRule="exact"/>
              <w:rPr>
                <w:sz w:val="20"/>
                <w:szCs w:val="20"/>
                <w:color w:val="auto"/>
              </w:rPr>
            </w:pPr>
            <w:r>
              <w:rPr>
                <w:rFonts w:ascii="Times New Roman" w:cs="Times New Roman" w:eastAsia="Times New Roman" w:hAnsi="Times New Roman"/>
                <w:sz w:val="20"/>
                <w:szCs w:val="20"/>
                <w:color w:val="auto"/>
              </w:rPr>
              <w:t>15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D5EEEE"/>
            </w:tcBorders>
            <w:shd w:val="clear" w:color="auto" w:fill="D5EEEE"/>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shd w:val="clear" w:color="auto" w:fill="D5EEEE"/>
          </w:tcPr>
          <w:p>
            <w:pPr>
              <w:spacing w:after="0"/>
              <w:rPr>
                <w:sz w:val="19"/>
                <w:szCs w:val="19"/>
                <w:color w:val="auto"/>
              </w:rPr>
            </w:pPr>
          </w:p>
        </w:tc>
        <w:tc>
          <w:tcPr>
            <w:tcW w:w="1360" w:type="dxa"/>
            <w:vAlign w:val="bottom"/>
            <w:tcBorders>
              <w:bottom w:val="single" w:sz="8" w:color="auto"/>
            </w:tcBorders>
            <w:shd w:val="clear" w:color="auto" w:fill="D5EEEE"/>
          </w:tcPr>
          <w:p>
            <w:pPr>
              <w:jc w:val="right"/>
              <w:spacing w:after="0" w:line="228" w:lineRule="exact"/>
              <w:rPr>
                <w:sz w:val="20"/>
                <w:szCs w:val="20"/>
                <w:color w:val="auto"/>
              </w:rPr>
            </w:pPr>
            <w:r>
              <w:rPr>
                <w:rFonts w:ascii="Times New Roman" w:cs="Times New Roman" w:eastAsia="Times New Roman" w:hAnsi="Times New Roman"/>
                <w:sz w:val="20"/>
                <w:szCs w:val="20"/>
                <w:color w:val="auto"/>
              </w:rPr>
              <w:t>480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D5EEEE"/>
            </w:tcBorders>
            <w:shd w:val="clear" w:color="auto" w:fill="D5EEEE"/>
          </w:tcPr>
          <w:p>
            <w:pPr>
              <w:spacing w:after="0"/>
              <w:rPr>
                <w:sz w:val="19"/>
                <w:szCs w:val="19"/>
                <w:color w:val="auto"/>
              </w:rPr>
            </w:pPr>
          </w:p>
        </w:tc>
      </w:tr>
      <w:tr>
        <w:trPr>
          <w:trHeight w:val="230"/>
        </w:trPr>
        <w:tc>
          <w:tcPr>
            <w:tcW w:w="5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Borders>
              <w:bottom w:val="single" w:sz="8" w:color="auto"/>
            </w:tcBorders>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501"/>
        </w:trPr>
        <w:tc>
          <w:tcPr>
            <w:tcW w:w="65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Prepaid expenses primarily consist of prepaid benefits and insurance.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1"/>
        </w:trPr>
        <w:tc>
          <w:tcPr>
            <w:tcW w:w="652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Other long-term assets consisted of the following (in thousands):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5"/>
        </w:trPr>
        <w:tc>
          <w:tcPr>
            <w:tcW w:w="5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gridSpan w:val="3"/>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rPr>
              <w:t>As of</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3"/>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5"/>
              </w:rPr>
              <w:t>As of</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As of</w:t>
            </w:r>
          </w:p>
        </w:tc>
        <w:tc>
          <w:tcPr>
            <w:tcW w:w="80" w:type="dxa"/>
            <w:vAlign w:val="bottom"/>
          </w:tcPr>
          <w:p>
            <w:pPr>
              <w:spacing w:after="0"/>
              <w:rPr>
                <w:sz w:val="24"/>
                <w:szCs w:val="24"/>
                <w:color w:val="auto"/>
              </w:rPr>
            </w:pPr>
          </w:p>
        </w:tc>
      </w:tr>
      <w:tr>
        <w:trPr>
          <w:trHeight w:val="230"/>
        </w:trPr>
        <w:tc>
          <w:tcPr>
            <w:tcW w:w="5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80" w:type="dxa"/>
            <w:vAlign w:val="bottom"/>
            <w:gridSpan w:val="3"/>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gridSpan w:val="3"/>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June 30,</w:t>
            </w:r>
          </w:p>
        </w:tc>
        <w:tc>
          <w:tcPr>
            <w:tcW w:w="80" w:type="dxa"/>
            <w:vAlign w:val="bottom"/>
          </w:tcPr>
          <w:p>
            <w:pPr>
              <w:spacing w:after="0"/>
              <w:rPr>
                <w:sz w:val="20"/>
                <w:szCs w:val="20"/>
                <w:color w:val="auto"/>
              </w:rPr>
            </w:pPr>
          </w:p>
        </w:tc>
      </w:tr>
      <w:tr>
        <w:trPr>
          <w:trHeight w:val="274"/>
        </w:trPr>
        <w:tc>
          <w:tcPr>
            <w:tcW w:w="54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160" w:type="dxa"/>
            <w:vAlign w:val="bottom"/>
            <w:tcBorders>
              <w:bottom w:val="single" w:sz="8" w:color="D5EEEE"/>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2022</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D5EEEE"/>
            </w:tcBorders>
          </w:tcPr>
          <w:p>
            <w:pPr>
              <w:spacing w:after="0"/>
              <w:rPr>
                <w:sz w:val="23"/>
                <w:szCs w:val="23"/>
                <w:color w:val="auto"/>
              </w:rPr>
            </w:pPr>
          </w:p>
        </w:tc>
        <w:tc>
          <w:tcPr>
            <w:tcW w:w="140" w:type="dxa"/>
            <w:vAlign w:val="bottom"/>
            <w:tcBorders>
              <w:bottom w:val="single" w:sz="8" w:color="D5EEEE"/>
            </w:tcBorders>
          </w:tcPr>
          <w:p>
            <w:pPr>
              <w:spacing w:after="0"/>
              <w:rPr>
                <w:sz w:val="23"/>
                <w:szCs w:val="23"/>
                <w:color w:val="auto"/>
              </w:rPr>
            </w:pPr>
          </w:p>
        </w:tc>
        <w:tc>
          <w:tcPr>
            <w:tcW w:w="20" w:type="dxa"/>
            <w:vAlign w:val="bottom"/>
            <w:tcBorders>
              <w:bottom w:val="single" w:sz="8" w:color="D5EEEE"/>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2021</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D5EEEE"/>
            </w:tcBorders>
          </w:tcPr>
          <w:p>
            <w:pPr>
              <w:spacing w:after="0"/>
              <w:rPr>
                <w:sz w:val="23"/>
                <w:szCs w:val="23"/>
                <w:color w:val="auto"/>
              </w:rPr>
            </w:pPr>
          </w:p>
        </w:tc>
        <w:tc>
          <w:tcPr>
            <w:tcW w:w="160" w:type="dxa"/>
            <w:vAlign w:val="bottom"/>
            <w:tcBorders>
              <w:bottom w:val="single" w:sz="8" w:color="D5EEEE"/>
            </w:tcBorders>
          </w:tcPr>
          <w:p>
            <w:pPr>
              <w:spacing w:after="0"/>
              <w:rPr>
                <w:sz w:val="23"/>
                <w:szCs w:val="23"/>
                <w:color w:val="auto"/>
              </w:rPr>
            </w:pPr>
          </w:p>
        </w:tc>
        <w:tc>
          <w:tcPr>
            <w:tcW w:w="20" w:type="dxa"/>
            <w:vAlign w:val="bottom"/>
            <w:tcBorders>
              <w:bottom w:val="single" w:sz="8" w:color="D5EEEE"/>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2021</w:t>
            </w:r>
          </w:p>
        </w:tc>
        <w:tc>
          <w:tcPr>
            <w:tcW w:w="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r>
      <w:tr>
        <w:trPr>
          <w:trHeight w:val="210"/>
        </w:trPr>
        <w:tc>
          <w:tcPr>
            <w:tcW w:w="540" w:type="dxa"/>
            <w:vAlign w:val="bottom"/>
          </w:tcPr>
          <w:p>
            <w:pPr>
              <w:spacing w:after="0"/>
              <w:rPr>
                <w:sz w:val="18"/>
                <w:szCs w:val="18"/>
                <w:color w:val="auto"/>
              </w:rPr>
            </w:pPr>
          </w:p>
        </w:tc>
        <w:tc>
          <w:tcPr>
            <w:tcW w:w="3720" w:type="dxa"/>
            <w:vAlign w:val="bottom"/>
            <w:tcBorders>
              <w:top w:val="single" w:sz="8" w:color="D5EEEE"/>
            </w:tcBorders>
            <w:shd w:val="clear" w:color="auto" w:fill="D5EEEE"/>
          </w:tcPr>
          <w:p>
            <w:pPr>
              <w:spacing w:after="0"/>
              <w:rPr>
                <w:sz w:val="18"/>
                <w:szCs w:val="18"/>
                <w:color w:val="auto"/>
              </w:rPr>
            </w:pPr>
          </w:p>
        </w:tc>
        <w:tc>
          <w:tcPr>
            <w:tcW w:w="16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D5EEEE"/>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Borders>
              <w:top w:val="single" w:sz="8" w:color="D5EEEE"/>
            </w:tcBorders>
          </w:tcPr>
          <w:p>
            <w:pPr>
              <w:spacing w:after="0"/>
              <w:rPr>
                <w:sz w:val="18"/>
                <w:szCs w:val="18"/>
                <w:color w:val="auto"/>
              </w:rPr>
            </w:pPr>
          </w:p>
        </w:tc>
        <w:tc>
          <w:tcPr>
            <w:tcW w:w="1860" w:type="dxa"/>
            <w:vAlign w:val="bottom"/>
            <w:tcBorders>
              <w:top w:val="single" w:sz="8" w:color="D5EEEE"/>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D5EEEE"/>
            </w:tcBorders>
            <w:shd w:val="clear" w:color="auto" w:fill="D5EEEE"/>
          </w:tcPr>
          <w:p>
            <w:pPr>
              <w:spacing w:after="0"/>
              <w:rPr>
                <w:sz w:val="18"/>
                <w:szCs w:val="18"/>
                <w:color w:val="auto"/>
              </w:rPr>
            </w:pPr>
          </w:p>
        </w:tc>
        <w:tc>
          <w:tcPr>
            <w:tcW w:w="160" w:type="dxa"/>
            <w:vAlign w:val="bottom"/>
            <w:tcBorders>
              <w:top w:val="single" w:sz="8" w:color="D5EEEE"/>
            </w:tcBorders>
            <w:gridSpan w:val="2"/>
          </w:tcPr>
          <w:p>
            <w:pPr>
              <w:spacing w:after="0"/>
              <w:rPr>
                <w:sz w:val="18"/>
                <w:szCs w:val="18"/>
                <w:color w:val="auto"/>
              </w:rPr>
            </w:pPr>
          </w:p>
        </w:tc>
        <w:tc>
          <w:tcPr>
            <w:tcW w:w="100" w:type="dxa"/>
            <w:vAlign w:val="bottom"/>
            <w:tcBorders>
              <w:top w:val="single" w:sz="8" w:color="D5EEEE"/>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Borders>
              <w:top w:val="single" w:sz="8" w:color="D5EEEE"/>
            </w:tcBorders>
          </w:tcPr>
          <w:p>
            <w:pPr>
              <w:spacing w:after="0"/>
              <w:rPr>
                <w:sz w:val="18"/>
                <w:szCs w:val="18"/>
                <w:color w:val="auto"/>
              </w:rPr>
            </w:pPr>
          </w:p>
        </w:tc>
        <w:tc>
          <w:tcPr>
            <w:tcW w:w="1620" w:type="dxa"/>
            <w:vAlign w:val="bottom"/>
            <w:tcBorders>
              <w:top w:val="single" w:sz="8" w:color="D5EEEE"/>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rPr>
              <w:t>504</w:t>
            </w:r>
          </w:p>
        </w:tc>
        <w:tc>
          <w:tcPr>
            <w:tcW w:w="20" w:type="dxa"/>
            <w:vAlign w:val="bottom"/>
            <w:tcBorders>
              <w:top w:val="single" w:sz="8" w:color="D5EEEE"/>
            </w:tcBorders>
            <w:shd w:val="clear" w:color="auto" w:fill="D5EEEE"/>
          </w:tcPr>
          <w:p>
            <w:pPr>
              <w:spacing w:after="0"/>
              <w:rPr>
                <w:sz w:val="18"/>
                <w:szCs w:val="18"/>
                <w:color w:val="auto"/>
              </w:rPr>
            </w:pPr>
          </w:p>
        </w:tc>
        <w:tc>
          <w:tcPr>
            <w:tcW w:w="80" w:type="dxa"/>
            <w:vAlign w:val="bottom"/>
            <w:tcBorders>
              <w:top w:val="single" w:sz="8" w:color="D5EEEE"/>
            </w:tcBorders>
            <w:shd w:val="clear" w:color="auto" w:fill="D5EEEE"/>
          </w:tcPr>
          <w:p>
            <w:pPr>
              <w:spacing w:after="0"/>
              <w:rPr>
                <w:sz w:val="18"/>
                <w:szCs w:val="18"/>
                <w:color w:val="auto"/>
              </w:rPr>
            </w:pPr>
          </w:p>
        </w:tc>
        <w:tc>
          <w:tcPr>
            <w:tcW w:w="180" w:type="dxa"/>
            <w:vAlign w:val="bottom"/>
            <w:tcBorders>
              <w:top w:val="single" w:sz="8" w:color="D5EEEE"/>
            </w:tcBorders>
            <w:gridSpan w:val="2"/>
          </w:tcPr>
          <w:p>
            <w:pPr>
              <w:spacing w:after="0"/>
              <w:rPr>
                <w:sz w:val="18"/>
                <w:szCs w:val="18"/>
                <w:color w:val="auto"/>
              </w:rPr>
            </w:pPr>
          </w:p>
        </w:tc>
        <w:tc>
          <w:tcPr>
            <w:tcW w:w="100" w:type="dxa"/>
            <w:vAlign w:val="bottom"/>
            <w:tcBorders>
              <w:top w:val="single" w:sz="8" w:color="D5EEEE"/>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1360" w:type="dxa"/>
            <w:vAlign w:val="bottom"/>
            <w:tcBorders>
              <w:top w:val="single" w:sz="8" w:color="D5EEEE"/>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rPr>
              <w:t>613</w:t>
            </w:r>
          </w:p>
        </w:tc>
        <w:tc>
          <w:tcPr>
            <w:tcW w:w="20" w:type="dxa"/>
            <w:vAlign w:val="bottom"/>
            <w:tcBorders>
              <w:top w:val="single" w:sz="8" w:color="D5EEEE"/>
            </w:tcBorders>
            <w:shd w:val="clear" w:color="auto" w:fill="D5EEEE"/>
          </w:tcPr>
          <w:p>
            <w:pPr>
              <w:spacing w:after="0"/>
              <w:rPr>
                <w:sz w:val="18"/>
                <w:szCs w:val="18"/>
                <w:color w:val="auto"/>
              </w:rPr>
            </w:pPr>
          </w:p>
        </w:tc>
        <w:tc>
          <w:tcPr>
            <w:tcW w:w="80" w:type="dxa"/>
            <w:vAlign w:val="bottom"/>
            <w:tcBorders>
              <w:top w:val="single" w:sz="8" w:color="D5EEEE"/>
            </w:tcBorders>
            <w:shd w:val="clear" w:color="auto" w:fill="D5EEEE"/>
          </w:tcPr>
          <w:p>
            <w:pPr>
              <w:spacing w:after="0"/>
              <w:rPr>
                <w:sz w:val="18"/>
                <w:szCs w:val="18"/>
                <w:color w:val="auto"/>
              </w:rPr>
            </w:pPr>
          </w:p>
        </w:tc>
      </w:tr>
      <w:tr>
        <w:trPr>
          <w:trHeight w:val="245"/>
        </w:trPr>
        <w:tc>
          <w:tcPr>
            <w:tcW w:w="540" w:type="dxa"/>
            <w:vAlign w:val="bottom"/>
          </w:tcPr>
          <w:p>
            <w:pPr>
              <w:spacing w:after="0"/>
              <w:rPr>
                <w:sz w:val="21"/>
                <w:szCs w:val="21"/>
                <w:color w:val="auto"/>
              </w:rPr>
            </w:pPr>
          </w:p>
        </w:tc>
        <w:tc>
          <w:tcPr>
            <w:tcW w:w="3720" w:type="dxa"/>
            <w:vAlign w:val="bottom"/>
            <w:tcBorders>
              <w:bottom w:val="single" w:sz="8" w:color="D5EEEE"/>
            </w:tcBorders>
          </w:tcPr>
          <w:p>
            <w:pPr>
              <w:spacing w:after="0"/>
              <w:rPr>
                <w:sz w:val="21"/>
                <w:szCs w:val="21"/>
                <w:color w:val="auto"/>
              </w:rPr>
            </w:pPr>
          </w:p>
        </w:tc>
        <w:tc>
          <w:tcPr>
            <w:tcW w:w="16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86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14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62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2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16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20" w:type="dxa"/>
            <w:vAlign w:val="bottom"/>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r>
      <w:tr>
        <w:trPr>
          <w:trHeight w:val="225"/>
        </w:trPr>
        <w:tc>
          <w:tcPr>
            <w:tcW w:w="540" w:type="dxa"/>
            <w:vAlign w:val="bottom"/>
          </w:tcPr>
          <w:p>
            <w:pPr>
              <w:spacing w:after="0"/>
              <w:rPr>
                <w:sz w:val="19"/>
                <w:szCs w:val="19"/>
                <w:color w:val="auto"/>
              </w:rPr>
            </w:pPr>
          </w:p>
        </w:tc>
        <w:tc>
          <w:tcPr>
            <w:tcW w:w="3720" w:type="dxa"/>
            <w:vAlign w:val="bottom"/>
            <w:tcBorders>
              <w:bottom w:val="single" w:sz="8" w:color="D5EEEE"/>
            </w:tcBorders>
            <w:shd w:val="clear" w:color="auto" w:fill="D5EEEE"/>
          </w:tcPr>
          <w:p>
            <w:pPr>
              <w:spacing w:after="0"/>
              <w:rPr>
                <w:sz w:val="19"/>
                <w:szCs w:val="19"/>
                <w:color w:val="auto"/>
              </w:rPr>
            </w:pPr>
          </w:p>
        </w:tc>
        <w:tc>
          <w:tcPr>
            <w:tcW w:w="160" w:type="dxa"/>
            <w:vAlign w:val="bottom"/>
            <w:tcBorders>
              <w:bottom w:val="single" w:sz="8" w:color="D5EEEE"/>
            </w:tcBorders>
            <w:shd w:val="clear" w:color="auto" w:fill="D5EEE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97</w:t>
            </w:r>
          </w:p>
        </w:tc>
        <w:tc>
          <w:tcPr>
            <w:tcW w:w="20" w:type="dxa"/>
            <w:vAlign w:val="bottom"/>
            <w:tcBorders>
              <w:bottom w:val="single" w:sz="8" w:color="auto"/>
            </w:tcBorders>
            <w:shd w:val="clear" w:color="auto" w:fill="D5EEEE"/>
          </w:tcPr>
          <w:p>
            <w:pPr>
              <w:spacing w:after="0"/>
              <w:rPr>
                <w:sz w:val="19"/>
                <w:szCs w:val="19"/>
                <w:color w:val="auto"/>
              </w:rPr>
            </w:pPr>
          </w:p>
        </w:tc>
        <w:tc>
          <w:tcPr>
            <w:tcW w:w="100" w:type="dxa"/>
            <w:vAlign w:val="bottom"/>
            <w:tcBorders>
              <w:bottom w:val="single" w:sz="8" w:color="D5EEEE"/>
            </w:tcBorders>
            <w:shd w:val="clear" w:color="auto" w:fill="D5EEEE"/>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D5EEEE"/>
            </w:tcBorders>
            <w:shd w:val="clear" w:color="auto" w:fill="D5EEEE"/>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22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D5EEEE"/>
            </w:tcBorders>
            <w:shd w:val="clear" w:color="auto" w:fill="D5EEEE"/>
          </w:tcPr>
          <w:p>
            <w:pPr>
              <w:spacing w:after="0"/>
              <w:rPr>
                <w:sz w:val="19"/>
                <w:szCs w:val="19"/>
                <w:color w:val="auto"/>
              </w:rPr>
            </w:pPr>
          </w:p>
        </w:tc>
      </w:tr>
      <w:tr>
        <w:trPr>
          <w:trHeight w:val="231"/>
        </w:trPr>
        <w:tc>
          <w:tcPr>
            <w:tcW w:w="5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Borders>
              <w:bottom w:val="single" w:sz="8" w:color="auto"/>
            </w:tcBorders>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-2804160</wp:posOffset>
            </wp:positionV>
            <wp:extent cx="6198870" cy="9931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98870" cy="993140"/>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-650875</wp:posOffset>
            </wp:positionV>
            <wp:extent cx="6198870" cy="6819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198870" cy="681990"/>
                    </a:xfrm>
                    <a:prstGeom prst="rect">
                      <a:avLst/>
                    </a:prstGeom>
                    <a:noFill/>
                  </pic:spPr>
                </pic:pic>
              </a:graphicData>
            </a:graphic>
          </wp:anchor>
        </w:drawing>
      </w:r>
    </w:p>
    <w:p>
      <w:pPr>
        <w:sectPr>
          <w:pgSz w:w="11880" w:h="15480" w:orient="portrait"/>
          <w:cols w:equalWidth="0" w:num="1">
            <w:col w:w="10780"/>
          </w:cols>
          <w:pgMar w:left="540" w:top="884" w:right="560" w:bottom="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F-23</w:t>
      </w:r>
    </w:p>
    <w:p>
      <w:pPr>
        <w:sectPr>
          <w:pgSz w:w="11880" w:h="15480" w:orient="portrait"/>
          <w:cols w:equalWidth="0" w:num="1">
            <w:col w:w="10780"/>
          </w:cols>
          <w:pgMar w:left="540" w:top="884" w:right="560" w:bottom="5"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20"/>
          <w:szCs w:val="20"/>
          <w:color w:val="auto"/>
        </w:rPr>
        <w:t>Other current liabilities consisted of the following (in thousands):</w:t>
      </w:r>
    </w:p>
    <w:p>
      <w:pPr>
        <w:spacing w:after="0" w:line="242"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80" w:type="dxa"/>
            <w:vAlign w:val="bottom"/>
            <w:gridSpan w:val="3"/>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rPr>
              <w:t>As of</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gridSpan w:val="3"/>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5"/>
              </w:rPr>
              <w:t>As of</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As of</w:t>
            </w:r>
          </w:p>
        </w:tc>
        <w:tc>
          <w:tcPr>
            <w:tcW w:w="80" w:type="dxa"/>
            <w:vAlign w:val="bottom"/>
          </w:tcPr>
          <w:p>
            <w:pPr>
              <w:spacing w:after="0"/>
              <w:rPr>
                <w:sz w:val="20"/>
                <w:szCs w:val="20"/>
                <w:color w:val="auto"/>
              </w:rPr>
            </w:pPr>
          </w:p>
        </w:tc>
      </w:tr>
      <w:tr>
        <w:trPr>
          <w:trHeight w:val="230"/>
        </w:trPr>
        <w:tc>
          <w:tcPr>
            <w:tcW w:w="3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80" w:type="dxa"/>
            <w:vAlign w:val="bottom"/>
            <w:gridSpan w:val="3"/>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gridSpan w:val="3"/>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June 30,</w:t>
            </w:r>
          </w:p>
        </w:tc>
        <w:tc>
          <w:tcPr>
            <w:tcW w:w="80" w:type="dxa"/>
            <w:vAlign w:val="bottom"/>
          </w:tcPr>
          <w:p>
            <w:pPr>
              <w:spacing w:after="0"/>
              <w:rPr>
                <w:sz w:val="20"/>
                <w:szCs w:val="20"/>
                <w:color w:val="auto"/>
              </w:rPr>
            </w:pPr>
          </w:p>
        </w:tc>
      </w:tr>
      <w:tr>
        <w:trPr>
          <w:trHeight w:val="274"/>
        </w:trPr>
        <w:tc>
          <w:tcPr>
            <w:tcW w:w="3720" w:type="dxa"/>
            <w:vAlign w:val="bottom"/>
          </w:tcPr>
          <w:p>
            <w:pPr>
              <w:spacing w:after="0"/>
              <w:rPr>
                <w:sz w:val="23"/>
                <w:szCs w:val="23"/>
                <w:color w:val="auto"/>
              </w:rPr>
            </w:pPr>
          </w:p>
        </w:tc>
        <w:tc>
          <w:tcPr>
            <w:tcW w:w="160" w:type="dxa"/>
            <w:vAlign w:val="bottom"/>
            <w:tcBorders>
              <w:bottom w:val="single" w:sz="8" w:color="D5EEEE"/>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2022</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D5EEEE"/>
            </w:tcBorders>
          </w:tcPr>
          <w:p>
            <w:pPr>
              <w:spacing w:after="0"/>
              <w:rPr>
                <w:sz w:val="23"/>
                <w:szCs w:val="23"/>
                <w:color w:val="auto"/>
              </w:rPr>
            </w:pPr>
          </w:p>
        </w:tc>
        <w:tc>
          <w:tcPr>
            <w:tcW w:w="140" w:type="dxa"/>
            <w:vAlign w:val="bottom"/>
            <w:tcBorders>
              <w:bottom w:val="single" w:sz="8" w:color="D5EEEE"/>
            </w:tcBorders>
          </w:tcPr>
          <w:p>
            <w:pPr>
              <w:spacing w:after="0"/>
              <w:rPr>
                <w:sz w:val="23"/>
                <w:szCs w:val="23"/>
                <w:color w:val="auto"/>
              </w:rPr>
            </w:pPr>
          </w:p>
        </w:tc>
        <w:tc>
          <w:tcPr>
            <w:tcW w:w="20" w:type="dxa"/>
            <w:vAlign w:val="bottom"/>
            <w:tcBorders>
              <w:bottom w:val="single" w:sz="8" w:color="D5EEEE"/>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2021</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D5EEEE"/>
            </w:tcBorders>
          </w:tcPr>
          <w:p>
            <w:pPr>
              <w:spacing w:after="0"/>
              <w:rPr>
                <w:sz w:val="23"/>
                <w:szCs w:val="23"/>
                <w:color w:val="auto"/>
              </w:rPr>
            </w:pPr>
          </w:p>
        </w:tc>
        <w:tc>
          <w:tcPr>
            <w:tcW w:w="160" w:type="dxa"/>
            <w:vAlign w:val="bottom"/>
            <w:tcBorders>
              <w:bottom w:val="single" w:sz="8" w:color="D5EEEE"/>
            </w:tcBorders>
          </w:tcPr>
          <w:p>
            <w:pPr>
              <w:spacing w:after="0"/>
              <w:rPr>
                <w:sz w:val="23"/>
                <w:szCs w:val="23"/>
                <w:color w:val="auto"/>
              </w:rPr>
            </w:pPr>
          </w:p>
        </w:tc>
        <w:tc>
          <w:tcPr>
            <w:tcW w:w="20" w:type="dxa"/>
            <w:vAlign w:val="bottom"/>
            <w:tcBorders>
              <w:bottom w:val="single" w:sz="8" w:color="D5EEEE"/>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2021</w:t>
            </w:r>
          </w:p>
        </w:tc>
        <w:tc>
          <w:tcPr>
            <w:tcW w:w="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r>
      <w:tr>
        <w:trPr>
          <w:trHeight w:val="210"/>
        </w:trPr>
        <w:tc>
          <w:tcPr>
            <w:tcW w:w="3720" w:type="dxa"/>
            <w:vAlign w:val="bottom"/>
            <w:tcBorders>
              <w:top w:val="single" w:sz="8" w:color="D5EEEE"/>
            </w:tcBorders>
            <w:shd w:val="clear" w:color="auto" w:fill="D5EEEE"/>
          </w:tcPr>
          <w:p>
            <w:pPr>
              <w:spacing w:after="0"/>
              <w:rPr>
                <w:sz w:val="18"/>
                <w:szCs w:val="18"/>
                <w:color w:val="auto"/>
              </w:rPr>
            </w:pPr>
          </w:p>
        </w:tc>
        <w:tc>
          <w:tcPr>
            <w:tcW w:w="16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D5EEEE"/>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Borders>
              <w:top w:val="single" w:sz="8" w:color="D5EEEE"/>
            </w:tcBorders>
          </w:tcPr>
          <w:p>
            <w:pPr>
              <w:spacing w:after="0"/>
              <w:rPr>
                <w:sz w:val="18"/>
                <w:szCs w:val="18"/>
                <w:color w:val="auto"/>
              </w:rPr>
            </w:pPr>
          </w:p>
        </w:tc>
        <w:tc>
          <w:tcPr>
            <w:tcW w:w="1860" w:type="dxa"/>
            <w:vAlign w:val="bottom"/>
            <w:tcBorders>
              <w:top w:val="single" w:sz="8" w:color="D5EEEE"/>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rPr>
              <w:t>612</w:t>
            </w:r>
          </w:p>
        </w:tc>
        <w:tc>
          <w:tcPr>
            <w:tcW w:w="2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D5EEEE"/>
            </w:tcBorders>
            <w:shd w:val="clear" w:color="auto" w:fill="D5EEEE"/>
          </w:tcPr>
          <w:p>
            <w:pPr>
              <w:spacing w:after="0"/>
              <w:rPr>
                <w:sz w:val="18"/>
                <w:szCs w:val="18"/>
                <w:color w:val="auto"/>
              </w:rPr>
            </w:pPr>
          </w:p>
        </w:tc>
        <w:tc>
          <w:tcPr>
            <w:tcW w:w="140" w:type="dxa"/>
            <w:vAlign w:val="bottom"/>
            <w:tcBorders>
              <w:top w:val="single" w:sz="8" w:color="D5EEEE"/>
            </w:tcBorders>
          </w:tcPr>
          <w:p>
            <w:pPr>
              <w:spacing w:after="0"/>
              <w:rPr>
                <w:sz w:val="18"/>
                <w:szCs w:val="18"/>
                <w:color w:val="auto"/>
              </w:rPr>
            </w:pPr>
          </w:p>
        </w:tc>
        <w:tc>
          <w:tcPr>
            <w:tcW w:w="20" w:type="dxa"/>
            <w:vAlign w:val="bottom"/>
            <w:tcBorders>
              <w:top w:val="single" w:sz="8" w:color="D5EEEE"/>
            </w:tcBorders>
          </w:tcPr>
          <w:p>
            <w:pPr>
              <w:spacing w:after="0"/>
              <w:rPr>
                <w:sz w:val="18"/>
                <w:szCs w:val="18"/>
                <w:color w:val="auto"/>
              </w:rPr>
            </w:pPr>
          </w:p>
        </w:tc>
        <w:tc>
          <w:tcPr>
            <w:tcW w:w="100" w:type="dxa"/>
            <w:vAlign w:val="bottom"/>
            <w:tcBorders>
              <w:top w:val="single" w:sz="8" w:color="D5EEEE"/>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Borders>
              <w:top w:val="single" w:sz="8" w:color="D5EEEE"/>
            </w:tcBorders>
          </w:tcPr>
          <w:p>
            <w:pPr>
              <w:spacing w:after="0"/>
              <w:rPr>
                <w:sz w:val="18"/>
                <w:szCs w:val="18"/>
                <w:color w:val="auto"/>
              </w:rPr>
            </w:pPr>
          </w:p>
        </w:tc>
        <w:tc>
          <w:tcPr>
            <w:tcW w:w="1620" w:type="dxa"/>
            <w:vAlign w:val="bottom"/>
            <w:tcBorders>
              <w:top w:val="single" w:sz="8" w:color="D5EEEE"/>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rPr>
              <w:t>720</w:t>
            </w:r>
          </w:p>
        </w:tc>
        <w:tc>
          <w:tcPr>
            <w:tcW w:w="20" w:type="dxa"/>
            <w:vAlign w:val="bottom"/>
            <w:tcBorders>
              <w:top w:val="single" w:sz="8" w:color="D5EEEE"/>
            </w:tcBorders>
            <w:shd w:val="clear" w:color="auto" w:fill="D5EEEE"/>
          </w:tcPr>
          <w:p>
            <w:pPr>
              <w:spacing w:after="0"/>
              <w:rPr>
                <w:sz w:val="18"/>
                <w:szCs w:val="18"/>
                <w:color w:val="auto"/>
              </w:rPr>
            </w:pPr>
          </w:p>
        </w:tc>
        <w:tc>
          <w:tcPr>
            <w:tcW w:w="80" w:type="dxa"/>
            <w:vAlign w:val="bottom"/>
            <w:tcBorders>
              <w:top w:val="single" w:sz="8" w:color="D5EEEE"/>
            </w:tcBorders>
            <w:shd w:val="clear" w:color="auto" w:fill="D5EEEE"/>
          </w:tcPr>
          <w:p>
            <w:pPr>
              <w:spacing w:after="0"/>
              <w:rPr>
                <w:sz w:val="18"/>
                <w:szCs w:val="18"/>
                <w:color w:val="auto"/>
              </w:rPr>
            </w:pPr>
          </w:p>
        </w:tc>
        <w:tc>
          <w:tcPr>
            <w:tcW w:w="160" w:type="dxa"/>
            <w:vAlign w:val="bottom"/>
            <w:tcBorders>
              <w:top w:val="single" w:sz="8" w:color="D5EEEE"/>
            </w:tcBorders>
          </w:tcPr>
          <w:p>
            <w:pPr>
              <w:spacing w:after="0"/>
              <w:rPr>
                <w:sz w:val="18"/>
                <w:szCs w:val="18"/>
                <w:color w:val="auto"/>
              </w:rPr>
            </w:pPr>
          </w:p>
        </w:tc>
        <w:tc>
          <w:tcPr>
            <w:tcW w:w="20" w:type="dxa"/>
            <w:vAlign w:val="bottom"/>
            <w:tcBorders>
              <w:top w:val="single" w:sz="8" w:color="D5EEEE"/>
            </w:tcBorders>
          </w:tcPr>
          <w:p>
            <w:pPr>
              <w:spacing w:after="0"/>
              <w:rPr>
                <w:sz w:val="18"/>
                <w:szCs w:val="18"/>
                <w:color w:val="auto"/>
              </w:rPr>
            </w:pPr>
          </w:p>
        </w:tc>
        <w:tc>
          <w:tcPr>
            <w:tcW w:w="100" w:type="dxa"/>
            <w:vAlign w:val="bottom"/>
            <w:tcBorders>
              <w:top w:val="single" w:sz="8" w:color="D5EEEE"/>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1360" w:type="dxa"/>
            <w:vAlign w:val="bottom"/>
            <w:tcBorders>
              <w:top w:val="single" w:sz="8" w:color="D5EEEE"/>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rPr>
              <w:t>702</w:t>
            </w:r>
          </w:p>
        </w:tc>
        <w:tc>
          <w:tcPr>
            <w:tcW w:w="20" w:type="dxa"/>
            <w:vAlign w:val="bottom"/>
            <w:tcBorders>
              <w:top w:val="single" w:sz="8" w:color="D5EEEE"/>
            </w:tcBorders>
            <w:shd w:val="clear" w:color="auto" w:fill="D5EEEE"/>
          </w:tcPr>
          <w:p>
            <w:pPr>
              <w:spacing w:after="0"/>
              <w:rPr>
                <w:sz w:val="18"/>
                <w:szCs w:val="18"/>
                <w:color w:val="auto"/>
              </w:rPr>
            </w:pPr>
          </w:p>
        </w:tc>
        <w:tc>
          <w:tcPr>
            <w:tcW w:w="80" w:type="dxa"/>
            <w:vAlign w:val="bottom"/>
            <w:tcBorders>
              <w:top w:val="single" w:sz="8" w:color="D5EEEE"/>
            </w:tcBorders>
            <w:shd w:val="clear" w:color="auto" w:fill="D5EEEE"/>
          </w:tcPr>
          <w:p>
            <w:pPr>
              <w:spacing w:after="0"/>
              <w:rPr>
                <w:sz w:val="18"/>
                <w:szCs w:val="18"/>
                <w:color w:val="auto"/>
              </w:rPr>
            </w:pPr>
          </w:p>
        </w:tc>
      </w:tr>
      <w:tr>
        <w:trPr>
          <w:trHeight w:val="245"/>
        </w:trPr>
        <w:tc>
          <w:tcPr>
            <w:tcW w:w="3720" w:type="dxa"/>
            <w:vAlign w:val="bottom"/>
            <w:tcBorders>
              <w:bottom w:val="single" w:sz="8" w:color="D5EEEE"/>
            </w:tcBorders>
          </w:tcPr>
          <w:p>
            <w:pPr>
              <w:spacing w:after="0"/>
              <w:rPr>
                <w:sz w:val="21"/>
                <w:szCs w:val="21"/>
                <w:color w:val="auto"/>
              </w:rPr>
            </w:pPr>
          </w:p>
        </w:tc>
        <w:tc>
          <w:tcPr>
            <w:tcW w:w="16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86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262</w:t>
            </w: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14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62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355</w:t>
            </w:r>
          </w:p>
        </w:tc>
        <w:tc>
          <w:tcPr>
            <w:tcW w:w="2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16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w:t>
            </w:r>
          </w:p>
        </w:tc>
        <w:tc>
          <w:tcPr>
            <w:tcW w:w="20" w:type="dxa"/>
            <w:vAlign w:val="bottom"/>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r>
      <w:tr>
        <w:trPr>
          <w:trHeight w:val="225"/>
        </w:trPr>
        <w:tc>
          <w:tcPr>
            <w:tcW w:w="3720" w:type="dxa"/>
            <w:vAlign w:val="bottom"/>
            <w:tcBorders>
              <w:bottom w:val="single" w:sz="8" w:color="D5EEEE"/>
            </w:tcBorders>
            <w:shd w:val="clear" w:color="auto" w:fill="D5EEEE"/>
          </w:tcPr>
          <w:p>
            <w:pPr>
              <w:spacing w:after="0"/>
              <w:rPr>
                <w:sz w:val="19"/>
                <w:szCs w:val="19"/>
                <w:color w:val="auto"/>
              </w:rPr>
            </w:pPr>
          </w:p>
        </w:tc>
        <w:tc>
          <w:tcPr>
            <w:tcW w:w="160" w:type="dxa"/>
            <w:vAlign w:val="bottom"/>
            <w:tcBorders>
              <w:bottom w:val="single" w:sz="8" w:color="D5EEEE"/>
            </w:tcBorders>
            <w:shd w:val="clear" w:color="auto" w:fill="D5EEE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194</w:t>
            </w:r>
          </w:p>
        </w:tc>
        <w:tc>
          <w:tcPr>
            <w:tcW w:w="20" w:type="dxa"/>
            <w:vAlign w:val="bottom"/>
            <w:tcBorders>
              <w:bottom w:val="single" w:sz="8" w:color="auto"/>
            </w:tcBorders>
            <w:shd w:val="clear" w:color="auto" w:fill="D5EEEE"/>
          </w:tcPr>
          <w:p>
            <w:pPr>
              <w:spacing w:after="0"/>
              <w:rPr>
                <w:sz w:val="19"/>
                <w:szCs w:val="19"/>
                <w:color w:val="auto"/>
              </w:rPr>
            </w:pPr>
          </w:p>
        </w:tc>
        <w:tc>
          <w:tcPr>
            <w:tcW w:w="100" w:type="dxa"/>
            <w:vAlign w:val="bottom"/>
            <w:tcBorders>
              <w:bottom w:val="single" w:sz="8" w:color="D5EEEE"/>
            </w:tcBorders>
            <w:shd w:val="clear" w:color="auto" w:fill="D5EEEE"/>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D5EEEE"/>
            </w:tcBorders>
            <w:shd w:val="clear" w:color="auto" w:fill="D5EEEE"/>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77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D5EEEE"/>
            </w:tcBorders>
            <w:shd w:val="clear" w:color="auto" w:fill="D5EEEE"/>
          </w:tcPr>
          <w:p>
            <w:pPr>
              <w:spacing w:after="0"/>
              <w:rPr>
                <w:sz w:val="19"/>
                <w:szCs w:val="19"/>
                <w:color w:val="auto"/>
              </w:rPr>
            </w:pPr>
          </w:p>
        </w:tc>
      </w:tr>
      <w:tr>
        <w:trPr>
          <w:trHeight w:val="231"/>
        </w:trPr>
        <w:tc>
          <w:tcPr>
            <w:tcW w:w="3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Borders>
              <w:bottom w:val="single" w:sz="8" w:color="auto"/>
            </w:tcBorders>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-650875</wp:posOffset>
            </wp:positionV>
            <wp:extent cx="6198870" cy="6819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198870" cy="68199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Reporting Segment and Geographic Information</w:t>
      </w:r>
    </w:p>
    <w:p>
      <w:pPr>
        <w:spacing w:after="0" w:line="121" w:lineRule="exact"/>
        <w:rPr>
          <w:sz w:val="20"/>
          <w:szCs w:val="20"/>
          <w:color w:val="auto"/>
        </w:rPr>
      </w:pPr>
    </w:p>
    <w:p>
      <w:pPr>
        <w:ind w:firstLine="490"/>
        <w:spacing w:after="0" w:line="260" w:lineRule="auto"/>
        <w:rPr>
          <w:sz w:val="20"/>
          <w:szCs w:val="20"/>
          <w:color w:val="auto"/>
        </w:rPr>
      </w:pPr>
      <w:r>
        <w:rPr>
          <w:rFonts w:ascii="Times New Roman" w:cs="Times New Roman" w:eastAsia="Times New Roman" w:hAnsi="Times New Roman"/>
          <w:sz w:val="20"/>
          <w:szCs w:val="20"/>
          <w:color w:val="auto"/>
        </w:rPr>
        <w:t>The Company views its operations and manages its business in one reporting segment. Long-lived assets were primarily located in the United States as of December 31, 2022, December 31, 2021, and June 30, 2021, with an insignificant amount located in Australia and the United Kingdom.</w:t>
      </w:r>
    </w:p>
    <w:p>
      <w:pPr>
        <w:spacing w:after="0" w:line="1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Revenue by region were as follows (in thousands):</w:t>
      </w:r>
    </w:p>
    <w:p>
      <w:pPr>
        <w:spacing w:after="0" w:line="292" w:lineRule="exact"/>
        <w:rPr>
          <w:sz w:val="20"/>
          <w:szCs w:val="20"/>
          <w:color w:val="auto"/>
        </w:rPr>
      </w:pPr>
    </w:p>
    <w:tbl>
      <w:tblPr>
        <w:tblLayout w:type="fixed"/>
        <w:tblInd w:w="4260" w:type="dxa"/>
        <w:tblCellMar>
          <w:top w:w="0" w:type="dxa"/>
          <w:left w:w="0" w:type="dxa"/>
          <w:bottom w:w="0" w:type="dxa"/>
          <w:right w:w="0" w:type="dxa"/>
        </w:tblCellMar>
      </w:tblPr>
      <w:tr>
        <w:trPr>
          <w:trHeight w:val="203"/>
        </w:trPr>
        <w:tc>
          <w:tcPr>
            <w:tcW w:w="160" w:type="dxa"/>
            <w:vAlign w:val="bottom"/>
          </w:tcPr>
          <w:p>
            <w:pPr>
              <w:spacing w:after="0"/>
              <w:rPr>
                <w:sz w:val="17"/>
                <w:szCs w:val="17"/>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Year-ended</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Transition period ended</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184"/>
        </w:trPr>
        <w:tc>
          <w:tcPr>
            <w:tcW w:w="16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 2022</w:t>
            </w:r>
          </w:p>
        </w:tc>
        <w:tc>
          <w:tcPr>
            <w:tcW w:w="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30"/>
        </w:trPr>
        <w:tc>
          <w:tcPr>
            <w:tcW w:w="160" w:type="dxa"/>
            <w:vAlign w:val="bottom"/>
            <w:tcBorders>
              <w:bottom w:val="single" w:sz="8" w:color="D5EEEE"/>
            </w:tcBorders>
          </w:tcPr>
          <w:p>
            <w:pPr>
              <w:spacing w:after="0"/>
              <w:rPr>
                <w:sz w:val="19"/>
                <w:szCs w:val="19"/>
                <w:color w:val="auto"/>
              </w:rPr>
            </w:pPr>
          </w:p>
        </w:tc>
        <w:tc>
          <w:tcPr>
            <w:tcW w:w="20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240" w:type="dxa"/>
            <w:vAlign w:val="bottom"/>
            <w:tcBorders>
              <w:bottom w:val="single" w:sz="8" w:color="D5EEEE"/>
            </w:tcBorders>
          </w:tcPr>
          <w:p>
            <w:pPr>
              <w:spacing w:after="0"/>
              <w:rPr>
                <w:sz w:val="19"/>
                <w:szCs w:val="19"/>
                <w:color w:val="auto"/>
              </w:rPr>
            </w:pPr>
          </w:p>
        </w:tc>
        <w:tc>
          <w:tcPr>
            <w:tcW w:w="176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16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13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-309245</wp:posOffset>
            </wp:positionV>
            <wp:extent cx="6198870" cy="1433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98870" cy="1433830"/>
                    </a:xfrm>
                    <a:prstGeom prst="rect">
                      <a:avLst/>
                    </a:prstGeom>
                    <a:noFill/>
                  </pic:spPr>
                </pic:pic>
              </a:graphicData>
            </a:graphic>
          </wp:anchor>
        </w:drawing>
      </w:r>
    </w:p>
    <w:tbl>
      <w:tblPr>
        <w:tblLayout w:type="fixed"/>
        <w:tblInd w:w="480" w:type="dxa"/>
        <w:tblCellMar>
          <w:top w:w="0" w:type="dxa"/>
          <w:left w:w="0" w:type="dxa"/>
          <w:bottom w:w="0" w:type="dxa"/>
          <w:right w:w="0" w:type="dxa"/>
        </w:tblCellMar>
      </w:tblPr>
      <w:tr>
        <w:trPr>
          <w:trHeight w:val="210"/>
        </w:trPr>
        <w:tc>
          <w:tcPr>
            <w:tcW w:w="60" w:type="dxa"/>
            <w:vAlign w:val="bottom"/>
            <w:vMerge w:val="restart"/>
          </w:tcPr>
          <w:p>
            <w:pPr>
              <w:spacing w:after="0"/>
              <w:rPr>
                <w:sz w:val="18"/>
                <w:szCs w:val="18"/>
                <w:color w:val="auto"/>
              </w:rPr>
            </w:pPr>
          </w:p>
        </w:tc>
        <w:tc>
          <w:tcPr>
            <w:tcW w:w="3700" w:type="dxa"/>
            <w:vAlign w:val="bottom"/>
            <w:shd w:val="clear" w:color="auto" w:fill="D5EEE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vMerge w:val="continue"/>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33,257</w:t>
            </w: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13,764</w:t>
            </w: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28,955</w:t>
            </w: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0" w:type="dxa"/>
            <w:vAlign w:val="bottom"/>
          </w:tcPr>
          <w:p>
            <w:pPr>
              <w:spacing w:after="0"/>
              <w:rPr>
                <w:sz w:val="19"/>
                <w:szCs w:val="19"/>
                <w:color w:val="auto"/>
              </w:rPr>
            </w:pPr>
          </w:p>
        </w:tc>
        <w:tc>
          <w:tcPr>
            <w:tcW w:w="37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6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20" w:type="dxa"/>
            <w:vAlign w:val="bottom"/>
            <w:tcBorders>
              <w:bottom w:val="single" w:sz="8" w:color="D5EEEE"/>
            </w:tcBorders>
            <w:vMerge w:val="continue"/>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1840" w:type="dxa"/>
            <w:vAlign w:val="bottom"/>
            <w:tcBorders>
              <w:bottom w:val="single" w:sz="8" w:color="D5EEEE"/>
            </w:tcBorders>
            <w:gridSpan w:val="2"/>
            <w:vMerge w:val="continue"/>
          </w:tcPr>
          <w:p>
            <w:pPr>
              <w:spacing w:after="0"/>
              <w:rPr>
                <w:sz w:val="19"/>
                <w:szCs w:val="19"/>
                <w:color w:val="auto"/>
              </w:rPr>
            </w:pPr>
          </w:p>
        </w:tc>
        <w:tc>
          <w:tcPr>
            <w:tcW w:w="40" w:type="dxa"/>
            <w:vAlign w:val="bottom"/>
            <w:tcBorders>
              <w:bottom w:val="single" w:sz="8" w:color="D5EEEE"/>
            </w:tcBorders>
            <w:vMerge w:val="continue"/>
          </w:tcPr>
          <w:p>
            <w:pPr>
              <w:spacing w:after="0"/>
              <w:rPr>
                <w:sz w:val="19"/>
                <w:szCs w:val="19"/>
                <w:color w:val="auto"/>
              </w:rPr>
            </w:pPr>
          </w:p>
        </w:tc>
        <w:tc>
          <w:tcPr>
            <w:tcW w:w="60" w:type="dxa"/>
            <w:vAlign w:val="bottom"/>
            <w:tcBorders>
              <w:bottom w:val="single" w:sz="8" w:color="D5EEEE"/>
            </w:tcBorders>
            <w:vMerge w:val="continue"/>
          </w:tcPr>
          <w:p>
            <w:pPr>
              <w:spacing w:after="0"/>
              <w:rPr>
                <w:sz w:val="19"/>
                <w:szCs w:val="19"/>
                <w:color w:val="auto"/>
              </w:rPr>
            </w:pPr>
          </w:p>
        </w:tc>
        <w:tc>
          <w:tcPr>
            <w:tcW w:w="140" w:type="dxa"/>
            <w:vAlign w:val="bottom"/>
            <w:tcBorders>
              <w:bottom w:val="single" w:sz="8" w:color="D5EEEE"/>
            </w:tcBorders>
            <w:vMerge w:val="continue"/>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10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Borders>
              <w:bottom w:val="single" w:sz="8" w:color="D5EEEE"/>
            </w:tcBorders>
            <w:vMerge w:val="continue"/>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1620" w:type="dxa"/>
            <w:vAlign w:val="bottom"/>
            <w:tcBorders>
              <w:bottom w:val="single" w:sz="8" w:color="D5EEEE"/>
            </w:tcBorders>
            <w:gridSpan w:val="2"/>
            <w:vMerge w:val="continue"/>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60" w:type="dxa"/>
            <w:vAlign w:val="bottom"/>
            <w:tcBorders>
              <w:bottom w:val="single" w:sz="8" w:color="D5EEEE"/>
            </w:tcBorders>
            <w:vMerge w:val="continue"/>
          </w:tcPr>
          <w:p>
            <w:pPr>
              <w:spacing w:after="0"/>
              <w:rPr>
                <w:sz w:val="19"/>
                <w:szCs w:val="19"/>
                <w:color w:val="auto"/>
              </w:rPr>
            </w:pPr>
          </w:p>
        </w:tc>
        <w:tc>
          <w:tcPr>
            <w:tcW w:w="140" w:type="dxa"/>
            <w:vAlign w:val="bottom"/>
            <w:tcBorders>
              <w:bottom w:val="single" w:sz="8" w:color="D5EEEE"/>
            </w:tcBorders>
            <w:vMerge w:val="continue"/>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10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Borders>
              <w:bottom w:val="single" w:sz="8" w:color="D5EEEE"/>
            </w:tcBorders>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370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184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60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1340" w:type="dxa"/>
            <w:vAlign w:val="bottom"/>
            <w:vMerge w:val="restart"/>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8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60" w:type="dxa"/>
            <w:vAlign w:val="bottom"/>
          </w:tcPr>
          <w:p>
            <w:pPr>
              <w:spacing w:after="0"/>
              <w:rPr>
                <w:sz w:val="23"/>
                <w:szCs w:val="23"/>
                <w:color w:val="auto"/>
              </w:rPr>
            </w:pPr>
          </w:p>
        </w:tc>
        <w:tc>
          <w:tcPr>
            <w:tcW w:w="3700" w:type="dxa"/>
            <w:vAlign w:val="bottom"/>
            <w:tcBorders>
              <w:bottom w:val="single" w:sz="8" w:color="D5EEEE"/>
            </w:tcBorders>
          </w:tcPr>
          <w:p>
            <w:pPr>
              <w:spacing w:after="0"/>
              <w:rPr>
                <w:sz w:val="23"/>
                <w:szCs w:val="23"/>
                <w:color w:val="auto"/>
              </w:rPr>
            </w:pPr>
          </w:p>
        </w:tc>
        <w:tc>
          <w:tcPr>
            <w:tcW w:w="20" w:type="dxa"/>
            <w:vAlign w:val="bottom"/>
            <w:tcBorders>
              <w:bottom w:val="single" w:sz="8" w:color="D5EEEE"/>
            </w:tcBorders>
          </w:tcPr>
          <w:p>
            <w:pPr>
              <w:spacing w:after="0"/>
              <w:rPr>
                <w:sz w:val="23"/>
                <w:szCs w:val="23"/>
                <w:color w:val="auto"/>
              </w:rPr>
            </w:pPr>
          </w:p>
        </w:tc>
        <w:tc>
          <w:tcPr>
            <w:tcW w:w="160" w:type="dxa"/>
            <w:vAlign w:val="bottom"/>
            <w:tcBorders>
              <w:bottom w:val="single" w:sz="8" w:color="D5EEEE"/>
            </w:tcBorders>
          </w:tcPr>
          <w:p>
            <w:pPr>
              <w:spacing w:after="0"/>
              <w:rPr>
                <w:sz w:val="23"/>
                <w:szCs w:val="23"/>
                <w:color w:val="auto"/>
              </w:rPr>
            </w:pPr>
          </w:p>
        </w:tc>
        <w:tc>
          <w:tcPr>
            <w:tcW w:w="20" w:type="dxa"/>
            <w:vAlign w:val="bottom"/>
            <w:tcBorders>
              <w:bottom w:val="single" w:sz="8" w:color="D5EEEE"/>
            </w:tcBorders>
          </w:tcPr>
          <w:p>
            <w:pPr>
              <w:spacing w:after="0"/>
              <w:rPr>
                <w:sz w:val="23"/>
                <w:szCs w:val="23"/>
                <w:color w:val="auto"/>
              </w:rPr>
            </w:pPr>
          </w:p>
        </w:tc>
        <w:tc>
          <w:tcPr>
            <w:tcW w:w="80" w:type="dxa"/>
            <w:vAlign w:val="bottom"/>
            <w:tcBorders>
              <w:bottom w:val="single" w:sz="8" w:color="D5EEEE"/>
            </w:tcBorders>
          </w:tcPr>
          <w:p>
            <w:pPr>
              <w:spacing w:after="0"/>
              <w:rPr>
                <w:sz w:val="23"/>
                <w:szCs w:val="23"/>
                <w:color w:val="auto"/>
              </w:rPr>
            </w:pPr>
          </w:p>
        </w:tc>
        <w:tc>
          <w:tcPr>
            <w:tcW w:w="20" w:type="dxa"/>
            <w:vAlign w:val="bottom"/>
            <w:tcBorders>
              <w:bottom w:val="single" w:sz="8" w:color="D5EEEE"/>
            </w:tcBorders>
          </w:tcPr>
          <w:p>
            <w:pPr>
              <w:spacing w:after="0"/>
              <w:rPr>
                <w:sz w:val="23"/>
                <w:szCs w:val="23"/>
                <w:color w:val="auto"/>
              </w:rPr>
            </w:pPr>
          </w:p>
        </w:tc>
        <w:tc>
          <w:tcPr>
            <w:tcW w:w="1880" w:type="dxa"/>
            <w:vAlign w:val="bottom"/>
            <w:tcBorders>
              <w:bottom w:val="single" w:sz="8" w:color="D5EEEE"/>
            </w:tcBorders>
            <w:gridSpan w:val="4"/>
          </w:tcPr>
          <w:p>
            <w:pPr>
              <w:jc w:val="right"/>
              <w:spacing w:after="0" w:line="225" w:lineRule="exact"/>
              <w:rPr>
                <w:sz w:val="20"/>
                <w:szCs w:val="20"/>
                <w:color w:val="auto"/>
              </w:rPr>
            </w:pPr>
            <w:r>
              <w:rPr>
                <w:rFonts w:ascii="Times New Roman" w:cs="Times New Roman" w:eastAsia="Times New Roman" w:hAnsi="Times New Roman"/>
                <w:sz w:val="20"/>
                <w:szCs w:val="20"/>
                <w:color w:val="auto"/>
              </w:rPr>
              <w:t>729</w:t>
            </w:r>
          </w:p>
        </w:tc>
        <w:tc>
          <w:tcPr>
            <w:tcW w:w="40" w:type="dxa"/>
            <w:vAlign w:val="bottom"/>
            <w:tcBorders>
              <w:bottom w:val="single" w:sz="8" w:color="D5EEEE"/>
            </w:tcBorders>
            <w:vMerge w:val="continue"/>
          </w:tcPr>
          <w:p>
            <w:pPr>
              <w:spacing w:after="0"/>
              <w:rPr>
                <w:sz w:val="23"/>
                <w:szCs w:val="23"/>
                <w:color w:val="auto"/>
              </w:rPr>
            </w:pPr>
          </w:p>
        </w:tc>
        <w:tc>
          <w:tcPr>
            <w:tcW w:w="60" w:type="dxa"/>
            <w:vAlign w:val="bottom"/>
            <w:tcBorders>
              <w:bottom w:val="single" w:sz="8" w:color="D5EEEE"/>
            </w:tcBorders>
            <w:vMerge w:val="continue"/>
          </w:tcPr>
          <w:p>
            <w:pPr>
              <w:spacing w:after="0"/>
              <w:rPr>
                <w:sz w:val="23"/>
                <w:szCs w:val="23"/>
                <w:color w:val="auto"/>
              </w:rPr>
            </w:pPr>
          </w:p>
        </w:tc>
        <w:tc>
          <w:tcPr>
            <w:tcW w:w="140" w:type="dxa"/>
            <w:vAlign w:val="bottom"/>
            <w:tcBorders>
              <w:bottom w:val="single" w:sz="8" w:color="D5EEEE"/>
            </w:tcBorders>
          </w:tcPr>
          <w:p>
            <w:pPr>
              <w:spacing w:after="0"/>
              <w:rPr>
                <w:sz w:val="23"/>
                <w:szCs w:val="23"/>
                <w:color w:val="auto"/>
              </w:rPr>
            </w:pPr>
          </w:p>
        </w:tc>
        <w:tc>
          <w:tcPr>
            <w:tcW w:w="20" w:type="dxa"/>
            <w:vAlign w:val="bottom"/>
            <w:tcBorders>
              <w:bottom w:val="single" w:sz="8" w:color="D5EEEE"/>
            </w:tcBorders>
          </w:tcPr>
          <w:p>
            <w:pPr>
              <w:spacing w:after="0"/>
              <w:rPr>
                <w:sz w:val="23"/>
                <w:szCs w:val="23"/>
                <w:color w:val="auto"/>
              </w:rPr>
            </w:pPr>
          </w:p>
        </w:tc>
        <w:tc>
          <w:tcPr>
            <w:tcW w:w="100" w:type="dxa"/>
            <w:vAlign w:val="bottom"/>
            <w:tcBorders>
              <w:bottom w:val="single" w:sz="8" w:color="D5EEEE"/>
            </w:tcBorders>
          </w:tcPr>
          <w:p>
            <w:pPr>
              <w:spacing w:after="0"/>
              <w:rPr>
                <w:sz w:val="23"/>
                <w:szCs w:val="23"/>
                <w:color w:val="auto"/>
              </w:rPr>
            </w:pPr>
          </w:p>
        </w:tc>
        <w:tc>
          <w:tcPr>
            <w:tcW w:w="20" w:type="dxa"/>
            <w:vAlign w:val="bottom"/>
            <w:tcBorders>
              <w:bottom w:val="single" w:sz="8" w:color="D5EEEE"/>
            </w:tcBorders>
            <w:vMerge w:val="continue"/>
          </w:tcPr>
          <w:p>
            <w:pPr>
              <w:spacing w:after="0"/>
              <w:rPr>
                <w:sz w:val="23"/>
                <w:szCs w:val="23"/>
                <w:color w:val="auto"/>
              </w:rPr>
            </w:pPr>
          </w:p>
        </w:tc>
        <w:tc>
          <w:tcPr>
            <w:tcW w:w="20" w:type="dxa"/>
            <w:vAlign w:val="bottom"/>
            <w:tcBorders>
              <w:bottom w:val="single" w:sz="8" w:color="D5EEEE"/>
            </w:tcBorders>
            <w:vMerge w:val="continue"/>
          </w:tcPr>
          <w:p>
            <w:pPr>
              <w:spacing w:after="0"/>
              <w:rPr>
                <w:sz w:val="23"/>
                <w:szCs w:val="23"/>
                <w:color w:val="auto"/>
              </w:rPr>
            </w:pPr>
          </w:p>
        </w:tc>
        <w:tc>
          <w:tcPr>
            <w:tcW w:w="1620" w:type="dxa"/>
            <w:vAlign w:val="bottom"/>
            <w:tcBorders>
              <w:bottom w:val="single" w:sz="8" w:color="D5EEEE"/>
            </w:tcBorders>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D5EEEE"/>
            </w:tcBorders>
          </w:tcPr>
          <w:p>
            <w:pPr>
              <w:spacing w:after="0"/>
              <w:rPr>
                <w:sz w:val="23"/>
                <w:szCs w:val="23"/>
                <w:color w:val="auto"/>
              </w:rPr>
            </w:pPr>
          </w:p>
        </w:tc>
        <w:tc>
          <w:tcPr>
            <w:tcW w:w="20" w:type="dxa"/>
            <w:vAlign w:val="bottom"/>
            <w:tcBorders>
              <w:bottom w:val="single" w:sz="8" w:color="D5EEEE"/>
            </w:tcBorders>
          </w:tcPr>
          <w:p>
            <w:pPr>
              <w:spacing w:after="0"/>
              <w:rPr>
                <w:sz w:val="23"/>
                <w:szCs w:val="23"/>
                <w:color w:val="auto"/>
              </w:rPr>
            </w:pPr>
          </w:p>
        </w:tc>
        <w:tc>
          <w:tcPr>
            <w:tcW w:w="60" w:type="dxa"/>
            <w:vAlign w:val="bottom"/>
            <w:tcBorders>
              <w:bottom w:val="single" w:sz="8" w:color="D5EEEE"/>
            </w:tcBorders>
          </w:tcPr>
          <w:p>
            <w:pPr>
              <w:spacing w:after="0"/>
              <w:rPr>
                <w:sz w:val="23"/>
                <w:szCs w:val="23"/>
                <w:color w:val="auto"/>
              </w:rPr>
            </w:pPr>
          </w:p>
        </w:tc>
        <w:tc>
          <w:tcPr>
            <w:tcW w:w="140" w:type="dxa"/>
            <w:vAlign w:val="bottom"/>
            <w:tcBorders>
              <w:bottom w:val="single" w:sz="8" w:color="D5EEEE"/>
            </w:tcBorders>
          </w:tcPr>
          <w:p>
            <w:pPr>
              <w:spacing w:after="0"/>
              <w:rPr>
                <w:sz w:val="23"/>
                <w:szCs w:val="23"/>
                <w:color w:val="auto"/>
              </w:rPr>
            </w:pPr>
          </w:p>
        </w:tc>
        <w:tc>
          <w:tcPr>
            <w:tcW w:w="20" w:type="dxa"/>
            <w:vAlign w:val="bottom"/>
            <w:tcBorders>
              <w:bottom w:val="single" w:sz="8" w:color="D5EEEE"/>
            </w:tcBorders>
          </w:tcPr>
          <w:p>
            <w:pPr>
              <w:spacing w:after="0"/>
              <w:rPr>
                <w:sz w:val="23"/>
                <w:szCs w:val="23"/>
                <w:color w:val="auto"/>
              </w:rPr>
            </w:pPr>
          </w:p>
        </w:tc>
        <w:tc>
          <w:tcPr>
            <w:tcW w:w="100" w:type="dxa"/>
            <w:vAlign w:val="bottom"/>
            <w:tcBorders>
              <w:bottom w:val="single" w:sz="8" w:color="D5EEEE"/>
            </w:tcBorders>
          </w:tcPr>
          <w:p>
            <w:pPr>
              <w:spacing w:after="0"/>
              <w:rPr>
                <w:sz w:val="23"/>
                <w:szCs w:val="23"/>
                <w:color w:val="auto"/>
              </w:rPr>
            </w:pPr>
          </w:p>
        </w:tc>
        <w:tc>
          <w:tcPr>
            <w:tcW w:w="20" w:type="dxa"/>
            <w:vAlign w:val="bottom"/>
            <w:tcBorders>
              <w:bottom w:val="single" w:sz="8" w:color="D5EEEE"/>
            </w:tcBorders>
            <w:vMerge w:val="continue"/>
          </w:tcPr>
          <w:p>
            <w:pPr>
              <w:spacing w:after="0"/>
              <w:rPr>
                <w:sz w:val="23"/>
                <w:szCs w:val="23"/>
                <w:color w:val="auto"/>
              </w:rPr>
            </w:pPr>
          </w:p>
        </w:tc>
        <w:tc>
          <w:tcPr>
            <w:tcW w:w="134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80" w:type="dxa"/>
            <w:vAlign w:val="bottom"/>
            <w:tcBorders>
              <w:bottom w:val="single" w:sz="8" w:color="D5EEEE"/>
            </w:tcBorders>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370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16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1880" w:type="dxa"/>
            <w:vAlign w:val="bottom"/>
            <w:gridSpan w:val="4"/>
            <w:shd w:val="clear" w:color="auto" w:fill="D5EEEE"/>
          </w:tcPr>
          <w:p>
            <w:pPr>
              <w:jc w:val="right"/>
              <w:spacing w:after="0" w:line="200" w:lineRule="exact"/>
              <w:rPr>
                <w:sz w:val="20"/>
                <w:szCs w:val="20"/>
                <w:color w:val="auto"/>
              </w:rPr>
            </w:pPr>
            <w:r>
              <w:rPr>
                <w:rFonts w:ascii="Times New Roman" w:cs="Times New Roman" w:eastAsia="Times New Roman" w:hAnsi="Times New Roman"/>
                <w:sz w:val="20"/>
                <w:szCs w:val="20"/>
                <w:color w:val="auto"/>
              </w:rPr>
              <w:t>275</w:t>
            </w:r>
          </w:p>
        </w:tc>
        <w:tc>
          <w:tcPr>
            <w:tcW w:w="40" w:type="dxa"/>
            <w:vAlign w:val="bottom"/>
          </w:tcPr>
          <w:p>
            <w:pPr>
              <w:spacing w:after="0"/>
              <w:rPr>
                <w:sz w:val="17"/>
                <w:szCs w:val="17"/>
                <w:color w:val="auto"/>
              </w:rPr>
            </w:pPr>
          </w:p>
        </w:tc>
        <w:tc>
          <w:tcPr>
            <w:tcW w:w="60" w:type="dxa"/>
            <w:vAlign w:val="bottom"/>
            <w:tcBorders>
              <w:left w:val="single" w:sz="8" w:color="D5EEEE"/>
            </w:tcBorders>
            <w:shd w:val="clear" w:color="auto" w:fill="D5EEEE"/>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20" w:type="dxa"/>
            <w:vAlign w:val="bottom"/>
            <w:shd w:val="clear" w:color="auto" w:fill="D5EEEE"/>
          </w:tcPr>
          <w:p>
            <w:pPr>
              <w:spacing w:after="0"/>
              <w:rPr>
                <w:sz w:val="17"/>
                <w:szCs w:val="17"/>
                <w:color w:val="auto"/>
              </w:rPr>
            </w:pPr>
          </w:p>
        </w:tc>
        <w:tc>
          <w:tcPr>
            <w:tcW w:w="1620" w:type="dxa"/>
            <w:vAlign w:val="bottom"/>
            <w:gridSpan w:val="2"/>
            <w:shd w:val="clear" w:color="auto" w:fill="D5EEEE"/>
          </w:tcPr>
          <w:p>
            <w:pPr>
              <w:jc w:val="right"/>
              <w:ind w:right="20"/>
              <w:spacing w:after="0" w:line="200" w:lineRule="exact"/>
              <w:rPr>
                <w:sz w:val="20"/>
                <w:szCs w:val="20"/>
                <w:color w:val="auto"/>
              </w:rPr>
            </w:pPr>
            <w:r>
              <w:rPr>
                <w:rFonts w:ascii="Times New Roman" w:cs="Times New Roman" w:eastAsia="Times New Roman" w:hAnsi="Times New Roman"/>
                <w:sz w:val="20"/>
                <w:szCs w:val="20"/>
                <w:color w:val="auto"/>
              </w:rPr>
              <w:t>136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left w:val="single" w:sz="8" w:color="D5EEEE"/>
            </w:tcBorders>
            <w:shd w:val="clear" w:color="auto" w:fill="D5EEEE"/>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shd w:val="clear" w:color="auto" w:fill="D5EEEE"/>
          </w:tcPr>
          <w:p>
            <w:pPr>
              <w:jc w:val="right"/>
              <w:spacing w:after="0" w:line="200" w:lineRule="exact"/>
              <w:rPr>
                <w:sz w:val="20"/>
                <w:szCs w:val="20"/>
                <w:color w:val="auto"/>
              </w:rPr>
            </w:pPr>
            <w:r>
              <w:rPr>
                <w:rFonts w:ascii="Times New Roman" w:cs="Times New Roman" w:eastAsia="Times New Roman" w:hAnsi="Times New Roman"/>
                <w:sz w:val="20"/>
                <w:szCs w:val="20"/>
                <w:color w:val="auto"/>
              </w:rPr>
              <w:t>207</w:t>
            </w:r>
          </w:p>
        </w:tc>
        <w:tc>
          <w:tcPr>
            <w:tcW w:w="20" w:type="dxa"/>
            <w:vAlign w:val="bottom"/>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160</w:t>
            </w: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D5EEEE"/>
            </w:tcBorders>
          </w:tcPr>
          <w:p>
            <w:pPr>
              <w:spacing w:after="0"/>
              <w:rPr>
                <w:sz w:val="21"/>
                <w:szCs w:val="21"/>
                <w:color w:val="auto"/>
              </w:rPr>
            </w:pPr>
          </w:p>
        </w:tc>
        <w:tc>
          <w:tcPr>
            <w:tcW w:w="14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56</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D5EEEE"/>
            </w:tcBorders>
          </w:tcPr>
          <w:p>
            <w:pPr>
              <w:spacing w:after="0"/>
              <w:rPr>
                <w:sz w:val="21"/>
                <w:szCs w:val="21"/>
                <w:color w:val="auto"/>
              </w:rPr>
            </w:pPr>
          </w:p>
        </w:tc>
        <w:tc>
          <w:tcPr>
            <w:tcW w:w="14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370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D5EEEE"/>
            </w:tcBorders>
            <w:shd w:val="clear" w:color="auto" w:fill="D5EEEE"/>
          </w:tcPr>
          <w:p>
            <w:pPr>
              <w:spacing w:after="0"/>
              <w:rPr>
                <w:sz w:val="18"/>
                <w:szCs w:val="18"/>
                <w:color w:val="auto"/>
              </w:rPr>
            </w:pPr>
          </w:p>
        </w:tc>
        <w:tc>
          <w:tcPr>
            <w:tcW w:w="16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D5EEEE"/>
            </w:tcBorders>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0" w:type="dxa"/>
            <w:vAlign w:val="bottom"/>
            <w:tcBorders>
              <w:top w:val="single" w:sz="8" w:color="D5EEEE"/>
            </w:tcBorders>
          </w:tcPr>
          <w:p>
            <w:pPr>
              <w:spacing w:after="0"/>
              <w:rPr>
                <w:sz w:val="18"/>
                <w:szCs w:val="18"/>
                <w:color w:val="auto"/>
              </w:rPr>
            </w:pPr>
          </w:p>
        </w:tc>
        <w:tc>
          <w:tcPr>
            <w:tcW w:w="20" w:type="dxa"/>
            <w:vAlign w:val="bottom"/>
            <w:tcBorders>
              <w:top w:val="single" w:sz="8" w:color="D5EEEE"/>
            </w:tcBorders>
          </w:tcPr>
          <w:p>
            <w:pPr>
              <w:spacing w:after="0"/>
              <w:rPr>
                <w:sz w:val="18"/>
                <w:szCs w:val="18"/>
                <w:color w:val="auto"/>
              </w:rPr>
            </w:pPr>
          </w:p>
        </w:tc>
        <w:tc>
          <w:tcPr>
            <w:tcW w:w="1840" w:type="dxa"/>
            <w:vAlign w:val="bottom"/>
            <w:tcBorders>
              <w:top w:val="single" w:sz="8" w:color="D5EEEE"/>
            </w:tcBorders>
            <w:gridSpan w:val="2"/>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rPr>
              <w:t>34,421</w:t>
            </w:r>
          </w:p>
        </w:tc>
        <w:tc>
          <w:tcPr>
            <w:tcW w:w="40" w:type="dxa"/>
            <w:vAlign w:val="bottom"/>
            <w:tcBorders>
              <w:top w:val="single" w:sz="8" w:color="D5EEEE"/>
              <w:left w:val="single" w:sz="8" w:color="D5EEEE"/>
            </w:tcBorders>
            <w:shd w:val="clear" w:color="auto" w:fill="D5EEEE"/>
          </w:tcPr>
          <w:p>
            <w:pPr>
              <w:spacing w:after="0"/>
              <w:rPr>
                <w:sz w:val="18"/>
                <w:szCs w:val="18"/>
                <w:color w:val="auto"/>
              </w:rPr>
            </w:pPr>
          </w:p>
        </w:tc>
        <w:tc>
          <w:tcPr>
            <w:tcW w:w="60" w:type="dxa"/>
            <w:vAlign w:val="bottom"/>
            <w:tcBorders>
              <w:top w:val="single" w:sz="8" w:color="D5EEEE"/>
              <w:left w:val="single" w:sz="8" w:color="D5EEEE"/>
            </w:tcBorders>
            <w:shd w:val="clear" w:color="auto" w:fill="D5EEEE"/>
          </w:tcPr>
          <w:p>
            <w:pPr>
              <w:spacing w:after="0"/>
              <w:rPr>
                <w:sz w:val="18"/>
                <w:szCs w:val="18"/>
                <w:color w:val="auto"/>
              </w:rPr>
            </w:pPr>
          </w:p>
        </w:tc>
        <w:tc>
          <w:tcPr>
            <w:tcW w:w="140" w:type="dxa"/>
            <w:vAlign w:val="bottom"/>
            <w:tcBorders>
              <w:top w:val="single" w:sz="8" w:color="D5EEEE"/>
            </w:tcBorders>
          </w:tcPr>
          <w:p>
            <w:pPr>
              <w:spacing w:after="0"/>
              <w:rPr>
                <w:sz w:val="18"/>
                <w:szCs w:val="18"/>
                <w:color w:val="auto"/>
              </w:rPr>
            </w:pPr>
          </w:p>
        </w:tc>
        <w:tc>
          <w:tcPr>
            <w:tcW w:w="20" w:type="dxa"/>
            <w:vAlign w:val="bottom"/>
            <w:tcBorders>
              <w:top w:val="single" w:sz="8" w:color="D5EEEE"/>
              <w:bottom w:val="single" w:sz="8" w:color="auto"/>
            </w:tcBorders>
          </w:tcPr>
          <w:p>
            <w:pPr>
              <w:spacing w:after="0"/>
              <w:rPr>
                <w:sz w:val="18"/>
                <w:szCs w:val="18"/>
                <w:color w:val="auto"/>
              </w:rPr>
            </w:pPr>
          </w:p>
        </w:tc>
        <w:tc>
          <w:tcPr>
            <w:tcW w:w="100" w:type="dxa"/>
            <w:vAlign w:val="bottom"/>
            <w:tcBorders>
              <w:top w:val="single" w:sz="8" w:color="D5EEEE"/>
              <w:bottom w:val="single" w:sz="8" w:color="auto"/>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Borders>
              <w:top w:val="single" w:sz="8" w:color="D5EEEE"/>
              <w:bottom w:val="single" w:sz="8" w:color="auto"/>
            </w:tcBorders>
          </w:tcPr>
          <w:p>
            <w:pPr>
              <w:spacing w:after="0"/>
              <w:rPr>
                <w:sz w:val="18"/>
                <w:szCs w:val="18"/>
                <w:color w:val="auto"/>
              </w:rPr>
            </w:pPr>
          </w:p>
        </w:tc>
        <w:tc>
          <w:tcPr>
            <w:tcW w:w="20" w:type="dxa"/>
            <w:vAlign w:val="bottom"/>
            <w:tcBorders>
              <w:top w:val="single" w:sz="8" w:color="D5EEEE"/>
              <w:bottom w:val="single" w:sz="8" w:color="auto"/>
            </w:tcBorders>
          </w:tcPr>
          <w:p>
            <w:pPr>
              <w:spacing w:after="0"/>
              <w:rPr>
                <w:sz w:val="18"/>
                <w:szCs w:val="18"/>
                <w:color w:val="auto"/>
              </w:rPr>
            </w:pPr>
          </w:p>
        </w:tc>
        <w:tc>
          <w:tcPr>
            <w:tcW w:w="1620" w:type="dxa"/>
            <w:vAlign w:val="bottom"/>
            <w:tcBorders>
              <w:top w:val="single" w:sz="8" w:color="D5EEEE"/>
            </w:tcBorders>
            <w:gridSpan w:val="2"/>
            <w:shd w:val="clear" w:color="auto" w:fill="D5EEEE"/>
          </w:tcPr>
          <w:p>
            <w:pPr>
              <w:jc w:val="right"/>
              <w:ind w:right="20"/>
              <w:spacing w:after="0" w:line="209" w:lineRule="exact"/>
              <w:rPr>
                <w:sz w:val="20"/>
                <w:szCs w:val="20"/>
                <w:color w:val="auto"/>
              </w:rPr>
            </w:pPr>
            <w:r>
              <w:rPr>
                <w:rFonts w:ascii="Times New Roman" w:cs="Times New Roman" w:eastAsia="Times New Roman" w:hAnsi="Times New Roman"/>
                <w:sz w:val="20"/>
                <w:szCs w:val="20"/>
                <w:color w:val="auto"/>
              </w:rPr>
              <w:t>13,956</w:t>
            </w:r>
          </w:p>
        </w:tc>
        <w:tc>
          <w:tcPr>
            <w:tcW w:w="2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D5EEEE"/>
            </w:tcBorders>
            <w:shd w:val="clear" w:color="auto" w:fill="D5EEEE"/>
          </w:tcPr>
          <w:p>
            <w:pPr>
              <w:spacing w:after="0"/>
              <w:rPr>
                <w:sz w:val="18"/>
                <w:szCs w:val="18"/>
                <w:color w:val="auto"/>
              </w:rPr>
            </w:pPr>
          </w:p>
        </w:tc>
        <w:tc>
          <w:tcPr>
            <w:tcW w:w="60" w:type="dxa"/>
            <w:vAlign w:val="bottom"/>
            <w:tcBorders>
              <w:top w:val="single" w:sz="8" w:color="D5EEEE"/>
              <w:left w:val="single" w:sz="8" w:color="D5EEEE"/>
            </w:tcBorders>
            <w:shd w:val="clear" w:color="auto" w:fill="D5EEEE"/>
          </w:tcPr>
          <w:p>
            <w:pPr>
              <w:spacing w:after="0"/>
              <w:rPr>
                <w:sz w:val="18"/>
                <w:szCs w:val="18"/>
                <w:color w:val="auto"/>
              </w:rPr>
            </w:pPr>
          </w:p>
        </w:tc>
        <w:tc>
          <w:tcPr>
            <w:tcW w:w="140" w:type="dxa"/>
            <w:vAlign w:val="bottom"/>
            <w:tcBorders>
              <w:top w:val="single" w:sz="8" w:color="D5EEEE"/>
            </w:tcBorders>
          </w:tcPr>
          <w:p>
            <w:pPr>
              <w:spacing w:after="0"/>
              <w:rPr>
                <w:sz w:val="18"/>
                <w:szCs w:val="18"/>
                <w:color w:val="auto"/>
              </w:rPr>
            </w:pPr>
          </w:p>
        </w:tc>
        <w:tc>
          <w:tcPr>
            <w:tcW w:w="20" w:type="dxa"/>
            <w:vAlign w:val="bottom"/>
            <w:tcBorders>
              <w:top w:val="single" w:sz="8" w:color="D5EEEE"/>
              <w:bottom w:val="single" w:sz="8" w:color="auto"/>
            </w:tcBorders>
          </w:tcPr>
          <w:p>
            <w:pPr>
              <w:spacing w:after="0"/>
              <w:rPr>
                <w:sz w:val="18"/>
                <w:szCs w:val="18"/>
                <w:color w:val="auto"/>
              </w:rPr>
            </w:pPr>
          </w:p>
        </w:tc>
        <w:tc>
          <w:tcPr>
            <w:tcW w:w="100" w:type="dxa"/>
            <w:vAlign w:val="bottom"/>
            <w:tcBorders>
              <w:top w:val="single" w:sz="8" w:color="D5EEEE"/>
              <w:bottom w:val="single" w:sz="8" w:color="auto"/>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Borders>
              <w:top w:val="single" w:sz="8" w:color="D5EEEE"/>
              <w:bottom w:val="single" w:sz="8" w:color="auto"/>
            </w:tcBorders>
          </w:tcPr>
          <w:p>
            <w:pPr>
              <w:spacing w:after="0"/>
              <w:rPr>
                <w:sz w:val="18"/>
                <w:szCs w:val="18"/>
                <w:color w:val="auto"/>
              </w:rPr>
            </w:pPr>
          </w:p>
        </w:tc>
        <w:tc>
          <w:tcPr>
            <w:tcW w:w="1340" w:type="dxa"/>
            <w:vAlign w:val="bottom"/>
            <w:tcBorders>
              <w:top w:val="single" w:sz="8" w:color="D5EEEE"/>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rPr>
              <w:t>29,232</w:t>
            </w:r>
          </w:p>
        </w:tc>
        <w:tc>
          <w:tcPr>
            <w:tcW w:w="20" w:type="dxa"/>
            <w:vAlign w:val="bottom"/>
            <w:tcBorders>
              <w:top w:val="single" w:sz="8" w:color="D5EEEE"/>
            </w:tcBorders>
            <w:shd w:val="clear" w:color="auto" w:fill="D5EEEE"/>
          </w:tcPr>
          <w:p>
            <w:pPr>
              <w:spacing w:after="0"/>
              <w:rPr>
                <w:sz w:val="18"/>
                <w:szCs w:val="18"/>
                <w:color w:val="auto"/>
              </w:rPr>
            </w:pPr>
          </w:p>
        </w:tc>
        <w:tc>
          <w:tcPr>
            <w:tcW w:w="80" w:type="dxa"/>
            <w:vAlign w:val="bottom"/>
            <w:tcBorders>
              <w:top w:val="single" w:sz="8" w:color="D5EEEE"/>
            </w:tcBorders>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549"/>
        </w:trPr>
        <w:tc>
          <w:tcPr>
            <w:tcW w:w="6040" w:type="dxa"/>
            <w:vAlign w:val="bottom"/>
            <w:gridSpan w:val="13"/>
          </w:tcPr>
          <w:p>
            <w:pPr>
              <w:spacing w:after="0"/>
              <w:rPr>
                <w:sz w:val="20"/>
                <w:szCs w:val="20"/>
                <w:color w:val="auto"/>
              </w:rPr>
            </w:pPr>
            <w:r>
              <w:rPr>
                <w:rFonts w:ascii="Times New Roman" w:cs="Times New Roman" w:eastAsia="Times New Roman" w:hAnsi="Times New Roman"/>
                <w:sz w:val="20"/>
                <w:szCs w:val="20"/>
                <w:color w:val="auto"/>
              </w:rPr>
              <w:t>Revenue by Customer type were as follows (in thousands):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Year-ended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gridSpan w:val="8"/>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Transition period ended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880" w:type="dxa"/>
            <w:vAlign w:val="bottom"/>
            <w:tcBorders>
              <w:top w:val="single" w:sz="8" w:color="auto"/>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December 31, 2022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660" w:type="dxa"/>
            <w:vAlign w:val="bottom"/>
            <w:tcBorders>
              <w:top w:val="single" w:sz="8" w:color="auto"/>
              <w:bottom w:val="single" w:sz="8" w:color="auto"/>
            </w:tcBorders>
            <w:gridSpan w:val="4"/>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3"/>
          </w:tcPr>
          <w:p>
            <w:pPr>
              <w:spacing w:after="0"/>
              <w:rPr>
                <w:sz w:val="19"/>
                <w:szCs w:val="19"/>
                <w:color w:val="auto"/>
              </w:rPr>
            </w:pPr>
          </w:p>
        </w:tc>
        <w:tc>
          <w:tcPr>
            <w:tcW w:w="1380" w:type="dxa"/>
            <w:vAlign w:val="bottom"/>
            <w:gridSpan w:val="3"/>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3700" w:type="dxa"/>
            <w:vAlign w:val="bottom"/>
            <w:tcBorders>
              <w:top w:val="single" w:sz="8" w:color="D5EEEE"/>
            </w:tcBorders>
            <w:shd w:val="clear" w:color="auto" w:fill="D5EEEE"/>
          </w:tcPr>
          <w:p>
            <w:pPr>
              <w:spacing w:after="0"/>
              <w:rPr>
                <w:sz w:val="19"/>
                <w:szCs w:val="19"/>
                <w:color w:val="auto"/>
              </w:rPr>
            </w:pPr>
          </w:p>
        </w:tc>
        <w:tc>
          <w:tcPr>
            <w:tcW w:w="20" w:type="dxa"/>
            <w:vAlign w:val="bottom"/>
            <w:tcBorders>
              <w:top w:val="single" w:sz="8" w:color="D5EEEE"/>
            </w:tcBorders>
            <w:shd w:val="clear" w:color="auto" w:fill="D5EEEE"/>
          </w:tcPr>
          <w:p>
            <w:pPr>
              <w:spacing w:after="0"/>
              <w:rPr>
                <w:sz w:val="19"/>
                <w:szCs w:val="19"/>
                <w:color w:val="auto"/>
              </w:rPr>
            </w:pPr>
          </w:p>
        </w:tc>
        <w:tc>
          <w:tcPr>
            <w:tcW w:w="160" w:type="dxa"/>
            <w:vAlign w:val="bottom"/>
            <w:tcBorders>
              <w:top w:val="single" w:sz="8" w:color="D5EEEE"/>
            </w:tcBorders>
            <w:shd w:val="clear" w:color="auto" w:fill="D5EEEE"/>
          </w:tcPr>
          <w:p>
            <w:pPr>
              <w:spacing w:after="0"/>
              <w:rPr>
                <w:sz w:val="19"/>
                <w:szCs w:val="19"/>
                <w:color w:val="auto"/>
              </w:rPr>
            </w:pPr>
          </w:p>
        </w:tc>
        <w:tc>
          <w:tcPr>
            <w:tcW w:w="20" w:type="dxa"/>
            <w:vAlign w:val="bottom"/>
            <w:tcBorders>
              <w:top w:val="single" w:sz="8" w:color="D5EEEE"/>
            </w:tcBorders>
            <w:shd w:val="clear" w:color="auto" w:fill="D5EEEE"/>
          </w:tcPr>
          <w:p>
            <w:pPr>
              <w:spacing w:after="0"/>
              <w:rPr>
                <w:sz w:val="19"/>
                <w:szCs w:val="19"/>
                <w:color w:val="auto"/>
              </w:rPr>
            </w:pPr>
          </w:p>
        </w:tc>
        <w:tc>
          <w:tcPr>
            <w:tcW w:w="80" w:type="dxa"/>
            <w:vAlign w:val="bottom"/>
            <w:tcBorders>
              <w:top w:val="single" w:sz="8" w:color="D5EEEE"/>
            </w:tcBorders>
          </w:tcPr>
          <w:p>
            <w:pPr>
              <w:spacing w:after="0"/>
              <w:rPr>
                <w:sz w:val="19"/>
                <w:szCs w:val="19"/>
                <w:color w:val="auto"/>
              </w:rPr>
            </w:pPr>
          </w:p>
        </w:tc>
        <w:tc>
          <w:tcPr>
            <w:tcW w:w="20" w:type="dxa"/>
            <w:vAlign w:val="bottom"/>
            <w:tcBorders>
              <w:top w:val="single" w:sz="8" w:color="D5EEEE"/>
            </w:tcBorders>
          </w:tcPr>
          <w:p>
            <w:pPr>
              <w:spacing w:after="0"/>
              <w:rPr>
                <w:sz w:val="19"/>
                <w:szCs w:val="19"/>
                <w:color w:val="auto"/>
              </w:rPr>
            </w:pPr>
          </w:p>
        </w:tc>
        <w:tc>
          <w:tcPr>
            <w:tcW w:w="20" w:type="dxa"/>
            <w:vAlign w:val="bottom"/>
            <w:tcBorders>
              <w:top w:val="single" w:sz="8" w:color="D5EEEE"/>
            </w:tcBorders>
            <w:vMerge w:val="restart"/>
          </w:tcPr>
          <w:p>
            <w:pPr>
              <w:spacing w:after="0"/>
              <w:rPr>
                <w:sz w:val="19"/>
                <w:szCs w:val="19"/>
                <w:color w:val="auto"/>
              </w:rPr>
            </w:pPr>
          </w:p>
        </w:tc>
        <w:tc>
          <w:tcPr>
            <w:tcW w:w="20" w:type="dxa"/>
            <w:vAlign w:val="bottom"/>
            <w:tcBorders>
              <w:top w:val="single" w:sz="8" w:color="D5EEEE"/>
            </w:tcBorders>
            <w:vMerge w:val="restart"/>
          </w:tcPr>
          <w:p>
            <w:pPr>
              <w:spacing w:after="0"/>
              <w:rPr>
                <w:sz w:val="19"/>
                <w:szCs w:val="19"/>
                <w:color w:val="auto"/>
              </w:rPr>
            </w:pPr>
          </w:p>
        </w:tc>
        <w:tc>
          <w:tcPr>
            <w:tcW w:w="1820" w:type="dxa"/>
            <w:vAlign w:val="bottom"/>
            <w:tcBorders>
              <w:top w:val="single" w:sz="8" w:color="D5EEEE"/>
            </w:tcBorders>
            <w:vMerge w:val="restart"/>
          </w:tcPr>
          <w:p>
            <w:pPr>
              <w:spacing w:after="0"/>
              <w:rPr>
                <w:sz w:val="19"/>
                <w:szCs w:val="19"/>
                <w:color w:val="auto"/>
              </w:rPr>
            </w:pPr>
          </w:p>
        </w:tc>
        <w:tc>
          <w:tcPr>
            <w:tcW w:w="20" w:type="dxa"/>
            <w:vAlign w:val="bottom"/>
            <w:tcBorders>
              <w:top w:val="single" w:sz="8" w:color="D5EEEE"/>
            </w:tcBorders>
            <w:vMerge w:val="restart"/>
          </w:tcPr>
          <w:p>
            <w:pPr>
              <w:spacing w:after="0"/>
              <w:rPr>
                <w:sz w:val="19"/>
                <w:szCs w:val="19"/>
                <w:color w:val="auto"/>
              </w:rPr>
            </w:pPr>
          </w:p>
        </w:tc>
        <w:tc>
          <w:tcPr>
            <w:tcW w:w="40" w:type="dxa"/>
            <w:vAlign w:val="bottom"/>
            <w:tcBorders>
              <w:top w:val="single" w:sz="8" w:color="D5EEEE"/>
            </w:tcBorders>
            <w:vMerge w:val="restart"/>
          </w:tcPr>
          <w:p>
            <w:pPr>
              <w:spacing w:after="0"/>
              <w:rPr>
                <w:sz w:val="19"/>
                <w:szCs w:val="19"/>
                <w:color w:val="auto"/>
              </w:rPr>
            </w:pPr>
          </w:p>
        </w:tc>
        <w:tc>
          <w:tcPr>
            <w:tcW w:w="60" w:type="dxa"/>
            <w:vAlign w:val="bottom"/>
            <w:tcBorders>
              <w:top w:val="single" w:sz="8" w:color="D5EEEE"/>
            </w:tcBorders>
          </w:tcPr>
          <w:p>
            <w:pPr>
              <w:spacing w:after="0"/>
              <w:rPr>
                <w:sz w:val="19"/>
                <w:szCs w:val="19"/>
                <w:color w:val="auto"/>
              </w:rPr>
            </w:pPr>
          </w:p>
        </w:tc>
        <w:tc>
          <w:tcPr>
            <w:tcW w:w="140" w:type="dxa"/>
            <w:vAlign w:val="bottom"/>
            <w:tcBorders>
              <w:top w:val="single" w:sz="8" w:color="D5EEEE"/>
            </w:tcBorders>
          </w:tcPr>
          <w:p>
            <w:pPr>
              <w:spacing w:after="0"/>
              <w:rPr>
                <w:sz w:val="19"/>
                <w:szCs w:val="19"/>
                <w:color w:val="auto"/>
              </w:rPr>
            </w:pPr>
          </w:p>
        </w:tc>
        <w:tc>
          <w:tcPr>
            <w:tcW w:w="20" w:type="dxa"/>
            <w:vAlign w:val="bottom"/>
            <w:tcBorders>
              <w:top w:val="single" w:sz="8" w:color="D5EEEE"/>
            </w:tcBorders>
          </w:tcPr>
          <w:p>
            <w:pPr>
              <w:spacing w:after="0"/>
              <w:rPr>
                <w:sz w:val="19"/>
                <w:szCs w:val="19"/>
                <w:color w:val="auto"/>
              </w:rPr>
            </w:pPr>
          </w:p>
        </w:tc>
        <w:tc>
          <w:tcPr>
            <w:tcW w:w="100" w:type="dxa"/>
            <w:vAlign w:val="bottom"/>
            <w:tcBorders>
              <w:top w:val="single" w:sz="8" w:color="D5EEEE"/>
            </w:tcBorders>
          </w:tcPr>
          <w:p>
            <w:pPr>
              <w:spacing w:after="0"/>
              <w:rPr>
                <w:sz w:val="19"/>
                <w:szCs w:val="19"/>
                <w:color w:val="auto"/>
              </w:rPr>
            </w:pPr>
          </w:p>
        </w:tc>
        <w:tc>
          <w:tcPr>
            <w:tcW w:w="20" w:type="dxa"/>
            <w:vAlign w:val="bottom"/>
            <w:tcBorders>
              <w:top w:val="single" w:sz="8" w:color="D5EEEE"/>
            </w:tcBorders>
            <w:vMerge w:val="restart"/>
          </w:tcPr>
          <w:p>
            <w:pPr>
              <w:spacing w:after="0"/>
              <w:rPr>
                <w:sz w:val="19"/>
                <w:szCs w:val="19"/>
                <w:color w:val="auto"/>
              </w:rPr>
            </w:pPr>
          </w:p>
        </w:tc>
        <w:tc>
          <w:tcPr>
            <w:tcW w:w="20" w:type="dxa"/>
            <w:vAlign w:val="bottom"/>
            <w:tcBorders>
              <w:top w:val="single" w:sz="8" w:color="D5EEEE"/>
            </w:tcBorders>
            <w:vMerge w:val="restart"/>
          </w:tcPr>
          <w:p>
            <w:pPr>
              <w:spacing w:after="0"/>
              <w:rPr>
                <w:sz w:val="19"/>
                <w:szCs w:val="19"/>
                <w:color w:val="auto"/>
              </w:rPr>
            </w:pPr>
          </w:p>
        </w:tc>
        <w:tc>
          <w:tcPr>
            <w:tcW w:w="1600" w:type="dxa"/>
            <w:vAlign w:val="bottom"/>
            <w:tcBorders>
              <w:top w:val="single" w:sz="8" w:color="D5EEEE"/>
            </w:tcBorders>
            <w:vMerge w:val="restart"/>
          </w:tcPr>
          <w:p>
            <w:pPr>
              <w:spacing w:after="0"/>
              <w:rPr>
                <w:sz w:val="19"/>
                <w:szCs w:val="19"/>
                <w:color w:val="auto"/>
              </w:rPr>
            </w:pPr>
          </w:p>
        </w:tc>
        <w:tc>
          <w:tcPr>
            <w:tcW w:w="20" w:type="dxa"/>
            <w:vAlign w:val="bottom"/>
            <w:tcBorders>
              <w:top w:val="single" w:sz="8" w:color="D5EEEE"/>
            </w:tcBorders>
            <w:vMerge w:val="restart"/>
          </w:tcPr>
          <w:p>
            <w:pPr>
              <w:spacing w:after="0"/>
              <w:rPr>
                <w:sz w:val="19"/>
                <w:szCs w:val="19"/>
                <w:color w:val="auto"/>
              </w:rPr>
            </w:pPr>
          </w:p>
        </w:tc>
        <w:tc>
          <w:tcPr>
            <w:tcW w:w="20" w:type="dxa"/>
            <w:vAlign w:val="bottom"/>
            <w:tcBorders>
              <w:top w:val="single" w:sz="8" w:color="D5EEEE"/>
            </w:tcBorders>
            <w:vMerge w:val="restart"/>
          </w:tcPr>
          <w:p>
            <w:pPr>
              <w:spacing w:after="0"/>
              <w:rPr>
                <w:sz w:val="19"/>
                <w:szCs w:val="19"/>
                <w:color w:val="auto"/>
              </w:rPr>
            </w:pPr>
          </w:p>
        </w:tc>
        <w:tc>
          <w:tcPr>
            <w:tcW w:w="20" w:type="dxa"/>
            <w:vAlign w:val="bottom"/>
            <w:tcBorders>
              <w:top w:val="single" w:sz="8" w:color="D5EEEE"/>
            </w:tcBorders>
            <w:vMerge w:val="restart"/>
          </w:tcPr>
          <w:p>
            <w:pPr>
              <w:spacing w:after="0"/>
              <w:rPr>
                <w:sz w:val="19"/>
                <w:szCs w:val="19"/>
                <w:color w:val="auto"/>
              </w:rPr>
            </w:pPr>
          </w:p>
        </w:tc>
        <w:tc>
          <w:tcPr>
            <w:tcW w:w="60" w:type="dxa"/>
            <w:vAlign w:val="bottom"/>
            <w:tcBorders>
              <w:top w:val="single" w:sz="8" w:color="D5EEEE"/>
            </w:tcBorders>
          </w:tcPr>
          <w:p>
            <w:pPr>
              <w:spacing w:after="0"/>
              <w:rPr>
                <w:sz w:val="19"/>
                <w:szCs w:val="19"/>
                <w:color w:val="auto"/>
              </w:rPr>
            </w:pPr>
          </w:p>
        </w:tc>
        <w:tc>
          <w:tcPr>
            <w:tcW w:w="160" w:type="dxa"/>
            <w:vAlign w:val="bottom"/>
            <w:tcBorders>
              <w:top w:val="single" w:sz="8" w:color="D5EEEE"/>
            </w:tcBorders>
            <w:gridSpan w:val="2"/>
            <w:vMerge w:val="restart"/>
          </w:tcPr>
          <w:p>
            <w:pPr>
              <w:spacing w:after="0"/>
              <w:rPr>
                <w:sz w:val="19"/>
                <w:szCs w:val="19"/>
                <w:color w:val="auto"/>
              </w:rPr>
            </w:pPr>
          </w:p>
        </w:tc>
        <w:tc>
          <w:tcPr>
            <w:tcW w:w="100" w:type="dxa"/>
            <w:vAlign w:val="bottom"/>
            <w:tcBorders>
              <w:top w:val="single" w:sz="8" w:color="D5EEEE"/>
            </w:tcBorders>
            <w:vMerge w:val="restart"/>
          </w:tcPr>
          <w:p>
            <w:pPr>
              <w:spacing w:after="0"/>
              <w:rPr>
                <w:sz w:val="19"/>
                <w:szCs w:val="19"/>
                <w:color w:val="auto"/>
              </w:rPr>
            </w:pPr>
          </w:p>
        </w:tc>
        <w:tc>
          <w:tcPr>
            <w:tcW w:w="20" w:type="dxa"/>
            <w:vAlign w:val="bottom"/>
            <w:tcBorders>
              <w:top w:val="single" w:sz="8" w:color="D5EEEE"/>
            </w:tcBorders>
            <w:vMerge w:val="restart"/>
          </w:tcPr>
          <w:p>
            <w:pPr>
              <w:spacing w:after="0"/>
              <w:rPr>
                <w:sz w:val="19"/>
                <w:szCs w:val="19"/>
                <w:color w:val="auto"/>
              </w:rPr>
            </w:pPr>
          </w:p>
        </w:tc>
        <w:tc>
          <w:tcPr>
            <w:tcW w:w="136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8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21,483</w:t>
            </w: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0" w:type="dxa"/>
            <w:vAlign w:val="bottom"/>
          </w:tcPr>
          <w:p>
            <w:pPr>
              <w:spacing w:after="0"/>
              <w:rPr>
                <w:sz w:val="19"/>
                <w:szCs w:val="19"/>
                <w:color w:val="auto"/>
              </w:rPr>
            </w:pPr>
          </w:p>
        </w:tc>
        <w:tc>
          <w:tcPr>
            <w:tcW w:w="37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6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1840" w:type="dxa"/>
            <w:vAlign w:val="bottom"/>
            <w:tcBorders>
              <w:bottom w:val="single" w:sz="8" w:color="D5EEEE"/>
            </w:tcBorders>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rPr>
              <w:t>34,051</w:t>
            </w:r>
          </w:p>
        </w:tc>
        <w:tc>
          <w:tcPr>
            <w:tcW w:w="40" w:type="dxa"/>
            <w:vAlign w:val="bottom"/>
            <w:tcBorders>
              <w:bottom w:val="single" w:sz="8" w:color="D5EEEE"/>
            </w:tcBorders>
            <w:vMerge w:val="continue"/>
          </w:tcPr>
          <w:p>
            <w:pPr>
              <w:spacing w:after="0"/>
              <w:rPr>
                <w:sz w:val="19"/>
                <w:szCs w:val="19"/>
                <w:color w:val="auto"/>
              </w:rPr>
            </w:pPr>
          </w:p>
        </w:tc>
        <w:tc>
          <w:tcPr>
            <w:tcW w:w="60" w:type="dxa"/>
            <w:vAlign w:val="bottom"/>
            <w:tcBorders>
              <w:bottom w:val="single" w:sz="8" w:color="D5EEEE"/>
            </w:tcBorders>
          </w:tcPr>
          <w:p>
            <w:pPr>
              <w:spacing w:after="0"/>
              <w:rPr>
                <w:sz w:val="19"/>
                <w:szCs w:val="19"/>
                <w:color w:val="auto"/>
              </w:rPr>
            </w:pPr>
          </w:p>
        </w:tc>
        <w:tc>
          <w:tcPr>
            <w:tcW w:w="14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1620" w:type="dxa"/>
            <w:vAlign w:val="bottom"/>
            <w:tcBorders>
              <w:bottom w:val="single" w:sz="8" w:color="D5EEEE"/>
            </w:tcBorders>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13,771</w:t>
            </w:r>
          </w:p>
        </w:tc>
        <w:tc>
          <w:tcPr>
            <w:tcW w:w="20" w:type="dxa"/>
            <w:vAlign w:val="bottom"/>
            <w:tcBorders>
              <w:bottom w:val="single" w:sz="8" w:color="D5EEEE"/>
            </w:tcBorders>
            <w:vMerge w:val="continue"/>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60" w:type="dxa"/>
            <w:vAlign w:val="bottom"/>
            <w:tcBorders>
              <w:bottom w:val="single" w:sz="8" w:color="D5EEEE"/>
            </w:tcBorders>
          </w:tcPr>
          <w:p>
            <w:pPr>
              <w:spacing w:after="0"/>
              <w:rPr>
                <w:sz w:val="19"/>
                <w:szCs w:val="19"/>
                <w:color w:val="auto"/>
              </w:rPr>
            </w:pPr>
          </w:p>
        </w:tc>
        <w:tc>
          <w:tcPr>
            <w:tcW w:w="160" w:type="dxa"/>
            <w:vAlign w:val="bottom"/>
            <w:tcBorders>
              <w:bottom w:val="single" w:sz="8" w:color="D5EEEE"/>
            </w:tcBorders>
            <w:gridSpan w:val="2"/>
            <w:vMerge w:val="continue"/>
          </w:tcPr>
          <w:p>
            <w:pPr>
              <w:spacing w:after="0"/>
              <w:rPr>
                <w:sz w:val="19"/>
                <w:szCs w:val="19"/>
                <w:color w:val="auto"/>
              </w:rPr>
            </w:pPr>
          </w:p>
        </w:tc>
        <w:tc>
          <w:tcPr>
            <w:tcW w:w="100" w:type="dxa"/>
            <w:vAlign w:val="bottom"/>
            <w:tcBorders>
              <w:bottom w:val="single" w:sz="8" w:color="D5EEEE"/>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Borders>
              <w:bottom w:val="single" w:sz="8" w:color="D5EEEE"/>
            </w:tcBorders>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370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13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0" w:type="dxa"/>
            <w:vAlign w:val="bottom"/>
          </w:tcPr>
          <w:p>
            <w:pPr>
              <w:spacing w:after="0"/>
              <w:rPr>
                <w:sz w:val="19"/>
                <w:szCs w:val="19"/>
                <w:color w:val="auto"/>
              </w:rPr>
            </w:pPr>
          </w:p>
        </w:tc>
        <w:tc>
          <w:tcPr>
            <w:tcW w:w="37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6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840" w:type="dxa"/>
            <w:vAlign w:val="bottom"/>
            <w:tcBorders>
              <w:bottom w:val="single" w:sz="8" w:color="D5EEEE"/>
            </w:tcBorders>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40" w:type="dxa"/>
            <w:vAlign w:val="bottom"/>
            <w:tcBorders>
              <w:bottom w:val="single" w:sz="8" w:color="D5EEEE"/>
            </w:tcBorders>
            <w:vMerge w:val="continue"/>
          </w:tcPr>
          <w:p>
            <w:pPr>
              <w:spacing w:after="0"/>
              <w:rPr>
                <w:sz w:val="19"/>
                <w:szCs w:val="19"/>
                <w:color w:val="auto"/>
              </w:rPr>
            </w:pPr>
          </w:p>
        </w:tc>
        <w:tc>
          <w:tcPr>
            <w:tcW w:w="60" w:type="dxa"/>
            <w:vAlign w:val="bottom"/>
            <w:tcBorders>
              <w:bottom w:val="single" w:sz="8" w:color="D5EEEE"/>
            </w:tcBorders>
            <w:vMerge w:val="continue"/>
          </w:tcPr>
          <w:p>
            <w:pPr>
              <w:spacing w:after="0"/>
              <w:rPr>
                <w:sz w:val="19"/>
                <w:szCs w:val="19"/>
                <w:color w:val="auto"/>
              </w:rPr>
            </w:pPr>
          </w:p>
        </w:tc>
        <w:tc>
          <w:tcPr>
            <w:tcW w:w="14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620" w:type="dxa"/>
            <w:vAlign w:val="bottom"/>
            <w:tcBorders>
              <w:bottom w:val="single" w:sz="8" w:color="D5EEEE"/>
            </w:tcBorders>
            <w:gridSpan w:val="2"/>
          </w:tcPr>
          <w:p>
            <w:pPr>
              <w:jc w:val="right"/>
              <w:ind w:right="20"/>
              <w:spacing w:after="0" w:line="226"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D5EEEE"/>
            </w:tcBorders>
            <w:vMerge w:val="continue"/>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60" w:type="dxa"/>
            <w:vAlign w:val="bottom"/>
            <w:tcBorders>
              <w:bottom w:val="single" w:sz="8" w:color="D5EEEE"/>
            </w:tcBorders>
            <w:vMerge w:val="continue"/>
          </w:tcPr>
          <w:p>
            <w:pPr>
              <w:spacing w:after="0"/>
              <w:rPr>
                <w:sz w:val="19"/>
                <w:szCs w:val="19"/>
                <w:color w:val="auto"/>
              </w:rPr>
            </w:pPr>
          </w:p>
        </w:tc>
        <w:tc>
          <w:tcPr>
            <w:tcW w:w="14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134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7,595</w:t>
            </w:r>
          </w:p>
        </w:tc>
        <w:tc>
          <w:tcPr>
            <w:tcW w:w="20" w:type="dxa"/>
            <w:vAlign w:val="bottom"/>
            <w:vMerge w:val="continue"/>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370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370</w:t>
            </w:r>
          </w:p>
        </w:tc>
        <w:tc>
          <w:tcPr>
            <w:tcW w:w="40" w:type="dxa"/>
            <w:vAlign w:val="bottom"/>
            <w:tcBorders>
              <w:bottom w:val="single" w:sz="8" w:color="auto"/>
            </w:tcBorders>
          </w:tcPr>
          <w:p>
            <w:pPr>
              <w:spacing w:after="0"/>
              <w:rPr>
                <w:sz w:val="19"/>
                <w:szCs w:val="19"/>
                <w:color w:val="auto"/>
              </w:rPr>
            </w:pPr>
          </w:p>
        </w:tc>
        <w:tc>
          <w:tcPr>
            <w:tcW w:w="60" w:type="dxa"/>
            <w:vAlign w:val="bottom"/>
            <w:tcBorders>
              <w:left w:val="single" w:sz="8" w:color="D5EEEE"/>
            </w:tcBorders>
            <w:shd w:val="clear" w:color="auto" w:fill="D5EEEE"/>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shd w:val="clear" w:color="auto" w:fill="D5EEEE"/>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185</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left w:val="single" w:sz="8" w:color="D5EEEE"/>
            </w:tcBorders>
            <w:shd w:val="clear" w:color="auto" w:fill="D5EEEE"/>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154</w:t>
            </w:r>
          </w:p>
        </w:tc>
        <w:tc>
          <w:tcPr>
            <w:tcW w:w="20" w:type="dxa"/>
            <w:vAlign w:val="bottom"/>
            <w:tcBorders>
              <w:bottom w:val="single" w:sz="8" w:color="auto"/>
            </w:tcBorders>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34,421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gridSpan w:val="2"/>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13,956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gridSpan w:val="2"/>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29,232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6"/>
        </w:trPr>
        <w:tc>
          <w:tcPr>
            <w:tcW w:w="6040" w:type="dxa"/>
            <w:vAlign w:val="bottom"/>
            <w:gridSpan w:val="13"/>
          </w:tcPr>
          <w:p>
            <w:pPr>
              <w:spacing w:after="0"/>
              <w:rPr>
                <w:sz w:val="20"/>
                <w:szCs w:val="20"/>
                <w:color w:val="auto"/>
              </w:rPr>
            </w:pPr>
            <w:r>
              <w:rPr>
                <w:rFonts w:ascii="Times New Roman" w:cs="Times New Roman" w:eastAsia="Times New Roman" w:hAnsi="Times New Roman"/>
                <w:sz w:val="20"/>
                <w:szCs w:val="20"/>
                <w:color w:val="auto"/>
              </w:rPr>
              <w:t>Cost of sales by Customer type were as follows (in thousands):</w:t>
            </w:r>
          </w:p>
        </w:tc>
        <w:tc>
          <w:tcPr>
            <w:tcW w:w="1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Year-ended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gridSpan w:val="8"/>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Transition period ended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Year-ended</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840" w:type="dxa"/>
            <w:vAlign w:val="bottom"/>
            <w:tcBorders>
              <w:top w:val="single" w:sz="8" w:color="auto"/>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0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640" w:type="dxa"/>
            <w:vAlign w:val="bottom"/>
            <w:tcBorders>
              <w:top w:val="single" w:sz="8" w:color="auto"/>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60" w:type="dxa"/>
            <w:vAlign w:val="bottom"/>
            <w:gridSpan w:val="2"/>
          </w:tcPr>
          <w:p>
            <w:pPr>
              <w:spacing w:after="0"/>
              <w:rPr>
                <w:sz w:val="19"/>
                <w:szCs w:val="19"/>
                <w:color w:val="auto"/>
              </w:rPr>
            </w:pPr>
          </w:p>
        </w:tc>
        <w:tc>
          <w:tcPr>
            <w:tcW w:w="28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3"/>
          </w:tcPr>
          <w:p>
            <w:pPr>
              <w:spacing w:after="0"/>
              <w:rPr>
                <w:sz w:val="19"/>
                <w:szCs w:val="19"/>
                <w:color w:val="auto"/>
              </w:rPr>
            </w:pPr>
          </w:p>
        </w:tc>
        <w:tc>
          <w:tcPr>
            <w:tcW w:w="1380" w:type="dxa"/>
            <w:vAlign w:val="bottom"/>
            <w:gridSpan w:val="3"/>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3700" w:type="dxa"/>
            <w:vAlign w:val="bottom"/>
            <w:tcBorders>
              <w:top w:val="single" w:sz="8" w:color="D5EEEE"/>
            </w:tcBorders>
            <w:shd w:val="clear" w:color="auto" w:fill="D5EEEE"/>
          </w:tcPr>
          <w:p>
            <w:pPr>
              <w:spacing w:after="0"/>
              <w:rPr>
                <w:sz w:val="19"/>
                <w:szCs w:val="19"/>
                <w:color w:val="auto"/>
              </w:rPr>
            </w:pPr>
          </w:p>
        </w:tc>
        <w:tc>
          <w:tcPr>
            <w:tcW w:w="20" w:type="dxa"/>
            <w:vAlign w:val="bottom"/>
            <w:tcBorders>
              <w:top w:val="single" w:sz="8" w:color="D5EEEE"/>
            </w:tcBorders>
            <w:shd w:val="clear" w:color="auto" w:fill="D5EEEE"/>
          </w:tcPr>
          <w:p>
            <w:pPr>
              <w:spacing w:after="0"/>
              <w:rPr>
                <w:sz w:val="19"/>
                <w:szCs w:val="19"/>
                <w:color w:val="auto"/>
              </w:rPr>
            </w:pPr>
          </w:p>
        </w:tc>
        <w:tc>
          <w:tcPr>
            <w:tcW w:w="160" w:type="dxa"/>
            <w:vAlign w:val="bottom"/>
            <w:tcBorders>
              <w:top w:val="single" w:sz="8" w:color="D5EEEE"/>
            </w:tcBorders>
            <w:shd w:val="clear" w:color="auto" w:fill="D5EEEE"/>
          </w:tcPr>
          <w:p>
            <w:pPr>
              <w:spacing w:after="0"/>
              <w:rPr>
                <w:sz w:val="19"/>
                <w:szCs w:val="19"/>
                <w:color w:val="auto"/>
              </w:rPr>
            </w:pPr>
          </w:p>
        </w:tc>
        <w:tc>
          <w:tcPr>
            <w:tcW w:w="100" w:type="dxa"/>
            <w:vAlign w:val="bottom"/>
            <w:tcBorders>
              <w:top w:val="single" w:sz="8" w:color="D5EEEE"/>
            </w:tcBorders>
            <w:gridSpan w:val="2"/>
            <w:vMerge w:val="restart"/>
          </w:tcPr>
          <w:p>
            <w:pPr>
              <w:spacing w:after="0"/>
              <w:rPr>
                <w:sz w:val="19"/>
                <w:szCs w:val="19"/>
                <w:color w:val="auto"/>
              </w:rPr>
            </w:pPr>
          </w:p>
        </w:tc>
        <w:tc>
          <w:tcPr>
            <w:tcW w:w="20" w:type="dxa"/>
            <w:vAlign w:val="bottom"/>
            <w:tcBorders>
              <w:top w:val="single" w:sz="8" w:color="D5EEEE"/>
            </w:tcBorders>
            <w:vMerge w:val="restart"/>
          </w:tcPr>
          <w:p>
            <w:pPr>
              <w:spacing w:after="0"/>
              <w:rPr>
                <w:sz w:val="19"/>
                <w:szCs w:val="19"/>
                <w:color w:val="auto"/>
              </w:rPr>
            </w:pPr>
          </w:p>
        </w:tc>
        <w:tc>
          <w:tcPr>
            <w:tcW w:w="20" w:type="dxa"/>
            <w:vAlign w:val="bottom"/>
            <w:tcBorders>
              <w:top w:val="single" w:sz="8" w:color="D5EEEE"/>
            </w:tcBorders>
            <w:vMerge w:val="restart"/>
          </w:tcPr>
          <w:p>
            <w:pPr>
              <w:spacing w:after="0"/>
              <w:rPr>
                <w:sz w:val="19"/>
                <w:szCs w:val="19"/>
                <w:color w:val="auto"/>
              </w:rPr>
            </w:pPr>
          </w:p>
        </w:tc>
        <w:tc>
          <w:tcPr>
            <w:tcW w:w="1840" w:type="dxa"/>
            <w:vAlign w:val="bottom"/>
            <w:tcBorders>
              <w:top w:val="single" w:sz="8" w:color="D5EEEE"/>
            </w:tcBorders>
            <w:gridSpan w:val="2"/>
          </w:tcPr>
          <w:p>
            <w:pPr>
              <w:spacing w:after="0"/>
              <w:rPr>
                <w:sz w:val="19"/>
                <w:szCs w:val="19"/>
                <w:color w:val="auto"/>
              </w:rPr>
            </w:pPr>
          </w:p>
        </w:tc>
        <w:tc>
          <w:tcPr>
            <w:tcW w:w="20" w:type="dxa"/>
            <w:vAlign w:val="bottom"/>
            <w:tcBorders>
              <w:top w:val="single" w:sz="8" w:color="D5EEEE"/>
            </w:tcBorders>
          </w:tcPr>
          <w:p>
            <w:pPr>
              <w:spacing w:after="0"/>
              <w:rPr>
                <w:sz w:val="19"/>
                <w:szCs w:val="19"/>
                <w:color w:val="auto"/>
              </w:rPr>
            </w:pPr>
          </w:p>
        </w:tc>
        <w:tc>
          <w:tcPr>
            <w:tcW w:w="40" w:type="dxa"/>
            <w:vAlign w:val="bottom"/>
            <w:tcBorders>
              <w:top w:val="single" w:sz="8" w:color="D5EEEE"/>
            </w:tcBorders>
          </w:tcPr>
          <w:p>
            <w:pPr>
              <w:spacing w:after="0"/>
              <w:rPr>
                <w:sz w:val="19"/>
                <w:szCs w:val="19"/>
                <w:color w:val="auto"/>
              </w:rPr>
            </w:pPr>
          </w:p>
        </w:tc>
        <w:tc>
          <w:tcPr>
            <w:tcW w:w="60" w:type="dxa"/>
            <w:vAlign w:val="bottom"/>
            <w:tcBorders>
              <w:top w:val="single" w:sz="8" w:color="D5EEEE"/>
            </w:tcBorders>
          </w:tcPr>
          <w:p>
            <w:pPr>
              <w:spacing w:after="0"/>
              <w:rPr>
                <w:sz w:val="19"/>
                <w:szCs w:val="19"/>
                <w:color w:val="auto"/>
              </w:rPr>
            </w:pPr>
          </w:p>
        </w:tc>
        <w:tc>
          <w:tcPr>
            <w:tcW w:w="160" w:type="dxa"/>
            <w:vAlign w:val="bottom"/>
            <w:tcBorders>
              <w:top w:val="single" w:sz="8" w:color="D5EEEE"/>
            </w:tcBorders>
            <w:gridSpan w:val="2"/>
            <w:vMerge w:val="restart"/>
          </w:tcPr>
          <w:p>
            <w:pPr>
              <w:spacing w:after="0"/>
              <w:rPr>
                <w:sz w:val="19"/>
                <w:szCs w:val="19"/>
                <w:color w:val="auto"/>
              </w:rPr>
            </w:pPr>
          </w:p>
        </w:tc>
        <w:tc>
          <w:tcPr>
            <w:tcW w:w="100" w:type="dxa"/>
            <w:vAlign w:val="bottom"/>
            <w:tcBorders>
              <w:top w:val="single" w:sz="8" w:color="D5EEEE"/>
            </w:tcBorders>
            <w:vMerge w:val="restart"/>
          </w:tcPr>
          <w:p>
            <w:pPr>
              <w:spacing w:after="0"/>
              <w:rPr>
                <w:sz w:val="19"/>
                <w:szCs w:val="19"/>
                <w:color w:val="auto"/>
              </w:rPr>
            </w:pPr>
          </w:p>
        </w:tc>
        <w:tc>
          <w:tcPr>
            <w:tcW w:w="20" w:type="dxa"/>
            <w:vAlign w:val="bottom"/>
            <w:tcBorders>
              <w:top w:val="single" w:sz="8" w:color="D5EEEE"/>
            </w:tcBorders>
            <w:vMerge w:val="restart"/>
          </w:tcPr>
          <w:p>
            <w:pPr>
              <w:spacing w:after="0"/>
              <w:rPr>
                <w:sz w:val="19"/>
                <w:szCs w:val="19"/>
                <w:color w:val="auto"/>
              </w:rPr>
            </w:pPr>
          </w:p>
        </w:tc>
        <w:tc>
          <w:tcPr>
            <w:tcW w:w="1620" w:type="dxa"/>
            <w:vAlign w:val="bottom"/>
            <w:tcBorders>
              <w:top w:val="single" w:sz="8" w:color="D5EEEE"/>
            </w:tcBorders>
            <w:gridSpan w:val="2"/>
          </w:tcPr>
          <w:p>
            <w:pPr>
              <w:spacing w:after="0"/>
              <w:rPr>
                <w:sz w:val="19"/>
                <w:szCs w:val="19"/>
                <w:color w:val="auto"/>
              </w:rPr>
            </w:pPr>
          </w:p>
        </w:tc>
        <w:tc>
          <w:tcPr>
            <w:tcW w:w="20" w:type="dxa"/>
            <w:vAlign w:val="bottom"/>
            <w:tcBorders>
              <w:top w:val="single" w:sz="8" w:color="D5EEEE"/>
            </w:tcBorders>
          </w:tcPr>
          <w:p>
            <w:pPr>
              <w:spacing w:after="0"/>
              <w:rPr>
                <w:sz w:val="19"/>
                <w:szCs w:val="19"/>
                <w:color w:val="auto"/>
              </w:rPr>
            </w:pPr>
          </w:p>
        </w:tc>
        <w:tc>
          <w:tcPr>
            <w:tcW w:w="20" w:type="dxa"/>
            <w:vAlign w:val="bottom"/>
            <w:tcBorders>
              <w:top w:val="single" w:sz="8" w:color="D5EEEE"/>
            </w:tcBorders>
          </w:tcPr>
          <w:p>
            <w:pPr>
              <w:spacing w:after="0"/>
              <w:rPr>
                <w:sz w:val="19"/>
                <w:szCs w:val="19"/>
                <w:color w:val="auto"/>
              </w:rPr>
            </w:pPr>
          </w:p>
        </w:tc>
        <w:tc>
          <w:tcPr>
            <w:tcW w:w="20" w:type="dxa"/>
            <w:vAlign w:val="bottom"/>
            <w:tcBorders>
              <w:top w:val="single" w:sz="8" w:color="D5EEEE"/>
            </w:tcBorders>
          </w:tcPr>
          <w:p>
            <w:pPr>
              <w:spacing w:after="0"/>
              <w:rPr>
                <w:sz w:val="19"/>
                <w:szCs w:val="19"/>
                <w:color w:val="auto"/>
              </w:rPr>
            </w:pPr>
          </w:p>
        </w:tc>
        <w:tc>
          <w:tcPr>
            <w:tcW w:w="60" w:type="dxa"/>
            <w:vAlign w:val="bottom"/>
            <w:tcBorders>
              <w:top w:val="single" w:sz="8" w:color="D5EEEE"/>
            </w:tcBorders>
          </w:tcPr>
          <w:p>
            <w:pPr>
              <w:spacing w:after="0"/>
              <w:rPr>
                <w:sz w:val="19"/>
                <w:szCs w:val="19"/>
                <w:color w:val="auto"/>
              </w:rPr>
            </w:pPr>
          </w:p>
        </w:tc>
        <w:tc>
          <w:tcPr>
            <w:tcW w:w="160" w:type="dxa"/>
            <w:vAlign w:val="bottom"/>
            <w:tcBorders>
              <w:top w:val="single" w:sz="8" w:color="D5EEEE"/>
            </w:tcBorders>
            <w:gridSpan w:val="2"/>
            <w:vMerge w:val="restart"/>
          </w:tcPr>
          <w:p>
            <w:pPr>
              <w:spacing w:after="0"/>
              <w:rPr>
                <w:sz w:val="19"/>
                <w:szCs w:val="19"/>
                <w:color w:val="auto"/>
              </w:rPr>
            </w:pPr>
          </w:p>
        </w:tc>
        <w:tc>
          <w:tcPr>
            <w:tcW w:w="100" w:type="dxa"/>
            <w:vAlign w:val="bottom"/>
            <w:tcBorders>
              <w:top w:val="single" w:sz="8" w:color="D5EEEE"/>
            </w:tcBorders>
            <w:vMerge w:val="restart"/>
          </w:tcPr>
          <w:p>
            <w:pPr>
              <w:spacing w:after="0"/>
              <w:rPr>
                <w:sz w:val="19"/>
                <w:szCs w:val="19"/>
                <w:color w:val="auto"/>
              </w:rPr>
            </w:pPr>
          </w:p>
        </w:tc>
        <w:tc>
          <w:tcPr>
            <w:tcW w:w="20" w:type="dxa"/>
            <w:vAlign w:val="bottom"/>
            <w:tcBorders>
              <w:top w:val="single" w:sz="8" w:color="D5EEEE"/>
            </w:tcBorders>
            <w:vMerge w:val="restart"/>
          </w:tcPr>
          <w:p>
            <w:pPr>
              <w:spacing w:after="0"/>
              <w:rPr>
                <w:sz w:val="19"/>
                <w:szCs w:val="19"/>
                <w:color w:val="auto"/>
              </w:rPr>
            </w:pPr>
          </w:p>
        </w:tc>
        <w:tc>
          <w:tcPr>
            <w:tcW w:w="136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5,573</w:t>
            </w:r>
          </w:p>
        </w:tc>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2,017</w:t>
            </w: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3,931</w:t>
            </w: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37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6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Borders>
              <w:bottom w:val="single" w:sz="8" w:color="D5EEEE"/>
            </w:tcBorders>
            <w:vMerge w:val="continue"/>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1840" w:type="dxa"/>
            <w:vAlign w:val="bottom"/>
            <w:tcBorders>
              <w:bottom w:val="single" w:sz="8" w:color="D5EEEE"/>
            </w:tcBorders>
            <w:gridSpan w:val="2"/>
            <w:vMerge w:val="continue"/>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40" w:type="dxa"/>
            <w:vAlign w:val="bottom"/>
            <w:tcBorders>
              <w:bottom w:val="single" w:sz="8" w:color="D5EEEE"/>
            </w:tcBorders>
          </w:tcPr>
          <w:p>
            <w:pPr>
              <w:spacing w:after="0"/>
              <w:rPr>
                <w:sz w:val="19"/>
                <w:szCs w:val="19"/>
                <w:color w:val="auto"/>
              </w:rPr>
            </w:pPr>
          </w:p>
        </w:tc>
        <w:tc>
          <w:tcPr>
            <w:tcW w:w="60" w:type="dxa"/>
            <w:vAlign w:val="bottom"/>
            <w:tcBorders>
              <w:bottom w:val="single" w:sz="8" w:color="D5EEEE"/>
            </w:tcBorders>
          </w:tcPr>
          <w:p>
            <w:pPr>
              <w:spacing w:after="0"/>
              <w:rPr>
                <w:sz w:val="19"/>
                <w:szCs w:val="19"/>
                <w:color w:val="auto"/>
              </w:rPr>
            </w:pPr>
          </w:p>
        </w:tc>
        <w:tc>
          <w:tcPr>
            <w:tcW w:w="160" w:type="dxa"/>
            <w:vAlign w:val="bottom"/>
            <w:tcBorders>
              <w:bottom w:val="single" w:sz="8" w:color="D5EEEE"/>
            </w:tcBorders>
            <w:gridSpan w:val="2"/>
            <w:vMerge w:val="continue"/>
          </w:tcPr>
          <w:p>
            <w:pPr>
              <w:spacing w:after="0"/>
              <w:rPr>
                <w:sz w:val="19"/>
                <w:szCs w:val="19"/>
                <w:color w:val="auto"/>
              </w:rPr>
            </w:pPr>
          </w:p>
        </w:tc>
        <w:tc>
          <w:tcPr>
            <w:tcW w:w="100" w:type="dxa"/>
            <w:vAlign w:val="bottom"/>
            <w:tcBorders>
              <w:bottom w:val="single" w:sz="8" w:color="D5EEEE"/>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Borders>
              <w:bottom w:val="single" w:sz="8" w:color="D5EEEE"/>
            </w:tcBorders>
            <w:vMerge w:val="continue"/>
          </w:tcPr>
          <w:p>
            <w:pPr>
              <w:spacing w:after="0"/>
              <w:rPr>
                <w:sz w:val="19"/>
                <w:szCs w:val="19"/>
                <w:color w:val="auto"/>
              </w:rPr>
            </w:pPr>
          </w:p>
        </w:tc>
        <w:tc>
          <w:tcPr>
            <w:tcW w:w="1620" w:type="dxa"/>
            <w:vAlign w:val="bottom"/>
            <w:tcBorders>
              <w:bottom w:val="single" w:sz="8" w:color="D5EEEE"/>
            </w:tcBorders>
            <w:gridSpan w:val="2"/>
            <w:vMerge w:val="continue"/>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60" w:type="dxa"/>
            <w:vAlign w:val="bottom"/>
            <w:tcBorders>
              <w:bottom w:val="single" w:sz="8" w:color="D5EEEE"/>
            </w:tcBorders>
          </w:tcPr>
          <w:p>
            <w:pPr>
              <w:spacing w:after="0"/>
              <w:rPr>
                <w:sz w:val="19"/>
                <w:szCs w:val="19"/>
                <w:color w:val="auto"/>
              </w:rPr>
            </w:pPr>
          </w:p>
        </w:tc>
        <w:tc>
          <w:tcPr>
            <w:tcW w:w="160" w:type="dxa"/>
            <w:vAlign w:val="bottom"/>
            <w:tcBorders>
              <w:bottom w:val="single" w:sz="8" w:color="D5EEEE"/>
            </w:tcBorders>
            <w:gridSpan w:val="2"/>
            <w:vMerge w:val="continue"/>
          </w:tcPr>
          <w:p>
            <w:pPr>
              <w:spacing w:after="0"/>
              <w:rPr>
                <w:sz w:val="19"/>
                <w:szCs w:val="19"/>
                <w:color w:val="auto"/>
              </w:rPr>
            </w:pPr>
          </w:p>
        </w:tc>
        <w:tc>
          <w:tcPr>
            <w:tcW w:w="100" w:type="dxa"/>
            <w:vAlign w:val="bottom"/>
            <w:tcBorders>
              <w:bottom w:val="single" w:sz="8" w:color="D5EEEE"/>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Borders>
              <w:bottom w:val="single" w:sz="8" w:color="D5EEEE"/>
            </w:tcBorders>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0" w:type="dxa"/>
            <w:vAlign w:val="bottom"/>
          </w:tcPr>
          <w:p>
            <w:pPr>
              <w:spacing w:after="0"/>
              <w:rPr>
                <w:sz w:val="19"/>
                <w:szCs w:val="19"/>
                <w:color w:val="auto"/>
              </w:rPr>
            </w:pPr>
          </w:p>
        </w:tc>
        <w:tc>
          <w:tcPr>
            <w:tcW w:w="370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120" w:type="dxa"/>
            <w:vAlign w:val="bottom"/>
            <w:gridSpan w:val="3"/>
          </w:tcPr>
          <w:p>
            <w:pPr>
              <w:spacing w:after="0"/>
              <w:rPr>
                <w:sz w:val="19"/>
                <w:szCs w:val="19"/>
                <w:color w:val="auto"/>
              </w:rPr>
            </w:pPr>
          </w:p>
        </w:tc>
        <w:tc>
          <w:tcPr>
            <w:tcW w:w="20" w:type="dxa"/>
            <w:vAlign w:val="bottom"/>
            <w:vMerge w:val="restart"/>
          </w:tcPr>
          <w:p>
            <w:pPr>
              <w:spacing w:after="0"/>
              <w:rPr>
                <w:sz w:val="19"/>
                <w:szCs w:val="19"/>
                <w:color w:val="auto"/>
              </w:rPr>
            </w:pPr>
          </w:p>
        </w:tc>
        <w:tc>
          <w:tcPr>
            <w:tcW w:w="184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1620" w:type="dxa"/>
            <w:vAlign w:val="bottom"/>
            <w:gridSpan w:val="2"/>
            <w:vMerge w:val="restart"/>
          </w:tcPr>
          <w:p>
            <w:pPr>
              <w:spacing w:after="0"/>
              <w:rPr>
                <w:sz w:val="19"/>
                <w:szCs w:val="19"/>
                <w:color w:val="auto"/>
              </w:rPr>
            </w:pPr>
          </w:p>
        </w:tc>
        <w:tc>
          <w:tcPr>
            <w:tcW w:w="40" w:type="dxa"/>
            <w:vAlign w:val="bottom"/>
            <w:gridSpan w:val="2"/>
            <w:vMerge w:val="restart"/>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13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7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Product cost</w:t>
            </w:r>
          </w:p>
        </w:tc>
        <w:tc>
          <w:tcPr>
            <w:tcW w:w="180" w:type="dxa"/>
            <w:vAlign w:val="bottom"/>
            <w:gridSpan w:val="2"/>
            <w:vMerge w:val="restart"/>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8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20" w:type="dxa"/>
            <w:vAlign w:val="bottom"/>
            <w:gridSpan w:val="2"/>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0" w:type="dxa"/>
            <w:vAlign w:val="bottom"/>
          </w:tcPr>
          <w:p>
            <w:pPr>
              <w:spacing w:after="0"/>
              <w:rPr>
                <w:sz w:val="19"/>
                <w:szCs w:val="19"/>
                <w:color w:val="auto"/>
              </w:rPr>
            </w:pPr>
          </w:p>
        </w:tc>
        <w:tc>
          <w:tcPr>
            <w:tcW w:w="3700" w:type="dxa"/>
            <w:vAlign w:val="bottom"/>
            <w:tcBorders>
              <w:bottom w:val="single" w:sz="8" w:color="D5EEEE"/>
            </w:tcBorders>
            <w:vMerge w:val="continue"/>
          </w:tcPr>
          <w:p>
            <w:pPr>
              <w:spacing w:after="0"/>
              <w:rPr>
                <w:sz w:val="19"/>
                <w:szCs w:val="19"/>
                <w:color w:val="auto"/>
              </w:rPr>
            </w:pPr>
          </w:p>
        </w:tc>
        <w:tc>
          <w:tcPr>
            <w:tcW w:w="180" w:type="dxa"/>
            <w:vAlign w:val="bottom"/>
            <w:tcBorders>
              <w:bottom w:val="single" w:sz="8" w:color="D5EEEE"/>
            </w:tcBorders>
            <w:gridSpan w:val="2"/>
            <w:vMerge w:val="continue"/>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1840" w:type="dxa"/>
            <w:vAlign w:val="bottom"/>
            <w:tcBorders>
              <w:bottom w:val="single" w:sz="8" w:color="D5EEEE"/>
            </w:tcBorders>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auto"/>
              </w:rPr>
              <w:t>130</w:t>
            </w:r>
          </w:p>
        </w:tc>
        <w:tc>
          <w:tcPr>
            <w:tcW w:w="20" w:type="dxa"/>
            <w:vAlign w:val="bottom"/>
            <w:tcBorders>
              <w:bottom w:val="single" w:sz="8" w:color="D5EEEE"/>
            </w:tcBorders>
            <w:vMerge w:val="continue"/>
          </w:tcPr>
          <w:p>
            <w:pPr>
              <w:spacing w:after="0"/>
              <w:rPr>
                <w:sz w:val="19"/>
                <w:szCs w:val="19"/>
                <w:color w:val="auto"/>
              </w:rPr>
            </w:pPr>
          </w:p>
        </w:tc>
        <w:tc>
          <w:tcPr>
            <w:tcW w:w="40" w:type="dxa"/>
            <w:vAlign w:val="bottom"/>
            <w:tcBorders>
              <w:bottom w:val="single" w:sz="8" w:color="D5EEEE"/>
            </w:tcBorders>
          </w:tcPr>
          <w:p>
            <w:pPr>
              <w:spacing w:after="0"/>
              <w:rPr>
                <w:sz w:val="19"/>
                <w:szCs w:val="19"/>
                <w:color w:val="auto"/>
              </w:rPr>
            </w:pPr>
          </w:p>
        </w:tc>
        <w:tc>
          <w:tcPr>
            <w:tcW w:w="60" w:type="dxa"/>
            <w:vAlign w:val="bottom"/>
            <w:tcBorders>
              <w:bottom w:val="single" w:sz="8" w:color="D5EEEE"/>
            </w:tcBorders>
          </w:tcPr>
          <w:p>
            <w:pPr>
              <w:spacing w:after="0"/>
              <w:rPr>
                <w:sz w:val="19"/>
                <w:szCs w:val="19"/>
                <w:color w:val="auto"/>
              </w:rPr>
            </w:pPr>
          </w:p>
        </w:tc>
        <w:tc>
          <w:tcPr>
            <w:tcW w:w="14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1620" w:type="dxa"/>
            <w:vAlign w:val="bottom"/>
            <w:tcBorders>
              <w:bottom w:val="single" w:sz="8" w:color="D5EEEE"/>
            </w:tcBorders>
            <w:gridSpan w:val="2"/>
          </w:tcPr>
          <w:p>
            <w:pPr>
              <w:jc w:val="right"/>
              <w:spacing w:after="0" w:line="226" w:lineRule="exact"/>
              <w:rPr>
                <w:sz w:val="20"/>
                <w:szCs w:val="20"/>
                <w:color w:val="auto"/>
              </w:rPr>
            </w:pPr>
            <w:r>
              <w:rPr>
                <w:rFonts w:ascii="Times New Roman" w:cs="Times New Roman" w:eastAsia="Times New Roman" w:hAnsi="Times New Roman"/>
                <w:sz w:val="20"/>
                <w:szCs w:val="20"/>
                <w:color w:val="auto"/>
              </w:rPr>
              <w:t>(278</w:t>
            </w:r>
          </w:p>
        </w:tc>
        <w:tc>
          <w:tcPr>
            <w:tcW w:w="40" w:type="dxa"/>
            <w:vAlign w:val="bottom"/>
            <w:tcBorders>
              <w:bottom w:val="single" w:sz="8" w:color="D5EEEE"/>
            </w:tcBorders>
            <w:gridSpan w:val="2"/>
            <w:vMerge w:val="continue"/>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60" w:type="dxa"/>
            <w:vAlign w:val="bottom"/>
            <w:tcBorders>
              <w:bottom w:val="single" w:sz="8" w:color="D5EEEE"/>
            </w:tcBorders>
          </w:tcPr>
          <w:p>
            <w:pPr>
              <w:spacing w:after="0"/>
              <w:rPr>
                <w:sz w:val="19"/>
                <w:szCs w:val="19"/>
                <w:color w:val="auto"/>
              </w:rPr>
            </w:pPr>
          </w:p>
        </w:tc>
        <w:tc>
          <w:tcPr>
            <w:tcW w:w="14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134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1,889</w:t>
            </w:r>
          </w:p>
        </w:tc>
        <w:tc>
          <w:tcPr>
            <w:tcW w:w="20" w:type="dxa"/>
            <w:vAlign w:val="bottom"/>
            <w:vMerge w:val="continue"/>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3700" w:type="dxa"/>
            <w:vAlign w:val="bottom"/>
            <w:tcBorders>
              <w:bottom w:val="single" w:sz="8" w:color="D5EEEE"/>
            </w:tcBorders>
            <w:shd w:val="clear" w:color="auto" w:fill="D5EEEE"/>
          </w:tcPr>
          <w:p>
            <w:pPr>
              <w:spacing w:after="0"/>
              <w:rPr>
                <w:sz w:val="19"/>
                <w:szCs w:val="19"/>
                <w:color w:val="auto"/>
              </w:rPr>
            </w:pPr>
          </w:p>
        </w:tc>
        <w:tc>
          <w:tcPr>
            <w:tcW w:w="20" w:type="dxa"/>
            <w:vAlign w:val="bottom"/>
            <w:tcBorders>
              <w:bottom w:val="single" w:sz="8" w:color="D5EEEE"/>
            </w:tcBorders>
            <w:shd w:val="clear" w:color="auto" w:fill="D5EEEE"/>
          </w:tcPr>
          <w:p>
            <w:pPr>
              <w:spacing w:after="0"/>
              <w:rPr>
                <w:sz w:val="19"/>
                <w:szCs w:val="19"/>
                <w:color w:val="auto"/>
              </w:rPr>
            </w:pPr>
          </w:p>
        </w:tc>
        <w:tc>
          <w:tcPr>
            <w:tcW w:w="160" w:type="dxa"/>
            <w:vAlign w:val="bottom"/>
            <w:tcBorders>
              <w:bottom w:val="single" w:sz="8" w:color="D5EEEE"/>
            </w:tcBorders>
            <w:shd w:val="clear" w:color="auto" w:fill="D5EEE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338</w:t>
            </w:r>
          </w:p>
        </w:tc>
        <w:tc>
          <w:tcPr>
            <w:tcW w:w="20" w:type="dxa"/>
            <w:vAlign w:val="bottom"/>
            <w:tcBorders>
              <w:bottom w:val="single" w:sz="8" w:color="auto"/>
            </w:tcBorders>
          </w:tcPr>
          <w:p>
            <w:pPr>
              <w:spacing w:after="0"/>
              <w:rPr>
                <w:sz w:val="19"/>
                <w:szCs w:val="19"/>
                <w:color w:val="auto"/>
              </w:rPr>
            </w:pPr>
          </w:p>
        </w:tc>
        <w:tc>
          <w:tcPr>
            <w:tcW w:w="40" w:type="dxa"/>
            <w:vAlign w:val="bottom"/>
            <w:tcBorders>
              <w:left w:val="single" w:sz="8" w:color="D5EEEE"/>
              <w:bottom w:val="single" w:sz="8" w:color="D5EEEE"/>
            </w:tcBorders>
            <w:shd w:val="clear" w:color="auto" w:fill="D5EEEE"/>
          </w:tcPr>
          <w:p>
            <w:pPr>
              <w:spacing w:after="0"/>
              <w:rPr>
                <w:sz w:val="19"/>
                <w:szCs w:val="19"/>
                <w:color w:val="auto"/>
              </w:rPr>
            </w:pPr>
          </w:p>
        </w:tc>
        <w:tc>
          <w:tcPr>
            <w:tcW w:w="60" w:type="dxa"/>
            <w:vAlign w:val="bottom"/>
            <w:tcBorders>
              <w:left w:val="single" w:sz="8" w:color="D5EEEE"/>
              <w:bottom w:val="single" w:sz="8" w:color="D5EEEE"/>
            </w:tcBorders>
            <w:shd w:val="clear" w:color="auto" w:fill="D5EEEE"/>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166</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D5EEEE"/>
            </w:tcBorders>
            <w:shd w:val="clear" w:color="auto" w:fill="D5EEEE"/>
          </w:tcPr>
          <w:p>
            <w:pPr>
              <w:spacing w:after="0"/>
              <w:rPr>
                <w:sz w:val="19"/>
                <w:szCs w:val="19"/>
                <w:color w:val="auto"/>
              </w:rPr>
            </w:pPr>
          </w:p>
        </w:tc>
        <w:tc>
          <w:tcPr>
            <w:tcW w:w="60" w:type="dxa"/>
            <w:vAlign w:val="bottom"/>
            <w:tcBorders>
              <w:left w:val="single" w:sz="8" w:color="D5EEEE"/>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129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D5EEEE"/>
            </w:tcBorders>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6,041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Borders>
              <w:bottom w:val="single" w:sz="8" w:color="auto"/>
            </w:tcBorders>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1,905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Borders>
              <w:bottom w:val="single" w:sz="8" w:color="auto"/>
            </w:tcBorders>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5,949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-3153410</wp:posOffset>
            </wp:positionV>
            <wp:extent cx="6198870" cy="127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98870" cy="1278255"/>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-1248410</wp:posOffset>
            </wp:positionV>
            <wp:extent cx="6198870" cy="1280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98870" cy="1280160"/>
                    </a:xfrm>
                    <a:prstGeom prst="rect">
                      <a:avLst/>
                    </a:prstGeom>
                    <a:noFill/>
                  </pic:spPr>
                </pic:pic>
              </a:graphicData>
            </a:graphic>
          </wp:anchor>
        </w:drawing>
      </w:r>
    </w:p>
    <w:p>
      <w:pPr>
        <w:sectPr>
          <w:pgSz w:w="11880" w:h="15480" w:orient="portrait"/>
          <w:cols w:equalWidth="0" w:num="1">
            <w:col w:w="10720"/>
          </w:cols>
          <w:pgMar w:left="540" w:top="887" w:right="620" w:bottom="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F-24</w:t>
      </w:r>
    </w:p>
    <w:p>
      <w:pPr>
        <w:sectPr>
          <w:pgSz w:w="11880" w:h="15480" w:orient="portrait"/>
          <w:cols w:equalWidth="0" w:num="1">
            <w:col w:w="10720"/>
          </w:cols>
          <w:pgMar w:left="540" w:top="887" w:right="620" w:bottom="5"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20"/>
          <w:szCs w:val="20"/>
          <w:b w:val="1"/>
          <w:bCs w:val="1"/>
          <w:color w:val="auto"/>
        </w:rPr>
        <w:t>12. Contingencies</w:t>
      </w:r>
    </w:p>
    <w:p>
      <w:pPr>
        <w:spacing w:after="0" w:line="124"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auto"/>
        </w:rPr>
        <w:t>The Company is subject to certain contingencies arising in the ordinary course of business. The Company records accruals for these contingencies to the extent that a loss is both probable and reasonably estimable. If some amount within a range of loss appears to be a better estimate than any other amount within the range, that amount is accrued. Alternatively, when no amount within a range of loss appears to be a better estimate than any other amount, the lowest amount in the range is accrued. The Company expenses legal costs associated with loss contingencies as incurred. As of December 31, 2022, the Company does not have any outstanding or threatened litigation that would have a material impact to the financial statements.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Common and Preferred Stock</w:t>
      </w:r>
    </w:p>
    <w:p>
      <w:pPr>
        <w:spacing w:after="0" w:line="280" w:lineRule="exact"/>
        <w:rPr>
          <w:sz w:val="20"/>
          <w:szCs w:val="20"/>
          <w:color w:val="auto"/>
        </w:rPr>
      </w:pPr>
    </w:p>
    <w:p>
      <w:pPr>
        <w:ind w:right="60" w:firstLine="670"/>
        <w:spacing w:after="0" w:line="265" w:lineRule="auto"/>
        <w:rPr>
          <w:sz w:val="20"/>
          <w:szCs w:val="20"/>
          <w:color w:val="auto"/>
        </w:rPr>
      </w:pPr>
      <w:r>
        <w:rPr>
          <w:rFonts w:ascii="Times New Roman" w:cs="Times New Roman" w:eastAsia="Times New Roman" w:hAnsi="Times New Roman"/>
          <w:sz w:val="20"/>
          <w:szCs w:val="20"/>
          <w:color w:val="auto"/>
        </w:rPr>
        <w:t>The Company’s CDIs are quoted on the ASX under AVITA Medical’s previous ASX ticker code, “AVH”. The Company’s shares of common stock are quoted on Nasdaq under AVITA Medical’s previous Nasdaq ticker code, “RCEL”. One share of common stock on Nasdaq is equivalent to five CDIs on the ASX.</w:t>
      </w:r>
    </w:p>
    <w:p>
      <w:pPr>
        <w:spacing w:after="0" w:line="177" w:lineRule="exact"/>
        <w:rPr>
          <w:sz w:val="20"/>
          <w:szCs w:val="20"/>
          <w:color w:val="auto"/>
        </w:rPr>
      </w:pPr>
    </w:p>
    <w:p>
      <w:pPr>
        <w:ind w:right="140" w:firstLine="490"/>
        <w:spacing w:after="0" w:line="250" w:lineRule="auto"/>
        <w:rPr>
          <w:sz w:val="20"/>
          <w:szCs w:val="20"/>
          <w:color w:val="auto"/>
        </w:rPr>
      </w:pPr>
      <w:r>
        <w:rPr>
          <w:rFonts w:ascii="Times New Roman" w:cs="Times New Roman" w:eastAsia="Times New Roman" w:hAnsi="Times New Roman"/>
          <w:sz w:val="20"/>
          <w:szCs w:val="20"/>
          <w:color w:val="auto"/>
        </w:rPr>
        <w:t>The Company is authorized to issue 200,000,000 shares of common stock, par value $0.0001 per share, and 10,000,000 shares of preferred stock, par value $0.0001 per share, issuable in one or more series as designated by the Company’s board of directors. No other class of capital stock is authorized. The Company has 25,208,436, 24,925,743, and 24,895,864 shares of common stock issued and outstanding as of December 31, 2022, December 31, 2021, and June 30, 2021, respectively. The Company has no shares of preferred stock outstanding during any period.</w:t>
      </w:r>
    </w:p>
    <w:p>
      <w:pPr>
        <w:spacing w:after="0" w:line="194"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On March 1, 2021, the Company issued 3,214,250 shares of common stock at the offering price of $21.50 per share. The gross proceeds from the offering were approximately $69.1 million while the Company incurred $5.1 million in capital issuance expenses. The offering was made pursuant to a shelf registration statement on Form S-3 (File No. 333-249419) that was previously filed with the Securities and Exchange Commission (the “SEC”) on October 9, 2020, and declared effective on October 16, 2020. It was also publicly released on the ASX. The final prospectus supplement relating to and describing the terms of the offering was filed with the SEC on February 25, 2021 (in the United States) and released on the ASX on March 1, 2021 (in Australia).</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Revenue</w:t>
      </w:r>
    </w:p>
    <w:p>
      <w:pPr>
        <w:spacing w:after="0" w:line="124" w:lineRule="exact"/>
        <w:rPr>
          <w:sz w:val="20"/>
          <w:szCs w:val="20"/>
          <w:color w:val="auto"/>
        </w:rPr>
      </w:pPr>
    </w:p>
    <w:p>
      <w:pPr>
        <w:ind w:right="100" w:firstLine="720"/>
        <w:spacing w:after="0" w:line="259" w:lineRule="auto"/>
        <w:rPr>
          <w:sz w:val="20"/>
          <w:szCs w:val="20"/>
          <w:color w:val="auto"/>
        </w:rPr>
      </w:pPr>
      <w:r>
        <w:rPr>
          <w:rFonts w:ascii="Times New Roman" w:cs="Times New Roman" w:eastAsia="Times New Roman" w:hAnsi="Times New Roman"/>
          <w:sz w:val="20"/>
          <w:szCs w:val="20"/>
          <w:color w:val="auto"/>
        </w:rPr>
        <w:t>The Company’s revenue consists of sale of the RECELL System to hospitals or other treatment centers, COSMOTEC and to BARDA (collectively “</w:t>
      </w:r>
      <w:r>
        <w:rPr>
          <w:rFonts w:ascii="Times New Roman" w:cs="Times New Roman" w:eastAsia="Times New Roman" w:hAnsi="Times New Roman"/>
          <w:sz w:val="20"/>
          <w:szCs w:val="20"/>
          <w:b w:val="1"/>
          <w:bCs w:val="1"/>
          <w:color w:val="auto"/>
        </w:rPr>
        <w:t>customers</w:t>
      </w:r>
      <w:r>
        <w:rPr>
          <w:rFonts w:ascii="Times New Roman" w:cs="Times New Roman" w:eastAsia="Times New Roman" w:hAnsi="Times New Roman"/>
          <w:sz w:val="20"/>
          <w:szCs w:val="20"/>
          <w:color w:val="auto"/>
        </w:rPr>
        <w:t>”), predominately in the United States. In addition, the Company records service revenue for the emergency preparedness services provided to BARDA.</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Performance Obligations</w:t>
      </w:r>
    </w:p>
    <w:p>
      <w:pPr>
        <w:spacing w:after="0" w:line="119" w:lineRule="exact"/>
        <w:rPr>
          <w:sz w:val="20"/>
          <w:szCs w:val="20"/>
          <w:color w:val="auto"/>
        </w:rPr>
      </w:pPr>
    </w:p>
    <w:p>
      <w:pPr>
        <w:ind w:right="40" w:firstLine="720"/>
        <w:spacing w:after="0" w:line="246" w:lineRule="auto"/>
        <w:rPr>
          <w:sz w:val="20"/>
          <w:szCs w:val="20"/>
          <w:color w:val="auto"/>
        </w:rPr>
      </w:pPr>
      <w:r>
        <w:rPr>
          <w:rFonts w:ascii="Times New Roman" w:cs="Times New Roman" w:eastAsia="Times New Roman" w:hAnsi="Times New Roman"/>
          <w:sz w:val="20"/>
          <w:szCs w:val="20"/>
          <w:color w:val="auto"/>
        </w:rPr>
        <w:t>For commercial contracts, we identified the hospital or treatment center and COSMOTEC as the customer in Step 1 of the ASC 606 5 step model and have determined a contract exists with those customers in Step 1. As these contracts typically have a single performance obligation (i.e. product delivery), no allocation of the transaction price is required in Step 4 of the model. Control of the product is transferred to the customer at a point in time. Specifically, we determined the customer obtains control of the product at point in time at which the goods are either shipped or delivered to our customers’ facilities, depending on the terms of the contract. The transaction price is stated within the contract and is therefore fixed consideration. The transaction price does not include the sales tax that are imposed by governmental authorities.</w:t>
      </w:r>
    </w:p>
    <w:p>
      <w:pPr>
        <w:spacing w:after="0" w:line="201" w:lineRule="exact"/>
        <w:rPr>
          <w:sz w:val="20"/>
          <w:szCs w:val="20"/>
          <w:color w:val="auto"/>
        </w:rPr>
      </w:pPr>
    </w:p>
    <w:p>
      <w:pPr>
        <w:ind w:firstLine="720"/>
        <w:spacing w:after="0" w:line="242" w:lineRule="auto"/>
        <w:rPr>
          <w:sz w:val="20"/>
          <w:szCs w:val="20"/>
          <w:color w:val="auto"/>
        </w:rPr>
      </w:pPr>
      <w:r>
        <w:rPr>
          <w:rFonts w:ascii="Times New Roman" w:cs="Times New Roman" w:eastAsia="Times New Roman" w:hAnsi="Times New Roman"/>
          <w:sz w:val="20"/>
          <w:szCs w:val="20"/>
          <w:color w:val="auto"/>
        </w:rPr>
        <w:t>For the contract with BARDA, the Company identified two performance obligations (i) the procurement of 5,614 RECELL units, (ii) emergency preparedness services. The Company’s performance obligations are either satisfied at a point in time or over time as services are provided. The product procurement performance obligation is satisfied at a point in time, upon transfer of control of the product. RECELL units that have been delivered to BARDA have a product replacement obligation at no cost to BARDA due to product’s limited shelf-life. The estimated cost of the expired inventory over the term of the contract is recognized on a per unit basis at the time of delivery. The estimated liability is released upon replacement of the product along with a corresponding reduction to inventory. The Company has estimated deferred cost of approximately $194,000, $64,000 and $343,000 as of December 31, 2022, December 31, 2021, and June 30, 2021, respectively, for the rotation cost of the product. Such amounts are recorded in other current liabilities in the amounts of $194,000, $0, and $77,000 and other long-term liabilities in the amount of $0, $64,000, and $266,000 as of December 31, 2022, December 31, 2021, and June 30, 2021, respectively. The emergency preparedness services performance obligation is satisfied over time. Revenue for the emergency deployment will be recognized on a straight-line basis during the term of the contract as services are consumed over time. Services recognized of $370,000, $185,000 and $154,000 for the year-ended December 31, 2022, the transition period ended December 31, 2021, and the year-ended June 30, 2021, respectively, and are included</w:t>
      </w:r>
    </w:p>
    <w:p>
      <w:pPr>
        <w:spacing w:after="0" w:line="12" w:lineRule="exact"/>
        <w:rPr>
          <w:sz w:val="20"/>
          <w:szCs w:val="20"/>
          <w:color w:val="auto"/>
        </w:rPr>
      </w:pPr>
    </w:p>
    <w:p>
      <w:pPr>
        <w:jc w:val="center"/>
        <w:ind w:right="500"/>
        <w:spacing w:after="0" w:line="539" w:lineRule="auto"/>
        <w:rPr>
          <w:sz w:val="20"/>
          <w:szCs w:val="20"/>
          <w:color w:val="auto"/>
        </w:rPr>
      </w:pPr>
      <w:r>
        <w:rPr>
          <w:rFonts w:ascii="Times New Roman" w:cs="Times New Roman" w:eastAsia="Times New Roman" w:hAnsi="Times New Roman"/>
          <w:sz w:val="20"/>
          <w:szCs w:val="20"/>
          <w:color w:val="auto"/>
        </w:rPr>
        <w:t>in sales within the Consolidated Statement of Operations. Contract costs to fulfil the performance obligation are incremental and F-25</w:t>
      </w:r>
    </w:p>
    <w:p>
      <w:pPr>
        <w:sectPr>
          <w:pgSz w:w="11880" w:h="15480" w:orient="portrait"/>
          <w:cols w:equalWidth="0" w:num="1">
            <w:col w:w="10800"/>
          </w:cols>
          <w:pgMar w:left="540" w:top="884" w:right="540" w:bottom="0" w:gutter="0" w:footer="0" w:header="0"/>
        </w:sectPr>
      </w:pPr>
    </w:p>
    <w:bookmarkStart w:id="91" w:name="page92"/>
    <w:bookmarkEnd w:id="91"/>
    <w:p>
      <w:pPr>
        <w:jc w:val="both"/>
        <w:spacing w:after="0" w:line="259" w:lineRule="auto"/>
        <w:rPr>
          <w:sz w:val="20"/>
          <w:szCs w:val="20"/>
          <w:color w:val="auto"/>
        </w:rPr>
      </w:pPr>
      <w:r>
        <w:rPr>
          <w:rFonts w:ascii="Times New Roman" w:cs="Times New Roman" w:eastAsia="Times New Roman" w:hAnsi="Times New Roman"/>
          <w:sz w:val="20"/>
          <w:szCs w:val="20"/>
          <w:color w:val="auto"/>
        </w:rPr>
        <w:t>expected to be recovered are capitalized and amortized on a straight-line basis over the term of the contract. As of December 31, 2022, contract cost of $252,000 are included in other current assets. As of December 31, 2021 and June 30, 2021 contract costs of $504,000,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$613,000 are included in other long-term assets, respectively.</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Remaining Performance Obligations</w:t>
      </w:r>
    </w:p>
    <w:p>
      <w:pPr>
        <w:spacing w:after="0" w:line="119" w:lineRule="exact"/>
        <w:rPr>
          <w:sz w:val="20"/>
          <w:szCs w:val="20"/>
          <w:color w:val="auto"/>
        </w:rPr>
      </w:pPr>
    </w:p>
    <w:p>
      <w:pPr>
        <w:ind w:right="60" w:firstLine="720"/>
        <w:spacing w:after="0" w:line="256" w:lineRule="auto"/>
        <w:rPr>
          <w:sz w:val="20"/>
          <w:szCs w:val="20"/>
          <w:color w:val="auto"/>
        </w:rPr>
      </w:pPr>
      <w:r>
        <w:rPr>
          <w:rFonts w:ascii="Times New Roman" w:cs="Times New Roman" w:eastAsia="Times New Roman" w:hAnsi="Times New Roman"/>
          <w:sz w:val="19"/>
          <w:szCs w:val="19"/>
          <w:color w:val="auto"/>
        </w:rPr>
        <w:t>Revenues from remaining performance obligations are calculated as the dollar value of the remaining performance obligations on executed contracts and relate to BARDA and COSMOTEC. The estimated revenue expected to be recognized in the future related to performance obligations that are unsatisfied (or partially unsatisfied) pursuant to the Company’s existing customer agreements is $698,000, $952,000, and $1.1 million as of December 31, 2022, December 31, 2021, and June 30, 2021, respectively. As of December 31, 2022, December 31, 2021 and June 30, 2021, the Company had $274,000, $517,000 and $665,000, respectively, in contract liabilities related to our contract with BARDA for the purchase, delivery and storage of the RECELL system for emergency response preparedness. The Company expects to recognize this amount as services are provided to BARDA. We are contracted to manage this inventory of product until the federal government requests shipment or at contract termination on December 31, 2023. Related to the contract with COSMOTEC, the Company had $424,000, $435,000, and $435,000 in contract liabilities as of December 31, 2022, December 31, 2021, and June 30, 2021, respectively. The Company expects to recognize revenue on a straight-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line basis over the term of the contract commencing with the generation of commercial sales to COSMOTEC.</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Variable Consideration</w:t>
      </w:r>
    </w:p>
    <w:p>
      <w:pPr>
        <w:spacing w:after="0" w:line="119" w:lineRule="exact"/>
        <w:rPr>
          <w:sz w:val="20"/>
          <w:szCs w:val="20"/>
          <w:color w:val="auto"/>
        </w:rPr>
      </w:pPr>
    </w:p>
    <w:p>
      <w:pPr>
        <w:ind w:right="60" w:firstLine="720"/>
        <w:spacing w:after="0" w:line="249" w:lineRule="auto"/>
        <w:rPr>
          <w:sz w:val="20"/>
          <w:szCs w:val="20"/>
          <w:color w:val="auto"/>
        </w:rPr>
      </w:pPr>
      <w:r>
        <w:rPr>
          <w:rFonts w:ascii="Times New Roman" w:cs="Times New Roman" w:eastAsia="Times New Roman" w:hAnsi="Times New Roman"/>
          <w:sz w:val="20"/>
          <w:szCs w:val="20"/>
          <w:color w:val="auto"/>
        </w:rPr>
        <w:t>The Company evaluates its contracts with customers for forms of variable consideration, which may require an adjustment to the transaction price based on their estimated impact. For commercial customers, revenue from the sale of goods is recognized net of volume discounts. The Company uses the expected value method when estimating variable consideration. Revenue is only recognized to the extent that it is probable that a significant reversal will not occur. Variable consideration under the BARDA contract is not material to the consolidated financial statements.</w:t>
      </w:r>
    </w:p>
    <w:p>
      <w:pPr>
        <w:spacing w:after="0" w:line="197" w:lineRule="exact"/>
        <w:rPr>
          <w:sz w:val="20"/>
          <w:szCs w:val="20"/>
          <w:color w:val="auto"/>
        </w:rPr>
      </w:pPr>
    </w:p>
    <w:p>
      <w:pPr>
        <w:ind w:right="20" w:firstLine="721"/>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Volume Discounts </w:t>
      </w:r>
      <w:r>
        <w:rPr>
          <w:rFonts w:ascii="Times New Roman" w:cs="Times New Roman" w:eastAsia="Times New Roman" w:hAnsi="Times New Roman"/>
          <w:sz w:val="20"/>
          <w:szCs w:val="20"/>
          <w:color w:val="auto"/>
        </w:rPr>
        <w:t>— The Company generally provides contracted customers with volume discounts that are explicitly stated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the Company’s customer contracts. The RECELL system is sold with respective volume discounts based on aggregated sales over a 12-month period on a customer-by-customer basis. Revenue from these sales is recognized based on the price specified in the contract, net of estimated volume discounts, and net of any sales tax charged. Goods sold are not eligible for return. The Company has determined such discounts are not distinct from the Company’s sale of products to the customer and, therefore, these payments have been recorded as a reduction of revenue and as a reduction to accounts receivable, net.</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 Assets and Contract Liabilities</w:t>
      </w:r>
    </w:p>
    <w:p>
      <w:pPr>
        <w:spacing w:after="0" w:line="119" w:lineRule="exact"/>
        <w:rPr>
          <w:sz w:val="20"/>
          <w:szCs w:val="20"/>
          <w:color w:val="auto"/>
        </w:rPr>
      </w:pPr>
    </w:p>
    <w:p>
      <w:pPr>
        <w:ind w:right="120" w:firstLine="721"/>
        <w:spacing w:after="0" w:line="258" w:lineRule="auto"/>
        <w:rPr>
          <w:sz w:val="20"/>
          <w:szCs w:val="20"/>
          <w:color w:val="auto"/>
        </w:rPr>
      </w:pPr>
      <w:r>
        <w:rPr>
          <w:rFonts w:ascii="Times New Roman" w:cs="Times New Roman" w:eastAsia="Times New Roman" w:hAnsi="Times New Roman"/>
          <w:sz w:val="20"/>
          <w:szCs w:val="20"/>
          <w:color w:val="auto"/>
        </w:rPr>
        <w:t>Contract assets include amounts related to the Company’s contractual right to consideration for both completed and partially completed performance for which the Company does not have the right to payment. As of December 31, 2022, December 31, 2021 and June 30, 2021 the Company does not have any contract assets.</w:t>
      </w:r>
    </w:p>
    <w:p>
      <w:pPr>
        <w:spacing w:after="0" w:line="188" w:lineRule="exact"/>
        <w:rPr>
          <w:sz w:val="20"/>
          <w:szCs w:val="20"/>
          <w:color w:val="auto"/>
        </w:rPr>
      </w:pPr>
    </w:p>
    <w:p>
      <w:pPr>
        <w:ind w:firstLine="721"/>
        <w:spacing w:after="0" w:line="244" w:lineRule="auto"/>
        <w:rPr>
          <w:sz w:val="20"/>
          <w:szCs w:val="20"/>
          <w:color w:val="auto"/>
        </w:rPr>
      </w:pPr>
      <w:r>
        <w:rPr>
          <w:rFonts w:ascii="Times New Roman" w:cs="Times New Roman" w:eastAsia="Times New Roman" w:hAnsi="Times New Roman"/>
          <w:sz w:val="20"/>
          <w:szCs w:val="20"/>
          <w:color w:val="auto"/>
        </w:rPr>
        <w:t>Contract liabilities are recorded when the Company receives payment prior to satisfying its obligation to transfer goods to a customer. The Company had $698,000, $952,000, and $1.1 million of contract liabilities as of December 31, 2022, December 31, 2021, and June 30, 2021, respectively. The balance relates to the unsatisfied performance obligation for emergency preparedness under the BARDA contract and COSMOTEC. Performance obligation will be recognized over time over the term of the contract. For the year-ended December 31, 2022 and the transition period ended December 31, 2021, the Company recognized $370,000, and $185,000 of BARDA revenue from amounts included in the beginning balance of contract liabilities. For the year-ended June 30, 2021, amounts recognized were not significant. The Company recognized $11,000 of revenue for COSMOTEC for amounts included in the beginning balance of contract liabilities. The Company did not recognize any revenue for the transition period ended December 31, 2021 and the year-ended June 30, 2021 related to COSMOTEC for amounts included in the beginning balance of contract liabilities.</w:t>
      </w:r>
    </w:p>
    <w:p>
      <w:pPr>
        <w:sectPr>
          <w:pgSz w:w="11880" w:h="15480" w:orient="portrait"/>
          <w:cols w:equalWidth="0" w:num="1">
            <w:col w:w="10800"/>
          </w:cols>
          <w:pgMar w:left="540" w:top="887" w:right="540" w:bottom="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F-26</w:t>
      </w:r>
    </w:p>
    <w:p>
      <w:pPr>
        <w:sectPr>
          <w:pgSz w:w="11880" w:h="15480" w:orient="portrait"/>
          <w:cols w:equalWidth="0" w:num="1">
            <w:col w:w="10800"/>
          </w:cols>
          <w:pgMar w:left="540" w:top="887" w:right="540" w:bottom="5"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20"/>
          <w:szCs w:val="20"/>
          <w:b w:val="1"/>
          <w:bCs w:val="1"/>
          <w:i w:val="1"/>
          <w:iCs w:val="1"/>
          <w:color w:val="auto"/>
        </w:rPr>
        <w:t>Cost to Obtain and Fulfill a Contract</w:t>
      </w:r>
    </w:p>
    <w:p>
      <w:pPr>
        <w:spacing w:after="0" w:line="119" w:lineRule="exact"/>
        <w:rPr>
          <w:sz w:val="20"/>
          <w:szCs w:val="20"/>
          <w:color w:val="auto"/>
        </w:rPr>
      </w:pPr>
    </w:p>
    <w:p>
      <w:pPr>
        <w:ind w:right="160" w:firstLine="720"/>
        <w:spacing w:after="0" w:line="259" w:lineRule="auto"/>
        <w:rPr>
          <w:sz w:val="20"/>
          <w:szCs w:val="20"/>
          <w:color w:val="auto"/>
        </w:rPr>
      </w:pPr>
      <w:r>
        <w:rPr>
          <w:rFonts w:ascii="Times New Roman" w:cs="Times New Roman" w:eastAsia="Times New Roman" w:hAnsi="Times New Roman"/>
          <w:sz w:val="20"/>
          <w:szCs w:val="20"/>
          <w:color w:val="auto"/>
        </w:rPr>
        <w:t>Contract fulfillment costs include commissions and shipping expenses. The Company has opted to immediately expense the incremental cost of obtaining a contract when the underlying related asset would have been amortized over one year or less. The Company generally does not incur costs to obtain new contracts.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BARDA Contract Costs</w:t>
      </w:r>
    </w:p>
    <w:p>
      <w:pPr>
        <w:spacing w:after="0" w:line="1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Cost to fulfil the BARDA emergency preparedness performance obligation, which primarily consist of billed costs to</w:t>
      </w:r>
    </w:p>
    <w:p>
      <w:pPr>
        <w:spacing w:after="0"/>
        <w:rPr>
          <w:sz w:val="20"/>
          <w:szCs w:val="20"/>
          <w:color w:val="auto"/>
        </w:rPr>
      </w:pPr>
      <w:r>
        <w:rPr>
          <w:rFonts w:ascii="Times New Roman" w:cs="Times New Roman" w:eastAsia="Times New Roman" w:hAnsi="Times New Roman"/>
          <w:sz w:val="20"/>
          <w:szCs w:val="20"/>
          <w:color w:val="auto"/>
        </w:rPr>
        <w:t>BARDA incurred in connection with the emergency deployment services, are incremental and expected to be recovered. Costs are</w:t>
      </w:r>
    </w:p>
    <w:p>
      <w:pPr>
        <w:spacing w:after="0"/>
        <w:rPr>
          <w:sz w:val="20"/>
          <w:szCs w:val="20"/>
          <w:color w:val="auto"/>
        </w:rPr>
      </w:pPr>
      <w:r>
        <w:rPr>
          <w:rFonts w:ascii="Times New Roman" w:cs="Times New Roman" w:eastAsia="Times New Roman" w:hAnsi="Times New Roman"/>
          <w:sz w:val="20"/>
          <w:szCs w:val="20"/>
          <w:color w:val="auto"/>
        </w:rPr>
        <w:t>capitalized and amortized on a straight-line basis over the term of the contract. As of December 31, 2022, the Company had $252,000</w:t>
      </w:r>
    </w:p>
    <w:p>
      <w:pPr>
        <w:spacing w:after="0"/>
        <w:rPr>
          <w:sz w:val="20"/>
          <w:szCs w:val="20"/>
          <w:color w:val="auto"/>
        </w:rPr>
      </w:pPr>
      <w:r>
        <w:rPr>
          <w:rFonts w:ascii="Times New Roman" w:cs="Times New Roman" w:eastAsia="Times New Roman" w:hAnsi="Times New Roman"/>
          <w:sz w:val="20"/>
          <w:szCs w:val="20"/>
          <w:color w:val="auto"/>
        </w:rPr>
        <w:t>of contract costs included in other current assets. As of December 31, 2021 and June 30, 2021, the Company had $504,000 and</w:t>
      </w:r>
    </w:p>
    <w:p>
      <w:pPr>
        <w:spacing w:after="0" w:line="238" w:lineRule="auto"/>
        <w:rPr>
          <w:sz w:val="20"/>
          <w:szCs w:val="20"/>
          <w:color w:val="auto"/>
        </w:rPr>
      </w:pPr>
      <w:r>
        <w:rPr>
          <w:rFonts w:ascii="Times New Roman" w:cs="Times New Roman" w:eastAsia="Times New Roman" w:hAnsi="Times New Roman"/>
          <w:sz w:val="20"/>
          <w:szCs w:val="20"/>
          <w:color w:val="auto"/>
        </w:rPr>
        <w:t>$613,000 of contracts costs included in other long-term assets. Amortization expense related to deferred contract costs were $338,000,</w:t>
      </w:r>
    </w:p>
    <w:p>
      <w:pPr>
        <w:spacing w:after="0"/>
        <w:rPr>
          <w:sz w:val="20"/>
          <w:szCs w:val="20"/>
          <w:color w:val="auto"/>
        </w:rPr>
      </w:pPr>
      <w:r>
        <w:rPr>
          <w:rFonts w:ascii="Times New Roman" w:cs="Times New Roman" w:eastAsia="Times New Roman" w:hAnsi="Times New Roman"/>
          <w:sz w:val="20"/>
          <w:szCs w:val="20"/>
          <w:color w:val="auto"/>
        </w:rPr>
        <w:t>$167,000, and $129,000 during the year-ended December 31, 2022, the transition period ended December 31, 2021 and the year-ended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30, 2021, respectively, and are classified as cost of sales on the accompanying Consolidated Statements of Operations. There</w:t>
      </w:r>
    </w:p>
    <w:p>
      <w:pPr>
        <w:spacing w:after="0"/>
        <w:rPr>
          <w:sz w:val="20"/>
          <w:szCs w:val="20"/>
          <w:color w:val="auto"/>
        </w:rPr>
      </w:pPr>
      <w:r>
        <w:rPr>
          <w:rFonts w:ascii="Times New Roman" w:cs="Times New Roman" w:eastAsia="Times New Roman" w:hAnsi="Times New Roman"/>
          <w:sz w:val="20"/>
          <w:szCs w:val="20"/>
          <w:color w:val="auto"/>
        </w:rPr>
        <w:t>was no impairment loss in relation to deferred contract costs during the year-ended December 31, 2022, the transition period ended</w:t>
      </w:r>
    </w:p>
    <w:p>
      <w:pPr>
        <w:spacing w:after="0"/>
        <w:rPr>
          <w:sz w:val="20"/>
          <w:szCs w:val="20"/>
          <w:color w:val="auto"/>
        </w:rPr>
      </w:pPr>
      <w:r>
        <w:rPr>
          <w:rFonts w:ascii="Times New Roman" w:cs="Times New Roman" w:eastAsia="Times New Roman" w:hAnsi="Times New Roman"/>
          <w:sz w:val="20"/>
          <w:szCs w:val="20"/>
          <w:color w:val="auto"/>
        </w:rPr>
        <w:t>December 31, 2021, and the year-ended June 30, 2021.</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Disaggregated Revenue</w:t>
      </w:r>
    </w:p>
    <w:p>
      <w:pPr>
        <w:spacing w:after="0" w:line="119" w:lineRule="exact"/>
        <w:rPr>
          <w:sz w:val="20"/>
          <w:szCs w:val="20"/>
          <w:color w:val="auto"/>
        </w:rPr>
      </w:pPr>
    </w:p>
    <w:p>
      <w:pPr>
        <w:ind w:right="180" w:firstLine="720"/>
        <w:spacing w:after="0" w:line="258" w:lineRule="auto"/>
        <w:rPr>
          <w:sz w:val="20"/>
          <w:szCs w:val="20"/>
          <w:color w:val="auto"/>
        </w:rPr>
      </w:pPr>
      <w:r>
        <w:rPr>
          <w:rFonts w:ascii="Times New Roman" w:cs="Times New Roman" w:eastAsia="Times New Roman" w:hAnsi="Times New Roman"/>
          <w:sz w:val="20"/>
          <w:szCs w:val="20"/>
          <w:color w:val="auto"/>
        </w:rPr>
        <w:t>The Company disaggregates revenue from contracts with customers into geographical regions and by customer type. As noted in the segment footnote, the Company’s business consists of one reporting segment. A reconciliation of disaggregated revenue by geographical region and customer type is provided in Segment Note 11.</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Share-Based Payment Plans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Overview of Employee Share-Based Compensation Plans</w:t>
      </w:r>
    </w:p>
    <w:p>
      <w:pPr>
        <w:spacing w:after="0" w:line="227" w:lineRule="exact"/>
        <w:rPr>
          <w:sz w:val="20"/>
          <w:szCs w:val="20"/>
          <w:color w:val="auto"/>
        </w:rPr>
      </w:pPr>
    </w:p>
    <w:p>
      <w:pPr>
        <w:ind w:firstLine="720"/>
        <w:spacing w:after="0" w:line="244" w:lineRule="auto"/>
        <w:rPr>
          <w:sz w:val="20"/>
          <w:szCs w:val="20"/>
          <w:color w:val="auto"/>
        </w:rPr>
      </w:pPr>
      <w:r>
        <w:rPr>
          <w:rFonts w:ascii="Times New Roman" w:cs="Times New Roman" w:eastAsia="Times New Roman" w:hAnsi="Times New Roman"/>
          <w:sz w:val="20"/>
          <w:szCs w:val="20"/>
          <w:color w:val="auto"/>
        </w:rPr>
        <w:t>Our former parent company, AVITA Medical, adopted the Employee Share Plan and the Incentive Option Plan (collectively, the “</w:t>
      </w:r>
      <w:r>
        <w:rPr>
          <w:rFonts w:ascii="Times New Roman" w:cs="Times New Roman" w:eastAsia="Times New Roman" w:hAnsi="Times New Roman"/>
          <w:sz w:val="20"/>
          <w:szCs w:val="20"/>
          <w:b w:val="1"/>
          <w:bCs w:val="1"/>
          <w:color w:val="auto"/>
        </w:rPr>
        <w:t>2016 Plans</w:t>
      </w:r>
      <w:r>
        <w:rPr>
          <w:rFonts w:ascii="Times New Roman" w:cs="Times New Roman" w:eastAsia="Times New Roman" w:hAnsi="Times New Roman"/>
          <w:sz w:val="20"/>
          <w:szCs w:val="20"/>
          <w:color w:val="auto"/>
        </w:rPr>
        <w:t>”). Upon completion of the Redomiciliation, the 2016 Plans were terminated with respect to future grants and accordingly, there are no more shares available to be issued under the 2016 Plans. In addition, upon completion of the Redomiciliation, the Company had an implicit consolidation or reverse stock split of 100:1 and all share information presented below in relation to the 2016 Plans has been presented on a reverse split stock basis. During November 2020, the Company, pursuant to Rule 416 under the Securities Act of 1933, filed a registration statement on form S-8 to register a total of 1,750,000 shares of common stock which may be issued pursuant to the terms of the Company’s 2020 Omnibus Incentive Plan (“</w:t>
      </w:r>
      <w:r>
        <w:rPr>
          <w:rFonts w:ascii="Times New Roman" w:cs="Times New Roman" w:eastAsia="Times New Roman" w:hAnsi="Times New Roman"/>
          <w:sz w:val="20"/>
          <w:szCs w:val="20"/>
          <w:b w:val="1"/>
          <w:bCs w:val="1"/>
          <w:color w:val="auto"/>
        </w:rPr>
        <w:t>2020 Plan</w:t>
      </w:r>
      <w:r>
        <w:rPr>
          <w:rFonts w:ascii="Times New Roman" w:cs="Times New Roman" w:eastAsia="Times New Roman" w:hAnsi="Times New Roman"/>
          <w:sz w:val="20"/>
          <w:szCs w:val="20"/>
          <w:color w:val="auto"/>
        </w:rPr>
        <w:t>”). On December 22, 2021, the Company’s stockholders approved the issuance of options and awards to the Board of Directors and the former CEO (“</w:t>
      </w:r>
      <w:r>
        <w:rPr>
          <w:rFonts w:ascii="Times New Roman" w:cs="Times New Roman" w:eastAsia="Times New Roman" w:hAnsi="Times New Roman"/>
          <w:sz w:val="20"/>
          <w:szCs w:val="20"/>
          <w:b w:val="1"/>
          <w:bCs w:val="1"/>
          <w:color w:val="auto"/>
        </w:rPr>
        <w:t>Former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CEO”)</w:t>
      </w:r>
      <w:r>
        <w:rPr>
          <w:rFonts w:ascii="Times New Roman" w:cs="Times New Roman" w:eastAsia="Times New Roman" w:hAnsi="Times New Roman"/>
          <w:sz w:val="20"/>
          <w:szCs w:val="20"/>
          <w:color w:val="auto"/>
        </w:rPr>
        <w:t>. These awards are subject to the vesting and performance conditions as denoted in the individual agreements. On December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12, 2022, the Company’s stockholders approved the issuance of options and awards to the Board of Directors and the CEO. These awards are subject to the vesting and performance conditions as denoted in the individual agreements.</w:t>
      </w:r>
    </w:p>
    <w:p>
      <w:pPr>
        <w:spacing w:after="0" w:line="19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2020 Plan provides for the grant of the following Grants: (a) Incentive Stock Options, (b) Nonstatutory Stock Options,</w:t>
      </w:r>
    </w:p>
    <w:p>
      <w:pPr>
        <w:ind w:left="280" w:hanging="280"/>
        <w:spacing w:after="0"/>
        <w:tabs>
          <w:tab w:leader="none" w:pos="2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Appreciation Rights, (d) Restricted Stock Grants, (e) Restricted Stock Unit Grants, (f) Performance Grants, and (g) Other</w:t>
      </w:r>
    </w:p>
    <w:p>
      <w:pPr>
        <w:ind w:right="40"/>
        <w:spacing w:after="0" w:line="24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Grants. The 2020 Plan will be administered by the Compensation Committee or by the Board acting as the Compensation Committee. Subject to the general purposes, terms and conditions of the 2020 Plan, applicable law and any charter adopted by the Board governing the actions of the Compensation Committee, the Compensation Committee will have full power to implement and carry out the 2020 Plan. Without limitation, the Compensation Committee will have the authority to interpret the plan, approve persons to receive grants, determine the terms and number of shares of the grants, determine vesting and exercisability of grants, and make all other determinations necessary or advisable in connection with the administration of this Plan.</w:t>
      </w:r>
    </w:p>
    <w:p>
      <w:pPr>
        <w:spacing w:after="0" w:line="200" w:lineRule="exact"/>
        <w:rPr>
          <w:sz w:val="20"/>
          <w:szCs w:val="20"/>
          <w:color w:val="auto"/>
        </w:rPr>
      </w:pPr>
    </w:p>
    <w:p>
      <w:pPr>
        <w:ind w:right="80" w:firstLine="721"/>
        <w:spacing w:after="0" w:line="253" w:lineRule="auto"/>
        <w:rPr>
          <w:sz w:val="20"/>
          <w:szCs w:val="20"/>
          <w:color w:val="auto"/>
        </w:rPr>
      </w:pPr>
      <w:r>
        <w:rPr>
          <w:rFonts w:ascii="Times New Roman" w:cs="Times New Roman" w:eastAsia="Times New Roman" w:hAnsi="Times New Roman"/>
          <w:sz w:val="20"/>
          <w:szCs w:val="20"/>
          <w:color w:val="auto"/>
        </w:rPr>
        <w:t>The contractual term of awards granted under the 2020 Plan is ten years from the date of its grant. Unless otherwise specified, the vesting period of awards under the 2020 Plan was: (i) vest over a four-year period in four equal installments, 25% at the end of each year from the date of grant, and /or (ii) subject to other performance criteria and hurdles, as determined by the Compensation Committee</w:t>
      </w:r>
    </w:p>
    <w:p>
      <w:pPr>
        <w:sectPr>
          <w:pgSz w:w="11880" w:h="15480" w:orient="portrait"/>
          <w:cols w:equalWidth="0" w:num="1">
            <w:col w:w="10800"/>
          </w:cols>
          <w:pgMar w:left="540" w:top="888" w:right="540" w:bottom="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F-27</w:t>
      </w:r>
    </w:p>
    <w:p>
      <w:pPr>
        <w:sectPr>
          <w:pgSz w:w="11880" w:h="15480" w:orient="portrait"/>
          <w:cols w:equalWidth="0" w:num="1">
            <w:col w:w="10800"/>
          </w:cols>
          <w:pgMar w:left="540" w:top="888" w:right="540" w:bottom="5" w:gutter="0" w:footer="0" w:header="0"/>
          <w:type w:val="continuous"/>
        </w:sectPr>
      </w:pPr>
    </w:p>
    <w:bookmarkStart w:id="93" w:name="page94"/>
    <w:bookmarkEnd w:id="93"/>
    <w:p>
      <w:pPr>
        <w:ind w:left="720"/>
        <w:spacing w:after="0"/>
        <w:rPr>
          <w:sz w:val="20"/>
          <w:szCs w:val="20"/>
          <w:color w:val="auto"/>
        </w:rPr>
      </w:pPr>
      <w:r>
        <w:rPr>
          <w:rFonts w:ascii="Times New Roman" w:cs="Times New Roman" w:eastAsia="Times New Roman" w:hAnsi="Times New Roman"/>
          <w:sz w:val="20"/>
          <w:szCs w:val="20"/>
          <w:color w:val="auto"/>
        </w:rPr>
        <w:t>The following table summarizes information about the Company’s share-based award plans as of December 31, 2022:</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Outstanding</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6"/>
              </w:rPr>
              <w:t>Shares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36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Restricted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available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36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w w:val="99"/>
              </w:rPr>
              <w:t>Outstanding</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Stock</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 future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94"/>
        </w:trPr>
        <w:tc>
          <w:tcPr>
            <w:tcW w:w="3620" w:type="dxa"/>
            <w:vAlign w:val="bottom"/>
          </w:tcPr>
          <w:p>
            <w:pPr>
              <w:spacing w:after="0"/>
              <w:rPr>
                <w:sz w:val="24"/>
                <w:szCs w:val="24"/>
                <w:color w:val="auto"/>
              </w:rPr>
            </w:pPr>
          </w:p>
        </w:tc>
        <w:tc>
          <w:tcPr>
            <w:tcW w:w="1960" w:type="dxa"/>
            <w:vAlign w:val="bottom"/>
            <w:tcBorders>
              <w:bottom w:val="single" w:sz="8" w:color="D5EEEE"/>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Options</w:t>
            </w:r>
          </w:p>
        </w:tc>
        <w:tc>
          <w:tcPr>
            <w:tcW w:w="100" w:type="dxa"/>
            <w:vAlign w:val="bottom"/>
            <w:tcBorders>
              <w:bottom w:val="single" w:sz="8" w:color="D5EEEE"/>
            </w:tcBorders>
          </w:tcPr>
          <w:p>
            <w:pPr>
              <w:spacing w:after="0"/>
              <w:rPr>
                <w:sz w:val="24"/>
                <w:szCs w:val="24"/>
                <w:color w:val="auto"/>
              </w:rPr>
            </w:pPr>
          </w:p>
        </w:tc>
        <w:tc>
          <w:tcPr>
            <w:tcW w:w="140" w:type="dxa"/>
            <w:vAlign w:val="bottom"/>
            <w:tcBorders>
              <w:bottom w:val="single" w:sz="8" w:color="D5EEEE"/>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6"/>
              </w:rPr>
              <w:t>Units</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D5EEEE"/>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issuance</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D5EEEE"/>
            </w:tcBorders>
          </w:tcPr>
          <w:p>
            <w:pPr>
              <w:spacing w:after="0"/>
              <w:rPr>
                <w:sz w:val="24"/>
                <w:szCs w:val="24"/>
                <w:color w:val="auto"/>
              </w:rPr>
            </w:pPr>
          </w:p>
        </w:tc>
      </w:tr>
      <w:tr>
        <w:trPr>
          <w:trHeight w:val="204"/>
        </w:trPr>
        <w:tc>
          <w:tcPr>
            <w:tcW w:w="3620" w:type="dxa"/>
            <w:vAlign w:val="bottom"/>
            <w:tcBorders>
              <w:top w:val="single" w:sz="8" w:color="D5EEEE"/>
            </w:tcBorders>
            <w:shd w:val="clear" w:color="auto" w:fill="D5EEEE"/>
          </w:tcPr>
          <w:p>
            <w:pPr>
              <w:spacing w:after="0"/>
              <w:rPr>
                <w:sz w:val="17"/>
                <w:szCs w:val="17"/>
                <w:color w:val="auto"/>
              </w:rPr>
            </w:pPr>
          </w:p>
        </w:tc>
        <w:tc>
          <w:tcPr>
            <w:tcW w:w="1960" w:type="dxa"/>
            <w:vAlign w:val="bottom"/>
            <w:tcBorders>
              <w:top w:val="single" w:sz="8" w:color="D5EEEE"/>
            </w:tcBorders>
            <w:shd w:val="clear" w:color="auto" w:fill="D5EEEE"/>
          </w:tcPr>
          <w:p>
            <w:pPr>
              <w:spacing w:after="0"/>
              <w:rPr>
                <w:sz w:val="17"/>
                <w:szCs w:val="17"/>
                <w:color w:val="auto"/>
              </w:rPr>
            </w:pPr>
          </w:p>
        </w:tc>
        <w:tc>
          <w:tcPr>
            <w:tcW w:w="240" w:type="dxa"/>
            <w:vAlign w:val="bottom"/>
            <w:tcBorders>
              <w:top w:val="single" w:sz="8" w:color="D5EEEE"/>
            </w:tcBorders>
          </w:tcPr>
          <w:p>
            <w:pPr>
              <w:spacing w:after="0"/>
              <w:rPr>
                <w:sz w:val="17"/>
                <w:szCs w:val="17"/>
                <w:color w:val="auto"/>
              </w:rPr>
            </w:pPr>
          </w:p>
        </w:tc>
        <w:tc>
          <w:tcPr>
            <w:tcW w:w="1340" w:type="dxa"/>
            <w:vAlign w:val="bottom"/>
            <w:tcBorders>
              <w:top w:val="single" w:sz="8" w:color="D5EEEE"/>
            </w:tcBorders>
            <w:shd w:val="clear" w:color="auto" w:fill="D5EEEE"/>
          </w:tcPr>
          <w:p>
            <w:pPr>
              <w:jc w:val="right"/>
              <w:spacing w:after="0" w:line="204" w:lineRule="exact"/>
              <w:rPr>
                <w:sz w:val="20"/>
                <w:szCs w:val="20"/>
                <w:color w:val="auto"/>
              </w:rPr>
            </w:pPr>
            <w:r>
              <w:rPr>
                <w:rFonts w:ascii="Times New Roman" w:cs="Times New Roman" w:eastAsia="Times New Roman" w:hAnsi="Times New Roman"/>
                <w:sz w:val="20"/>
                <w:szCs w:val="20"/>
                <w:color w:val="auto"/>
              </w:rPr>
              <w:t>885,095</w:t>
            </w:r>
          </w:p>
        </w:tc>
        <w:tc>
          <w:tcPr>
            <w:tcW w:w="20" w:type="dxa"/>
            <w:vAlign w:val="bottom"/>
            <w:tcBorders>
              <w:top w:val="single" w:sz="8" w:color="D5EEEE"/>
            </w:tcBorders>
          </w:tcPr>
          <w:p>
            <w:pPr>
              <w:spacing w:after="0"/>
              <w:rPr>
                <w:sz w:val="17"/>
                <w:szCs w:val="17"/>
                <w:color w:val="auto"/>
              </w:rPr>
            </w:pPr>
          </w:p>
        </w:tc>
        <w:tc>
          <w:tcPr>
            <w:tcW w:w="100" w:type="dxa"/>
            <w:vAlign w:val="bottom"/>
            <w:tcBorders>
              <w:top w:val="single" w:sz="8" w:color="D5EEEE"/>
            </w:tcBorders>
            <w:shd w:val="clear" w:color="auto" w:fill="D5EEEE"/>
          </w:tcPr>
          <w:p>
            <w:pPr>
              <w:spacing w:after="0"/>
              <w:rPr>
                <w:sz w:val="17"/>
                <w:szCs w:val="17"/>
                <w:color w:val="auto"/>
              </w:rPr>
            </w:pPr>
          </w:p>
        </w:tc>
        <w:tc>
          <w:tcPr>
            <w:tcW w:w="140" w:type="dxa"/>
            <w:vAlign w:val="bottom"/>
            <w:tcBorders>
              <w:top w:val="single" w:sz="8" w:color="D5EEEE"/>
            </w:tcBorders>
          </w:tcPr>
          <w:p>
            <w:pPr>
              <w:spacing w:after="0"/>
              <w:rPr>
                <w:sz w:val="17"/>
                <w:szCs w:val="17"/>
                <w:color w:val="auto"/>
              </w:rPr>
            </w:pPr>
          </w:p>
        </w:tc>
        <w:tc>
          <w:tcPr>
            <w:tcW w:w="140" w:type="dxa"/>
            <w:vAlign w:val="bottom"/>
            <w:tcBorders>
              <w:top w:val="single" w:sz="8" w:color="D5EEEE"/>
              <w:right w:val="single" w:sz="8" w:color="D5EEEE"/>
            </w:tcBorders>
          </w:tcPr>
          <w:p>
            <w:pPr>
              <w:spacing w:after="0"/>
              <w:rPr>
                <w:sz w:val="17"/>
                <w:szCs w:val="17"/>
                <w:color w:val="auto"/>
              </w:rPr>
            </w:pPr>
          </w:p>
        </w:tc>
        <w:tc>
          <w:tcPr>
            <w:tcW w:w="1500" w:type="dxa"/>
            <w:vAlign w:val="bottom"/>
            <w:shd w:val="clear" w:color="auto" w:fill="D5EEEE"/>
          </w:tcPr>
          <w:p>
            <w:pPr>
              <w:jc w:val="right"/>
              <w:spacing w:after="0" w:line="204"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7"/>
                <w:szCs w:val="17"/>
                <w:color w:val="auto"/>
              </w:rPr>
            </w:pPr>
          </w:p>
        </w:tc>
        <w:tc>
          <w:tcPr>
            <w:tcW w:w="100" w:type="dxa"/>
            <w:vAlign w:val="bottom"/>
            <w:tcBorders>
              <w:top w:val="single" w:sz="8" w:color="D5EEEE"/>
            </w:tcBorders>
            <w:shd w:val="clear" w:color="auto" w:fill="D5EEEE"/>
          </w:tcPr>
          <w:p>
            <w:pPr>
              <w:spacing w:after="0"/>
              <w:rPr>
                <w:sz w:val="17"/>
                <w:szCs w:val="17"/>
                <w:color w:val="auto"/>
              </w:rPr>
            </w:pPr>
          </w:p>
        </w:tc>
        <w:tc>
          <w:tcPr>
            <w:tcW w:w="140" w:type="dxa"/>
            <w:vAlign w:val="bottom"/>
            <w:tcBorders>
              <w:top w:val="single" w:sz="8" w:color="D5EEEE"/>
            </w:tcBorders>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top w:val="single" w:sz="8" w:color="D5EEEE"/>
            </w:tcBorders>
            <w:shd w:val="clear" w:color="auto" w:fill="D5EEEE"/>
          </w:tcPr>
          <w:p>
            <w:pPr>
              <w:jc w:val="right"/>
              <w:spacing w:after="0" w:line="204"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top w:val="single" w:sz="8" w:color="D5EEEE"/>
            </w:tcBorders>
          </w:tcPr>
          <w:p>
            <w:pPr>
              <w:spacing w:after="0"/>
              <w:rPr>
                <w:sz w:val="17"/>
                <w:szCs w:val="17"/>
                <w:color w:val="auto"/>
              </w:rPr>
            </w:pPr>
          </w:p>
        </w:tc>
        <w:tc>
          <w:tcPr>
            <w:tcW w:w="100" w:type="dxa"/>
            <w:vAlign w:val="bottom"/>
            <w:tcBorders>
              <w:top w:val="single" w:sz="8" w:color="D5EEEE"/>
            </w:tcBorders>
            <w:shd w:val="clear" w:color="auto" w:fill="D5EEEE"/>
          </w:tcPr>
          <w:p>
            <w:pPr>
              <w:spacing w:after="0"/>
              <w:rPr>
                <w:sz w:val="17"/>
                <w:szCs w:val="17"/>
                <w:color w:val="auto"/>
              </w:rPr>
            </w:pPr>
          </w:p>
        </w:tc>
      </w:tr>
      <w:tr>
        <w:trPr>
          <w:trHeight w:val="230"/>
        </w:trPr>
        <w:tc>
          <w:tcPr>
            <w:tcW w:w="3620" w:type="dxa"/>
            <w:vAlign w:val="bottom"/>
            <w:tcBorders>
              <w:bottom w:val="single" w:sz="8" w:color="D5EEEE"/>
            </w:tcBorders>
          </w:tcPr>
          <w:p>
            <w:pPr>
              <w:spacing w:after="0"/>
              <w:rPr>
                <w:sz w:val="20"/>
                <w:szCs w:val="20"/>
                <w:color w:val="auto"/>
              </w:rPr>
            </w:pPr>
          </w:p>
        </w:tc>
        <w:tc>
          <w:tcPr>
            <w:tcW w:w="1960" w:type="dxa"/>
            <w:vAlign w:val="bottom"/>
            <w:tcBorders>
              <w:bottom w:val="single" w:sz="8" w:color="D5EEEE"/>
            </w:tcBorders>
          </w:tcPr>
          <w:p>
            <w:pPr>
              <w:spacing w:after="0"/>
              <w:rPr>
                <w:sz w:val="20"/>
                <w:szCs w:val="20"/>
                <w:color w:val="auto"/>
              </w:rPr>
            </w:pPr>
          </w:p>
        </w:tc>
        <w:tc>
          <w:tcPr>
            <w:tcW w:w="240" w:type="dxa"/>
            <w:vAlign w:val="bottom"/>
            <w:tcBorders>
              <w:bottom w:val="single" w:sz="8" w:color="D5EEEE"/>
            </w:tcBorders>
          </w:tcPr>
          <w:p>
            <w:pPr>
              <w:spacing w:after="0"/>
              <w:rPr>
                <w:sz w:val="20"/>
                <w:szCs w:val="20"/>
                <w:color w:val="auto"/>
              </w:rPr>
            </w:pPr>
          </w:p>
        </w:tc>
        <w:tc>
          <w:tcPr>
            <w:tcW w:w="13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1,079,875</w:t>
            </w:r>
          </w:p>
        </w:tc>
        <w:tc>
          <w:tcPr>
            <w:tcW w:w="2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140" w:type="dxa"/>
            <w:vAlign w:val="bottom"/>
            <w:tcBorders>
              <w:bottom w:val="single" w:sz="8" w:color="D5EEEE"/>
            </w:tcBorders>
          </w:tcPr>
          <w:p>
            <w:pPr>
              <w:spacing w:after="0"/>
              <w:rPr>
                <w:sz w:val="20"/>
                <w:szCs w:val="20"/>
                <w:color w:val="auto"/>
              </w:rPr>
            </w:pPr>
          </w:p>
        </w:tc>
        <w:tc>
          <w:tcPr>
            <w:tcW w:w="140" w:type="dxa"/>
            <w:vAlign w:val="bottom"/>
            <w:tcBorders>
              <w:bottom w:val="single" w:sz="8" w:color="D5EEEE"/>
            </w:tcBorders>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398,596</w:t>
            </w:r>
          </w:p>
        </w:tc>
        <w:tc>
          <w:tcPr>
            <w:tcW w:w="20" w:type="dxa"/>
            <w:vAlign w:val="bottom"/>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140" w:type="dxa"/>
            <w:vAlign w:val="bottom"/>
            <w:tcBorders>
              <w:bottom w:val="single" w:sz="8" w:color="D5EEEE"/>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r>
      <w:tr>
        <w:trPr>
          <w:trHeight w:val="239"/>
        </w:trPr>
        <w:tc>
          <w:tcPr>
            <w:tcW w:w="3620" w:type="dxa"/>
            <w:vAlign w:val="bottom"/>
            <w:shd w:val="clear" w:color="auto" w:fill="D5EEEE"/>
          </w:tcPr>
          <w:p>
            <w:pPr>
              <w:spacing w:after="0"/>
              <w:rPr>
                <w:sz w:val="20"/>
                <w:szCs w:val="20"/>
                <w:color w:val="auto"/>
              </w:rPr>
            </w:pPr>
          </w:p>
        </w:tc>
        <w:tc>
          <w:tcPr>
            <w:tcW w:w="1960" w:type="dxa"/>
            <w:vAlign w:val="bottom"/>
            <w:shd w:val="clear" w:color="auto" w:fill="D5EEEE"/>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22,600</w:t>
            </w:r>
          </w:p>
        </w:tc>
        <w:tc>
          <w:tcPr>
            <w:tcW w:w="20" w:type="dxa"/>
            <w:vAlign w:val="bottom"/>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right w:val="single" w:sz="8" w:color="D5EEEE"/>
            </w:tcBorders>
          </w:tcPr>
          <w:p>
            <w:pPr>
              <w:spacing w:after="0"/>
              <w:rPr>
                <w:sz w:val="20"/>
                <w:szCs w:val="20"/>
                <w:color w:val="auto"/>
              </w:rPr>
            </w:pPr>
          </w:p>
        </w:tc>
        <w:tc>
          <w:tcPr>
            <w:tcW w:w="15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11,566</w:t>
            </w:r>
          </w:p>
        </w:tc>
        <w:tc>
          <w:tcPr>
            <w:tcW w:w="20" w:type="dxa"/>
            <w:vAlign w:val="bottom"/>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244,675</w:t>
            </w:r>
          </w:p>
        </w:tc>
        <w:tc>
          <w:tcPr>
            <w:tcW w:w="20" w:type="dxa"/>
            <w:vAlign w:val="bottom"/>
          </w:tcPr>
          <w:p>
            <w:pPr>
              <w:spacing w:after="0"/>
              <w:rPr>
                <w:sz w:val="20"/>
                <w:szCs w:val="20"/>
                <w:color w:val="auto"/>
              </w:rPr>
            </w:pPr>
          </w:p>
        </w:tc>
        <w:tc>
          <w:tcPr>
            <w:tcW w:w="100" w:type="dxa"/>
            <w:vAlign w:val="bottom"/>
            <w:shd w:val="clear" w:color="auto" w:fill="D5EEEE"/>
          </w:tcPr>
          <w:p>
            <w:pPr>
              <w:spacing w:after="0"/>
              <w:rPr>
                <w:sz w:val="20"/>
                <w:szCs w:val="20"/>
                <w:color w:val="auto"/>
              </w:rPr>
            </w:pPr>
          </w:p>
        </w:tc>
      </w:tr>
      <w:tr>
        <w:trPr>
          <w:trHeight w:val="230"/>
        </w:trPr>
        <w:tc>
          <w:tcPr>
            <w:tcW w:w="36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247,876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50,356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-636905</wp:posOffset>
            </wp:positionV>
            <wp:extent cx="6875780" cy="650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75780" cy="650240"/>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Share-Based Payment Expenses</w:t>
      </w:r>
    </w:p>
    <w:p>
      <w:pPr>
        <w:spacing w:after="0" w:line="266" w:lineRule="exact"/>
        <w:rPr>
          <w:sz w:val="20"/>
          <w:szCs w:val="20"/>
          <w:color w:val="auto"/>
        </w:rPr>
      </w:pPr>
    </w:p>
    <w:p>
      <w:pPr>
        <w:ind w:right="120" w:firstLine="720"/>
        <w:spacing w:after="0" w:line="246" w:lineRule="auto"/>
        <w:rPr>
          <w:sz w:val="20"/>
          <w:szCs w:val="20"/>
          <w:color w:val="auto"/>
        </w:rPr>
      </w:pPr>
      <w:r>
        <w:rPr>
          <w:rFonts w:ascii="Times New Roman" w:cs="Times New Roman" w:eastAsia="Times New Roman" w:hAnsi="Times New Roman"/>
          <w:sz w:val="20"/>
          <w:szCs w:val="20"/>
          <w:color w:val="auto"/>
        </w:rPr>
        <w:t>Share-based payment transactions are recognized as compensation expense based on the fair value of the instrument on the date of grant. The Company uses the graded-vesting method to recognize compensation expense. Compensation cost is reduced for forfeitures as they occur in accordance with ASU 2016-09, Simplifying the Accounting for Share-Based Payments (•ASU 2016-09•). During the year-ended December 31, 2022, the transition period ended December 31, 2021, and the year-ended June 30, 2021, the Company recorded share-based compensation expense of $7.0 million, $3.6 million and $5.7 million, respectively. No income tax benefit was recognized in the Consolidated Statement of Operations for share-based payment arrangements for the year-ended December 31, 2022, the transition period ended December 31, 2021, and the year-ended June 30, 2021.</w:t>
      </w:r>
    </w:p>
    <w:p>
      <w:pPr>
        <w:spacing w:after="0" w:line="2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 has included share-based compensation expense as part of operating expenses in the accompanying</w:t>
      </w:r>
    </w:p>
    <w:p>
      <w:pPr>
        <w:spacing w:after="0"/>
        <w:rPr>
          <w:sz w:val="20"/>
          <w:szCs w:val="20"/>
          <w:color w:val="auto"/>
        </w:rPr>
      </w:pPr>
      <w:r>
        <w:rPr>
          <w:rFonts w:ascii="Times New Roman" w:cs="Times New Roman" w:eastAsia="Times New Roman" w:hAnsi="Times New Roman"/>
          <w:sz w:val="20"/>
          <w:szCs w:val="20"/>
          <w:color w:val="auto"/>
        </w:rPr>
        <w:t>Consolidated Statements of Operations as follows (in thousands):</w:t>
      </w:r>
    </w:p>
    <w:p>
      <w:pPr>
        <w:spacing w:after="0" w:line="247" w:lineRule="exact"/>
        <w:rPr>
          <w:sz w:val="20"/>
          <w:szCs w:val="20"/>
          <w:color w:val="auto"/>
        </w:rPr>
      </w:pPr>
    </w:p>
    <w:tbl>
      <w:tblPr>
        <w:tblLayout w:type="fixed"/>
        <w:tblInd w:w="4380" w:type="dxa"/>
        <w:tblCellMar>
          <w:top w:w="0" w:type="dxa"/>
          <w:left w:w="0" w:type="dxa"/>
          <w:bottom w:w="0" w:type="dxa"/>
          <w:right w:w="0" w:type="dxa"/>
        </w:tblCellMar>
      </w:tblPr>
      <w:tr>
        <w:trPr>
          <w:trHeight w:val="185"/>
        </w:trPr>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Transition period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Year-ended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Year-ended</w:t>
            </w:r>
          </w:p>
        </w:tc>
        <w:tc>
          <w:tcPr>
            <w:tcW w:w="80" w:type="dxa"/>
            <w:vAlign w:val="bottom"/>
          </w:tcPr>
          <w:p>
            <w:pPr>
              <w:spacing w:after="0"/>
              <w:rPr>
                <w:sz w:val="17"/>
                <w:szCs w:val="17"/>
                <w:color w:val="auto"/>
              </w:rPr>
            </w:pPr>
          </w:p>
        </w:tc>
      </w:tr>
      <w:tr>
        <w:trPr>
          <w:trHeight w:val="184"/>
        </w:trPr>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30"/>
        </w:trPr>
        <w:tc>
          <w:tcPr>
            <w:tcW w:w="14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66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12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144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14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18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r>
      <w:tr>
        <w:trPr>
          <w:trHeight w:val="225"/>
        </w:trPr>
        <w:tc>
          <w:tcPr>
            <w:tcW w:w="14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1,393</w:t>
            </w:r>
          </w:p>
        </w:tc>
        <w:tc>
          <w:tcPr>
            <w:tcW w:w="20" w:type="dxa"/>
            <w:vAlign w:val="bottom"/>
            <w:shd w:val="clear" w:color="auto" w:fill="D5EEEE"/>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144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663</w:t>
            </w:r>
          </w:p>
        </w:tc>
        <w:tc>
          <w:tcPr>
            <w:tcW w:w="20" w:type="dxa"/>
            <w:vAlign w:val="bottom"/>
            <w:shd w:val="clear" w:color="auto" w:fill="D5EEEE"/>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Pr>
          <w:p>
            <w:pPr>
              <w:spacing w:after="0"/>
              <w:rPr>
                <w:sz w:val="19"/>
                <w:szCs w:val="19"/>
                <w:color w:val="auto"/>
              </w:rPr>
            </w:pPr>
          </w:p>
        </w:tc>
        <w:tc>
          <w:tcPr>
            <w:tcW w:w="118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925</w:t>
            </w:r>
          </w:p>
        </w:tc>
        <w:tc>
          <w:tcPr>
            <w:tcW w:w="20" w:type="dxa"/>
            <w:vAlign w:val="bottom"/>
            <w:shd w:val="clear" w:color="auto" w:fill="D5EEEE"/>
          </w:tcPr>
          <w:p>
            <w:pPr>
              <w:spacing w:after="0"/>
              <w:rPr>
                <w:sz w:val="19"/>
                <w:szCs w:val="19"/>
                <w:color w:val="auto"/>
              </w:rPr>
            </w:pPr>
          </w:p>
        </w:tc>
        <w:tc>
          <w:tcPr>
            <w:tcW w:w="80" w:type="dxa"/>
            <w:vAlign w:val="bottom"/>
            <w:shd w:val="clear" w:color="auto" w:fill="D5EEEE"/>
          </w:tcPr>
          <w:p>
            <w:pPr>
              <w:spacing w:after="0"/>
              <w:rPr>
                <w:sz w:val="19"/>
                <w:szCs w:val="19"/>
                <w:color w:val="auto"/>
              </w:rPr>
            </w:pPr>
          </w:p>
        </w:tc>
      </w:tr>
      <w:tr>
        <w:trPr>
          <w:trHeight w:val="245"/>
        </w:trPr>
        <w:tc>
          <w:tcPr>
            <w:tcW w:w="14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66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4,668</w:t>
            </w:r>
          </w:p>
        </w:tc>
        <w:tc>
          <w:tcPr>
            <w:tcW w:w="2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12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14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2,318</w:t>
            </w:r>
          </w:p>
        </w:tc>
        <w:tc>
          <w:tcPr>
            <w:tcW w:w="2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14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4,095</w:t>
            </w:r>
          </w:p>
        </w:tc>
        <w:tc>
          <w:tcPr>
            <w:tcW w:w="20" w:type="dxa"/>
            <w:vAlign w:val="bottom"/>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r>
      <w:tr>
        <w:trPr>
          <w:trHeight w:val="225"/>
        </w:trPr>
        <w:tc>
          <w:tcPr>
            <w:tcW w:w="140" w:type="dxa"/>
            <w:vAlign w:val="bottom"/>
            <w:shd w:val="clear" w:color="auto" w:fill="D5EEE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937</w:t>
            </w:r>
          </w:p>
        </w:tc>
        <w:tc>
          <w:tcPr>
            <w:tcW w:w="20" w:type="dxa"/>
            <w:vAlign w:val="bottom"/>
            <w:tcBorders>
              <w:bottom w:val="single" w:sz="8" w:color="auto"/>
            </w:tcBorders>
            <w:shd w:val="clear" w:color="auto" w:fill="D5EEEE"/>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607</w:t>
            </w:r>
          </w:p>
        </w:tc>
        <w:tc>
          <w:tcPr>
            <w:tcW w:w="20" w:type="dxa"/>
            <w:vAlign w:val="bottom"/>
            <w:tcBorders>
              <w:bottom w:val="single" w:sz="8" w:color="auto"/>
            </w:tcBorders>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644</w:t>
            </w:r>
          </w:p>
        </w:tc>
        <w:tc>
          <w:tcPr>
            <w:tcW w:w="20" w:type="dxa"/>
            <w:vAlign w:val="bottom"/>
            <w:tcBorders>
              <w:bottom w:val="single" w:sz="8" w:color="auto"/>
            </w:tcBorders>
          </w:tcPr>
          <w:p>
            <w:pPr>
              <w:spacing w:after="0"/>
              <w:rPr>
                <w:sz w:val="19"/>
                <w:szCs w:val="19"/>
                <w:color w:val="auto"/>
              </w:rPr>
            </w:pPr>
          </w:p>
        </w:tc>
        <w:tc>
          <w:tcPr>
            <w:tcW w:w="80" w:type="dxa"/>
            <w:vAlign w:val="bottom"/>
            <w:shd w:val="clear" w:color="auto" w:fill="D5EEEE"/>
          </w:tcPr>
          <w:p>
            <w:pPr>
              <w:spacing w:after="0"/>
              <w:rPr>
                <w:sz w:val="19"/>
                <w:szCs w:val="19"/>
                <w:color w:val="auto"/>
              </w:rPr>
            </w:pPr>
          </w:p>
        </w:tc>
      </w:tr>
      <w:tr>
        <w:trPr>
          <w:trHeight w:val="236"/>
        </w:trPr>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6,998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3,588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Borders>
              <w:bottom w:val="single" w:sz="8" w:color="auto"/>
            </w:tcBorders>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5,664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673100</wp:posOffset>
            </wp:positionH>
            <wp:positionV relativeFrom="paragraph">
              <wp:posOffset>-938530</wp:posOffset>
            </wp:positionV>
            <wp:extent cx="5513070" cy="9702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13070" cy="970280"/>
                    </a:xfrm>
                    <a:prstGeom prst="rect">
                      <a:avLst/>
                    </a:prstGeom>
                    <a:noFill/>
                  </pic:spPr>
                </pic:pic>
              </a:graphicData>
            </a:graphic>
          </wp:anchor>
        </w:drawing>
      </w:r>
    </w:p>
    <w:p>
      <w:pPr>
        <w:spacing w:after="0" w:line="26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 summary of share option activity as of December 31, 2022 and changes during the year then ended is presented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100" w:type="dxa"/>
            <w:vAlign w:val="bottom"/>
          </w:tcPr>
          <w:p>
            <w:pPr>
              <w:spacing w:after="0"/>
              <w:rPr>
                <w:sz w:val="17"/>
                <w:szCs w:val="17"/>
                <w:color w:val="auto"/>
              </w:rPr>
            </w:pPr>
          </w:p>
        </w:tc>
        <w:tc>
          <w:tcPr>
            <w:tcW w:w="11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7"/>
                <w:szCs w:val="17"/>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Only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Based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7"/>
                <w:szCs w:val="17"/>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06"/>
        </w:trPr>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Market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Term</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71"/>
        </w:trPr>
        <w:tc>
          <w:tcPr>
            <w:tcW w:w="2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3"/>
                <w:szCs w:val="23"/>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08"/>
        </w:trPr>
        <w:tc>
          <w:tcPr>
            <w:tcW w:w="2560" w:type="dxa"/>
            <w:vAlign w:val="bottom"/>
            <w:tcBorders>
              <w:top w:val="single" w:sz="8" w:color="D5EEEE"/>
              <w:bottom w:val="single" w:sz="8" w:color="D5EEEE"/>
            </w:tcBorders>
            <w:shd w:val="clear" w:color="auto" w:fill="D5EEEE"/>
          </w:tcPr>
          <w:p>
            <w:pPr>
              <w:spacing w:after="0"/>
              <w:rPr>
                <w:sz w:val="18"/>
                <w:szCs w:val="18"/>
                <w:color w:val="auto"/>
              </w:rPr>
            </w:pPr>
          </w:p>
        </w:tc>
        <w:tc>
          <w:tcPr>
            <w:tcW w:w="100" w:type="dxa"/>
            <w:vAlign w:val="bottom"/>
            <w:tcBorders>
              <w:top w:val="single" w:sz="8" w:color="auto"/>
              <w:bottom w:val="single" w:sz="8" w:color="D5EEEE"/>
            </w:tcBorders>
            <w:shd w:val="clear" w:color="auto" w:fill="D5EEEE"/>
          </w:tcPr>
          <w:p>
            <w:pPr>
              <w:spacing w:after="0"/>
              <w:rPr>
                <w:sz w:val="18"/>
                <w:szCs w:val="18"/>
                <w:color w:val="auto"/>
              </w:rPr>
            </w:pPr>
          </w:p>
        </w:tc>
        <w:tc>
          <w:tcPr>
            <w:tcW w:w="1120" w:type="dxa"/>
            <w:vAlign w:val="bottom"/>
            <w:tcBorders>
              <w:top w:val="single" w:sz="8" w:color="auto"/>
            </w:tcBorders>
            <w:gridSpan w:val="3"/>
            <w:shd w:val="clear" w:color="auto" w:fill="D5EEEE"/>
          </w:tcPr>
          <w:p>
            <w:pPr>
              <w:jc w:val="right"/>
              <w:spacing w:after="0" w:line="199" w:lineRule="exact"/>
              <w:rPr>
                <w:sz w:val="20"/>
                <w:szCs w:val="20"/>
                <w:color w:val="auto"/>
              </w:rPr>
            </w:pPr>
            <w:r>
              <w:rPr>
                <w:rFonts w:ascii="Times New Roman" w:cs="Times New Roman" w:eastAsia="Times New Roman" w:hAnsi="Times New Roman"/>
                <w:sz w:val="18"/>
                <w:szCs w:val="18"/>
                <w:color w:val="auto"/>
              </w:rPr>
              <w:t>1,129,126</w:t>
            </w: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D5EEEE"/>
              <w:bottom w:val="single" w:sz="8" w:color="D5EEEE"/>
            </w:tcBorders>
            <w:shd w:val="clear" w:color="auto" w:fill="D5EEEE"/>
          </w:tcPr>
          <w:p>
            <w:pPr>
              <w:spacing w:after="0"/>
              <w:rPr>
                <w:sz w:val="18"/>
                <w:szCs w:val="18"/>
                <w:color w:val="auto"/>
              </w:rPr>
            </w:pPr>
          </w:p>
        </w:tc>
        <w:tc>
          <w:tcPr>
            <w:tcW w:w="100" w:type="dxa"/>
            <w:vAlign w:val="bottom"/>
            <w:tcBorders>
              <w:top w:val="single" w:sz="8" w:color="D5EEEE"/>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shd w:val="clear" w:color="auto" w:fill="D5EEEE"/>
          </w:tcPr>
          <w:p>
            <w:pPr>
              <w:jc w:val="right"/>
              <w:spacing w:after="0" w:line="199" w:lineRule="exact"/>
              <w:rPr>
                <w:sz w:val="20"/>
                <w:szCs w:val="20"/>
                <w:color w:val="auto"/>
              </w:rPr>
            </w:pPr>
            <w:r>
              <w:rPr>
                <w:rFonts w:ascii="Times New Roman" w:cs="Times New Roman" w:eastAsia="Times New Roman" w:hAnsi="Times New Roman"/>
                <w:sz w:val="18"/>
                <w:szCs w:val="18"/>
                <w:color w:val="auto"/>
              </w:rPr>
              <w:t>599,994</w:t>
            </w: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D5EEEE"/>
              <w:bottom w:val="single" w:sz="8" w:color="D5EEEE"/>
            </w:tcBorders>
            <w:shd w:val="clear" w:color="auto" w:fill="D5EEEE"/>
          </w:tcPr>
          <w:p>
            <w:pPr>
              <w:spacing w:after="0"/>
              <w:rPr>
                <w:sz w:val="18"/>
                <w:szCs w:val="18"/>
                <w:color w:val="auto"/>
              </w:rPr>
            </w:pPr>
          </w:p>
        </w:tc>
        <w:tc>
          <w:tcPr>
            <w:tcW w:w="100" w:type="dxa"/>
            <w:vAlign w:val="bottom"/>
            <w:tcBorders>
              <w:top w:val="single" w:sz="8" w:color="D5EEEE"/>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shd w:val="clear" w:color="auto" w:fill="D5EEEE"/>
          </w:tcPr>
          <w:p>
            <w:pPr>
              <w:jc w:val="right"/>
              <w:spacing w:after="0" w:line="199" w:lineRule="exact"/>
              <w:rPr>
                <w:sz w:val="20"/>
                <w:szCs w:val="20"/>
                <w:color w:val="auto"/>
              </w:rPr>
            </w:pPr>
            <w:r>
              <w:rPr>
                <w:rFonts w:ascii="Times New Roman" w:cs="Times New Roman" w:eastAsia="Times New Roman" w:hAnsi="Times New Roman"/>
                <w:sz w:val="18"/>
                <w:szCs w:val="18"/>
                <w:color w:val="auto"/>
              </w:rPr>
              <w:t>27,600</w:t>
            </w:r>
          </w:p>
        </w:tc>
        <w:tc>
          <w:tcPr>
            <w:tcW w:w="40" w:type="dxa"/>
            <w:vAlign w:val="bottom"/>
            <w:tcBorders>
              <w:top w:val="single" w:sz="8" w:color="auto"/>
              <w:right w:val="single" w:sz="8" w:color="D5EEEE"/>
            </w:tcBorders>
          </w:tcPr>
          <w:p>
            <w:pPr>
              <w:spacing w:after="0"/>
              <w:rPr>
                <w:sz w:val="18"/>
                <w:szCs w:val="18"/>
                <w:color w:val="auto"/>
              </w:rPr>
            </w:pPr>
          </w:p>
        </w:tc>
        <w:tc>
          <w:tcPr>
            <w:tcW w:w="80" w:type="dxa"/>
            <w:vAlign w:val="bottom"/>
            <w:tcBorders>
              <w:top w:val="single" w:sz="8" w:color="D5EEEE"/>
              <w:bottom w:val="single" w:sz="8" w:color="D5EEEE"/>
            </w:tcBorders>
            <w:shd w:val="clear" w:color="auto" w:fill="D5EEEE"/>
          </w:tcPr>
          <w:p>
            <w:pPr>
              <w:spacing w:after="0"/>
              <w:rPr>
                <w:sz w:val="18"/>
                <w:szCs w:val="18"/>
                <w:color w:val="auto"/>
              </w:rPr>
            </w:pPr>
          </w:p>
        </w:tc>
        <w:tc>
          <w:tcPr>
            <w:tcW w:w="100" w:type="dxa"/>
            <w:vAlign w:val="bottom"/>
            <w:tcBorders>
              <w:top w:val="single" w:sz="8" w:color="D5EEEE"/>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shd w:val="clear" w:color="auto" w:fill="D5EEEE"/>
          </w:tcPr>
          <w:p>
            <w:pPr>
              <w:jc w:val="right"/>
              <w:spacing w:after="0" w:line="199" w:lineRule="exact"/>
              <w:rPr>
                <w:sz w:val="20"/>
                <w:szCs w:val="20"/>
                <w:color w:val="auto"/>
              </w:rPr>
            </w:pPr>
            <w:r>
              <w:rPr>
                <w:rFonts w:ascii="Times New Roman" w:cs="Times New Roman" w:eastAsia="Times New Roman" w:hAnsi="Times New Roman"/>
                <w:sz w:val="18"/>
                <w:szCs w:val="18"/>
                <w:color w:val="auto"/>
                <w:shd w:val="clear" w:color="auto" w:fill="D5EEEE"/>
              </w:rPr>
              <w:t>1,756,720</w:t>
            </w: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D5EEEE"/>
              <w:bottom w:val="single" w:sz="8" w:color="D5EEEE"/>
            </w:tcBorders>
            <w:shd w:val="clear" w:color="auto" w:fill="D5EEE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0" w:type="dxa"/>
            <w:vAlign w:val="bottom"/>
            <w:tcBorders>
              <w:top w:val="single" w:sz="8" w:color="auto"/>
            </w:tcBorders>
          </w:tcPr>
          <w:p>
            <w:pPr>
              <w:spacing w:after="0"/>
              <w:rPr>
                <w:sz w:val="18"/>
                <w:szCs w:val="18"/>
                <w:color w:val="auto"/>
              </w:rPr>
            </w:pPr>
          </w:p>
        </w:tc>
        <w:tc>
          <w:tcPr>
            <w:tcW w:w="800" w:type="dxa"/>
            <w:vAlign w:val="bottom"/>
            <w:tcBorders>
              <w:top w:val="single" w:sz="8" w:color="auto"/>
              <w:bottom w:val="single" w:sz="8" w:color="D5EEEE"/>
            </w:tcBorders>
            <w:shd w:val="clear" w:color="auto" w:fill="D5EEEE"/>
          </w:tcPr>
          <w:p>
            <w:pPr>
              <w:jc w:val="right"/>
              <w:spacing w:after="0" w:line="199" w:lineRule="exact"/>
              <w:rPr>
                <w:sz w:val="20"/>
                <w:szCs w:val="20"/>
                <w:color w:val="auto"/>
              </w:rPr>
            </w:pPr>
            <w:r>
              <w:rPr>
                <w:rFonts w:ascii="Times New Roman" w:cs="Times New Roman" w:eastAsia="Times New Roman" w:hAnsi="Times New Roman"/>
                <w:sz w:val="18"/>
                <w:szCs w:val="18"/>
                <w:color w:val="auto"/>
              </w:rPr>
              <w:t>14.86</w:t>
            </w:r>
          </w:p>
        </w:tc>
        <w:tc>
          <w:tcPr>
            <w:tcW w:w="20" w:type="dxa"/>
            <w:vAlign w:val="bottom"/>
            <w:tcBorders>
              <w:top w:val="single" w:sz="8" w:color="auto"/>
              <w:bottom w:val="single" w:sz="8" w:color="D5EEEE"/>
            </w:tcBorders>
            <w:shd w:val="clear" w:color="auto" w:fill="D5EEEE"/>
          </w:tcPr>
          <w:p>
            <w:pPr>
              <w:spacing w:after="0"/>
              <w:rPr>
                <w:sz w:val="18"/>
                <w:szCs w:val="18"/>
                <w:color w:val="auto"/>
              </w:rPr>
            </w:pPr>
          </w:p>
        </w:tc>
        <w:tc>
          <w:tcPr>
            <w:tcW w:w="100" w:type="dxa"/>
            <w:vAlign w:val="bottom"/>
            <w:tcBorders>
              <w:top w:val="single" w:sz="8" w:color="D5EEEE"/>
              <w:bottom w:val="single" w:sz="8" w:color="D5EEEE"/>
            </w:tcBorders>
            <w:shd w:val="clear" w:color="auto" w:fill="D5EEEE"/>
          </w:tcPr>
          <w:p>
            <w:pPr>
              <w:spacing w:after="0"/>
              <w:rPr>
                <w:sz w:val="18"/>
                <w:szCs w:val="18"/>
                <w:color w:val="auto"/>
              </w:rPr>
            </w:pPr>
          </w:p>
        </w:tc>
        <w:tc>
          <w:tcPr>
            <w:tcW w:w="100" w:type="dxa"/>
            <w:vAlign w:val="bottom"/>
            <w:tcBorders>
              <w:top w:val="single" w:sz="8" w:color="D5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shd w:val="clear" w:color="auto" w:fill="D5EEEE"/>
          </w:tcPr>
          <w:p>
            <w:pPr>
              <w:jc w:val="right"/>
              <w:ind w:right="150"/>
              <w:spacing w:after="0" w:line="199" w:lineRule="exact"/>
              <w:rPr>
                <w:sz w:val="20"/>
                <w:szCs w:val="20"/>
                <w:color w:val="auto"/>
              </w:rPr>
            </w:pPr>
            <w:r>
              <w:rPr>
                <w:rFonts w:ascii="Times New Roman" w:cs="Times New Roman" w:eastAsia="Times New Roman" w:hAnsi="Times New Roman"/>
                <w:sz w:val="18"/>
                <w:szCs w:val="18"/>
                <w:color w:val="auto"/>
              </w:rPr>
              <w:t>7.83</w:t>
            </w: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D5EEEE"/>
              <w:bottom w:val="single" w:sz="8" w:color="D5EEEE"/>
            </w:tcBorders>
            <w:shd w:val="clear" w:color="auto" w:fill="D5EEEE"/>
          </w:tcPr>
          <w:p>
            <w:pPr>
              <w:spacing w:after="0"/>
              <w:rPr>
                <w:sz w:val="18"/>
                <w:szCs w:val="18"/>
                <w:color w:val="auto"/>
              </w:rPr>
            </w:pPr>
          </w:p>
        </w:tc>
        <w:tc>
          <w:tcPr>
            <w:tcW w:w="120" w:type="dxa"/>
            <w:vAlign w:val="bottom"/>
            <w:tcBorders>
              <w:top w:val="single" w:sz="8" w:color="D5EEEE"/>
            </w:tcBorders>
          </w:tcPr>
          <w:p>
            <w:pPr>
              <w:spacing w:after="0"/>
              <w:rPr>
                <w:sz w:val="18"/>
                <w:szCs w:val="18"/>
                <w:color w:val="auto"/>
              </w:rPr>
            </w:pPr>
          </w:p>
        </w:tc>
        <w:tc>
          <w:tcPr>
            <w:tcW w:w="100" w:type="dxa"/>
            <w:vAlign w:val="bottom"/>
            <w:tcBorders>
              <w:top w:val="single" w:sz="8" w:color="auto"/>
            </w:tcBorders>
            <w:shd w:val="clear" w:color="auto" w:fill="D5EEEE"/>
          </w:tcPr>
          <w:p>
            <w:pPr>
              <w:spacing w:after="0" w:line="199" w:lineRule="exact"/>
              <w:rPr>
                <w:sz w:val="20"/>
                <w:szCs w:val="20"/>
                <w:color w:val="auto"/>
              </w:rPr>
            </w:pPr>
            <w:r>
              <w:rPr>
                <w:rFonts w:ascii="Times New Roman" w:cs="Times New Roman" w:eastAsia="Times New Roman" w:hAnsi="Times New Roman"/>
                <w:sz w:val="18"/>
                <w:szCs w:val="18"/>
                <w:color w:val="auto"/>
                <w:w w:val="88"/>
                <w:shd w:val="clear" w:color="auto" w:fill="D5EEEE"/>
              </w:rPr>
              <w:t>$</w:t>
            </w:r>
          </w:p>
        </w:tc>
        <w:tc>
          <w:tcPr>
            <w:tcW w:w="20" w:type="dxa"/>
            <w:vAlign w:val="bottom"/>
            <w:tcBorders>
              <w:top w:val="single" w:sz="8" w:color="auto"/>
            </w:tcBorders>
          </w:tcPr>
          <w:p>
            <w:pPr>
              <w:spacing w:after="0"/>
              <w:rPr>
                <w:sz w:val="18"/>
                <w:szCs w:val="18"/>
                <w:color w:val="auto"/>
              </w:rPr>
            </w:pPr>
          </w:p>
        </w:tc>
        <w:tc>
          <w:tcPr>
            <w:tcW w:w="720" w:type="dxa"/>
            <w:vAlign w:val="bottom"/>
            <w:tcBorders>
              <w:top w:val="single" w:sz="8" w:color="auto"/>
              <w:bottom w:val="single" w:sz="8" w:color="D5EEEE"/>
            </w:tcBorders>
            <w:shd w:val="clear" w:color="auto" w:fill="D5EEEE"/>
          </w:tcPr>
          <w:p>
            <w:pPr>
              <w:jc w:val="right"/>
              <w:spacing w:after="0" w:line="199" w:lineRule="exact"/>
              <w:rPr>
                <w:sz w:val="20"/>
                <w:szCs w:val="20"/>
                <w:color w:val="auto"/>
              </w:rPr>
            </w:pPr>
            <w:r>
              <w:rPr>
                <w:rFonts w:ascii="Times New Roman" w:cs="Times New Roman" w:eastAsia="Times New Roman" w:hAnsi="Times New Roman"/>
                <w:sz w:val="18"/>
                <w:szCs w:val="18"/>
                <w:color w:val="auto"/>
                <w:w w:val="97"/>
                <w:shd w:val="clear" w:color="auto" w:fill="D5EEEE"/>
              </w:rPr>
              <w:t>5,118,309</w:t>
            </w:r>
          </w:p>
        </w:tc>
        <w:tc>
          <w:tcPr>
            <w:tcW w:w="20" w:type="dxa"/>
            <w:vAlign w:val="bottom"/>
            <w:tcBorders>
              <w:top w:val="single" w:sz="8" w:color="auto"/>
              <w:bottom w:val="single" w:sz="8" w:color="D5EEEE"/>
            </w:tcBorders>
            <w:shd w:val="clear" w:color="auto" w:fill="D5EEEE"/>
          </w:tcPr>
          <w:p>
            <w:pPr>
              <w:spacing w:after="0"/>
              <w:rPr>
                <w:sz w:val="18"/>
                <w:szCs w:val="18"/>
                <w:color w:val="auto"/>
              </w:rPr>
            </w:pPr>
          </w:p>
        </w:tc>
        <w:tc>
          <w:tcPr>
            <w:tcW w:w="60" w:type="dxa"/>
            <w:vAlign w:val="bottom"/>
            <w:tcBorders>
              <w:top w:val="single" w:sz="8" w:color="D5EEEE"/>
              <w:bottom w:val="single" w:sz="8" w:color="D5EEEE"/>
            </w:tcBorders>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18"/>
                <w:szCs w:val="18"/>
                <w:color w:val="auto"/>
              </w:rPr>
              <w:t>737,676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737,676</w:t>
            </w:r>
          </w:p>
        </w:tc>
        <w:tc>
          <w:tcPr>
            <w:tcW w:w="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5.57</w:t>
            </w:r>
          </w:p>
        </w:tc>
        <w:tc>
          <w:tcPr>
            <w:tcW w:w="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tcBorders>
              <w:top w:val="single" w:sz="8" w:color="D5EEEE"/>
            </w:tcBorders>
            <w:shd w:val="clear" w:color="auto" w:fill="D5EEEE"/>
          </w:tcPr>
          <w:p>
            <w:pPr>
              <w:spacing w:after="0"/>
              <w:rPr>
                <w:sz w:val="17"/>
                <w:szCs w:val="17"/>
                <w:color w:val="auto"/>
              </w:rPr>
            </w:pPr>
          </w:p>
        </w:tc>
        <w:tc>
          <w:tcPr>
            <w:tcW w:w="100" w:type="dxa"/>
            <w:vAlign w:val="bottom"/>
            <w:tcBorders>
              <w:top w:val="single" w:sz="8" w:color="D5EEEE"/>
            </w:tcBorders>
            <w:shd w:val="clear" w:color="auto" w:fill="D5EEEE"/>
          </w:tcPr>
          <w:p>
            <w:pPr>
              <w:spacing w:after="0"/>
              <w:rPr>
                <w:sz w:val="17"/>
                <w:szCs w:val="17"/>
                <w:color w:val="auto"/>
              </w:rPr>
            </w:pPr>
          </w:p>
        </w:tc>
        <w:tc>
          <w:tcPr>
            <w:tcW w:w="1120" w:type="dxa"/>
            <w:vAlign w:val="bottom"/>
            <w:gridSpan w:val="3"/>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(75,125</w:t>
            </w:r>
          </w:p>
        </w:tc>
        <w:tc>
          <w:tcPr>
            <w:tcW w:w="20" w:type="dxa"/>
            <w:vAlign w:val="bottom"/>
          </w:tcPr>
          <w:p>
            <w:pPr>
              <w:spacing w:after="0"/>
              <w:rPr>
                <w:sz w:val="17"/>
                <w:szCs w:val="17"/>
                <w:color w:val="auto"/>
              </w:rPr>
            </w:pPr>
          </w:p>
        </w:tc>
        <w:tc>
          <w:tcPr>
            <w:tcW w:w="100" w:type="dxa"/>
            <w:vAlign w:val="bottom"/>
            <w:tcBorders>
              <w:top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5EEEE"/>
              </w:rPr>
              <w:t>)</w:t>
            </w:r>
          </w:p>
        </w:tc>
        <w:tc>
          <w:tcPr>
            <w:tcW w:w="100" w:type="dxa"/>
            <w:vAlign w:val="bottom"/>
            <w:tcBorders>
              <w:top w:val="single" w:sz="8" w:color="D5EEEE"/>
            </w:tcBorders>
            <w:shd w:val="clear" w:color="auto" w:fill="D5EEEE"/>
          </w:tcPr>
          <w:p>
            <w:pPr>
              <w:spacing w:after="0"/>
              <w:rPr>
                <w:sz w:val="17"/>
                <w:szCs w:val="17"/>
                <w:color w:val="auto"/>
              </w:rPr>
            </w:pPr>
          </w:p>
        </w:tc>
        <w:tc>
          <w:tcPr>
            <w:tcW w:w="100" w:type="dxa"/>
            <w:vAlign w:val="bottom"/>
            <w:tcBorders>
              <w:top w:val="single" w:sz="8" w:color="D5EEEE"/>
            </w:tcBorders>
          </w:tcPr>
          <w:p>
            <w:pPr>
              <w:spacing w:after="0"/>
              <w:rPr>
                <w:sz w:val="17"/>
                <w:szCs w:val="17"/>
                <w:color w:val="auto"/>
              </w:rPr>
            </w:pPr>
          </w:p>
        </w:tc>
        <w:tc>
          <w:tcPr>
            <w:tcW w:w="900" w:type="dxa"/>
            <w:vAlign w:val="bottom"/>
            <w:tcBorders>
              <w:top w:val="single" w:sz="8" w:color="D5EEEE"/>
            </w:tcBorders>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(75,000)</w:t>
            </w:r>
          </w:p>
        </w:tc>
        <w:tc>
          <w:tcPr>
            <w:tcW w:w="20" w:type="dxa"/>
            <w:vAlign w:val="bottom"/>
            <w:tcBorders>
              <w:top w:val="single" w:sz="8" w:color="D5EEEE"/>
            </w:tcBorders>
          </w:tcPr>
          <w:p>
            <w:pPr>
              <w:spacing w:after="0"/>
              <w:rPr>
                <w:sz w:val="17"/>
                <w:szCs w:val="17"/>
                <w:color w:val="auto"/>
              </w:rPr>
            </w:pPr>
          </w:p>
        </w:tc>
        <w:tc>
          <w:tcPr>
            <w:tcW w:w="80" w:type="dxa"/>
            <w:vAlign w:val="bottom"/>
            <w:tcBorders>
              <w:top w:val="single" w:sz="8" w:color="D5EEEE"/>
            </w:tcBorders>
            <w:shd w:val="clear" w:color="auto" w:fill="D5EEEE"/>
          </w:tcPr>
          <w:p>
            <w:pPr>
              <w:spacing w:after="0"/>
              <w:rPr>
                <w:sz w:val="17"/>
                <w:szCs w:val="17"/>
                <w:color w:val="auto"/>
              </w:rPr>
            </w:pPr>
          </w:p>
        </w:tc>
        <w:tc>
          <w:tcPr>
            <w:tcW w:w="100" w:type="dxa"/>
            <w:vAlign w:val="bottom"/>
            <w:tcBorders>
              <w:top w:val="single" w:sz="8" w:color="D5EEEE"/>
            </w:tcBorders>
            <w:shd w:val="clear" w:color="auto" w:fill="D5EEE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D5EEEE"/>
            </w:tcBorders>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D5EEEE"/>
              <w:right w:val="single" w:sz="8" w:color="D5EEEE"/>
            </w:tcBorders>
          </w:tcPr>
          <w:p>
            <w:pPr>
              <w:spacing w:after="0"/>
              <w:rPr>
                <w:sz w:val="17"/>
                <w:szCs w:val="17"/>
                <w:color w:val="auto"/>
              </w:rPr>
            </w:pPr>
          </w:p>
        </w:tc>
        <w:tc>
          <w:tcPr>
            <w:tcW w:w="80" w:type="dxa"/>
            <w:vAlign w:val="bottom"/>
            <w:tcBorders>
              <w:top w:val="single" w:sz="8" w:color="D5EEEE"/>
            </w:tcBorders>
            <w:shd w:val="clear" w:color="auto" w:fill="D5EEE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D5EEEE"/>
            </w:tcBorders>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(150,125)</w:t>
            </w:r>
          </w:p>
        </w:tc>
        <w:tc>
          <w:tcPr>
            <w:tcW w:w="20" w:type="dxa"/>
            <w:vAlign w:val="bottom"/>
            <w:tcBorders>
              <w:top w:val="single" w:sz="8" w:color="D5EEEE"/>
            </w:tcBorders>
          </w:tcPr>
          <w:p>
            <w:pPr>
              <w:spacing w:after="0"/>
              <w:rPr>
                <w:sz w:val="17"/>
                <w:szCs w:val="17"/>
                <w:color w:val="auto"/>
              </w:rPr>
            </w:pPr>
          </w:p>
        </w:tc>
        <w:tc>
          <w:tcPr>
            <w:tcW w:w="100" w:type="dxa"/>
            <w:vAlign w:val="bottom"/>
            <w:tcBorders>
              <w:top w:val="single" w:sz="8" w:color="D5EEEE"/>
            </w:tcBorders>
            <w:shd w:val="clear" w:color="auto" w:fill="D5EEEE"/>
          </w:tcPr>
          <w:p>
            <w:pPr>
              <w:spacing w:after="0"/>
              <w:rPr>
                <w:sz w:val="17"/>
                <w:szCs w:val="17"/>
                <w:color w:val="auto"/>
              </w:rPr>
            </w:pPr>
          </w:p>
        </w:tc>
        <w:tc>
          <w:tcPr>
            <w:tcW w:w="100" w:type="dxa"/>
            <w:vAlign w:val="bottom"/>
            <w:tcBorders>
              <w:top w:val="single" w:sz="8" w:color="D5EEEE"/>
            </w:tcBorders>
            <w:shd w:val="clear" w:color="auto" w:fill="D5EEEE"/>
          </w:tcPr>
          <w:p>
            <w:pPr>
              <w:spacing w:after="0"/>
              <w:rPr>
                <w:sz w:val="17"/>
                <w:szCs w:val="17"/>
                <w:color w:val="auto"/>
              </w:rPr>
            </w:pPr>
          </w:p>
        </w:tc>
        <w:tc>
          <w:tcPr>
            <w:tcW w:w="80" w:type="dxa"/>
            <w:vAlign w:val="bottom"/>
            <w:tcBorders>
              <w:top w:val="single" w:sz="8" w:color="D5EEEE"/>
            </w:tcBorders>
          </w:tcPr>
          <w:p>
            <w:pPr>
              <w:spacing w:after="0"/>
              <w:rPr>
                <w:sz w:val="17"/>
                <w:szCs w:val="17"/>
                <w:color w:val="auto"/>
              </w:rPr>
            </w:pPr>
          </w:p>
        </w:tc>
        <w:tc>
          <w:tcPr>
            <w:tcW w:w="20" w:type="dxa"/>
            <w:vAlign w:val="bottom"/>
            <w:tcBorders>
              <w:top w:val="single" w:sz="8" w:color="D5EEEE"/>
            </w:tcBorders>
          </w:tcPr>
          <w:p>
            <w:pPr>
              <w:spacing w:after="0"/>
              <w:rPr>
                <w:sz w:val="17"/>
                <w:szCs w:val="17"/>
                <w:color w:val="auto"/>
              </w:rPr>
            </w:pPr>
          </w:p>
        </w:tc>
        <w:tc>
          <w:tcPr>
            <w:tcW w:w="800" w:type="dxa"/>
            <w:vAlign w:val="bottom"/>
            <w:tcBorders>
              <w:top w:val="single" w:sz="8" w:color="D5EEEE"/>
            </w:tcBorders>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5.99</w:t>
            </w:r>
          </w:p>
        </w:tc>
        <w:tc>
          <w:tcPr>
            <w:tcW w:w="20" w:type="dxa"/>
            <w:vAlign w:val="bottom"/>
            <w:tcBorders>
              <w:top w:val="single" w:sz="8" w:color="D5EEEE"/>
            </w:tcBorders>
          </w:tcPr>
          <w:p>
            <w:pPr>
              <w:spacing w:after="0"/>
              <w:rPr>
                <w:sz w:val="17"/>
                <w:szCs w:val="17"/>
                <w:color w:val="auto"/>
              </w:rPr>
            </w:pPr>
          </w:p>
        </w:tc>
        <w:tc>
          <w:tcPr>
            <w:tcW w:w="100" w:type="dxa"/>
            <w:vAlign w:val="bottom"/>
            <w:tcBorders>
              <w:top w:val="single" w:sz="8" w:color="D5EEEE"/>
            </w:tcBorders>
            <w:shd w:val="clear" w:color="auto" w:fill="D5EEE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Borders>
              <w:top w:val="single" w:sz="8" w:color="D5EEEE"/>
            </w:tcBorders>
          </w:tcPr>
          <w:p>
            <w:pPr>
              <w:spacing w:after="0"/>
              <w:rPr>
                <w:sz w:val="17"/>
                <w:szCs w:val="17"/>
                <w:color w:val="auto"/>
              </w:rPr>
            </w:pPr>
          </w:p>
        </w:tc>
        <w:tc>
          <w:tcPr>
            <w:tcW w:w="20" w:type="dxa"/>
            <w:vAlign w:val="bottom"/>
            <w:tcBorders>
              <w:top w:val="single" w:sz="8" w:color="D5EEEE"/>
            </w:tcBorders>
          </w:tcPr>
          <w:p>
            <w:pPr>
              <w:spacing w:after="0"/>
              <w:rPr>
                <w:sz w:val="17"/>
                <w:szCs w:val="17"/>
                <w:color w:val="auto"/>
              </w:rPr>
            </w:pPr>
          </w:p>
        </w:tc>
        <w:tc>
          <w:tcPr>
            <w:tcW w:w="60" w:type="dxa"/>
            <w:vAlign w:val="bottom"/>
            <w:tcBorders>
              <w:top w:val="single" w:sz="8" w:color="D5EEEE"/>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56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(10,425</w:t>
            </w:r>
          </w:p>
        </w:tc>
        <w:tc>
          <w:tcPr>
            <w:tcW w:w="20" w:type="dxa"/>
            <w:vAlign w:val="bottom"/>
          </w:tcPr>
          <w:p>
            <w:pPr>
              <w:spacing w:after="0"/>
              <w:rPr>
                <w:sz w:val="19"/>
                <w:szCs w:val="19"/>
                <w:color w:val="auto"/>
              </w:rPr>
            </w:pPr>
          </w:p>
        </w:tc>
        <w:tc>
          <w:tcPr>
            <w:tcW w:w="10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10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90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(17,325)</w:t>
            </w: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80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6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560" w:type="dxa"/>
            <w:vAlign w:val="bottom"/>
            <w:shd w:val="clear" w:color="auto" w:fill="D5EEEE"/>
          </w:tcPr>
          <w:p>
            <w:pPr>
              <w:spacing w:after="0"/>
              <w:rPr>
                <w:sz w:val="17"/>
                <w:szCs w:val="17"/>
                <w:color w:val="auto"/>
              </w:rPr>
            </w:pPr>
          </w:p>
        </w:tc>
        <w:tc>
          <w:tcPr>
            <w:tcW w:w="100" w:type="dxa"/>
            <w:vAlign w:val="bottom"/>
            <w:tcBorders>
              <w:bottom w:val="single" w:sz="8" w:color="auto"/>
            </w:tcBorders>
            <w:shd w:val="clear" w:color="auto" w:fill="D5EEEE"/>
          </w:tcPr>
          <w:p>
            <w:pPr>
              <w:spacing w:after="0"/>
              <w:rPr>
                <w:sz w:val="17"/>
                <w:szCs w:val="17"/>
                <w:color w:val="auto"/>
              </w:rPr>
            </w:pPr>
          </w:p>
        </w:tc>
        <w:tc>
          <w:tcPr>
            <w:tcW w:w="1120" w:type="dxa"/>
            <w:vAlign w:val="bottom"/>
            <w:tcBorders>
              <w:bottom w:val="single" w:sz="8" w:color="auto"/>
            </w:tcBorders>
            <w:gridSpan w:val="3"/>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(57,000</w:t>
            </w:r>
          </w:p>
        </w:tc>
        <w:tc>
          <w:tcPr>
            <w:tcW w:w="20" w:type="dxa"/>
            <w:vAlign w:val="bottom"/>
            <w:tcBorders>
              <w:bottom w:val="single" w:sz="8" w:color="auto"/>
            </w:tcBorders>
          </w:tcPr>
          <w:p>
            <w:pPr>
              <w:spacing w:after="0"/>
              <w:rPr>
                <w:sz w:val="17"/>
                <w:szCs w:val="17"/>
                <w:color w:val="auto"/>
              </w:rPr>
            </w:pPr>
          </w:p>
        </w:tc>
        <w:tc>
          <w:tcPr>
            <w:tcW w:w="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5EEEE"/>
              </w:rPr>
              <w:t>)</w:t>
            </w:r>
          </w:p>
        </w:tc>
        <w:tc>
          <w:tcPr>
            <w:tcW w:w="100" w:type="dxa"/>
            <w:vAlign w:val="bottom"/>
            <w:shd w:val="clear" w:color="auto" w:fill="D5EEE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(6,900)</w:t>
            </w:r>
          </w:p>
        </w:tc>
        <w:tc>
          <w:tcPr>
            <w:tcW w:w="20" w:type="dxa"/>
            <w:vAlign w:val="bottom"/>
            <w:tcBorders>
              <w:bottom w:val="single" w:sz="8" w:color="auto"/>
            </w:tcBorders>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(27,600)</w:t>
            </w:r>
          </w:p>
        </w:tc>
        <w:tc>
          <w:tcPr>
            <w:tcW w:w="40" w:type="dxa"/>
            <w:vAlign w:val="bottom"/>
            <w:tcBorders>
              <w:bottom w:val="single" w:sz="8" w:color="auto"/>
              <w:right w:val="single" w:sz="8" w:color="D5EEEE"/>
            </w:tcBorders>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(91,500)</w:t>
            </w:r>
          </w:p>
        </w:tc>
        <w:tc>
          <w:tcPr>
            <w:tcW w:w="20" w:type="dxa"/>
            <w:vAlign w:val="bottom"/>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D5EEEE"/>
          </w:tcPr>
          <w:p>
            <w:pPr>
              <w:jc w:val="right"/>
              <w:spacing w:after="0" w:line="203" w:lineRule="exact"/>
              <w:rPr>
                <w:sz w:val="20"/>
                <w:szCs w:val="20"/>
                <w:color w:val="auto"/>
              </w:rPr>
            </w:pPr>
            <w:r>
              <w:rPr>
                <w:rFonts w:ascii="Times New Roman" w:cs="Times New Roman" w:eastAsia="Times New Roman" w:hAnsi="Times New Roman"/>
                <w:sz w:val="18"/>
                <w:szCs w:val="18"/>
                <w:color w:val="auto"/>
              </w:rPr>
              <w:t>12.95</w:t>
            </w:r>
          </w:p>
        </w:tc>
        <w:tc>
          <w:tcPr>
            <w:tcW w:w="20" w:type="dxa"/>
            <w:vAlign w:val="bottom"/>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2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gridSpan w:val="2"/>
            <w:vMerge w:val="restart"/>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gridSpan w:val="2"/>
            <w:vMerge w:val="restart"/>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gridSpan w:val="2"/>
            <w:vMerge w:val="restart"/>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gridSpan w:val="2"/>
            <w:vMerge w:val="restart"/>
          </w:tcPr>
          <w:p>
            <w:pPr>
              <w:spacing w:after="0"/>
              <w:rPr>
                <w:sz w:val="8"/>
                <w:szCs w:val="8"/>
                <w:color w:val="auto"/>
              </w:rPr>
            </w:pPr>
          </w:p>
        </w:tc>
        <w:tc>
          <w:tcPr>
            <w:tcW w:w="8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2560" w:type="dxa"/>
            <w:vAlign w:val="bottom"/>
            <w:vMerge w:val="restart"/>
          </w:tcPr>
          <w:p>
            <w:pPr>
              <w:jc w:val="right"/>
              <w:ind w:right="1830"/>
              <w:spacing w:after="0"/>
              <w:rPr>
                <w:sz w:val="20"/>
                <w:szCs w:val="20"/>
                <w:color w:val="auto"/>
              </w:rPr>
            </w:pPr>
            <w:r>
              <w:rPr>
                <w:rFonts w:ascii="Times New Roman" w:cs="Times New Roman" w:eastAsia="Times New Roman" w:hAnsi="Times New Roman"/>
                <w:sz w:val="18"/>
                <w:szCs w:val="18"/>
                <w:color w:val="auto"/>
                <w:w w:val="98"/>
              </w:rPr>
              <w:t>31, 2022</w:t>
            </w:r>
          </w:p>
        </w:tc>
        <w:tc>
          <w:tcPr>
            <w:tcW w:w="100" w:type="dxa"/>
            <w:vAlign w:val="bottom"/>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1,724,252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511,194</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highlight w:val="white"/>
              </w:rPr>
              <w:t>2,235,446</w:t>
            </w:r>
          </w:p>
        </w:tc>
        <w:tc>
          <w:tcPr>
            <w:tcW w:w="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8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7.71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highlight w:val="white"/>
                <w:w w:val="97"/>
              </w:rPr>
              <w:t>1,530,263</w:t>
            </w:r>
          </w:p>
        </w:tc>
        <w:tc>
          <w:tcPr>
            <w:tcW w:w="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560" w:type="dxa"/>
            <w:vAlign w:val="bottom"/>
            <w:tcBorders>
              <w:bottom w:val="single" w:sz="8" w:color="D5EEEE"/>
            </w:tcBorders>
            <w:vMerge w:val="continue"/>
          </w:tcPr>
          <w:p>
            <w:pPr>
              <w:spacing w:after="0"/>
              <w:rPr>
                <w:sz w:val="12"/>
                <w:szCs w:val="12"/>
                <w:color w:val="auto"/>
              </w:rPr>
            </w:pPr>
          </w:p>
        </w:tc>
        <w:tc>
          <w:tcPr>
            <w:tcW w:w="100" w:type="dxa"/>
            <w:vAlign w:val="bottom"/>
            <w:tcBorders>
              <w:bottom w:val="single" w:sz="8" w:color="D5EEEE"/>
            </w:tcBorders>
          </w:tcPr>
          <w:p>
            <w:pPr>
              <w:spacing w:after="0"/>
              <w:rPr>
                <w:sz w:val="12"/>
                <w:szCs w:val="12"/>
                <w:color w:val="auto"/>
              </w:rPr>
            </w:pPr>
          </w:p>
        </w:tc>
        <w:tc>
          <w:tcPr>
            <w:tcW w:w="20" w:type="dxa"/>
            <w:vAlign w:val="bottom"/>
            <w:tcBorders>
              <w:bottom w:val="single" w:sz="8" w:color="D5EEEE"/>
            </w:tcBorders>
          </w:tcPr>
          <w:p>
            <w:pPr>
              <w:spacing w:after="0"/>
              <w:rPr>
                <w:sz w:val="12"/>
                <w:szCs w:val="12"/>
                <w:color w:val="auto"/>
              </w:rPr>
            </w:pPr>
          </w:p>
        </w:tc>
        <w:tc>
          <w:tcPr>
            <w:tcW w:w="20" w:type="dxa"/>
            <w:vAlign w:val="bottom"/>
            <w:tcBorders>
              <w:bottom w:val="single" w:sz="8" w:color="D5EEEE"/>
            </w:tcBorders>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D5EEEE"/>
            </w:tcBorders>
          </w:tcPr>
          <w:p>
            <w:pPr>
              <w:spacing w:after="0"/>
              <w:rPr>
                <w:sz w:val="12"/>
                <w:szCs w:val="12"/>
                <w:color w:val="auto"/>
              </w:rPr>
            </w:pPr>
          </w:p>
        </w:tc>
        <w:tc>
          <w:tcPr>
            <w:tcW w:w="100" w:type="dxa"/>
            <w:vAlign w:val="bottom"/>
            <w:tcBorders>
              <w:bottom w:val="single" w:sz="8" w:color="D5EEEE"/>
            </w:tcBorders>
          </w:tcPr>
          <w:p>
            <w:pPr>
              <w:spacing w:after="0"/>
              <w:rPr>
                <w:sz w:val="12"/>
                <w:szCs w:val="12"/>
                <w:color w:val="auto"/>
              </w:rPr>
            </w:pPr>
          </w:p>
        </w:tc>
        <w:tc>
          <w:tcPr>
            <w:tcW w:w="100" w:type="dxa"/>
            <w:vAlign w:val="bottom"/>
            <w:tcBorders>
              <w:bottom w:val="single" w:sz="8" w:color="D5EEEE"/>
            </w:tcBorders>
          </w:tcPr>
          <w:p>
            <w:pPr>
              <w:spacing w:after="0"/>
              <w:rPr>
                <w:sz w:val="12"/>
                <w:szCs w:val="12"/>
                <w:color w:val="auto"/>
              </w:rPr>
            </w:pPr>
          </w:p>
        </w:tc>
        <w:tc>
          <w:tcPr>
            <w:tcW w:w="900" w:type="dxa"/>
            <w:vAlign w:val="bottom"/>
            <w:tcBorders>
              <w:bottom w:val="single" w:sz="8" w:color="D5EEEE"/>
            </w:tcBorders>
          </w:tcPr>
          <w:p>
            <w:pPr>
              <w:spacing w:after="0"/>
              <w:rPr>
                <w:sz w:val="12"/>
                <w:szCs w:val="12"/>
                <w:color w:val="auto"/>
              </w:rPr>
            </w:pPr>
          </w:p>
        </w:tc>
        <w:tc>
          <w:tcPr>
            <w:tcW w:w="20" w:type="dxa"/>
            <w:vAlign w:val="bottom"/>
            <w:tcBorders>
              <w:bottom w:val="single" w:sz="8" w:color="D5EEEE"/>
            </w:tcBorders>
          </w:tcPr>
          <w:p>
            <w:pPr>
              <w:spacing w:after="0"/>
              <w:rPr>
                <w:sz w:val="12"/>
                <w:szCs w:val="12"/>
                <w:color w:val="auto"/>
              </w:rPr>
            </w:pPr>
          </w:p>
        </w:tc>
        <w:tc>
          <w:tcPr>
            <w:tcW w:w="80" w:type="dxa"/>
            <w:vAlign w:val="bottom"/>
            <w:tcBorders>
              <w:bottom w:val="single" w:sz="8" w:color="D5EEEE"/>
            </w:tcBorders>
          </w:tcPr>
          <w:p>
            <w:pPr>
              <w:spacing w:after="0"/>
              <w:rPr>
                <w:sz w:val="12"/>
                <w:szCs w:val="12"/>
                <w:color w:val="auto"/>
              </w:rPr>
            </w:pPr>
          </w:p>
        </w:tc>
        <w:tc>
          <w:tcPr>
            <w:tcW w:w="100" w:type="dxa"/>
            <w:vAlign w:val="bottom"/>
            <w:tcBorders>
              <w:bottom w:val="single" w:sz="8" w:color="D5EEEE"/>
            </w:tcBorders>
          </w:tcPr>
          <w:p>
            <w:pPr>
              <w:spacing w:after="0"/>
              <w:rPr>
                <w:sz w:val="12"/>
                <w:szCs w:val="12"/>
                <w:color w:val="auto"/>
              </w:rPr>
            </w:pPr>
          </w:p>
        </w:tc>
        <w:tc>
          <w:tcPr>
            <w:tcW w:w="100" w:type="dxa"/>
            <w:vAlign w:val="bottom"/>
            <w:tcBorders>
              <w:bottom w:val="single" w:sz="8" w:color="D5EEEE"/>
            </w:tcBorders>
          </w:tcPr>
          <w:p>
            <w:pPr>
              <w:spacing w:after="0"/>
              <w:rPr>
                <w:sz w:val="12"/>
                <w:szCs w:val="12"/>
                <w:color w:val="auto"/>
              </w:rPr>
            </w:pPr>
          </w:p>
        </w:tc>
        <w:tc>
          <w:tcPr>
            <w:tcW w:w="980" w:type="dxa"/>
            <w:vAlign w:val="bottom"/>
            <w:tcBorders>
              <w:bottom w:val="single" w:sz="8" w:color="D5EEEE"/>
            </w:tcBorders>
          </w:tcPr>
          <w:p>
            <w:pPr>
              <w:spacing w:after="0"/>
              <w:rPr>
                <w:sz w:val="12"/>
                <w:szCs w:val="12"/>
                <w:color w:val="auto"/>
              </w:rPr>
            </w:pPr>
          </w:p>
        </w:tc>
        <w:tc>
          <w:tcPr>
            <w:tcW w:w="40" w:type="dxa"/>
            <w:vAlign w:val="bottom"/>
            <w:tcBorders>
              <w:bottom w:val="single" w:sz="8" w:color="D5EEEE"/>
            </w:tcBorders>
          </w:tcPr>
          <w:p>
            <w:pPr>
              <w:spacing w:after="0"/>
              <w:rPr>
                <w:sz w:val="12"/>
                <w:szCs w:val="12"/>
                <w:color w:val="auto"/>
              </w:rPr>
            </w:pPr>
          </w:p>
        </w:tc>
        <w:tc>
          <w:tcPr>
            <w:tcW w:w="80" w:type="dxa"/>
            <w:vAlign w:val="bottom"/>
            <w:tcBorders>
              <w:bottom w:val="single" w:sz="8" w:color="D5EEEE"/>
            </w:tcBorders>
          </w:tcPr>
          <w:p>
            <w:pPr>
              <w:spacing w:after="0"/>
              <w:rPr>
                <w:sz w:val="12"/>
                <w:szCs w:val="12"/>
                <w:color w:val="auto"/>
              </w:rPr>
            </w:pPr>
          </w:p>
        </w:tc>
        <w:tc>
          <w:tcPr>
            <w:tcW w:w="100" w:type="dxa"/>
            <w:vAlign w:val="bottom"/>
            <w:tcBorders>
              <w:bottom w:val="single" w:sz="8" w:color="D5EEEE"/>
            </w:tcBorders>
          </w:tcPr>
          <w:p>
            <w:pPr>
              <w:spacing w:after="0"/>
              <w:rPr>
                <w:sz w:val="12"/>
                <w:szCs w:val="12"/>
                <w:color w:val="auto"/>
              </w:rPr>
            </w:pPr>
          </w:p>
        </w:tc>
        <w:tc>
          <w:tcPr>
            <w:tcW w:w="80" w:type="dxa"/>
            <w:vAlign w:val="bottom"/>
            <w:tcBorders>
              <w:bottom w:val="single" w:sz="8" w:color="D5EEEE"/>
            </w:tcBorders>
          </w:tcPr>
          <w:p>
            <w:pPr>
              <w:spacing w:after="0"/>
              <w:rPr>
                <w:sz w:val="12"/>
                <w:szCs w:val="12"/>
                <w:color w:val="auto"/>
              </w:rPr>
            </w:pPr>
          </w:p>
        </w:tc>
        <w:tc>
          <w:tcPr>
            <w:tcW w:w="800" w:type="dxa"/>
            <w:vAlign w:val="bottom"/>
            <w:tcBorders>
              <w:bottom w:val="single" w:sz="8" w:color="D5EEEE"/>
            </w:tcBorders>
          </w:tcPr>
          <w:p>
            <w:pPr>
              <w:spacing w:after="0"/>
              <w:rPr>
                <w:sz w:val="12"/>
                <w:szCs w:val="12"/>
                <w:color w:val="auto"/>
              </w:rPr>
            </w:pPr>
          </w:p>
        </w:tc>
        <w:tc>
          <w:tcPr>
            <w:tcW w:w="20" w:type="dxa"/>
            <w:vAlign w:val="bottom"/>
            <w:tcBorders>
              <w:bottom w:val="single" w:sz="8" w:color="D5EEEE"/>
            </w:tcBorders>
          </w:tcPr>
          <w:p>
            <w:pPr>
              <w:spacing w:after="0"/>
              <w:rPr>
                <w:sz w:val="12"/>
                <w:szCs w:val="12"/>
                <w:color w:val="auto"/>
              </w:rPr>
            </w:pPr>
          </w:p>
        </w:tc>
        <w:tc>
          <w:tcPr>
            <w:tcW w:w="100" w:type="dxa"/>
            <w:vAlign w:val="bottom"/>
            <w:tcBorders>
              <w:bottom w:val="single" w:sz="8" w:color="D5EEEE"/>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D5EEEE"/>
            </w:tcBorders>
          </w:tcPr>
          <w:p>
            <w:pPr>
              <w:spacing w:after="0"/>
              <w:rPr>
                <w:sz w:val="12"/>
                <w:szCs w:val="12"/>
                <w:color w:val="auto"/>
              </w:rPr>
            </w:pPr>
          </w:p>
        </w:tc>
        <w:tc>
          <w:tcPr>
            <w:tcW w:w="20" w:type="dxa"/>
            <w:vAlign w:val="bottom"/>
            <w:tcBorders>
              <w:bottom w:val="single" w:sz="8" w:color="D5EEEE"/>
            </w:tcBorders>
          </w:tcPr>
          <w:p>
            <w:pPr>
              <w:spacing w:after="0"/>
              <w:rPr>
                <w:sz w:val="12"/>
                <w:szCs w:val="12"/>
                <w:color w:val="auto"/>
              </w:rPr>
            </w:pPr>
          </w:p>
        </w:tc>
        <w:tc>
          <w:tcPr>
            <w:tcW w:w="800" w:type="dxa"/>
            <w:vAlign w:val="bottom"/>
            <w:tcBorders>
              <w:bottom w:val="single" w:sz="8" w:color="D5EEEE"/>
            </w:tcBorders>
          </w:tcPr>
          <w:p>
            <w:pPr>
              <w:spacing w:after="0"/>
              <w:rPr>
                <w:sz w:val="12"/>
                <w:szCs w:val="12"/>
                <w:color w:val="auto"/>
              </w:rPr>
            </w:pPr>
          </w:p>
        </w:tc>
        <w:tc>
          <w:tcPr>
            <w:tcW w:w="20" w:type="dxa"/>
            <w:vAlign w:val="bottom"/>
            <w:tcBorders>
              <w:bottom w:val="single" w:sz="8" w:color="D5EEEE"/>
            </w:tcBorders>
          </w:tcPr>
          <w:p>
            <w:pPr>
              <w:spacing w:after="0"/>
              <w:rPr>
                <w:sz w:val="12"/>
                <w:szCs w:val="12"/>
                <w:color w:val="auto"/>
              </w:rPr>
            </w:pPr>
          </w:p>
        </w:tc>
        <w:tc>
          <w:tcPr>
            <w:tcW w:w="100" w:type="dxa"/>
            <w:vAlign w:val="bottom"/>
            <w:tcBorders>
              <w:bottom w:val="single" w:sz="8" w:color="D5EEEE"/>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D5EEEE"/>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bottom w:val="single" w:sz="8" w:color="D5EEEE"/>
            </w:tcBorders>
          </w:tcPr>
          <w:p>
            <w:pPr>
              <w:spacing w:after="0"/>
              <w:rPr>
                <w:sz w:val="12"/>
                <w:szCs w:val="12"/>
                <w:color w:val="auto"/>
              </w:rPr>
            </w:pPr>
          </w:p>
        </w:tc>
        <w:tc>
          <w:tcPr>
            <w:tcW w:w="20" w:type="dxa"/>
            <w:vAlign w:val="bottom"/>
            <w:tcBorders>
              <w:bottom w:val="single" w:sz="8" w:color="D5EEEE"/>
            </w:tcBorders>
          </w:tcPr>
          <w:p>
            <w:pPr>
              <w:spacing w:after="0"/>
              <w:rPr>
                <w:sz w:val="12"/>
                <w:szCs w:val="12"/>
                <w:color w:val="auto"/>
              </w:rPr>
            </w:pPr>
          </w:p>
        </w:tc>
        <w:tc>
          <w:tcPr>
            <w:tcW w:w="60" w:type="dxa"/>
            <w:vAlign w:val="bottom"/>
            <w:tcBorders>
              <w:bottom w:val="single" w:sz="8" w:color="D5EEEE"/>
            </w:tcBorders>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56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1120" w:type="dxa"/>
            <w:vAlign w:val="bottom"/>
            <w:gridSpan w:val="3"/>
            <w:shd w:val="clear" w:color="auto" w:fill="D5EEEE"/>
          </w:tcPr>
          <w:p>
            <w:pPr>
              <w:jc w:val="right"/>
              <w:spacing w:after="0" w:line="206" w:lineRule="exact"/>
              <w:rPr>
                <w:sz w:val="20"/>
                <w:szCs w:val="20"/>
                <w:color w:val="auto"/>
              </w:rPr>
            </w:pPr>
            <w:r>
              <w:rPr>
                <w:rFonts w:ascii="Times New Roman" w:cs="Times New Roman" w:eastAsia="Times New Roman" w:hAnsi="Times New Roman"/>
                <w:sz w:val="18"/>
                <w:szCs w:val="18"/>
                <w:color w:val="auto"/>
              </w:rPr>
              <w:t>682,749</w:t>
            </w:r>
          </w:p>
        </w:tc>
        <w:tc>
          <w:tcPr>
            <w:tcW w:w="20" w:type="dxa"/>
            <w:vAlign w:val="bottom"/>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shd w:val="clear" w:color="auto" w:fill="D5EEEE"/>
          </w:tcPr>
          <w:p>
            <w:pPr>
              <w:jc w:val="right"/>
              <w:spacing w:after="0" w:line="206" w:lineRule="exact"/>
              <w:rPr>
                <w:sz w:val="20"/>
                <w:szCs w:val="20"/>
                <w:color w:val="auto"/>
              </w:rPr>
            </w:pPr>
            <w:r>
              <w:rPr>
                <w:rFonts w:ascii="Times New Roman" w:cs="Times New Roman" w:eastAsia="Times New Roman" w:hAnsi="Times New Roman"/>
                <w:sz w:val="18"/>
                <w:szCs w:val="18"/>
                <w:color w:val="auto"/>
              </w:rPr>
              <w:t>310,858</w:t>
            </w:r>
          </w:p>
        </w:tc>
        <w:tc>
          <w:tcPr>
            <w:tcW w:w="20" w:type="dxa"/>
            <w:vAlign w:val="bottom"/>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shd w:val="clear" w:color="auto" w:fill="D5EEEE"/>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right w:val="single" w:sz="8" w:color="D5EEEE"/>
            </w:tcBorders>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shd w:val="clear" w:color="auto" w:fill="D5EEEE"/>
          </w:tcPr>
          <w:p>
            <w:pPr>
              <w:jc w:val="right"/>
              <w:spacing w:after="0" w:line="206" w:lineRule="exact"/>
              <w:rPr>
                <w:sz w:val="20"/>
                <w:szCs w:val="20"/>
                <w:color w:val="auto"/>
              </w:rPr>
            </w:pPr>
            <w:r>
              <w:rPr>
                <w:rFonts w:ascii="Times New Roman" w:cs="Times New Roman" w:eastAsia="Times New Roman" w:hAnsi="Times New Roman"/>
                <w:sz w:val="18"/>
                <w:szCs w:val="18"/>
                <w:color w:val="auto"/>
              </w:rPr>
              <w:t>993,607</w:t>
            </w:r>
          </w:p>
        </w:tc>
        <w:tc>
          <w:tcPr>
            <w:tcW w:w="20" w:type="dxa"/>
            <w:vAlign w:val="bottom"/>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0" w:type="dxa"/>
            <w:vAlign w:val="bottom"/>
          </w:tcPr>
          <w:p>
            <w:pPr>
              <w:spacing w:after="0"/>
              <w:rPr>
                <w:sz w:val="17"/>
                <w:szCs w:val="17"/>
                <w:color w:val="auto"/>
              </w:rPr>
            </w:pPr>
          </w:p>
        </w:tc>
        <w:tc>
          <w:tcPr>
            <w:tcW w:w="800" w:type="dxa"/>
            <w:vAlign w:val="bottom"/>
            <w:shd w:val="clear" w:color="auto" w:fill="D5EEEE"/>
          </w:tcPr>
          <w:p>
            <w:pPr>
              <w:jc w:val="right"/>
              <w:spacing w:after="0" w:line="206" w:lineRule="exact"/>
              <w:rPr>
                <w:sz w:val="20"/>
                <w:szCs w:val="20"/>
                <w:color w:val="auto"/>
              </w:rPr>
            </w:pPr>
            <w:r>
              <w:rPr>
                <w:rFonts w:ascii="Times New Roman" w:cs="Times New Roman" w:eastAsia="Times New Roman" w:hAnsi="Times New Roman"/>
                <w:sz w:val="18"/>
                <w:szCs w:val="18"/>
                <w:color w:val="auto"/>
              </w:rPr>
              <w:t>12.40</w:t>
            </w:r>
          </w:p>
        </w:tc>
        <w:tc>
          <w:tcPr>
            <w:tcW w:w="2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220" w:type="dxa"/>
            <w:vAlign w:val="bottom"/>
            <w:gridSpan w:val="2"/>
          </w:tcPr>
          <w:p>
            <w:pPr>
              <w:spacing w:after="0"/>
              <w:rPr>
                <w:sz w:val="17"/>
                <w:szCs w:val="17"/>
                <w:color w:val="auto"/>
              </w:rPr>
            </w:pPr>
          </w:p>
        </w:tc>
        <w:tc>
          <w:tcPr>
            <w:tcW w:w="800" w:type="dxa"/>
            <w:vAlign w:val="bottom"/>
            <w:gridSpan w:val="2"/>
            <w:shd w:val="clear" w:color="auto" w:fill="D5EEEE"/>
          </w:tcPr>
          <w:p>
            <w:pPr>
              <w:jc w:val="right"/>
              <w:ind w:right="150"/>
              <w:spacing w:after="0" w:line="206" w:lineRule="exact"/>
              <w:rPr>
                <w:sz w:val="20"/>
                <w:szCs w:val="20"/>
                <w:color w:val="auto"/>
              </w:rPr>
            </w:pPr>
            <w:r>
              <w:rPr>
                <w:rFonts w:ascii="Times New Roman" w:cs="Times New Roman" w:eastAsia="Times New Roman" w:hAnsi="Times New Roman"/>
                <w:sz w:val="18"/>
                <w:szCs w:val="18"/>
                <w:color w:val="auto"/>
              </w:rPr>
              <w:t>6.17</w:t>
            </w:r>
          </w:p>
        </w:tc>
        <w:tc>
          <w:tcPr>
            <w:tcW w:w="20" w:type="dxa"/>
            <w:vAlign w:val="bottom"/>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shd w:val="clear" w:color="auto" w:fill="D5EEEE"/>
          </w:tcPr>
          <w:p>
            <w:pPr>
              <w:spacing w:after="0" w:line="206" w:lineRule="exact"/>
              <w:rPr>
                <w:sz w:val="20"/>
                <w:szCs w:val="20"/>
                <w:color w:val="auto"/>
              </w:rPr>
            </w:pPr>
            <w:r>
              <w:rPr>
                <w:rFonts w:ascii="Times New Roman" w:cs="Times New Roman" w:eastAsia="Times New Roman" w:hAnsi="Times New Roman"/>
                <w:sz w:val="18"/>
                <w:szCs w:val="18"/>
                <w:color w:val="auto"/>
                <w:w w:val="88"/>
                <w:shd w:val="clear" w:color="auto" w:fill="D5EEEE"/>
              </w:rPr>
              <w:t>$</w:t>
            </w:r>
          </w:p>
        </w:tc>
        <w:tc>
          <w:tcPr>
            <w:tcW w:w="20" w:type="dxa"/>
            <w:vAlign w:val="bottom"/>
          </w:tcPr>
          <w:p>
            <w:pPr>
              <w:spacing w:after="0"/>
              <w:rPr>
                <w:sz w:val="17"/>
                <w:szCs w:val="17"/>
                <w:color w:val="auto"/>
              </w:rPr>
            </w:pPr>
          </w:p>
        </w:tc>
        <w:tc>
          <w:tcPr>
            <w:tcW w:w="720" w:type="dxa"/>
            <w:vAlign w:val="bottom"/>
            <w:shd w:val="clear" w:color="auto" w:fill="D5EEEE"/>
          </w:tcPr>
          <w:p>
            <w:pPr>
              <w:jc w:val="right"/>
              <w:spacing w:after="0" w:line="206" w:lineRule="exact"/>
              <w:rPr>
                <w:sz w:val="20"/>
                <w:szCs w:val="20"/>
                <w:color w:val="auto"/>
              </w:rPr>
            </w:pPr>
            <w:r>
              <w:rPr>
                <w:rFonts w:ascii="Times New Roman" w:cs="Times New Roman" w:eastAsia="Times New Roman" w:hAnsi="Times New Roman"/>
                <w:sz w:val="18"/>
                <w:szCs w:val="18"/>
                <w:color w:val="auto"/>
              </w:rPr>
              <w:t>587,632</w:t>
            </w:r>
          </w:p>
        </w:tc>
        <w:tc>
          <w:tcPr>
            <w:tcW w:w="20" w:type="dxa"/>
            <w:vAlign w:val="bottom"/>
            <w:shd w:val="clear" w:color="auto" w:fill="D5EEEE"/>
          </w:tcPr>
          <w:p>
            <w:pPr>
              <w:spacing w:after="0"/>
              <w:rPr>
                <w:sz w:val="17"/>
                <w:szCs w:val="17"/>
                <w:color w:val="auto"/>
              </w:rPr>
            </w:pPr>
          </w:p>
        </w:tc>
        <w:tc>
          <w:tcPr>
            <w:tcW w:w="6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-1359535</wp:posOffset>
            </wp:positionV>
            <wp:extent cx="6884670" cy="13728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84670" cy="1372870"/>
                    </a:xfrm>
                    <a:prstGeom prst="rect">
                      <a:avLst/>
                    </a:prstGeom>
                    <a:noFill/>
                  </pic:spPr>
                </pic:pic>
              </a:graphicData>
            </a:graphic>
          </wp:anchor>
        </w:drawing>
      </w:r>
    </w:p>
    <w:p>
      <w:pPr>
        <w:spacing w:after="0" w:line="188" w:lineRule="exact"/>
        <w:rPr>
          <w:sz w:val="20"/>
          <w:szCs w:val="20"/>
          <w:color w:val="auto"/>
        </w:rPr>
      </w:pPr>
    </w:p>
    <w:p>
      <w:pPr>
        <w:ind w:right="20" w:firstLine="720"/>
        <w:spacing w:after="0" w:line="250" w:lineRule="auto"/>
        <w:rPr>
          <w:sz w:val="20"/>
          <w:szCs w:val="20"/>
          <w:color w:val="auto"/>
        </w:rPr>
      </w:pPr>
      <w:r>
        <w:rPr>
          <w:rFonts w:ascii="Times New Roman" w:cs="Times New Roman" w:eastAsia="Times New Roman" w:hAnsi="Times New Roman"/>
          <w:sz w:val="20"/>
          <w:szCs w:val="20"/>
          <w:color w:val="auto"/>
        </w:rPr>
        <w:t>The weighted-average grant-date fair value of options granted during the year-ended December 31, 2022, transition period ended December 31, 2021, and the year-ended June 30, 2021 was $4.64, $10.35, and $14.08, respectively. The total intrinsic value of options exercised during the year-ended December 31, 2022, the transition period ended December 31, 2021, and the year-ended June 30, 2021 was $179,000, $13,000, and $221,000 and, respectively. Intrinsic value is measured using the fair market value at the date of exercise for options exercised, or at balance sheet date for outstanding options, less the applicable exercise price.</w:t>
      </w:r>
    </w:p>
    <w:p>
      <w:pPr>
        <w:sectPr>
          <w:pgSz w:w="11880" w:h="15480" w:orient="portrait"/>
          <w:cols w:equalWidth="0" w:num="1">
            <w:col w:w="10800"/>
          </w:cols>
          <w:pgMar w:left="540" w:top="887" w:right="540" w:bottom="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F-28</w:t>
      </w:r>
    </w:p>
    <w:p>
      <w:pPr>
        <w:sectPr>
          <w:pgSz w:w="11880" w:h="15480" w:orient="portrait"/>
          <w:cols w:equalWidth="0" w:num="1">
            <w:col w:w="10800"/>
          </w:cols>
          <w:pgMar w:left="540" w:top="887" w:right="540" w:bottom="5" w:gutter="0" w:footer="0" w:header="0"/>
          <w:type w:val="continuous"/>
        </w:sectPr>
      </w:pPr>
    </w:p>
    <w:bookmarkStart w:id="94" w:name="page95"/>
    <w:bookmarkEnd w:id="94"/>
    <w:p>
      <w:pPr>
        <w:ind w:right="160" w:firstLine="720"/>
        <w:spacing w:after="0" w:line="279" w:lineRule="auto"/>
        <w:rPr>
          <w:sz w:val="20"/>
          <w:szCs w:val="20"/>
          <w:color w:val="auto"/>
        </w:rPr>
      </w:pPr>
      <w:r>
        <w:rPr>
          <w:rFonts w:ascii="Times New Roman" w:cs="Times New Roman" w:eastAsia="Times New Roman" w:hAnsi="Times New Roman"/>
          <w:sz w:val="20"/>
          <w:szCs w:val="20"/>
          <w:color w:val="auto"/>
        </w:rPr>
        <w:t>Cash received from the exercise of options was approximately $900,000, $7,000, and $63,000 for the year-ended December 31, 2022, transition period ended December 31, 2021, and the year-ended June 30, 2021, respectively.</w:t>
      </w:r>
    </w:p>
    <w:p>
      <w:pPr>
        <w:spacing w:after="0" w:line="167" w:lineRule="exact"/>
        <w:rPr>
          <w:sz w:val="20"/>
          <w:szCs w:val="20"/>
          <w:color w:val="auto"/>
        </w:rPr>
      </w:pPr>
    </w:p>
    <w:p>
      <w:pPr>
        <w:ind w:right="20" w:firstLine="720"/>
        <w:spacing w:after="0" w:line="252" w:lineRule="auto"/>
        <w:rPr>
          <w:sz w:val="20"/>
          <w:szCs w:val="20"/>
          <w:color w:val="auto"/>
        </w:rPr>
      </w:pPr>
      <w:r>
        <w:rPr>
          <w:rFonts w:ascii="Times New Roman" w:cs="Times New Roman" w:eastAsia="Times New Roman" w:hAnsi="Times New Roman"/>
          <w:sz w:val="20"/>
          <w:szCs w:val="20"/>
          <w:color w:val="auto"/>
        </w:rPr>
        <w:t>As of December 31, 2022, there was approximately $5.4 million of total unrecognized compensation cost related to share-based compensation expense. Of this amount $4.3 million relates to service only share options to be recognized over a weighted average period of 1.65 years, $1.1 million related to performance-based share options to be recognized over a weighted average period of 1.60 years.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w:t>
      </w:r>
    </w:p>
    <w:p>
      <w:pPr>
        <w:spacing w:after="0" w:line="116" w:lineRule="exact"/>
        <w:rPr>
          <w:sz w:val="20"/>
          <w:szCs w:val="20"/>
          <w:color w:val="auto"/>
        </w:rPr>
      </w:pPr>
    </w:p>
    <w:p>
      <w:pPr>
        <w:ind w:right="20" w:firstLine="720"/>
        <w:spacing w:after="0" w:line="246" w:lineRule="auto"/>
        <w:rPr>
          <w:sz w:val="20"/>
          <w:szCs w:val="20"/>
          <w:color w:val="auto"/>
        </w:rPr>
      </w:pPr>
      <w:r>
        <w:rPr>
          <w:rFonts w:ascii="Times New Roman" w:cs="Times New Roman" w:eastAsia="Times New Roman" w:hAnsi="Times New Roman"/>
          <w:sz w:val="20"/>
          <w:szCs w:val="20"/>
          <w:color w:val="auto"/>
        </w:rPr>
        <w:t>Restricted stock units (“</w:t>
      </w:r>
      <w:r>
        <w:rPr>
          <w:rFonts w:ascii="Times New Roman" w:cs="Times New Roman" w:eastAsia="Times New Roman" w:hAnsi="Times New Roman"/>
          <w:sz w:val="20"/>
          <w:szCs w:val="20"/>
          <w:b w:val="1"/>
          <w:bCs w:val="1"/>
          <w:color w:val="auto"/>
        </w:rPr>
        <w:t>RSUs</w:t>
      </w:r>
      <w:r>
        <w:rPr>
          <w:rFonts w:ascii="Times New Roman" w:cs="Times New Roman" w:eastAsia="Times New Roman" w:hAnsi="Times New Roman"/>
          <w:sz w:val="20"/>
          <w:szCs w:val="20"/>
          <w:color w:val="auto"/>
        </w:rPr>
        <w:t>”) are granted to executives as part of their long-term incentive compensation. RSUs granted as a result of stockholder approval at the December 22, 2021 AGM and December 14, 2022 AGM arise out of contracts between the Company and the holders of such securities. These RSU awards were approved by the Compensation Committee as determined necessary. All RSU awards have a contractual term of 10 years and vest in accordance with the tenure or performance conditions as determined by the Compensation Committee and set out in the contracts between the Company and the holders of such securities. The grant date fair value is determined based on the price of the Company stock price on the date of grant (stock price determined on Nasdaq). RSUs primarily consist of awards to the Former CEO and other executives as well as Non-Executive Directors (as occurred following the 2021 AGM and 2022 AGM). The Former CEO RSU awards are described below.</w:t>
      </w:r>
    </w:p>
    <w:p>
      <w:pPr>
        <w:spacing w:after="0" w:line="228" w:lineRule="exact"/>
        <w:rPr>
          <w:sz w:val="20"/>
          <w:szCs w:val="20"/>
          <w:color w:val="auto"/>
        </w:rPr>
      </w:pPr>
    </w:p>
    <w:p>
      <w:pPr>
        <w:ind w:right="260" w:firstLine="720"/>
        <w:spacing w:after="0" w:line="279" w:lineRule="auto"/>
        <w:rPr>
          <w:sz w:val="20"/>
          <w:szCs w:val="20"/>
          <w:color w:val="auto"/>
        </w:rPr>
      </w:pPr>
      <w:r>
        <w:rPr>
          <w:rFonts w:ascii="Times New Roman" w:cs="Times New Roman" w:eastAsia="Times New Roman" w:hAnsi="Times New Roman"/>
          <w:sz w:val="20"/>
          <w:szCs w:val="20"/>
          <w:color w:val="auto"/>
        </w:rPr>
        <w:t>A summary of the status of the Company’s unvested RSUs as of December 31, 2022, and changes that occurred during the year is presented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85"/>
        </w:trPr>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82"/>
        </w:trPr>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center"/>
              <w:ind w:right="220"/>
              <w:spacing w:after="0" w:line="182" w:lineRule="exact"/>
              <w:rPr>
                <w:sz w:val="20"/>
                <w:szCs w:val="20"/>
                <w:color w:val="auto"/>
              </w:rPr>
            </w:pPr>
            <w:r>
              <w:rPr>
                <w:rFonts w:ascii="Times New Roman" w:cs="Times New Roman" w:eastAsia="Times New Roman" w:hAnsi="Times New Roman"/>
                <w:sz w:val="16"/>
                <w:szCs w:val="16"/>
                <w:b w:val="1"/>
                <w:bCs w:val="1"/>
                <w:color w:val="auto"/>
              </w:rPr>
              <w:t>Grant Date</w:t>
            </w:r>
          </w:p>
        </w:tc>
        <w:tc>
          <w:tcPr>
            <w:tcW w:w="0" w:type="dxa"/>
            <w:vAlign w:val="bottom"/>
          </w:tcPr>
          <w:p>
            <w:pPr>
              <w:spacing w:after="0"/>
              <w:rPr>
                <w:sz w:val="1"/>
                <w:szCs w:val="1"/>
                <w:color w:val="auto"/>
              </w:rPr>
            </w:pPr>
          </w:p>
        </w:tc>
      </w:tr>
      <w:tr>
        <w:trPr>
          <w:trHeight w:val="185"/>
        </w:trPr>
        <w:tc>
          <w:tcPr>
            <w:tcW w:w="3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Service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Market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43"/>
        </w:trPr>
        <w:tc>
          <w:tcPr>
            <w:tcW w:w="32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Unvested Shares</w:t>
            </w:r>
          </w:p>
        </w:tc>
        <w:tc>
          <w:tcPr>
            <w:tcW w:w="20" w:type="dxa"/>
            <w:vAlign w:val="bottom"/>
          </w:tcPr>
          <w:p>
            <w:pPr>
              <w:spacing w:after="0"/>
              <w:rPr>
                <w:sz w:val="21"/>
                <w:szCs w:val="21"/>
                <w:color w:val="auto"/>
              </w:rPr>
            </w:pPr>
          </w:p>
        </w:tc>
        <w:tc>
          <w:tcPr>
            <w:tcW w:w="15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Condition RSU</w:t>
            </w:r>
          </w:p>
        </w:tc>
        <w:tc>
          <w:tcPr>
            <w:tcW w:w="120" w:type="dxa"/>
            <w:vAlign w:val="bottom"/>
          </w:tcPr>
          <w:p>
            <w:pPr>
              <w:spacing w:after="0"/>
              <w:rPr>
                <w:sz w:val="21"/>
                <w:szCs w:val="21"/>
                <w:color w:val="auto"/>
              </w:rPr>
            </w:pPr>
          </w:p>
        </w:tc>
        <w:tc>
          <w:tcPr>
            <w:tcW w:w="1360" w:type="dxa"/>
            <w:vAlign w:val="bottom"/>
            <w:gridSpan w:val="3"/>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Condition RSU</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Condition</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Total RSU's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per Unit</w:t>
            </w:r>
          </w:p>
        </w:tc>
        <w:tc>
          <w:tcPr>
            <w:tcW w:w="0" w:type="dxa"/>
            <w:vAlign w:val="bottom"/>
          </w:tcPr>
          <w:p>
            <w:pPr>
              <w:spacing w:after="0"/>
              <w:rPr>
                <w:sz w:val="1"/>
                <w:szCs w:val="1"/>
                <w:color w:val="auto"/>
              </w:rPr>
            </w:pPr>
          </w:p>
        </w:tc>
      </w:tr>
      <w:tr>
        <w:trPr>
          <w:trHeight w:val="74"/>
        </w:trPr>
        <w:tc>
          <w:tcPr>
            <w:tcW w:w="3140" w:type="dxa"/>
            <w:vAlign w:val="bottom"/>
            <w:tcBorders>
              <w:top w:val="single" w:sz="8" w:color="D5EEEE"/>
            </w:tcBorders>
            <w:shd w:val="clear" w:color="auto" w:fill="D5EEEE"/>
          </w:tcPr>
          <w:p>
            <w:pPr>
              <w:spacing w:after="0"/>
              <w:rPr>
                <w:sz w:val="6"/>
                <w:szCs w:val="6"/>
                <w:color w:val="auto"/>
              </w:rPr>
            </w:pPr>
          </w:p>
        </w:tc>
        <w:tc>
          <w:tcPr>
            <w:tcW w:w="120" w:type="dxa"/>
            <w:vAlign w:val="bottom"/>
            <w:tcBorders>
              <w:top w:val="single" w:sz="8" w:color="auto"/>
            </w:tcBorders>
            <w:shd w:val="clear" w:color="auto" w:fill="D5EEEE"/>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440" w:type="dxa"/>
            <w:vAlign w:val="bottom"/>
            <w:tcBorders>
              <w:top w:val="single" w:sz="8" w:color="auto"/>
            </w:tcBorders>
          </w:tcPr>
          <w:p>
            <w:pPr>
              <w:spacing w:after="0"/>
              <w:rPr>
                <w:sz w:val="6"/>
                <w:szCs w:val="6"/>
                <w:color w:val="auto"/>
              </w:rPr>
            </w:pPr>
          </w:p>
        </w:tc>
        <w:tc>
          <w:tcPr>
            <w:tcW w:w="20" w:type="dxa"/>
            <w:vAlign w:val="bottom"/>
            <w:tcBorders>
              <w:top w:val="single" w:sz="8" w:color="auto"/>
            </w:tcBorders>
            <w:vMerge w:val="restart"/>
          </w:tcPr>
          <w:p>
            <w:pPr>
              <w:spacing w:after="0"/>
              <w:rPr>
                <w:sz w:val="6"/>
                <w:szCs w:val="6"/>
                <w:color w:val="auto"/>
              </w:rPr>
            </w:pPr>
          </w:p>
        </w:tc>
        <w:tc>
          <w:tcPr>
            <w:tcW w:w="100" w:type="dxa"/>
            <w:vAlign w:val="bottom"/>
            <w:tcBorders>
              <w:top w:val="single" w:sz="8" w:color="D5EEEE"/>
            </w:tcBorders>
            <w:vMerge w:val="restart"/>
            <w:shd w:val="clear" w:color="auto" w:fill="D5EEEE"/>
          </w:tcPr>
          <w:p>
            <w:pPr>
              <w:spacing w:after="0"/>
              <w:rPr>
                <w:sz w:val="6"/>
                <w:szCs w:val="6"/>
                <w:color w:val="auto"/>
              </w:rPr>
            </w:pPr>
          </w:p>
        </w:tc>
        <w:tc>
          <w:tcPr>
            <w:tcW w:w="120" w:type="dxa"/>
            <w:vAlign w:val="bottom"/>
            <w:tcBorders>
              <w:top w:val="single" w:sz="8" w:color="D5EEEE"/>
            </w:tcBorders>
            <w:vMerge w:val="restart"/>
          </w:tcPr>
          <w:p>
            <w:pPr>
              <w:spacing w:after="0"/>
              <w:rPr>
                <w:sz w:val="6"/>
                <w:szCs w:val="6"/>
                <w:color w:val="auto"/>
              </w:rPr>
            </w:pPr>
          </w:p>
        </w:tc>
        <w:tc>
          <w:tcPr>
            <w:tcW w:w="100" w:type="dxa"/>
            <w:vAlign w:val="bottom"/>
            <w:tcBorders>
              <w:top w:val="single" w:sz="8" w:color="auto"/>
            </w:tcBorders>
            <w:vMerge w:val="restart"/>
          </w:tcPr>
          <w:p>
            <w:pPr>
              <w:spacing w:after="0"/>
              <w:rPr>
                <w:sz w:val="6"/>
                <w:szCs w:val="6"/>
                <w:color w:val="auto"/>
              </w:rPr>
            </w:pPr>
          </w:p>
        </w:tc>
        <w:tc>
          <w:tcPr>
            <w:tcW w:w="1160" w:type="dxa"/>
            <w:vAlign w:val="bottom"/>
            <w:tcBorders>
              <w:top w:val="single" w:sz="8" w:color="auto"/>
              <w:right w:val="single" w:sz="8" w:color="D5EEEE"/>
            </w:tcBorders>
          </w:tcPr>
          <w:p>
            <w:pPr>
              <w:spacing w:after="0"/>
              <w:rPr>
                <w:sz w:val="6"/>
                <w:szCs w:val="6"/>
                <w:color w:val="auto"/>
              </w:rPr>
            </w:pPr>
          </w:p>
        </w:tc>
        <w:tc>
          <w:tcPr>
            <w:tcW w:w="100" w:type="dxa"/>
            <w:vAlign w:val="bottom"/>
            <w:tcBorders>
              <w:top w:val="single" w:sz="8" w:color="D5EEEE"/>
            </w:tcBorders>
            <w:vMerge w:val="restart"/>
            <w:shd w:val="clear" w:color="auto" w:fill="D5EEEE"/>
          </w:tcPr>
          <w:p>
            <w:pPr>
              <w:spacing w:after="0"/>
              <w:rPr>
                <w:sz w:val="6"/>
                <w:szCs w:val="6"/>
                <w:color w:val="auto"/>
              </w:rPr>
            </w:pPr>
          </w:p>
        </w:tc>
        <w:tc>
          <w:tcPr>
            <w:tcW w:w="120" w:type="dxa"/>
            <w:vAlign w:val="bottom"/>
            <w:tcBorders>
              <w:top w:val="single" w:sz="8" w:color="D5EEEE"/>
            </w:tcBorders>
            <w:vMerge w:val="restart"/>
          </w:tcPr>
          <w:p>
            <w:pPr>
              <w:spacing w:after="0"/>
              <w:rPr>
                <w:sz w:val="6"/>
                <w:szCs w:val="6"/>
                <w:color w:val="auto"/>
              </w:rPr>
            </w:pPr>
          </w:p>
        </w:tc>
        <w:tc>
          <w:tcPr>
            <w:tcW w:w="100" w:type="dxa"/>
            <w:vAlign w:val="bottom"/>
            <w:tcBorders>
              <w:top w:val="single" w:sz="8" w:color="auto"/>
            </w:tcBorders>
            <w:vMerge w:val="restart"/>
          </w:tcPr>
          <w:p>
            <w:pPr>
              <w:spacing w:after="0"/>
              <w:rPr>
                <w:sz w:val="6"/>
                <w:szCs w:val="6"/>
                <w:color w:val="auto"/>
              </w:rPr>
            </w:pPr>
          </w:p>
        </w:tc>
        <w:tc>
          <w:tcPr>
            <w:tcW w:w="1300" w:type="dxa"/>
            <w:vAlign w:val="bottom"/>
            <w:tcBorders>
              <w:top w:val="single" w:sz="8" w:color="auto"/>
            </w:tcBorders>
          </w:tcPr>
          <w:p>
            <w:pPr>
              <w:spacing w:after="0"/>
              <w:rPr>
                <w:sz w:val="6"/>
                <w:szCs w:val="6"/>
                <w:color w:val="auto"/>
              </w:rPr>
            </w:pPr>
          </w:p>
        </w:tc>
        <w:tc>
          <w:tcPr>
            <w:tcW w:w="20" w:type="dxa"/>
            <w:vAlign w:val="bottom"/>
            <w:tcBorders>
              <w:top w:val="single" w:sz="8" w:color="auto"/>
            </w:tcBorders>
            <w:vMerge w:val="restart"/>
          </w:tcPr>
          <w:p>
            <w:pPr>
              <w:spacing w:after="0"/>
              <w:rPr>
                <w:sz w:val="6"/>
                <w:szCs w:val="6"/>
                <w:color w:val="auto"/>
              </w:rPr>
            </w:pPr>
          </w:p>
        </w:tc>
        <w:tc>
          <w:tcPr>
            <w:tcW w:w="100" w:type="dxa"/>
            <w:vAlign w:val="bottom"/>
            <w:tcBorders>
              <w:top w:val="single" w:sz="8" w:color="D5EEEE"/>
            </w:tcBorders>
            <w:vMerge w:val="restart"/>
            <w:shd w:val="clear" w:color="auto" w:fill="D5EEEE"/>
          </w:tcPr>
          <w:p>
            <w:pPr>
              <w:spacing w:after="0"/>
              <w:rPr>
                <w:sz w:val="6"/>
                <w:szCs w:val="6"/>
                <w:color w:val="auto"/>
              </w:rPr>
            </w:pPr>
          </w:p>
        </w:tc>
        <w:tc>
          <w:tcPr>
            <w:tcW w:w="120" w:type="dxa"/>
            <w:vAlign w:val="bottom"/>
            <w:tcBorders>
              <w:top w:val="single" w:sz="8" w:color="D5EEEE"/>
            </w:tcBorders>
            <w:vMerge w:val="restart"/>
          </w:tcPr>
          <w:p>
            <w:pPr>
              <w:spacing w:after="0"/>
              <w:rPr>
                <w:sz w:val="6"/>
                <w:szCs w:val="6"/>
                <w:color w:val="auto"/>
              </w:rPr>
            </w:pPr>
          </w:p>
        </w:tc>
        <w:tc>
          <w:tcPr>
            <w:tcW w:w="120" w:type="dxa"/>
            <w:vAlign w:val="bottom"/>
            <w:tcBorders>
              <w:top w:val="single" w:sz="8" w:color="auto"/>
            </w:tcBorders>
            <w:vMerge w:val="restart"/>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20" w:type="dxa"/>
            <w:vAlign w:val="bottom"/>
            <w:tcBorders>
              <w:top w:val="single" w:sz="8" w:color="auto"/>
            </w:tcBorders>
            <w:vMerge w:val="restart"/>
          </w:tcPr>
          <w:p>
            <w:pPr>
              <w:spacing w:after="0"/>
              <w:rPr>
                <w:sz w:val="6"/>
                <w:szCs w:val="6"/>
                <w:color w:val="auto"/>
              </w:rPr>
            </w:pPr>
          </w:p>
        </w:tc>
        <w:tc>
          <w:tcPr>
            <w:tcW w:w="100" w:type="dxa"/>
            <w:vAlign w:val="bottom"/>
            <w:tcBorders>
              <w:top w:val="single" w:sz="8" w:color="D5EEEE"/>
            </w:tcBorders>
            <w:vMerge w:val="restart"/>
            <w:shd w:val="clear" w:color="auto" w:fill="D5EEEE"/>
          </w:tcPr>
          <w:p>
            <w:pPr>
              <w:spacing w:after="0"/>
              <w:rPr>
                <w:sz w:val="6"/>
                <w:szCs w:val="6"/>
                <w:color w:val="auto"/>
              </w:rPr>
            </w:pPr>
          </w:p>
        </w:tc>
        <w:tc>
          <w:tcPr>
            <w:tcW w:w="140" w:type="dxa"/>
            <w:vAlign w:val="bottom"/>
            <w:tcBorders>
              <w:top w:val="single" w:sz="8" w:color="D5EEEE"/>
            </w:tcBorders>
            <w:vMerge w:val="restart"/>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vMerge w:val="restart"/>
            <w:shd w:val="clear" w:color="auto" w:fill="D5EEEE"/>
          </w:tcPr>
          <w:p>
            <w:pPr>
              <w:jc w:val="center"/>
              <w:ind w:left="530"/>
              <w:spacing w:after="0"/>
              <w:rPr>
                <w:sz w:val="20"/>
                <w:szCs w:val="20"/>
                <w:color w:val="auto"/>
              </w:rPr>
            </w:pPr>
            <w:r>
              <w:rPr>
                <w:rFonts w:ascii="Times New Roman" w:cs="Times New Roman" w:eastAsia="Times New Roman" w:hAnsi="Times New Roman"/>
                <w:sz w:val="20"/>
                <w:szCs w:val="20"/>
                <w:color w:val="auto"/>
              </w:rPr>
              <w:t>19.66</w:t>
            </w:r>
          </w:p>
        </w:tc>
        <w:tc>
          <w:tcPr>
            <w:tcW w:w="20" w:type="dxa"/>
            <w:vAlign w:val="bottom"/>
            <w:tcBorders>
              <w:top w:val="single" w:sz="8" w:color="auto"/>
            </w:tcBorders>
            <w:vMerge w:val="restart"/>
            <w:shd w:val="clear" w:color="auto" w:fill="D5EEEE"/>
          </w:tcPr>
          <w:p>
            <w:pPr>
              <w:spacing w:after="0"/>
              <w:rPr>
                <w:sz w:val="6"/>
                <w:szCs w:val="6"/>
                <w:color w:val="auto"/>
              </w:rPr>
            </w:pPr>
          </w:p>
        </w:tc>
        <w:tc>
          <w:tcPr>
            <w:tcW w:w="100" w:type="dxa"/>
            <w:vAlign w:val="bottom"/>
            <w:tcBorders>
              <w:top w:val="single" w:sz="8" w:color="D5EEEE"/>
            </w:tcBorders>
            <w:vMerge w:val="restart"/>
            <w:shd w:val="clear" w:color="auto" w:fill="D5EEE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140" w:type="dxa"/>
            <w:vAlign w:val="bottom"/>
            <w:vMerge w:val="restart"/>
            <w:shd w:val="clear" w:color="auto" w:fill="D5EEEE"/>
          </w:tcPr>
          <w:p>
            <w:pPr>
              <w:spacing w:after="0"/>
              <w:rPr>
                <w:sz w:val="20"/>
                <w:szCs w:val="20"/>
                <w:color w:val="auto"/>
              </w:rPr>
            </w:pPr>
            <w:r>
              <w:rPr>
                <w:rFonts w:ascii="Times New Roman" w:cs="Times New Roman" w:eastAsia="Times New Roman" w:hAnsi="Times New Roman"/>
                <w:sz w:val="20"/>
                <w:szCs w:val="20"/>
                <w:color w:val="auto"/>
              </w:rPr>
              <w:t>December 31, 2021</w:t>
            </w:r>
          </w:p>
        </w:tc>
        <w:tc>
          <w:tcPr>
            <w:tcW w:w="120" w:type="dxa"/>
            <w:vAlign w:val="bottom"/>
            <w:shd w:val="clear" w:color="auto" w:fill="D5EEEE"/>
          </w:tcPr>
          <w:p>
            <w:pPr>
              <w:spacing w:after="0"/>
              <w:rPr>
                <w:sz w:val="20"/>
                <w:szCs w:val="20"/>
                <w:color w:val="auto"/>
              </w:rPr>
            </w:pPr>
          </w:p>
        </w:tc>
        <w:tc>
          <w:tcPr>
            <w:tcW w:w="146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114,757</w:t>
            </w:r>
          </w:p>
        </w:tc>
        <w:tc>
          <w:tcPr>
            <w:tcW w:w="20" w:type="dxa"/>
            <w:vAlign w:val="bottom"/>
            <w:vMerge w:val="continue"/>
          </w:tcPr>
          <w:p>
            <w:pPr>
              <w:spacing w:after="0"/>
              <w:rPr>
                <w:sz w:val="20"/>
                <w:szCs w:val="20"/>
                <w:color w:val="auto"/>
              </w:rPr>
            </w:pPr>
          </w:p>
        </w:tc>
        <w:tc>
          <w:tcPr>
            <w:tcW w:w="100" w:type="dxa"/>
            <w:vAlign w:val="bottom"/>
            <w:vMerge w:val="continue"/>
            <w:shd w:val="clear" w:color="auto" w:fill="D5EEEE"/>
          </w:tcPr>
          <w:p>
            <w:pPr>
              <w:spacing w:after="0"/>
              <w:rPr>
                <w:sz w:val="20"/>
                <w:szCs w:val="20"/>
                <w:color w:val="auto"/>
              </w:rPr>
            </w:pPr>
          </w:p>
        </w:tc>
        <w:tc>
          <w:tcPr>
            <w:tcW w:w="1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160" w:type="dxa"/>
            <w:vAlign w:val="bottom"/>
            <w:tcBorders>
              <w:right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135,093</w:t>
            </w:r>
          </w:p>
        </w:tc>
        <w:tc>
          <w:tcPr>
            <w:tcW w:w="100" w:type="dxa"/>
            <w:vAlign w:val="bottom"/>
            <w:vMerge w:val="continue"/>
            <w:shd w:val="clear" w:color="auto" w:fill="D5EEEE"/>
          </w:tcPr>
          <w:p>
            <w:pPr>
              <w:spacing w:after="0"/>
              <w:rPr>
                <w:sz w:val="20"/>
                <w:szCs w:val="20"/>
                <w:color w:val="auto"/>
              </w:rPr>
            </w:pPr>
          </w:p>
        </w:tc>
        <w:tc>
          <w:tcPr>
            <w:tcW w:w="1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3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47,640</w:t>
            </w:r>
          </w:p>
        </w:tc>
        <w:tc>
          <w:tcPr>
            <w:tcW w:w="20" w:type="dxa"/>
            <w:vAlign w:val="bottom"/>
            <w:vMerge w:val="continue"/>
          </w:tcPr>
          <w:p>
            <w:pPr>
              <w:spacing w:after="0"/>
              <w:rPr>
                <w:sz w:val="20"/>
                <w:szCs w:val="20"/>
                <w:color w:val="auto"/>
              </w:rPr>
            </w:pPr>
          </w:p>
        </w:tc>
        <w:tc>
          <w:tcPr>
            <w:tcW w:w="100" w:type="dxa"/>
            <w:vAlign w:val="bottom"/>
            <w:vMerge w:val="continue"/>
            <w:shd w:val="clear" w:color="auto" w:fill="D5EEEE"/>
          </w:tcPr>
          <w:p>
            <w:pPr>
              <w:spacing w:after="0"/>
              <w:rPr>
                <w:sz w:val="20"/>
                <w:szCs w:val="20"/>
                <w:color w:val="auto"/>
              </w:rPr>
            </w:pPr>
          </w:p>
        </w:tc>
        <w:tc>
          <w:tcPr>
            <w:tcW w:w="12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04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297,490</w:t>
            </w:r>
          </w:p>
        </w:tc>
        <w:tc>
          <w:tcPr>
            <w:tcW w:w="20" w:type="dxa"/>
            <w:vAlign w:val="bottom"/>
            <w:vMerge w:val="continue"/>
          </w:tcPr>
          <w:p>
            <w:pPr>
              <w:spacing w:after="0"/>
              <w:rPr>
                <w:sz w:val="20"/>
                <w:szCs w:val="20"/>
                <w:color w:val="auto"/>
              </w:rPr>
            </w:pPr>
          </w:p>
        </w:tc>
        <w:tc>
          <w:tcPr>
            <w:tcW w:w="100" w:type="dxa"/>
            <w:vAlign w:val="bottom"/>
            <w:vMerge w:val="continue"/>
            <w:shd w:val="clear" w:color="auto" w:fill="D5EEEE"/>
          </w:tcPr>
          <w:p>
            <w:pPr>
              <w:spacing w:after="0"/>
              <w:rPr>
                <w:sz w:val="20"/>
                <w:szCs w:val="20"/>
                <w:color w:val="auto"/>
              </w:rPr>
            </w:pPr>
          </w:p>
        </w:tc>
        <w:tc>
          <w:tcPr>
            <w:tcW w:w="140" w:type="dxa"/>
            <w:vAlign w:val="bottom"/>
            <w:vMerge w:val="continue"/>
          </w:tcPr>
          <w:p>
            <w:pPr>
              <w:spacing w:after="0"/>
              <w:rPr>
                <w:sz w:val="20"/>
                <w:szCs w:val="20"/>
                <w:color w:val="auto"/>
              </w:rPr>
            </w:pPr>
          </w:p>
        </w:tc>
        <w:tc>
          <w:tcPr>
            <w:tcW w:w="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1080" w:type="dxa"/>
            <w:vAlign w:val="bottom"/>
            <w:vMerge w:val="continue"/>
            <w:shd w:val="clear" w:color="auto" w:fill="D5EEEE"/>
          </w:tcPr>
          <w:p>
            <w:pPr>
              <w:spacing w:after="0"/>
              <w:rPr>
                <w:sz w:val="20"/>
                <w:szCs w:val="20"/>
                <w:color w:val="auto"/>
              </w:rPr>
            </w:pPr>
          </w:p>
        </w:tc>
        <w:tc>
          <w:tcPr>
            <w:tcW w:w="20" w:type="dxa"/>
            <w:vAlign w:val="bottom"/>
            <w:vMerge w:val="continue"/>
            <w:shd w:val="clear" w:color="auto" w:fill="D5EEEE"/>
          </w:tcPr>
          <w:p>
            <w:pPr>
              <w:spacing w:after="0"/>
              <w:rPr>
                <w:sz w:val="20"/>
                <w:szCs w:val="20"/>
                <w:color w:val="auto"/>
              </w:rPr>
            </w:pPr>
          </w:p>
        </w:tc>
        <w:tc>
          <w:tcPr>
            <w:tcW w:w="100" w:type="dxa"/>
            <w:vAlign w:val="bottom"/>
            <w:vMerge w:val="continue"/>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3140" w:type="dxa"/>
            <w:vAlign w:val="bottom"/>
            <w:vMerge w:val="continue"/>
            <w:shd w:val="clear" w:color="auto" w:fill="D5EEEE"/>
          </w:tcPr>
          <w:p>
            <w:pPr>
              <w:spacing w:after="0"/>
              <w:rPr>
                <w:sz w:val="11"/>
                <w:szCs w:val="11"/>
                <w:color w:val="auto"/>
              </w:rPr>
            </w:pPr>
          </w:p>
        </w:tc>
        <w:tc>
          <w:tcPr>
            <w:tcW w:w="120" w:type="dxa"/>
            <w:vAlign w:val="bottom"/>
            <w:shd w:val="clear" w:color="auto" w:fill="D5EEEE"/>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D5EEE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Borders>
              <w:right w:val="single" w:sz="8" w:color="D5EEEE"/>
            </w:tcBorders>
          </w:tcPr>
          <w:p>
            <w:pPr>
              <w:spacing w:after="0"/>
              <w:rPr>
                <w:sz w:val="11"/>
                <w:szCs w:val="11"/>
                <w:color w:val="auto"/>
              </w:rPr>
            </w:pPr>
          </w:p>
        </w:tc>
        <w:tc>
          <w:tcPr>
            <w:tcW w:w="100" w:type="dxa"/>
            <w:vAlign w:val="bottom"/>
            <w:shd w:val="clear" w:color="auto" w:fill="D5EEE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D5EEE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D5EEE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shd w:val="clear" w:color="auto" w:fill="D5EEEE"/>
          </w:tcPr>
          <w:p>
            <w:pPr>
              <w:spacing w:after="0"/>
              <w:rPr>
                <w:sz w:val="11"/>
                <w:szCs w:val="11"/>
                <w:color w:val="auto"/>
              </w:rPr>
            </w:pPr>
          </w:p>
        </w:tc>
        <w:tc>
          <w:tcPr>
            <w:tcW w:w="20" w:type="dxa"/>
            <w:vAlign w:val="bottom"/>
            <w:shd w:val="clear" w:color="auto" w:fill="D5EEEE"/>
          </w:tcPr>
          <w:p>
            <w:pPr>
              <w:spacing w:after="0"/>
              <w:rPr>
                <w:sz w:val="11"/>
                <w:szCs w:val="11"/>
                <w:color w:val="auto"/>
              </w:rPr>
            </w:pPr>
          </w:p>
        </w:tc>
        <w:tc>
          <w:tcPr>
            <w:tcW w:w="100" w:type="dxa"/>
            <w:vAlign w:val="bottom"/>
            <w:shd w:val="clear" w:color="auto" w:fill="D5EEEE"/>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140" w:type="dxa"/>
            <w:vAlign w:val="bottom"/>
            <w:tcBorders>
              <w:bottom w:val="single" w:sz="8" w:color="D5EEEE"/>
            </w:tcBorders>
          </w:tcPr>
          <w:p>
            <w:pPr>
              <w:spacing w:after="0"/>
              <w:rPr>
                <w:sz w:val="20"/>
                <w:szCs w:val="20"/>
                <w:color w:val="auto"/>
              </w:rPr>
            </w:pPr>
          </w:p>
        </w:tc>
        <w:tc>
          <w:tcPr>
            <w:tcW w:w="120" w:type="dxa"/>
            <w:vAlign w:val="bottom"/>
            <w:tcBorders>
              <w:bottom w:val="single" w:sz="8" w:color="D5EEEE"/>
            </w:tcBorders>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384,806</w:t>
            </w:r>
          </w:p>
        </w:tc>
        <w:tc>
          <w:tcPr>
            <w:tcW w:w="20" w:type="dxa"/>
            <w:vAlign w:val="bottom"/>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220" w:type="dxa"/>
            <w:vAlign w:val="bottom"/>
            <w:tcBorders>
              <w:bottom w:val="single" w:sz="8" w:color="D5EEEE"/>
            </w:tcBorders>
            <w:gridSpan w:val="2"/>
          </w:tcPr>
          <w:p>
            <w:pPr>
              <w:spacing w:after="0"/>
              <w:rPr>
                <w:sz w:val="20"/>
                <w:szCs w:val="20"/>
                <w:color w:val="auto"/>
              </w:rPr>
            </w:pPr>
          </w:p>
        </w:tc>
        <w:tc>
          <w:tcPr>
            <w:tcW w:w="116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D5EEEE"/>
            </w:tcBorders>
          </w:tcPr>
          <w:p>
            <w:pPr>
              <w:spacing w:after="0"/>
              <w:rPr>
                <w:sz w:val="20"/>
                <w:szCs w:val="20"/>
                <w:color w:val="auto"/>
              </w:rPr>
            </w:pPr>
          </w:p>
        </w:tc>
        <w:tc>
          <w:tcPr>
            <w:tcW w:w="12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130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240" w:type="dxa"/>
            <w:vAlign w:val="bottom"/>
            <w:gridSpan w:val="2"/>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384,806</w:t>
            </w:r>
          </w:p>
        </w:tc>
        <w:tc>
          <w:tcPr>
            <w:tcW w:w="20" w:type="dxa"/>
            <w:vAlign w:val="bottom"/>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140" w:type="dxa"/>
            <w:vAlign w:val="bottom"/>
            <w:tcBorders>
              <w:bottom w:val="single" w:sz="8" w:color="D5EEEE"/>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center"/>
              <w:ind w:left="530"/>
              <w:spacing w:after="0"/>
              <w:rPr>
                <w:sz w:val="20"/>
                <w:szCs w:val="20"/>
                <w:color w:val="auto"/>
              </w:rPr>
            </w:pPr>
            <w:r>
              <w:rPr>
                <w:rFonts w:ascii="Times New Roman" w:cs="Times New Roman" w:eastAsia="Times New Roman" w:hAnsi="Times New Roman"/>
                <w:sz w:val="20"/>
                <w:szCs w:val="20"/>
                <w:color w:val="auto"/>
              </w:rPr>
              <w:t>5.2</w:t>
            </w:r>
          </w:p>
        </w:tc>
        <w:tc>
          <w:tcPr>
            <w:tcW w:w="20" w:type="dxa"/>
            <w:vAlign w:val="bottom"/>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40" w:type="dxa"/>
            <w:vAlign w:val="bottom"/>
            <w:shd w:val="clear" w:color="auto" w:fill="D5EEEE"/>
          </w:tcPr>
          <w:p>
            <w:pPr>
              <w:spacing w:after="0"/>
              <w:rPr>
                <w:sz w:val="19"/>
                <w:szCs w:val="19"/>
                <w:color w:val="auto"/>
              </w:rPr>
            </w:pPr>
          </w:p>
        </w:tc>
        <w:tc>
          <w:tcPr>
            <w:tcW w:w="120" w:type="dxa"/>
            <w:vAlign w:val="bottom"/>
            <w:shd w:val="clear" w:color="auto" w:fill="D5EEEE"/>
          </w:tcPr>
          <w:p>
            <w:pPr>
              <w:spacing w:after="0"/>
              <w:rPr>
                <w:sz w:val="19"/>
                <w:szCs w:val="19"/>
                <w:color w:val="auto"/>
              </w:rPr>
            </w:pPr>
          </w:p>
        </w:tc>
        <w:tc>
          <w:tcPr>
            <w:tcW w:w="1460" w:type="dxa"/>
            <w:vAlign w:val="bottom"/>
            <w:gridSpan w:val="2"/>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(75,041)</w:t>
            </w:r>
          </w:p>
        </w:tc>
        <w:tc>
          <w:tcPr>
            <w:tcW w:w="20" w:type="dxa"/>
            <w:vAlign w:val="bottom"/>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120" w:type="dxa"/>
            <w:vAlign w:val="bottom"/>
            <w:shd w:val="clear" w:color="auto" w:fill="D5EEE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right w:val="single" w:sz="8" w:color="D5EEEE"/>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(57,527</w:t>
            </w:r>
          </w:p>
        </w:tc>
        <w:tc>
          <w:tcPr>
            <w:tcW w:w="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D5EEEE"/>
              </w:rPr>
              <w:t>)</w:t>
            </w:r>
          </w:p>
        </w:tc>
        <w:tc>
          <w:tcPr>
            <w:tcW w:w="120" w:type="dxa"/>
            <w:vAlign w:val="bottom"/>
            <w:shd w:val="clear" w:color="auto" w:fill="D5EEE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(132,568)</w:t>
            </w:r>
          </w:p>
        </w:tc>
        <w:tc>
          <w:tcPr>
            <w:tcW w:w="20" w:type="dxa"/>
            <w:vAlign w:val="bottom"/>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140" w:type="dxa"/>
            <w:vAlign w:val="bottom"/>
            <w:shd w:val="clear" w:color="auto" w:fill="D5EEE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shd w:val="clear" w:color="auto" w:fill="D5EEEE"/>
          </w:tcPr>
          <w:p>
            <w:pPr>
              <w:jc w:val="center"/>
              <w:ind w:left="530"/>
              <w:spacing w:after="0" w:line="225" w:lineRule="exact"/>
              <w:rPr>
                <w:sz w:val="20"/>
                <w:szCs w:val="20"/>
                <w:color w:val="auto"/>
              </w:rPr>
            </w:pPr>
            <w:r>
              <w:rPr>
                <w:rFonts w:ascii="Times New Roman" w:cs="Times New Roman" w:eastAsia="Times New Roman" w:hAnsi="Times New Roman"/>
                <w:sz w:val="20"/>
                <w:szCs w:val="20"/>
                <w:color w:val="auto"/>
              </w:rPr>
              <w:t>26.43</w:t>
            </w:r>
          </w:p>
        </w:tc>
        <w:tc>
          <w:tcPr>
            <w:tcW w:w="20" w:type="dxa"/>
            <w:vAlign w:val="bottom"/>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3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(29,650)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(11,920</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highlight w:val="white"/>
                <w:w w:val="79"/>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(47,640)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(89,210)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jc w:val="center"/>
              <w:ind w:left="530"/>
              <w:spacing w:after="0"/>
              <w:rPr>
                <w:sz w:val="20"/>
                <w:szCs w:val="20"/>
                <w:color w:val="auto"/>
              </w:rPr>
            </w:pPr>
            <w:r>
              <w:rPr>
                <w:rFonts w:ascii="Times New Roman" w:cs="Times New Roman" w:eastAsia="Times New Roman" w:hAnsi="Times New Roman"/>
                <w:sz w:val="20"/>
                <w:szCs w:val="20"/>
                <w:color w:val="auto"/>
              </w:rPr>
              <w:t>7.7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4"/>
        </w:trPr>
        <w:tc>
          <w:tcPr>
            <w:tcW w:w="3140" w:type="dxa"/>
            <w:vAlign w:val="bottom"/>
            <w:tcBorders>
              <w:top w:val="single" w:sz="8" w:color="D5EEEE"/>
            </w:tcBorders>
            <w:shd w:val="clear" w:color="auto" w:fill="D5EEEE"/>
          </w:tcPr>
          <w:p>
            <w:pPr>
              <w:spacing w:after="0"/>
              <w:rPr>
                <w:sz w:val="8"/>
                <w:szCs w:val="8"/>
                <w:color w:val="auto"/>
              </w:rPr>
            </w:pPr>
          </w:p>
        </w:tc>
        <w:tc>
          <w:tcPr>
            <w:tcW w:w="120" w:type="dxa"/>
            <w:vAlign w:val="bottom"/>
            <w:tcBorders>
              <w:top w:val="single" w:sz="8" w:color="auto"/>
            </w:tcBorders>
            <w:shd w:val="clear" w:color="auto" w:fill="D5EEEE"/>
          </w:tcPr>
          <w:p>
            <w:pPr>
              <w:spacing w:after="0"/>
              <w:rPr>
                <w:sz w:val="8"/>
                <w:szCs w:val="8"/>
                <w:color w:val="auto"/>
              </w:rPr>
            </w:pPr>
          </w:p>
        </w:tc>
        <w:tc>
          <w:tcPr>
            <w:tcW w:w="1460" w:type="dxa"/>
            <w:vAlign w:val="bottom"/>
            <w:tcBorders>
              <w:top w:val="single" w:sz="8" w:color="auto"/>
            </w:tcBorders>
            <w:gridSpan w:val="2"/>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D5EEEE"/>
            </w:tcBorders>
            <w:shd w:val="clear" w:color="auto" w:fill="D5EEEE"/>
          </w:tcPr>
          <w:p>
            <w:pPr>
              <w:spacing w:after="0"/>
              <w:rPr>
                <w:sz w:val="8"/>
                <w:szCs w:val="8"/>
                <w:color w:val="auto"/>
              </w:rPr>
            </w:pPr>
          </w:p>
        </w:tc>
        <w:tc>
          <w:tcPr>
            <w:tcW w:w="120" w:type="dxa"/>
            <w:vAlign w:val="bottom"/>
            <w:tcBorders>
              <w:top w:val="single" w:sz="8" w:color="D5EEEE"/>
            </w:tcBorders>
            <w:vMerge w:val="restart"/>
          </w:tcPr>
          <w:p>
            <w:pPr>
              <w:spacing w:after="0"/>
              <w:rPr>
                <w:sz w:val="8"/>
                <w:szCs w:val="8"/>
                <w:color w:val="auto"/>
              </w:rPr>
            </w:pPr>
          </w:p>
        </w:tc>
        <w:tc>
          <w:tcPr>
            <w:tcW w:w="100" w:type="dxa"/>
            <w:vAlign w:val="bottom"/>
            <w:tcBorders>
              <w:top w:val="single" w:sz="8" w:color="auto"/>
            </w:tcBorders>
            <w:vMerge w:val="restart"/>
          </w:tcPr>
          <w:p>
            <w:pPr>
              <w:spacing w:after="0"/>
              <w:rPr>
                <w:sz w:val="8"/>
                <w:szCs w:val="8"/>
                <w:color w:val="auto"/>
              </w:rPr>
            </w:pPr>
          </w:p>
        </w:tc>
        <w:tc>
          <w:tcPr>
            <w:tcW w:w="1160" w:type="dxa"/>
            <w:vAlign w:val="bottom"/>
            <w:tcBorders>
              <w:top w:val="single" w:sz="8" w:color="auto"/>
              <w:right w:val="single" w:sz="8" w:color="D5EEEE"/>
            </w:tcBorders>
          </w:tcPr>
          <w:p>
            <w:pPr>
              <w:spacing w:after="0"/>
              <w:rPr>
                <w:sz w:val="8"/>
                <w:szCs w:val="8"/>
                <w:color w:val="auto"/>
              </w:rPr>
            </w:pPr>
          </w:p>
        </w:tc>
        <w:tc>
          <w:tcPr>
            <w:tcW w:w="100" w:type="dxa"/>
            <w:vAlign w:val="bottom"/>
            <w:tcBorders>
              <w:top w:val="single" w:sz="8" w:color="D5EEEE"/>
            </w:tcBorders>
            <w:shd w:val="clear" w:color="auto" w:fill="D5EEEE"/>
          </w:tcPr>
          <w:p>
            <w:pPr>
              <w:spacing w:after="0"/>
              <w:rPr>
                <w:sz w:val="8"/>
                <w:szCs w:val="8"/>
                <w:color w:val="auto"/>
              </w:rPr>
            </w:pPr>
          </w:p>
        </w:tc>
        <w:tc>
          <w:tcPr>
            <w:tcW w:w="120" w:type="dxa"/>
            <w:vAlign w:val="bottom"/>
            <w:tcBorders>
              <w:top w:val="single" w:sz="8" w:color="D5EEEE"/>
            </w:tcBorders>
            <w:vMerge w:val="restart"/>
          </w:tcPr>
          <w:p>
            <w:pPr>
              <w:spacing w:after="0"/>
              <w:rPr>
                <w:sz w:val="8"/>
                <w:szCs w:val="8"/>
                <w:color w:val="auto"/>
              </w:rPr>
            </w:pPr>
          </w:p>
        </w:tc>
        <w:tc>
          <w:tcPr>
            <w:tcW w:w="100" w:type="dxa"/>
            <w:vAlign w:val="bottom"/>
            <w:tcBorders>
              <w:top w:val="single" w:sz="8" w:color="auto"/>
            </w:tcBorders>
            <w:vMerge w:val="restart"/>
          </w:tcPr>
          <w:p>
            <w:pPr>
              <w:spacing w:after="0"/>
              <w:rPr>
                <w:sz w:val="8"/>
                <w:szCs w:val="8"/>
                <w:color w:val="auto"/>
              </w:rPr>
            </w:pPr>
          </w:p>
        </w:tc>
        <w:tc>
          <w:tcPr>
            <w:tcW w:w="1300" w:type="dxa"/>
            <w:vAlign w:val="bottom"/>
            <w:tcBorders>
              <w:top w:val="single" w:sz="8" w:color="auto"/>
            </w:tcBorders>
          </w:tcPr>
          <w:p>
            <w:pPr>
              <w:spacing w:after="0"/>
              <w:rPr>
                <w:sz w:val="8"/>
                <w:szCs w:val="8"/>
                <w:color w:val="auto"/>
              </w:rPr>
            </w:pPr>
          </w:p>
        </w:tc>
        <w:tc>
          <w:tcPr>
            <w:tcW w:w="20" w:type="dxa"/>
            <w:vAlign w:val="bottom"/>
            <w:tcBorders>
              <w:top w:val="single" w:sz="8" w:color="auto"/>
            </w:tcBorders>
            <w:vMerge w:val="restart"/>
          </w:tcPr>
          <w:p>
            <w:pPr>
              <w:spacing w:after="0"/>
              <w:rPr>
                <w:sz w:val="8"/>
                <w:szCs w:val="8"/>
                <w:color w:val="auto"/>
              </w:rPr>
            </w:pPr>
          </w:p>
        </w:tc>
        <w:tc>
          <w:tcPr>
            <w:tcW w:w="100" w:type="dxa"/>
            <w:vAlign w:val="bottom"/>
            <w:tcBorders>
              <w:top w:val="single" w:sz="8" w:color="D5EEEE"/>
            </w:tcBorders>
            <w:shd w:val="clear" w:color="auto" w:fill="D5EEEE"/>
          </w:tcPr>
          <w:p>
            <w:pPr>
              <w:spacing w:after="0"/>
              <w:rPr>
                <w:sz w:val="8"/>
                <w:szCs w:val="8"/>
                <w:color w:val="auto"/>
              </w:rPr>
            </w:pPr>
          </w:p>
        </w:tc>
        <w:tc>
          <w:tcPr>
            <w:tcW w:w="120" w:type="dxa"/>
            <w:vAlign w:val="bottom"/>
            <w:tcBorders>
              <w:top w:val="single" w:sz="8" w:color="D5EEEE"/>
            </w:tcBorders>
            <w:vMerge w:val="restart"/>
          </w:tcPr>
          <w:p>
            <w:pPr>
              <w:spacing w:after="0"/>
              <w:rPr>
                <w:sz w:val="8"/>
                <w:szCs w:val="8"/>
                <w:color w:val="auto"/>
              </w:rPr>
            </w:pPr>
          </w:p>
        </w:tc>
        <w:tc>
          <w:tcPr>
            <w:tcW w:w="120" w:type="dxa"/>
            <w:vAlign w:val="bottom"/>
            <w:tcBorders>
              <w:top w:val="single" w:sz="8" w:color="auto"/>
            </w:tcBorders>
            <w:vMerge w:val="restart"/>
          </w:tcPr>
          <w:p>
            <w:pPr>
              <w:spacing w:after="0"/>
              <w:rPr>
                <w:sz w:val="8"/>
                <w:szCs w:val="8"/>
                <w:color w:val="auto"/>
              </w:rPr>
            </w:pPr>
          </w:p>
        </w:tc>
        <w:tc>
          <w:tcPr>
            <w:tcW w:w="1040" w:type="dxa"/>
            <w:vAlign w:val="bottom"/>
            <w:tcBorders>
              <w:top w:val="single" w:sz="8" w:color="auto"/>
            </w:tcBorders>
            <w:gridSpan w:val="2"/>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D5EEEE"/>
            </w:tcBorders>
            <w:shd w:val="clear" w:color="auto" w:fill="D5EEEE"/>
          </w:tcPr>
          <w:p>
            <w:pPr>
              <w:spacing w:after="0"/>
              <w:rPr>
                <w:sz w:val="8"/>
                <w:szCs w:val="8"/>
                <w:color w:val="auto"/>
              </w:rPr>
            </w:pPr>
          </w:p>
        </w:tc>
        <w:tc>
          <w:tcPr>
            <w:tcW w:w="140" w:type="dxa"/>
            <w:vAlign w:val="bottom"/>
            <w:tcBorders>
              <w:top w:val="single" w:sz="8" w:color="D5EEEE"/>
            </w:tcBorders>
            <w:vMerge w:val="restart"/>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vMerge w:val="restart"/>
            <w:shd w:val="clear" w:color="auto" w:fill="D5EEEE"/>
          </w:tcPr>
          <w:p>
            <w:pPr>
              <w:jc w:val="center"/>
              <w:ind w:left="530"/>
              <w:spacing w:after="0"/>
              <w:rPr>
                <w:sz w:val="20"/>
                <w:szCs w:val="20"/>
                <w:color w:val="auto"/>
              </w:rPr>
            </w:pPr>
            <w:r>
              <w:rPr>
                <w:rFonts w:ascii="Times New Roman" w:cs="Times New Roman" w:eastAsia="Times New Roman" w:hAnsi="Times New Roman"/>
                <w:sz w:val="20"/>
                <w:szCs w:val="20"/>
                <w:color w:val="auto"/>
              </w:rPr>
              <w:t>6.3</w:t>
            </w:r>
          </w:p>
        </w:tc>
        <w:tc>
          <w:tcPr>
            <w:tcW w:w="20" w:type="dxa"/>
            <w:vAlign w:val="bottom"/>
            <w:tcBorders>
              <w:top w:val="single" w:sz="8" w:color="auto"/>
            </w:tcBorders>
            <w:shd w:val="clear" w:color="auto" w:fill="D5EEEE"/>
          </w:tcPr>
          <w:p>
            <w:pPr>
              <w:spacing w:after="0"/>
              <w:rPr>
                <w:sz w:val="8"/>
                <w:szCs w:val="8"/>
                <w:color w:val="auto"/>
              </w:rPr>
            </w:pPr>
          </w:p>
        </w:tc>
        <w:tc>
          <w:tcPr>
            <w:tcW w:w="100" w:type="dxa"/>
            <w:vAlign w:val="bottom"/>
            <w:tcBorders>
              <w:top w:val="single" w:sz="8" w:color="D5EEEE"/>
            </w:tcBorders>
            <w:shd w:val="clear" w:color="auto" w:fill="D5EEE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140" w:type="dxa"/>
            <w:vAlign w:val="bottom"/>
            <w:vMerge w:val="restart"/>
            <w:shd w:val="clear" w:color="auto" w:fill="D5EEEE"/>
          </w:tcPr>
          <w:p>
            <w:pPr>
              <w:spacing w:after="0"/>
              <w:rPr>
                <w:sz w:val="20"/>
                <w:szCs w:val="20"/>
                <w:color w:val="auto"/>
              </w:rPr>
            </w:pPr>
            <w:r>
              <w:rPr>
                <w:rFonts w:ascii="Times New Roman" w:cs="Times New Roman" w:eastAsia="Times New Roman" w:hAnsi="Times New Roman"/>
                <w:sz w:val="20"/>
                <w:szCs w:val="20"/>
                <w:color w:val="auto"/>
              </w:rPr>
              <w:t>December 31, 2022</w:t>
            </w:r>
          </w:p>
        </w:tc>
        <w:tc>
          <w:tcPr>
            <w:tcW w:w="120" w:type="dxa"/>
            <w:vAlign w:val="bottom"/>
            <w:shd w:val="clear" w:color="auto" w:fill="D5EEEE"/>
          </w:tcPr>
          <w:p>
            <w:pPr>
              <w:spacing w:after="0"/>
              <w:rPr>
                <w:sz w:val="20"/>
                <w:szCs w:val="20"/>
                <w:color w:val="auto"/>
              </w:rPr>
            </w:pPr>
          </w:p>
        </w:tc>
        <w:tc>
          <w:tcPr>
            <w:tcW w:w="146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394,872</w:t>
            </w:r>
          </w:p>
        </w:tc>
        <w:tc>
          <w:tcPr>
            <w:tcW w:w="20" w:type="dxa"/>
            <w:vAlign w:val="bottom"/>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1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160" w:type="dxa"/>
            <w:vAlign w:val="bottom"/>
            <w:tcBorders>
              <w:right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65,646</w:t>
            </w:r>
          </w:p>
        </w:tc>
        <w:tc>
          <w:tcPr>
            <w:tcW w:w="100" w:type="dxa"/>
            <w:vAlign w:val="bottom"/>
            <w:shd w:val="clear" w:color="auto" w:fill="D5EEEE"/>
          </w:tcPr>
          <w:p>
            <w:pPr>
              <w:spacing w:after="0"/>
              <w:rPr>
                <w:sz w:val="20"/>
                <w:szCs w:val="20"/>
                <w:color w:val="auto"/>
              </w:rPr>
            </w:pPr>
          </w:p>
        </w:tc>
        <w:tc>
          <w:tcPr>
            <w:tcW w:w="1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3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vMerge w:val="continue"/>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12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04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460,518</w:t>
            </w:r>
          </w:p>
        </w:tc>
        <w:tc>
          <w:tcPr>
            <w:tcW w:w="20" w:type="dxa"/>
            <w:vAlign w:val="bottom"/>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140" w:type="dxa"/>
            <w:vAlign w:val="bottom"/>
            <w:vMerge w:val="continue"/>
          </w:tcPr>
          <w:p>
            <w:pPr>
              <w:spacing w:after="0"/>
              <w:rPr>
                <w:sz w:val="20"/>
                <w:szCs w:val="20"/>
                <w:color w:val="auto"/>
              </w:rPr>
            </w:pPr>
          </w:p>
        </w:tc>
        <w:tc>
          <w:tcPr>
            <w:tcW w:w="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1080" w:type="dxa"/>
            <w:vAlign w:val="bottom"/>
            <w:vMerge w:val="continue"/>
            <w:shd w:val="clear" w:color="auto" w:fill="D5EEEE"/>
          </w:tcPr>
          <w:p>
            <w:pPr>
              <w:spacing w:after="0"/>
              <w:rPr>
                <w:sz w:val="20"/>
                <w:szCs w:val="20"/>
                <w:color w:val="auto"/>
              </w:rPr>
            </w:pPr>
          </w:p>
        </w:tc>
        <w:tc>
          <w:tcPr>
            <w:tcW w:w="20" w:type="dxa"/>
            <w:vAlign w:val="bottom"/>
            <w:shd w:val="clear" w:color="auto" w:fill="D5EEEE"/>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3140" w:type="dxa"/>
            <w:vAlign w:val="bottom"/>
            <w:vMerge w:val="continue"/>
            <w:shd w:val="clear" w:color="auto" w:fill="D5EEEE"/>
          </w:tcPr>
          <w:p>
            <w:pPr>
              <w:spacing w:after="0"/>
              <w:rPr>
                <w:sz w:val="10"/>
                <w:szCs w:val="10"/>
                <w:color w:val="auto"/>
              </w:rPr>
            </w:pPr>
          </w:p>
        </w:tc>
        <w:tc>
          <w:tcPr>
            <w:tcW w:w="120" w:type="dxa"/>
            <w:vAlign w:val="bottom"/>
            <w:shd w:val="clear" w:color="auto" w:fill="D5EEEE"/>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D5EEE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Borders>
              <w:right w:val="single" w:sz="8" w:color="D5EEEE"/>
            </w:tcBorders>
          </w:tcPr>
          <w:p>
            <w:pPr>
              <w:spacing w:after="0"/>
              <w:rPr>
                <w:sz w:val="10"/>
                <w:szCs w:val="10"/>
                <w:color w:val="auto"/>
              </w:rPr>
            </w:pPr>
          </w:p>
        </w:tc>
        <w:tc>
          <w:tcPr>
            <w:tcW w:w="100" w:type="dxa"/>
            <w:vAlign w:val="bottom"/>
            <w:shd w:val="clear" w:color="auto" w:fill="D5EEE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D5EEE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D5EEE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shd w:val="clear" w:color="auto" w:fill="D5EEEE"/>
          </w:tcPr>
          <w:p>
            <w:pPr>
              <w:spacing w:after="0"/>
              <w:rPr>
                <w:sz w:val="10"/>
                <w:szCs w:val="10"/>
                <w:color w:val="auto"/>
              </w:rPr>
            </w:pPr>
          </w:p>
        </w:tc>
        <w:tc>
          <w:tcPr>
            <w:tcW w:w="20" w:type="dxa"/>
            <w:vAlign w:val="bottom"/>
            <w:shd w:val="clear" w:color="auto" w:fill="D5EEEE"/>
          </w:tcPr>
          <w:p>
            <w:pPr>
              <w:spacing w:after="0"/>
              <w:rPr>
                <w:sz w:val="10"/>
                <w:szCs w:val="10"/>
                <w:color w:val="auto"/>
              </w:rPr>
            </w:pPr>
          </w:p>
        </w:tc>
        <w:tc>
          <w:tcPr>
            <w:tcW w:w="100" w:type="dxa"/>
            <w:vAlign w:val="bottom"/>
            <w:shd w:val="clear" w:color="auto" w:fill="D5EEEE"/>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-1125855</wp:posOffset>
            </wp:positionV>
            <wp:extent cx="6875780" cy="128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75780" cy="128587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right="100" w:firstLine="720"/>
        <w:spacing w:after="0" w:line="253" w:lineRule="auto"/>
        <w:rPr>
          <w:sz w:val="20"/>
          <w:szCs w:val="20"/>
          <w:color w:val="auto"/>
        </w:rPr>
      </w:pPr>
      <w:r>
        <w:rPr>
          <w:rFonts w:ascii="Times New Roman" w:cs="Times New Roman" w:eastAsia="Times New Roman" w:hAnsi="Times New Roman"/>
          <w:sz w:val="20"/>
          <w:szCs w:val="20"/>
          <w:color w:val="auto"/>
        </w:rPr>
        <w:t>The weighted-average grant-date fair value of the RSUs granted during the year-ended December 31, 2022, transition period ended December 31, 2021, and the year-ended June 30, 2021 were $5.28, $13.57, and $22.65 per unit, respectively. The total fair value of shares vested during the year-ended December 31, 2022, the transition period ended December 31, 2021, and the year-ended June 30, 2021 were $894,000, $599,000, $4.9 million, respectively.</w:t>
      </w:r>
    </w:p>
    <w:p>
      <w:pPr>
        <w:spacing w:after="0" w:line="192" w:lineRule="exact"/>
        <w:rPr>
          <w:sz w:val="20"/>
          <w:szCs w:val="20"/>
          <w:color w:val="auto"/>
        </w:rPr>
      </w:pPr>
    </w:p>
    <w:p>
      <w:pPr>
        <w:ind w:right="180" w:firstLine="720"/>
        <w:spacing w:after="0" w:line="258" w:lineRule="auto"/>
        <w:rPr>
          <w:sz w:val="20"/>
          <w:szCs w:val="20"/>
          <w:color w:val="auto"/>
        </w:rPr>
      </w:pPr>
      <w:r>
        <w:rPr>
          <w:rFonts w:ascii="Times New Roman" w:cs="Times New Roman" w:eastAsia="Times New Roman" w:hAnsi="Times New Roman"/>
          <w:sz w:val="20"/>
          <w:szCs w:val="20"/>
          <w:color w:val="auto"/>
        </w:rPr>
        <w:t>As of December 31, 2022, there was $1.9 million of total unrecognized compensation cost related to RSU awards. Of this amount $1.6 million relates to service only RSUs to be recognized over a weighted average period of 1.53 years, $341,000 related to performance-based awards to be recognized over a weighted average period of 1.51 years.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2019 Former CEO RSUs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November 2019, the equivalent of 395,542 RSUs were issued to the Former CEO with the following vesting terms:</w:t>
      </w:r>
    </w:p>
    <w:p>
      <w:pPr>
        <w:spacing w:after="0" w:line="120" w:lineRule="exact"/>
        <w:rPr>
          <w:sz w:val="20"/>
          <w:szCs w:val="20"/>
          <w:color w:val="auto"/>
        </w:rPr>
      </w:pPr>
    </w:p>
    <w:p>
      <w:pPr>
        <w:ind w:left="1100" w:right="60" w:hanging="488"/>
        <w:spacing w:after="0" w:line="279" w:lineRule="auto"/>
        <w:tabs>
          <w:tab w:leader="none" w:pos="11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Tenure – the equivalent of 142,521 RSUs with a vesting period of three-years commencing on June 1, 2020. On June 1, 2022, the last tranche of 47,507 RSUs vested and the shares were appropriately released.</w:t>
      </w:r>
    </w:p>
    <w:p>
      <w:pPr>
        <w:spacing w:after="0" w:line="46" w:lineRule="exact"/>
        <w:rPr>
          <w:rFonts w:ascii="Times New Roman" w:cs="Times New Roman" w:eastAsia="Times New Roman" w:hAnsi="Times New Roman"/>
          <w:sz w:val="20"/>
          <w:szCs w:val="20"/>
          <w:color w:val="auto"/>
        </w:rPr>
      </w:pPr>
    </w:p>
    <w:p>
      <w:pPr>
        <w:ind w:left="1100" w:hanging="488"/>
        <w:spacing w:after="0" w:line="279" w:lineRule="auto"/>
        <w:tabs>
          <w:tab w:leader="none" w:pos="11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Milestone performance – 253,021 of the RSUs will vest upon satisfaction of various performance conditions. During the first quarter of 2022 the last performance milestone was achieved, the RSUs vested and were appropriately released.</w:t>
      </w:r>
    </w:p>
    <w:p>
      <w:pPr>
        <w:sectPr>
          <w:pgSz w:w="11880" w:h="15480" w:orient="portrait"/>
          <w:cols w:equalWidth="0" w:num="1">
            <w:col w:w="10800"/>
          </w:cols>
          <w:pgMar w:left="540" w:top="887" w:right="540" w:bottom="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F-29</w:t>
      </w:r>
    </w:p>
    <w:p>
      <w:pPr>
        <w:sectPr>
          <w:pgSz w:w="11880" w:h="15480" w:orient="portrait"/>
          <w:cols w:equalWidth="0" w:num="1">
            <w:col w:w="10800"/>
          </w:cols>
          <w:pgMar w:left="540" w:top="887" w:right="540" w:bottom="5"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20"/>
          <w:szCs w:val="20"/>
          <w:b w:val="1"/>
          <w:bCs w:val="1"/>
          <w:i w:val="1"/>
          <w:iCs w:val="1"/>
          <w:color w:val="auto"/>
        </w:rPr>
        <w:t>2021 AGM Awards</w:t>
      </w:r>
    </w:p>
    <w:p>
      <w:pPr>
        <w:spacing w:after="0" w:line="119" w:lineRule="exact"/>
        <w:rPr>
          <w:sz w:val="20"/>
          <w:szCs w:val="20"/>
          <w:color w:val="auto"/>
        </w:rPr>
      </w:pPr>
    </w:p>
    <w:p>
      <w:pPr>
        <w:ind w:firstLine="720"/>
        <w:spacing w:after="0" w:line="279" w:lineRule="auto"/>
        <w:rPr>
          <w:sz w:val="20"/>
          <w:szCs w:val="20"/>
          <w:color w:val="auto"/>
        </w:rPr>
      </w:pPr>
      <w:r>
        <w:rPr>
          <w:rFonts w:ascii="Times New Roman" w:cs="Times New Roman" w:eastAsia="Times New Roman" w:hAnsi="Times New Roman"/>
          <w:sz w:val="20"/>
          <w:szCs w:val="20"/>
          <w:color w:val="auto"/>
        </w:rPr>
        <w:t>On December 22, 2021, as part of the Company's 2021 AGM, the Company's stockholders approved the grant of stock option awards and RSUs to the Former CEO and the Board of Directors. These awards are referred to as the 2021 AGM awards.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Awards to the Former CEO under the 2021 AGM Awards</w:t>
      </w:r>
    </w:p>
    <w:p>
      <w:pPr>
        <w:spacing w:after="0" w:line="1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On December 22, 2021, the Former CEO was issued an aggregate 150,480 options and RSUs comprising:</w:t>
      </w:r>
    </w:p>
    <w:p>
      <w:pPr>
        <w:spacing w:after="0" w:line="135" w:lineRule="exact"/>
        <w:rPr>
          <w:sz w:val="20"/>
          <w:szCs w:val="20"/>
          <w:color w:val="auto"/>
        </w:rPr>
      </w:pPr>
    </w:p>
    <w:p>
      <w:pPr>
        <w:jc w:val="both"/>
        <w:ind w:left="1080" w:right="80" w:hanging="360"/>
        <w:spacing w:after="0" w:line="276" w:lineRule="auto"/>
        <w:tabs>
          <w:tab w:leader="none" w:pos="108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37,600 tenure-based options and RSUs (23,800 RSUs and 13,800 options) with 25% of those options and RSUs vesting annually commencing on December 14, 2022. Service condition was not met as such, RSUs were forfeited, and options expired in accordance with the RSU and Option Agreement.</w:t>
      </w:r>
    </w:p>
    <w:p>
      <w:pPr>
        <w:spacing w:after="0" w:line="81" w:lineRule="exact"/>
        <w:rPr>
          <w:rFonts w:ascii="Arial" w:cs="Arial" w:eastAsia="Arial" w:hAnsi="Arial"/>
          <w:sz w:val="20"/>
          <w:szCs w:val="20"/>
          <w:color w:val="auto"/>
        </w:rPr>
      </w:pPr>
    </w:p>
    <w:p>
      <w:pPr>
        <w:ind w:left="1080" w:hanging="360"/>
        <w:spacing w:after="0"/>
        <w:tabs>
          <w:tab w:leader="none" w:pos="108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37,640 performance-based options and RSUs (23,840 RSUs and 13,800 options):</w:t>
      </w:r>
    </w:p>
    <w:p>
      <w:pPr>
        <w:spacing w:after="0" w:line="151" w:lineRule="exact"/>
        <w:rPr>
          <w:rFonts w:ascii="Arial" w:cs="Arial" w:eastAsia="Arial" w:hAnsi="Arial"/>
          <w:sz w:val="20"/>
          <w:szCs w:val="20"/>
          <w:color w:val="auto"/>
        </w:rPr>
      </w:pPr>
    </w:p>
    <w:p>
      <w:pPr>
        <w:ind w:left="1440" w:right="80" w:hanging="360"/>
        <w:spacing w:after="0" w:line="259" w:lineRule="auto"/>
        <w:tabs>
          <w:tab w:leader="none" w:pos="1440" w:val="left"/>
        </w:tabs>
        <w:numPr>
          <w:ilvl w:val="1"/>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Performance condition for 11,920 RSUs and 6,900 options was met during fiscal year 2022. RSUs for vested shares were appropriately released. Vested and unexercised options expired 3 months subsequent to termination of employment.</w:t>
      </w:r>
    </w:p>
    <w:p>
      <w:pPr>
        <w:spacing w:after="0" w:line="80" w:lineRule="exact"/>
        <w:rPr>
          <w:rFonts w:ascii="Arial" w:cs="Arial" w:eastAsia="Arial" w:hAnsi="Arial"/>
          <w:sz w:val="20"/>
          <w:szCs w:val="20"/>
          <w:color w:val="auto"/>
        </w:rPr>
      </w:pPr>
    </w:p>
    <w:p>
      <w:pPr>
        <w:ind w:left="1440" w:hanging="360"/>
        <w:spacing w:after="0" w:line="278" w:lineRule="auto"/>
        <w:tabs>
          <w:tab w:leader="none" w:pos="1440" w:val="left"/>
        </w:tabs>
        <w:numPr>
          <w:ilvl w:val="1"/>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Performance condition for 11,920 RSUs and 6,900 options were not met. These awards were unvested as of the date of termination of the Former CEO’s employment.</w:t>
      </w:r>
    </w:p>
    <w:p>
      <w:pPr>
        <w:spacing w:after="0" w:line="61" w:lineRule="exact"/>
        <w:rPr>
          <w:rFonts w:ascii="Arial" w:cs="Arial" w:eastAsia="Arial" w:hAnsi="Arial"/>
          <w:sz w:val="20"/>
          <w:szCs w:val="20"/>
          <w:color w:val="auto"/>
        </w:rPr>
      </w:pPr>
    </w:p>
    <w:p>
      <w:pPr>
        <w:ind w:left="1080" w:right="160" w:hanging="360"/>
        <w:spacing w:after="0" w:line="295" w:lineRule="auto"/>
        <w:tabs>
          <w:tab w:leader="none" w:pos="108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75,240 stretch-performance based options and RSUs (47,640 RSUs and 27,600 options). These awards were unvested as of the date of termination of the Former CEO’s employment.</w:t>
      </w:r>
    </w:p>
    <w:p>
      <w:pPr>
        <w:spacing w:after="0" w:line="48"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In accordance with the terms of the RSU Agreement and Option Agreements with the Former CEO, unvested performance-based and market condition RSUs were forfeited on the date of termination and unvested performance-based and market conditions options expired on the date of termination. Per the terms of the RSU and Option Agreements, RSUs and options that were granted and are tenure-based only will continue to vest as long as the Former CEO continues to provide services to the Company as a Board Member. The Former CEO’s term as a Board Member ended on December 12, 2022, and unvested RSUs were forfeited.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Awards to the Board of Directors under the 2021 AGM Awards</w:t>
      </w:r>
    </w:p>
    <w:p>
      <w:pPr>
        <w:spacing w:after="0" w:line="1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Board of Director awards consist of an aggregate 68,600 options and RSUs as follows:</w:t>
      </w:r>
    </w:p>
    <w:p>
      <w:pPr>
        <w:spacing w:after="0" w:line="154" w:lineRule="exact"/>
        <w:rPr>
          <w:sz w:val="20"/>
          <w:szCs w:val="20"/>
          <w:color w:val="auto"/>
        </w:rPr>
      </w:pPr>
    </w:p>
    <w:p>
      <w:pPr>
        <w:ind w:left="1080" w:hanging="360"/>
        <w:spacing w:after="0"/>
        <w:tabs>
          <w:tab w:leader="none" w:pos="108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41,400 tenure-based options and RSUs (15,300 options and 26,100 RSUs) vesting 12 months from the grant date.</w:t>
      </w:r>
    </w:p>
    <w:p>
      <w:pPr>
        <w:spacing w:after="0" w:line="133" w:lineRule="exact"/>
        <w:rPr>
          <w:rFonts w:ascii="Arial" w:cs="Arial" w:eastAsia="Arial" w:hAnsi="Arial"/>
          <w:sz w:val="20"/>
          <w:szCs w:val="20"/>
          <w:color w:val="auto"/>
        </w:rPr>
      </w:pPr>
    </w:p>
    <w:p>
      <w:pPr>
        <w:ind w:left="1440" w:right="440" w:hanging="359"/>
        <w:spacing w:after="0" w:line="278" w:lineRule="auto"/>
        <w:tabs>
          <w:tab w:leader="none" w:pos="1440" w:val="left"/>
        </w:tabs>
        <w:numPr>
          <w:ilvl w:val="1"/>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6,900 tenure-based options and RSUs (4,350 RSUs and 2,550 options) granted to each of the six non-executive board members based on the vesting terms detailed above.</w:t>
      </w:r>
    </w:p>
    <w:p>
      <w:pPr>
        <w:spacing w:after="0" w:line="61" w:lineRule="exact"/>
        <w:rPr>
          <w:rFonts w:ascii="Arial" w:cs="Arial" w:eastAsia="Arial" w:hAnsi="Arial"/>
          <w:sz w:val="20"/>
          <w:szCs w:val="20"/>
          <w:color w:val="auto"/>
        </w:rPr>
      </w:pPr>
    </w:p>
    <w:p>
      <w:pPr>
        <w:ind w:left="1080" w:right="440" w:hanging="359"/>
        <w:spacing w:after="0" w:line="259" w:lineRule="auto"/>
        <w:tabs>
          <w:tab w:leader="none" w:pos="108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27,200 tenure-based options and RSUs (9,850 options and 17,350 RSUs) vesting on the first, second and third anniversary of the grant date in equal amounts (i.e. 1/3 of the RSUs and options will vest on each anniversary of the grant date, being on December 22 of each relevant year).</w:t>
      </w:r>
    </w:p>
    <w:p>
      <w:pPr>
        <w:spacing w:after="0" w:line="80" w:lineRule="exact"/>
        <w:rPr>
          <w:rFonts w:ascii="Arial" w:cs="Arial" w:eastAsia="Arial" w:hAnsi="Arial"/>
          <w:sz w:val="20"/>
          <w:szCs w:val="20"/>
          <w:color w:val="auto"/>
        </w:rPr>
      </w:pPr>
    </w:p>
    <w:p>
      <w:pPr>
        <w:ind w:left="1440" w:right="620" w:hanging="359"/>
        <w:spacing w:after="0" w:line="275" w:lineRule="auto"/>
        <w:tabs>
          <w:tab w:leader="none" w:pos="1440" w:val="left"/>
        </w:tabs>
        <w:numPr>
          <w:ilvl w:val="1"/>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13,600 tenure-based options and RSUs (8,675 RSUs and 4,925 options) granted to Jan Stern Reed and James Corbett as an initial grant in connection with their appointment to the Board of Directors.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2022 AGM Awards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Awards to the CEO under the 2022 AGM Awards</w:t>
      </w:r>
    </w:p>
    <w:p>
      <w:pPr>
        <w:spacing w:after="0" w:line="133" w:lineRule="exact"/>
        <w:rPr>
          <w:sz w:val="20"/>
          <w:szCs w:val="20"/>
          <w:color w:val="auto"/>
        </w:rPr>
      </w:pPr>
    </w:p>
    <w:p>
      <w:pPr>
        <w:ind w:left="1080" w:right="200" w:hanging="359"/>
        <w:spacing w:after="0" w:line="278" w:lineRule="auto"/>
        <w:tabs>
          <w:tab w:leader="none" w:pos="108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On December 12, 2022, the CEO was issued an aggregate 226,296 options with 25% of those options vesting annually commencing on September 28, 2023.</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Awards to the Board of Directors under the 2022 AGM Awards</w:t>
      </w:r>
    </w:p>
    <w:p>
      <w:pPr>
        <w:spacing w:after="0" w:line="134" w:lineRule="exact"/>
        <w:rPr>
          <w:sz w:val="20"/>
          <w:szCs w:val="20"/>
          <w:color w:val="auto"/>
        </w:rPr>
      </w:pPr>
    </w:p>
    <w:p>
      <w:pPr>
        <w:ind w:left="1080" w:right="500" w:hanging="359"/>
        <w:spacing w:after="0" w:line="278" w:lineRule="auto"/>
        <w:tabs>
          <w:tab w:leader="none" w:pos="108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The Board of Director awards consist of an aggregate 71,936 options and RSUs (21,580 options and 50,356 RSUs) vesting 12-months from the grant date.</w:t>
      </w:r>
    </w:p>
    <w:p>
      <w:pPr>
        <w:spacing w:after="0" w:line="61" w:lineRule="exact"/>
        <w:rPr>
          <w:rFonts w:ascii="Arial" w:cs="Arial" w:eastAsia="Arial" w:hAnsi="Arial"/>
          <w:sz w:val="20"/>
          <w:szCs w:val="20"/>
          <w:color w:val="auto"/>
        </w:rPr>
      </w:pPr>
    </w:p>
    <w:p>
      <w:pPr>
        <w:ind w:left="1080" w:hanging="359"/>
        <w:spacing w:after="0" w:line="295" w:lineRule="auto"/>
        <w:tabs>
          <w:tab w:leader="none" w:pos="108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17,984 tenure-based options and RSUs (12,589 RSUs and 5,359 options) granted to each of the four non-executive board members based on the vesting terms detailed above.</w:t>
      </w:r>
    </w:p>
    <w:p>
      <w:pPr>
        <w:sectPr>
          <w:pgSz w:w="11880" w:h="15480" w:orient="portrait"/>
          <w:cols w:equalWidth="0" w:num="1">
            <w:col w:w="10780"/>
          </w:cols>
          <w:pgMar w:left="540" w:top="888" w:right="560" w:bottom="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F-30</w:t>
      </w:r>
    </w:p>
    <w:p>
      <w:pPr>
        <w:sectPr>
          <w:pgSz w:w="11880" w:h="15480" w:orient="portrait"/>
          <w:cols w:equalWidth="0" w:num="1">
            <w:col w:w="10780"/>
          </w:cols>
          <w:pgMar w:left="540" w:top="888" w:right="560" w:bottom="5"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20"/>
          <w:szCs w:val="20"/>
          <w:b w:val="1"/>
          <w:bCs w:val="1"/>
          <w:i w:val="1"/>
          <w:iCs w:val="1"/>
          <w:color w:val="auto"/>
        </w:rPr>
        <w:t>Option Pricing Model</w:t>
      </w:r>
    </w:p>
    <w:p>
      <w:pPr>
        <w:spacing w:after="0" w:line="119" w:lineRule="exact"/>
        <w:rPr>
          <w:sz w:val="20"/>
          <w:szCs w:val="20"/>
          <w:color w:val="auto"/>
        </w:rPr>
      </w:pPr>
    </w:p>
    <w:p>
      <w:pPr>
        <w:jc w:val="both"/>
        <w:ind w:firstLine="720"/>
        <w:spacing w:after="0" w:line="259" w:lineRule="auto"/>
        <w:rPr>
          <w:sz w:val="20"/>
          <w:szCs w:val="20"/>
          <w:color w:val="auto"/>
        </w:rPr>
      </w:pPr>
      <w:r>
        <w:rPr>
          <w:rFonts w:ascii="Times New Roman" w:cs="Times New Roman" w:eastAsia="Times New Roman" w:hAnsi="Times New Roman"/>
          <w:sz w:val="20"/>
          <w:szCs w:val="20"/>
          <w:color w:val="auto"/>
        </w:rPr>
        <w:t>The Company estimates the fair value of tenure-based share options using the Black-Scholes option pricing model on the date of grant. The Company estimates the fair value of options with a performance condition and market conditions using the Monte-Carlo simulation model.</w:t>
      </w:r>
    </w:p>
    <w:p>
      <w:pPr>
        <w:spacing w:after="0" w:line="184" w:lineRule="exact"/>
        <w:rPr>
          <w:sz w:val="20"/>
          <w:szCs w:val="20"/>
          <w:color w:val="auto"/>
        </w:rPr>
      </w:pPr>
    </w:p>
    <w:p>
      <w:pPr>
        <w:ind w:right="40" w:firstLine="720"/>
        <w:spacing w:after="0" w:line="244" w:lineRule="auto"/>
        <w:rPr>
          <w:sz w:val="20"/>
          <w:szCs w:val="20"/>
          <w:color w:val="auto"/>
        </w:rPr>
      </w:pPr>
      <w:r>
        <w:rPr>
          <w:rFonts w:ascii="Times New Roman" w:cs="Times New Roman" w:eastAsia="Times New Roman" w:hAnsi="Times New Roman"/>
          <w:sz w:val="20"/>
          <w:szCs w:val="20"/>
          <w:color w:val="auto"/>
        </w:rPr>
        <w:t>The valuation of the options is affected by the Company's share price as well as assumptions regarding a number of highly complex and subjective variables. These variables include, but are not limited to, expected share price volatility over the term of the awards and actual and projected employee share option exercise behaviors. The risk-free rate is based on the U.S. Treasury rate for the expected life at the time of grant, volatility is based on the average historical and implied volatility. For tenure-based options, the expected life is based on the estimated average of the life of options using the simplified method as prescribed by SAB 107. The Company utilizes the simplified method for plain vanilla options to determine the expected life of the options due to insufficient exercise activity during recent years. For performance or market awards using the Monte Carlo simulation, the Company estimates the expected term based on a future exercise assumption of 2x the exercise price for rank-and-file employees and 3x the exercise price for executives. The contractual term of 10 years has been set as the expected term for performance and market awards. The expected dividend assumption is based on the Company’s history and expectation of dividend payouts.</w:t>
      </w:r>
    </w:p>
    <w:p>
      <w:pPr>
        <w:spacing w:after="0" w:line="204" w:lineRule="exact"/>
        <w:rPr>
          <w:sz w:val="20"/>
          <w:szCs w:val="20"/>
          <w:color w:val="auto"/>
        </w:rPr>
      </w:pPr>
    </w:p>
    <w:p>
      <w:pPr>
        <w:ind w:right="120" w:firstLine="720"/>
        <w:spacing w:after="0" w:line="258" w:lineRule="auto"/>
        <w:rPr>
          <w:sz w:val="20"/>
          <w:szCs w:val="20"/>
          <w:color w:val="auto"/>
        </w:rPr>
      </w:pPr>
      <w:r>
        <w:rPr>
          <w:rFonts w:ascii="Times New Roman" w:cs="Times New Roman" w:eastAsia="Times New Roman" w:hAnsi="Times New Roman"/>
          <w:sz w:val="20"/>
          <w:szCs w:val="20"/>
          <w:color w:val="auto"/>
        </w:rPr>
        <w:t>Included in the following table is a summary of the related assumptions used in the Black-Scholes Option pricing model and Monte-Carlo simulation for the year-ended December 31, 2022, the transition period ended December 31, 2021, and the year-ended June 30,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Transition Period</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8"/>
        </w:trPr>
        <w:tc>
          <w:tcPr>
            <w:tcW w:w="4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4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Year-Ended</w:t>
            </w:r>
          </w:p>
        </w:tc>
        <w:tc>
          <w:tcPr>
            <w:tcW w:w="100" w:type="dxa"/>
            <w:vAlign w:val="bottom"/>
          </w:tcPr>
          <w:p>
            <w:pPr>
              <w:spacing w:after="0"/>
              <w:rPr>
                <w:sz w:val="19"/>
                <w:szCs w:val="19"/>
                <w:color w:val="auto"/>
              </w:rPr>
            </w:pPr>
          </w:p>
        </w:tc>
        <w:tc>
          <w:tcPr>
            <w:tcW w:w="204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0" w:type="dxa"/>
            <w:vAlign w:val="bottom"/>
          </w:tcPr>
          <w:p>
            <w:pPr>
              <w:spacing w:after="0"/>
              <w:rPr>
                <w:sz w:val="19"/>
                <w:szCs w:val="19"/>
                <w:color w:val="auto"/>
              </w:rPr>
            </w:pPr>
          </w:p>
        </w:tc>
        <w:tc>
          <w:tcPr>
            <w:tcW w:w="1440" w:type="dxa"/>
            <w:vAlign w:val="bottom"/>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Year-Ended</w:t>
            </w:r>
          </w:p>
        </w:tc>
      </w:tr>
      <w:tr>
        <w:trPr>
          <w:trHeight w:val="226"/>
        </w:trPr>
        <w:tc>
          <w:tcPr>
            <w:tcW w:w="45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220" w:type="dxa"/>
            <w:vAlign w:val="bottom"/>
            <w:tcBorders>
              <w:top w:val="single" w:sz="8" w:color="auto"/>
              <w:bottom w:val="single" w:sz="8" w:color="auto"/>
            </w:tcBorders>
            <w:gridSpan w:val="2"/>
          </w:tcPr>
          <w:p>
            <w:pPr>
              <w:jc w:val="center"/>
              <w:ind w:right="100"/>
              <w:spacing w:after="0" w:line="206" w:lineRule="exact"/>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160" w:type="dxa"/>
            <w:vAlign w:val="bottom"/>
            <w:tcBorders>
              <w:bottom w:val="single" w:sz="8" w:color="D5EEEE"/>
            </w:tcBorders>
          </w:tcPr>
          <w:p>
            <w:pPr>
              <w:spacing w:after="0"/>
              <w:rPr>
                <w:sz w:val="19"/>
                <w:szCs w:val="19"/>
                <w:color w:val="auto"/>
              </w:rPr>
            </w:pPr>
          </w:p>
        </w:tc>
        <w:tc>
          <w:tcPr>
            <w:tcW w:w="160" w:type="dxa"/>
            <w:vAlign w:val="bottom"/>
            <w:tcBorders>
              <w:bottom w:val="single" w:sz="8" w:color="D5EEEE"/>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gridSpan w:val="2"/>
          </w:tcPr>
          <w:p>
            <w:pPr>
              <w:jc w:val="center"/>
              <w:ind w:right="120"/>
              <w:spacing w:after="0" w:line="206" w:lineRule="exact"/>
              <w:rPr>
                <w:sz w:val="20"/>
                <w:szCs w:val="20"/>
                <w:color w:val="auto"/>
              </w:rPr>
            </w:pPr>
            <w:r>
              <w:rPr>
                <w:rFonts w:ascii="Times New Roman" w:cs="Times New Roman" w:eastAsia="Times New Roman" w:hAnsi="Times New Roman"/>
                <w:sz w:val="18"/>
                <w:szCs w:val="18"/>
                <w:b w:val="1"/>
                <w:bCs w:val="1"/>
                <w:color w:val="auto"/>
              </w:rPr>
              <w:t>December 31, 2021</w:t>
            </w:r>
          </w:p>
        </w:tc>
        <w:tc>
          <w:tcPr>
            <w:tcW w:w="180" w:type="dxa"/>
            <w:vAlign w:val="bottom"/>
          </w:tcPr>
          <w:p>
            <w:pPr>
              <w:spacing w:after="0"/>
              <w:rPr>
                <w:sz w:val="19"/>
                <w:szCs w:val="19"/>
                <w:color w:val="auto"/>
              </w:rPr>
            </w:pPr>
          </w:p>
        </w:tc>
        <w:tc>
          <w:tcPr>
            <w:tcW w:w="160" w:type="dxa"/>
            <w:vAlign w:val="bottom"/>
            <w:tcBorders>
              <w:bottom w:val="single" w:sz="8" w:color="D5EEEE"/>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gridSpan w:val="2"/>
          </w:tcPr>
          <w:p>
            <w:pPr>
              <w:jc w:val="center"/>
              <w:ind w:right="100"/>
              <w:spacing w:after="0" w:line="206" w:lineRule="exact"/>
              <w:rPr>
                <w:sz w:val="20"/>
                <w:szCs w:val="20"/>
                <w:color w:val="auto"/>
              </w:rPr>
            </w:pPr>
            <w:r>
              <w:rPr>
                <w:rFonts w:ascii="Times New Roman" w:cs="Times New Roman" w:eastAsia="Times New Roman" w:hAnsi="Times New Roman"/>
                <w:sz w:val="18"/>
                <w:szCs w:val="18"/>
                <w:b w:val="1"/>
                <w:bCs w:val="1"/>
                <w:color w:val="auto"/>
              </w:rPr>
              <w:t>June 30, 2021</w:t>
            </w:r>
          </w:p>
        </w:tc>
        <w:tc>
          <w:tcPr>
            <w:tcW w:w="160" w:type="dxa"/>
            <w:vAlign w:val="bottom"/>
            <w:tcBorders>
              <w:bottom w:val="single" w:sz="8" w:color="D5EEEE"/>
            </w:tcBorders>
          </w:tcPr>
          <w:p>
            <w:pPr>
              <w:spacing w:after="0"/>
              <w:rPr>
                <w:sz w:val="19"/>
                <w:szCs w:val="19"/>
                <w:color w:val="auto"/>
              </w:rPr>
            </w:pPr>
          </w:p>
        </w:tc>
      </w:tr>
      <w:tr>
        <w:trPr>
          <w:trHeight w:val="188"/>
        </w:trPr>
        <w:tc>
          <w:tcPr>
            <w:tcW w:w="4520" w:type="dxa"/>
            <w:vAlign w:val="bottom"/>
            <w:tcBorders>
              <w:top w:val="single" w:sz="8" w:color="D5EEEE"/>
            </w:tcBorders>
            <w:shd w:val="clear" w:color="auto" w:fill="D5EEEE"/>
          </w:tcPr>
          <w:p>
            <w:pPr>
              <w:spacing w:after="0"/>
              <w:rPr>
                <w:sz w:val="16"/>
                <w:szCs w:val="16"/>
                <w:color w:val="auto"/>
              </w:rPr>
            </w:pPr>
          </w:p>
        </w:tc>
        <w:tc>
          <w:tcPr>
            <w:tcW w:w="2280" w:type="dxa"/>
            <w:vAlign w:val="bottom"/>
            <w:tcBorders>
              <w:top w:val="single" w:sz="8" w:color="D5EEEE"/>
            </w:tcBorders>
            <w:gridSpan w:val="2"/>
            <w:shd w:val="clear" w:color="auto" w:fill="D5EEEE"/>
          </w:tcPr>
          <w:p>
            <w:pPr>
              <w:jc w:val="right"/>
              <w:spacing w:after="0" w:line="188" w:lineRule="exact"/>
              <w:rPr>
                <w:sz w:val="20"/>
                <w:szCs w:val="20"/>
                <w:color w:val="auto"/>
              </w:rPr>
            </w:pPr>
            <w:r>
              <w:rPr>
                <w:rFonts w:ascii="Times New Roman" w:cs="Times New Roman" w:eastAsia="Times New Roman" w:hAnsi="Times New Roman"/>
                <w:sz w:val="18"/>
                <w:szCs w:val="18"/>
                <w:color w:val="auto"/>
              </w:rPr>
              <w:t>72% - 113%</w:t>
            </w:r>
          </w:p>
        </w:tc>
        <w:tc>
          <w:tcPr>
            <w:tcW w:w="20" w:type="dxa"/>
            <w:vAlign w:val="bottom"/>
            <w:tcBorders>
              <w:top w:val="single" w:sz="8" w:color="D5EEEE"/>
            </w:tcBorders>
            <w:shd w:val="clear" w:color="auto" w:fill="D5EEEE"/>
          </w:tcPr>
          <w:p>
            <w:pPr>
              <w:spacing w:after="0"/>
              <w:rPr>
                <w:sz w:val="16"/>
                <w:szCs w:val="16"/>
                <w:color w:val="auto"/>
              </w:rPr>
            </w:pPr>
          </w:p>
        </w:tc>
        <w:tc>
          <w:tcPr>
            <w:tcW w:w="160" w:type="dxa"/>
            <w:vAlign w:val="bottom"/>
            <w:tcBorders>
              <w:top w:val="single" w:sz="8" w:color="D5EEEE"/>
            </w:tcBorders>
            <w:shd w:val="clear" w:color="auto" w:fill="D5EEEE"/>
          </w:tcPr>
          <w:p>
            <w:pPr>
              <w:spacing w:after="0"/>
              <w:rPr>
                <w:sz w:val="16"/>
                <w:szCs w:val="16"/>
                <w:color w:val="auto"/>
              </w:rPr>
            </w:pPr>
          </w:p>
        </w:tc>
        <w:tc>
          <w:tcPr>
            <w:tcW w:w="160" w:type="dxa"/>
            <w:vAlign w:val="bottom"/>
            <w:tcBorders>
              <w:top w:val="single" w:sz="8" w:color="D5EEEE"/>
            </w:tcBorders>
          </w:tcPr>
          <w:p>
            <w:pPr>
              <w:spacing w:after="0"/>
              <w:rPr>
                <w:sz w:val="16"/>
                <w:szCs w:val="16"/>
                <w:color w:val="auto"/>
              </w:rPr>
            </w:pPr>
          </w:p>
        </w:tc>
        <w:tc>
          <w:tcPr>
            <w:tcW w:w="1780" w:type="dxa"/>
            <w:vAlign w:val="bottom"/>
            <w:gridSpan w:val="2"/>
            <w:shd w:val="clear" w:color="auto" w:fill="D5EEEE"/>
          </w:tcPr>
          <w:p>
            <w:pPr>
              <w:jc w:val="right"/>
              <w:spacing w:after="0" w:line="188" w:lineRule="exact"/>
              <w:rPr>
                <w:sz w:val="20"/>
                <w:szCs w:val="20"/>
                <w:color w:val="auto"/>
              </w:rPr>
            </w:pPr>
            <w:r>
              <w:rPr>
                <w:rFonts w:ascii="Times New Roman" w:cs="Times New Roman" w:eastAsia="Times New Roman" w:hAnsi="Times New Roman"/>
                <w:sz w:val="18"/>
                <w:szCs w:val="18"/>
                <w:color w:val="auto"/>
              </w:rPr>
              <w:t>68% - 75%</w:t>
            </w:r>
          </w:p>
        </w:tc>
        <w:tc>
          <w:tcPr>
            <w:tcW w:w="20" w:type="dxa"/>
            <w:vAlign w:val="bottom"/>
          </w:tcPr>
          <w:p>
            <w:pPr>
              <w:spacing w:after="0"/>
              <w:rPr>
                <w:sz w:val="16"/>
                <w:szCs w:val="16"/>
                <w:color w:val="auto"/>
              </w:rPr>
            </w:pPr>
          </w:p>
        </w:tc>
        <w:tc>
          <w:tcPr>
            <w:tcW w:w="180" w:type="dxa"/>
            <w:vAlign w:val="bottom"/>
            <w:tcBorders>
              <w:top w:val="single" w:sz="8" w:color="D5EEEE"/>
            </w:tcBorders>
            <w:shd w:val="clear" w:color="auto" w:fill="D5EEEE"/>
          </w:tcPr>
          <w:p>
            <w:pPr>
              <w:spacing w:after="0"/>
              <w:rPr>
                <w:sz w:val="16"/>
                <w:szCs w:val="16"/>
                <w:color w:val="auto"/>
              </w:rPr>
            </w:pPr>
          </w:p>
        </w:tc>
        <w:tc>
          <w:tcPr>
            <w:tcW w:w="160" w:type="dxa"/>
            <w:vAlign w:val="bottom"/>
            <w:tcBorders>
              <w:top w:val="single" w:sz="8" w:color="D5EEEE"/>
            </w:tcBorders>
          </w:tcPr>
          <w:p>
            <w:pPr>
              <w:spacing w:after="0"/>
              <w:rPr>
                <w:sz w:val="16"/>
                <w:szCs w:val="16"/>
                <w:color w:val="auto"/>
              </w:rPr>
            </w:pPr>
          </w:p>
        </w:tc>
        <w:tc>
          <w:tcPr>
            <w:tcW w:w="1340" w:type="dxa"/>
            <w:vAlign w:val="bottom"/>
            <w:tcBorders>
              <w:top w:val="single" w:sz="8" w:color="D5EEEE"/>
            </w:tcBorders>
            <w:gridSpan w:val="2"/>
            <w:shd w:val="clear" w:color="auto" w:fill="D5EEEE"/>
          </w:tcPr>
          <w:p>
            <w:pPr>
              <w:jc w:val="right"/>
              <w:ind w:right="50"/>
              <w:spacing w:after="0" w:line="188" w:lineRule="exact"/>
              <w:rPr>
                <w:sz w:val="20"/>
                <w:szCs w:val="20"/>
                <w:color w:val="auto"/>
              </w:rPr>
            </w:pPr>
            <w:r>
              <w:rPr>
                <w:rFonts w:ascii="Times New Roman" w:cs="Times New Roman" w:eastAsia="Times New Roman" w:hAnsi="Times New Roman"/>
                <w:sz w:val="18"/>
                <w:szCs w:val="18"/>
                <w:color w:val="auto"/>
              </w:rPr>
              <w:t>65% - 80</w:t>
            </w:r>
          </w:p>
        </w:tc>
        <w:tc>
          <w:tcPr>
            <w:tcW w:w="20" w:type="dxa"/>
            <w:vAlign w:val="bottom"/>
            <w:tcBorders>
              <w:top w:val="single" w:sz="8" w:color="D5EEEE"/>
            </w:tcBorders>
          </w:tcPr>
          <w:p>
            <w:pPr>
              <w:spacing w:after="0"/>
              <w:rPr>
                <w:sz w:val="16"/>
                <w:szCs w:val="16"/>
                <w:color w:val="auto"/>
              </w:rPr>
            </w:pPr>
          </w:p>
        </w:tc>
        <w:tc>
          <w:tcPr>
            <w:tcW w:w="160" w:type="dxa"/>
            <w:vAlign w:val="bottom"/>
            <w:tcBorders>
              <w:top w:val="single" w:sz="8" w:color="D5EEEE"/>
            </w:tcBorders>
            <w:shd w:val="clear" w:color="auto" w:fill="D5EEEE"/>
          </w:tcPr>
          <w:p>
            <w:pPr>
              <w:spacing w:after="0"/>
              <w:rPr>
                <w:sz w:val="16"/>
                <w:szCs w:val="16"/>
                <w:color w:val="auto"/>
              </w:rPr>
            </w:pPr>
          </w:p>
        </w:tc>
      </w:tr>
      <w:tr>
        <w:trPr>
          <w:trHeight w:val="22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volatility</w:t>
            </w:r>
          </w:p>
        </w:tc>
        <w:tc>
          <w:tcPr>
            <w:tcW w:w="8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highlight w:val="white"/>
                <w:w w:val="79"/>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01"/>
        </w:trPr>
        <w:tc>
          <w:tcPr>
            <w:tcW w:w="4520" w:type="dxa"/>
            <w:vAlign w:val="bottom"/>
            <w:tcBorders>
              <w:top w:val="single" w:sz="8" w:color="D5EEEE"/>
            </w:tcBorders>
            <w:shd w:val="clear" w:color="auto" w:fill="D5EEEE"/>
          </w:tcPr>
          <w:p>
            <w:pPr>
              <w:spacing w:after="0" w:line="201" w:lineRule="exact"/>
              <w:rPr>
                <w:sz w:val="20"/>
                <w:szCs w:val="20"/>
                <w:color w:val="auto"/>
              </w:rPr>
            </w:pPr>
            <w:r>
              <w:rPr>
                <w:rFonts w:ascii="Times New Roman" w:cs="Times New Roman" w:eastAsia="Times New Roman" w:hAnsi="Times New Roman"/>
                <w:sz w:val="18"/>
                <w:szCs w:val="18"/>
                <w:color w:val="auto"/>
              </w:rPr>
              <w:t>Expected dividends</w:t>
            </w:r>
          </w:p>
        </w:tc>
        <w:tc>
          <w:tcPr>
            <w:tcW w:w="80" w:type="dxa"/>
            <w:vAlign w:val="bottom"/>
            <w:tcBorders>
              <w:top w:val="single" w:sz="8" w:color="D5EEEE"/>
            </w:tcBorders>
            <w:shd w:val="clear" w:color="auto" w:fill="D5EEEE"/>
          </w:tcPr>
          <w:p>
            <w:pPr>
              <w:spacing w:after="0"/>
              <w:rPr>
                <w:sz w:val="17"/>
                <w:szCs w:val="17"/>
                <w:color w:val="auto"/>
              </w:rPr>
            </w:pPr>
          </w:p>
        </w:tc>
        <w:tc>
          <w:tcPr>
            <w:tcW w:w="2200" w:type="dxa"/>
            <w:vAlign w:val="bottom"/>
            <w:tcBorders>
              <w:top w:val="single" w:sz="8" w:color="D5EEEE"/>
            </w:tcBorders>
            <w:shd w:val="clear" w:color="auto" w:fill="D5EEEE"/>
          </w:tcPr>
          <w:p>
            <w:pPr>
              <w:jc w:val="right"/>
              <w:spacing w:after="0" w:line="201" w:lineRule="exact"/>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top w:val="single" w:sz="8" w:color="D5EEEE"/>
            </w:tcBorders>
          </w:tcPr>
          <w:p>
            <w:pPr>
              <w:spacing w:after="0"/>
              <w:rPr>
                <w:sz w:val="17"/>
                <w:szCs w:val="17"/>
                <w:color w:val="auto"/>
              </w:rPr>
            </w:pPr>
          </w:p>
        </w:tc>
        <w:tc>
          <w:tcPr>
            <w:tcW w:w="160" w:type="dxa"/>
            <w:vAlign w:val="bottom"/>
            <w:tcBorders>
              <w:top w:val="single" w:sz="8" w:color="D5EEEE"/>
            </w:tcBorders>
            <w:shd w:val="clear" w:color="auto" w:fill="D5EEEE"/>
          </w:tcPr>
          <w:p>
            <w:pPr>
              <w:jc w:val="right"/>
              <w:spacing w:after="0" w:line="201" w:lineRule="exact"/>
              <w:rPr>
                <w:sz w:val="20"/>
                <w:szCs w:val="20"/>
                <w:color w:val="auto"/>
              </w:rPr>
            </w:pPr>
            <w:r>
              <w:rPr>
                <w:rFonts w:ascii="Times New Roman" w:cs="Times New Roman" w:eastAsia="Times New Roman" w:hAnsi="Times New Roman"/>
                <w:sz w:val="18"/>
                <w:szCs w:val="18"/>
                <w:color w:val="auto"/>
                <w:w w:val="79"/>
                <w:shd w:val="clear" w:color="auto" w:fill="D5EEEE"/>
              </w:rPr>
              <w:t>%</w:t>
            </w:r>
          </w:p>
        </w:tc>
        <w:tc>
          <w:tcPr>
            <w:tcW w:w="160" w:type="dxa"/>
            <w:vAlign w:val="bottom"/>
            <w:tcBorders>
              <w:top w:val="single" w:sz="8" w:color="D5EEEE"/>
            </w:tcBorders>
            <w:shd w:val="clear" w:color="auto" w:fill="D5EEEE"/>
          </w:tcPr>
          <w:p>
            <w:pPr>
              <w:spacing w:after="0"/>
              <w:rPr>
                <w:sz w:val="17"/>
                <w:szCs w:val="17"/>
                <w:color w:val="auto"/>
              </w:rPr>
            </w:pPr>
          </w:p>
        </w:tc>
        <w:tc>
          <w:tcPr>
            <w:tcW w:w="100" w:type="dxa"/>
            <w:vAlign w:val="bottom"/>
            <w:tcBorders>
              <w:top w:val="single" w:sz="8" w:color="D5EEEE"/>
            </w:tcBorders>
          </w:tcPr>
          <w:p>
            <w:pPr>
              <w:spacing w:after="0"/>
              <w:rPr>
                <w:sz w:val="17"/>
                <w:szCs w:val="17"/>
                <w:color w:val="auto"/>
              </w:rPr>
            </w:pPr>
          </w:p>
        </w:tc>
        <w:tc>
          <w:tcPr>
            <w:tcW w:w="1680" w:type="dxa"/>
            <w:vAlign w:val="bottom"/>
            <w:tcBorders>
              <w:top w:val="single" w:sz="8" w:color="D5EEEE"/>
            </w:tcBorders>
            <w:shd w:val="clear" w:color="auto" w:fill="D5EEEE"/>
          </w:tcPr>
          <w:p>
            <w:pPr>
              <w:jc w:val="right"/>
              <w:spacing w:after="0" w:line="201" w:lineRule="exact"/>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180" w:type="dxa"/>
            <w:vAlign w:val="bottom"/>
            <w:tcBorders>
              <w:top w:val="single" w:sz="8" w:color="D5EEEE"/>
            </w:tcBorders>
            <w:shd w:val="clear" w:color="auto" w:fill="D5EEEE"/>
          </w:tcPr>
          <w:p>
            <w:pPr>
              <w:jc w:val="right"/>
              <w:spacing w:after="0" w:line="201" w:lineRule="exact"/>
              <w:rPr>
                <w:sz w:val="20"/>
                <w:szCs w:val="20"/>
                <w:color w:val="auto"/>
              </w:rPr>
            </w:pPr>
            <w:r>
              <w:rPr>
                <w:rFonts w:ascii="Times New Roman" w:cs="Times New Roman" w:eastAsia="Times New Roman" w:hAnsi="Times New Roman"/>
                <w:sz w:val="18"/>
                <w:szCs w:val="18"/>
                <w:color w:val="auto"/>
                <w:w w:val="93"/>
                <w:shd w:val="clear" w:color="auto" w:fill="D5EEEE"/>
              </w:rPr>
              <w:t>%</w:t>
            </w:r>
          </w:p>
        </w:tc>
        <w:tc>
          <w:tcPr>
            <w:tcW w:w="160" w:type="dxa"/>
            <w:vAlign w:val="bottom"/>
            <w:tcBorders>
              <w:top w:val="single" w:sz="8" w:color="D5EEEE"/>
            </w:tcBorders>
            <w:shd w:val="clear" w:color="auto" w:fill="D5EEEE"/>
          </w:tcPr>
          <w:p>
            <w:pPr>
              <w:spacing w:after="0"/>
              <w:rPr>
                <w:sz w:val="17"/>
                <w:szCs w:val="17"/>
                <w:color w:val="auto"/>
              </w:rPr>
            </w:pPr>
          </w:p>
        </w:tc>
        <w:tc>
          <w:tcPr>
            <w:tcW w:w="80" w:type="dxa"/>
            <w:vAlign w:val="bottom"/>
            <w:tcBorders>
              <w:top w:val="single" w:sz="8" w:color="D5EEEE"/>
            </w:tcBorders>
          </w:tcPr>
          <w:p>
            <w:pPr>
              <w:spacing w:after="0"/>
              <w:rPr>
                <w:sz w:val="17"/>
                <w:szCs w:val="17"/>
                <w:color w:val="auto"/>
              </w:rPr>
            </w:pPr>
          </w:p>
        </w:tc>
        <w:tc>
          <w:tcPr>
            <w:tcW w:w="1260" w:type="dxa"/>
            <w:vAlign w:val="bottom"/>
            <w:tcBorders>
              <w:top w:val="single" w:sz="8" w:color="D5EEEE"/>
            </w:tcBorders>
            <w:shd w:val="clear" w:color="auto" w:fill="D5EEEE"/>
          </w:tcPr>
          <w:p>
            <w:pPr>
              <w:jc w:val="right"/>
              <w:spacing w:after="0" w:line="201" w:lineRule="exact"/>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160" w:type="dxa"/>
            <w:vAlign w:val="bottom"/>
            <w:tcBorders>
              <w:top w:val="single" w:sz="8" w:color="D5EEEE"/>
            </w:tcBorders>
            <w:shd w:val="clear" w:color="auto" w:fill="D5EEEE"/>
          </w:tcPr>
          <w:p>
            <w:pPr>
              <w:jc w:val="right"/>
              <w:spacing w:after="0" w:line="201" w:lineRule="exact"/>
              <w:rPr>
                <w:sz w:val="20"/>
                <w:szCs w:val="20"/>
                <w:color w:val="auto"/>
              </w:rPr>
            </w:pPr>
            <w:r>
              <w:rPr>
                <w:rFonts w:ascii="Times New Roman" w:cs="Times New Roman" w:eastAsia="Times New Roman" w:hAnsi="Times New Roman"/>
                <w:sz w:val="18"/>
                <w:szCs w:val="18"/>
                <w:color w:val="auto"/>
                <w:w w:val="79"/>
                <w:shd w:val="clear" w:color="auto" w:fill="D5EEEE"/>
              </w:rPr>
              <w:t>%</w:t>
            </w:r>
          </w:p>
        </w:tc>
      </w:tr>
      <w:tr>
        <w:trPr>
          <w:trHeight w:val="223"/>
        </w:trPr>
        <w:tc>
          <w:tcPr>
            <w:tcW w:w="452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220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5 - 9.8</w:t>
            </w:r>
          </w:p>
        </w:tc>
        <w:tc>
          <w:tcPr>
            <w:tcW w:w="20" w:type="dxa"/>
            <w:vAlign w:val="bottom"/>
            <w:tcBorders>
              <w:bottom w:val="single" w:sz="8" w:color="D5EEEE"/>
            </w:tcBorders>
          </w:tcPr>
          <w:p>
            <w:pPr>
              <w:spacing w:after="0"/>
              <w:rPr>
                <w:sz w:val="19"/>
                <w:szCs w:val="19"/>
                <w:color w:val="auto"/>
              </w:rPr>
            </w:pPr>
          </w:p>
        </w:tc>
        <w:tc>
          <w:tcPr>
            <w:tcW w:w="160" w:type="dxa"/>
            <w:vAlign w:val="bottom"/>
            <w:tcBorders>
              <w:bottom w:val="single" w:sz="8" w:color="D5EEEE"/>
            </w:tcBorders>
          </w:tcPr>
          <w:p>
            <w:pPr>
              <w:spacing w:after="0"/>
              <w:rPr>
                <w:sz w:val="19"/>
                <w:szCs w:val="19"/>
                <w:color w:val="auto"/>
              </w:rPr>
            </w:pPr>
          </w:p>
        </w:tc>
        <w:tc>
          <w:tcPr>
            <w:tcW w:w="160" w:type="dxa"/>
            <w:vAlign w:val="bottom"/>
            <w:tcBorders>
              <w:bottom w:val="single" w:sz="8" w:color="D5EEEE"/>
            </w:tcBorders>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5 - 10</w:t>
            </w:r>
          </w:p>
        </w:tc>
        <w:tc>
          <w:tcPr>
            <w:tcW w:w="20" w:type="dxa"/>
            <w:vAlign w:val="bottom"/>
          </w:tcPr>
          <w:p>
            <w:pPr>
              <w:spacing w:after="0"/>
              <w:rPr>
                <w:sz w:val="19"/>
                <w:szCs w:val="19"/>
                <w:color w:val="auto"/>
              </w:rPr>
            </w:pPr>
          </w:p>
        </w:tc>
        <w:tc>
          <w:tcPr>
            <w:tcW w:w="180" w:type="dxa"/>
            <w:vAlign w:val="bottom"/>
            <w:tcBorders>
              <w:bottom w:val="single" w:sz="8" w:color="D5EEEE"/>
            </w:tcBorders>
          </w:tcPr>
          <w:p>
            <w:pPr>
              <w:spacing w:after="0"/>
              <w:rPr>
                <w:sz w:val="19"/>
                <w:szCs w:val="19"/>
                <w:color w:val="auto"/>
              </w:rPr>
            </w:pPr>
          </w:p>
        </w:tc>
        <w:tc>
          <w:tcPr>
            <w:tcW w:w="16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126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8"/>
                <w:szCs w:val="18"/>
                <w:color w:val="auto"/>
              </w:rPr>
              <w:t>5 - 1</w:t>
            </w:r>
          </w:p>
        </w:tc>
        <w:tc>
          <w:tcPr>
            <w:tcW w:w="20" w:type="dxa"/>
            <w:vAlign w:val="bottom"/>
            <w:tcBorders>
              <w:bottom w:val="single" w:sz="8" w:color="D5EEEE"/>
            </w:tcBorders>
          </w:tcPr>
          <w:p>
            <w:pPr>
              <w:spacing w:after="0"/>
              <w:rPr>
                <w:sz w:val="19"/>
                <w:szCs w:val="19"/>
                <w:color w:val="auto"/>
              </w:rPr>
            </w:pPr>
          </w:p>
        </w:tc>
        <w:tc>
          <w:tcPr>
            <w:tcW w:w="160" w:type="dxa"/>
            <w:vAlign w:val="bottom"/>
            <w:tcBorders>
              <w:bottom w:val="single" w:sz="8" w:color="D5EEEE"/>
            </w:tcBorders>
          </w:tcPr>
          <w:p>
            <w:pPr>
              <w:spacing w:after="0"/>
              <w:rPr>
                <w:sz w:val="19"/>
                <w:szCs w:val="19"/>
                <w:color w:val="auto"/>
              </w:rPr>
            </w:pPr>
          </w:p>
        </w:tc>
      </w:tr>
      <w:tr>
        <w:trPr>
          <w:trHeight w:val="201"/>
        </w:trPr>
        <w:tc>
          <w:tcPr>
            <w:tcW w:w="4520" w:type="dxa"/>
            <w:vAlign w:val="bottom"/>
            <w:shd w:val="clear" w:color="auto" w:fill="D5EEEE"/>
          </w:tcPr>
          <w:p>
            <w:pPr>
              <w:spacing w:after="0"/>
              <w:rPr>
                <w:sz w:val="17"/>
                <w:szCs w:val="17"/>
                <w:color w:val="auto"/>
              </w:rPr>
            </w:pPr>
          </w:p>
        </w:tc>
        <w:tc>
          <w:tcPr>
            <w:tcW w:w="2280" w:type="dxa"/>
            <w:vAlign w:val="bottom"/>
            <w:gridSpan w:val="2"/>
            <w:shd w:val="clear" w:color="auto" w:fill="D5EEEE"/>
          </w:tcPr>
          <w:p>
            <w:pPr>
              <w:jc w:val="right"/>
              <w:spacing w:after="0" w:line="201" w:lineRule="exact"/>
              <w:rPr>
                <w:sz w:val="20"/>
                <w:szCs w:val="20"/>
                <w:color w:val="auto"/>
              </w:rPr>
            </w:pPr>
            <w:r>
              <w:rPr>
                <w:rFonts w:ascii="Times New Roman" w:cs="Times New Roman" w:eastAsia="Times New Roman" w:hAnsi="Times New Roman"/>
                <w:sz w:val="18"/>
                <w:szCs w:val="18"/>
                <w:color w:val="auto"/>
              </w:rPr>
              <w:t>1.42% - 3.94%</w:t>
            </w:r>
          </w:p>
        </w:tc>
        <w:tc>
          <w:tcPr>
            <w:tcW w:w="20" w:type="dxa"/>
            <w:vAlign w:val="bottom"/>
            <w:shd w:val="clear" w:color="auto" w:fill="D5EEEE"/>
          </w:tcPr>
          <w:p>
            <w:pPr>
              <w:spacing w:after="0"/>
              <w:rPr>
                <w:sz w:val="17"/>
                <w:szCs w:val="17"/>
                <w:color w:val="auto"/>
              </w:rPr>
            </w:pPr>
          </w:p>
        </w:tc>
        <w:tc>
          <w:tcPr>
            <w:tcW w:w="160" w:type="dxa"/>
            <w:vAlign w:val="bottom"/>
            <w:shd w:val="clear" w:color="auto" w:fill="D5EEEE"/>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2"/>
            <w:shd w:val="clear" w:color="auto" w:fill="D5EEEE"/>
          </w:tcPr>
          <w:p>
            <w:pPr>
              <w:jc w:val="right"/>
              <w:spacing w:after="0" w:line="201" w:lineRule="exact"/>
              <w:rPr>
                <w:sz w:val="20"/>
                <w:szCs w:val="20"/>
                <w:color w:val="auto"/>
              </w:rPr>
            </w:pPr>
            <w:r>
              <w:rPr>
                <w:rFonts w:ascii="Times New Roman" w:cs="Times New Roman" w:eastAsia="Times New Roman" w:hAnsi="Times New Roman"/>
                <w:sz w:val="18"/>
                <w:szCs w:val="18"/>
                <w:color w:val="auto"/>
              </w:rPr>
              <w:t>0.88% - 1.46%</w:t>
            </w:r>
          </w:p>
        </w:tc>
        <w:tc>
          <w:tcPr>
            <w:tcW w:w="20" w:type="dxa"/>
            <w:vAlign w:val="bottom"/>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shd w:val="clear" w:color="auto" w:fill="D5EEEE"/>
          </w:tcPr>
          <w:p>
            <w:pPr>
              <w:jc w:val="right"/>
              <w:ind w:right="50"/>
              <w:spacing w:after="0" w:line="201" w:lineRule="exact"/>
              <w:rPr>
                <w:sz w:val="20"/>
                <w:szCs w:val="20"/>
                <w:color w:val="auto"/>
              </w:rPr>
            </w:pPr>
            <w:r>
              <w:rPr>
                <w:rFonts w:ascii="Times New Roman" w:cs="Times New Roman" w:eastAsia="Times New Roman" w:hAnsi="Times New Roman"/>
                <w:sz w:val="18"/>
                <w:szCs w:val="18"/>
                <w:color w:val="auto"/>
              </w:rPr>
              <w:t>0.77% - 1.64</w:t>
            </w:r>
          </w:p>
        </w:tc>
        <w:tc>
          <w:tcPr>
            <w:tcW w:w="20" w:type="dxa"/>
            <w:vAlign w:val="bottom"/>
          </w:tcPr>
          <w:p>
            <w:pPr>
              <w:spacing w:after="0"/>
              <w:rPr>
                <w:sz w:val="17"/>
                <w:szCs w:val="17"/>
                <w:color w:val="auto"/>
              </w:rPr>
            </w:pPr>
          </w:p>
        </w:tc>
        <w:tc>
          <w:tcPr>
            <w:tcW w:w="160" w:type="dxa"/>
            <w:vAlign w:val="bottom"/>
            <w:shd w:val="clear" w:color="auto" w:fill="D5EEEE"/>
          </w:tcPr>
          <w:p>
            <w:pPr>
              <w:spacing w:after="0"/>
              <w:rPr>
                <w:sz w:val="17"/>
                <w:szCs w:val="17"/>
                <w:color w:val="auto"/>
              </w:rPr>
            </w:pPr>
          </w:p>
        </w:tc>
      </w:tr>
      <w:tr>
        <w:trPr>
          <w:trHeight w:val="245"/>
        </w:trPr>
        <w:tc>
          <w:tcPr>
            <w:tcW w:w="4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4525010</wp:posOffset>
            </wp:positionH>
            <wp:positionV relativeFrom="paragraph">
              <wp:posOffset>-1019810</wp:posOffset>
            </wp:positionV>
            <wp:extent cx="1363345"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63345" cy="3746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-876300</wp:posOffset>
            </wp:positionV>
            <wp:extent cx="6884670" cy="8896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84670" cy="88963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Income Taxes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Geographic sources of loss before income taxes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6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gridSpan w:val="4"/>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120" w:type="dxa"/>
            <w:vAlign w:val="bottom"/>
            <w:gridSpan w:val="6"/>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Transition Period Ended</w:t>
            </w:r>
          </w:p>
        </w:tc>
        <w:tc>
          <w:tcPr>
            <w:tcW w:w="100" w:type="dxa"/>
            <w:vAlign w:val="bottom"/>
          </w:tcPr>
          <w:p>
            <w:pPr>
              <w:spacing w:after="0"/>
              <w:rPr>
                <w:sz w:val="17"/>
                <w:szCs w:val="17"/>
                <w:color w:val="auto"/>
              </w:rPr>
            </w:pPr>
          </w:p>
        </w:tc>
        <w:tc>
          <w:tcPr>
            <w:tcW w:w="1740" w:type="dxa"/>
            <w:vAlign w:val="bottom"/>
            <w:gridSpan w:val="3"/>
          </w:tcPr>
          <w:p>
            <w:pPr>
              <w:jc w:val="center"/>
              <w:ind w:right="143"/>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169"/>
        </w:trPr>
        <w:tc>
          <w:tcPr>
            <w:tcW w:w="16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720" w:type="dxa"/>
            <w:vAlign w:val="bottom"/>
            <w:tcBorders>
              <w:top w:val="single" w:sz="8" w:color="auto"/>
              <w:bottom w:val="single" w:sz="8" w:color="auto"/>
            </w:tcBorders>
            <w:gridSpan w:val="2"/>
          </w:tcPr>
          <w:p>
            <w:pPr>
              <w:jc w:val="center"/>
              <w:ind w:right="120"/>
              <w:spacing w:after="0" w:line="168" w:lineRule="exact"/>
              <w:rPr>
                <w:sz w:val="20"/>
                <w:szCs w:val="20"/>
                <w:color w:val="auto"/>
              </w:rPr>
            </w:pPr>
            <w:r>
              <w:rPr>
                <w:rFonts w:ascii="Times New Roman" w:cs="Times New Roman" w:eastAsia="Times New Roman" w:hAnsi="Times New Roman"/>
                <w:sz w:val="16"/>
                <w:szCs w:val="16"/>
                <w:b w:val="1"/>
                <w:bCs w:val="1"/>
                <w:color w:val="auto"/>
                <w:w w:val="98"/>
              </w:rPr>
              <w:t>December 31, 2022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740" w:type="dxa"/>
            <w:vAlign w:val="bottom"/>
            <w:tcBorders>
              <w:top w:val="single" w:sz="8" w:color="auto"/>
              <w:bottom w:val="single" w:sz="8" w:color="auto"/>
            </w:tcBorders>
            <w:gridSpan w:val="2"/>
          </w:tcPr>
          <w:p>
            <w:pPr>
              <w:jc w:val="center"/>
              <w:ind w:right="120"/>
              <w:spacing w:after="0" w:line="168" w:lineRule="exact"/>
              <w:rPr>
                <w:sz w:val="20"/>
                <w:szCs w:val="20"/>
                <w:color w:val="auto"/>
              </w:rPr>
            </w:pPr>
            <w:r>
              <w:rPr>
                <w:rFonts w:ascii="Times New Roman" w:cs="Times New Roman" w:eastAsia="Times New Roman" w:hAnsi="Times New Roman"/>
                <w:sz w:val="16"/>
                <w:szCs w:val="16"/>
                <w:b w:val="1"/>
                <w:bCs w:val="1"/>
                <w:color w:val="auto"/>
              </w:rPr>
              <w:t>December 31, 2021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640" w:type="dxa"/>
            <w:vAlign w:val="bottom"/>
            <w:tcBorders>
              <w:top w:val="single" w:sz="8" w:color="auto"/>
              <w:bottom w:val="single" w:sz="8" w:color="auto"/>
            </w:tcBorders>
            <w:gridSpan w:val="2"/>
          </w:tcPr>
          <w:p>
            <w:pPr>
              <w:jc w:val="center"/>
              <w:ind w:right="120"/>
              <w:spacing w:after="0" w:line="168" w:lineRule="exact"/>
              <w:rPr>
                <w:sz w:val="20"/>
                <w:szCs w:val="20"/>
                <w:color w:val="auto"/>
              </w:rPr>
            </w:pPr>
            <w:r>
              <w:rPr>
                <w:rFonts w:ascii="Times New Roman" w:cs="Times New Roman" w:eastAsia="Times New Roman" w:hAnsi="Times New Roman"/>
                <w:sz w:val="16"/>
                <w:szCs w:val="16"/>
                <w:b w:val="1"/>
                <w:bCs w:val="1"/>
                <w:color w:val="auto"/>
                <w:w w:val="98"/>
              </w:rPr>
              <w:t>June 30, 2021</w:t>
            </w:r>
          </w:p>
        </w:tc>
        <w:tc>
          <w:tcPr>
            <w:tcW w:w="100" w:type="dxa"/>
            <w:vAlign w:val="bottom"/>
          </w:tcPr>
          <w:p>
            <w:pPr>
              <w:spacing w:after="0"/>
              <w:rPr>
                <w:sz w:val="14"/>
                <w:szCs w:val="14"/>
                <w:color w:val="auto"/>
              </w:rPr>
            </w:pPr>
          </w:p>
        </w:tc>
      </w:tr>
      <w:tr>
        <w:trPr>
          <w:trHeight w:val="245"/>
        </w:trPr>
        <w:tc>
          <w:tcPr>
            <w:tcW w:w="4520" w:type="dxa"/>
            <w:vAlign w:val="bottom"/>
            <w:tcBorders>
              <w:bottom w:val="single" w:sz="8" w:color="D5EEEE"/>
            </w:tcBorders>
            <w:gridSpan w:val="2"/>
          </w:tcPr>
          <w:p>
            <w:pPr>
              <w:spacing w:after="0"/>
              <w:rPr>
                <w:sz w:val="21"/>
                <w:szCs w:val="21"/>
                <w:color w:val="auto"/>
              </w:rPr>
            </w:pPr>
          </w:p>
        </w:tc>
        <w:tc>
          <w:tcPr>
            <w:tcW w:w="18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20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72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180" w:type="dxa"/>
            <w:vAlign w:val="bottom"/>
            <w:tcBorders>
              <w:bottom w:val="single" w:sz="8" w:color="D5EEEE"/>
            </w:tcBorders>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Borders>
              <w:bottom w:val="single" w:sz="8" w:color="D5EEEE"/>
            </w:tcBorders>
          </w:tcPr>
          <w:p>
            <w:pPr>
              <w:spacing w:after="0"/>
              <w:rPr>
                <w:sz w:val="21"/>
                <w:szCs w:val="21"/>
                <w:color w:val="auto"/>
              </w:rPr>
            </w:pPr>
          </w:p>
        </w:tc>
        <w:tc>
          <w:tcPr>
            <w:tcW w:w="120" w:type="dxa"/>
            <w:vAlign w:val="bottom"/>
            <w:tcBorders>
              <w:bottom w:val="single" w:sz="8" w:color="D5EEEE"/>
            </w:tcBorders>
            <w:gridSpan w:val="2"/>
          </w:tcPr>
          <w:p>
            <w:pPr>
              <w:spacing w:after="0"/>
              <w:rPr>
                <w:sz w:val="21"/>
                <w:szCs w:val="21"/>
                <w:color w:val="auto"/>
              </w:rPr>
            </w:pPr>
          </w:p>
        </w:tc>
      </w:tr>
      <w:tr>
        <w:trPr>
          <w:trHeight w:val="225"/>
        </w:trPr>
        <w:tc>
          <w:tcPr>
            <w:tcW w:w="4520" w:type="dxa"/>
            <w:vAlign w:val="bottom"/>
            <w:gridSpan w:val="2"/>
            <w:shd w:val="clear" w:color="auto" w:fill="D5EEEE"/>
          </w:tcPr>
          <w:p>
            <w:pPr>
              <w:spacing w:after="0" w:line="226" w:lineRule="exact"/>
              <w:rPr>
                <w:sz w:val="20"/>
                <w:szCs w:val="20"/>
                <w:color w:val="auto"/>
              </w:rPr>
            </w:pPr>
            <w:r>
              <w:rPr>
                <w:rFonts w:ascii="Times New Roman" w:cs="Times New Roman" w:eastAsia="Times New Roman" w:hAnsi="Times New Roman"/>
                <w:sz w:val="20"/>
                <w:szCs w:val="20"/>
                <w:color w:val="auto"/>
              </w:rPr>
              <w:t>United States</w:t>
            </w:r>
          </w:p>
        </w:tc>
        <w:tc>
          <w:tcPr>
            <w:tcW w:w="18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0" w:type="dxa"/>
            <w:vAlign w:val="bottom"/>
          </w:tcPr>
          <w:p>
            <w:pPr>
              <w:spacing w:after="0"/>
              <w:rPr>
                <w:sz w:val="19"/>
                <w:szCs w:val="19"/>
                <w:color w:val="auto"/>
              </w:rPr>
            </w:pPr>
          </w:p>
        </w:tc>
        <w:tc>
          <w:tcPr>
            <w:tcW w:w="1700" w:type="dxa"/>
            <w:vAlign w:val="bottom"/>
            <w:shd w:val="clear" w:color="auto" w:fill="D5EEEE"/>
          </w:tcPr>
          <w:p>
            <w:pPr>
              <w:jc w:val="right"/>
              <w:spacing w:after="0" w:line="226" w:lineRule="exact"/>
              <w:rPr>
                <w:sz w:val="20"/>
                <w:szCs w:val="20"/>
                <w:color w:val="auto"/>
              </w:rPr>
            </w:pPr>
            <w:r>
              <w:rPr>
                <w:rFonts w:ascii="Times New Roman" w:cs="Times New Roman" w:eastAsia="Times New Roman" w:hAnsi="Times New Roman"/>
                <w:sz w:val="20"/>
                <w:szCs w:val="20"/>
                <w:color w:val="auto"/>
              </w:rPr>
              <w:t>(26,764)</w:t>
            </w:r>
          </w:p>
        </w:tc>
        <w:tc>
          <w:tcPr>
            <w:tcW w:w="2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200" w:type="dxa"/>
            <w:vAlign w:val="bottom"/>
            <w:shd w:val="clear" w:color="auto" w:fill="D5EEEE"/>
          </w:tcPr>
          <w:p>
            <w:pPr>
              <w:spacing w:after="0"/>
              <w:rPr>
                <w:sz w:val="19"/>
                <w:szCs w:val="19"/>
                <w:color w:val="auto"/>
              </w:rPr>
            </w:pPr>
          </w:p>
        </w:tc>
        <w:tc>
          <w:tcPr>
            <w:tcW w:w="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0" w:type="dxa"/>
            <w:vAlign w:val="bottom"/>
          </w:tcPr>
          <w:p>
            <w:pPr>
              <w:spacing w:after="0"/>
              <w:rPr>
                <w:sz w:val="19"/>
                <w:szCs w:val="19"/>
                <w:color w:val="auto"/>
              </w:rPr>
            </w:pPr>
          </w:p>
        </w:tc>
        <w:tc>
          <w:tcPr>
            <w:tcW w:w="1720" w:type="dxa"/>
            <w:vAlign w:val="bottom"/>
            <w:shd w:val="clear" w:color="auto" w:fill="D5EEEE"/>
          </w:tcPr>
          <w:p>
            <w:pPr>
              <w:jc w:val="right"/>
              <w:spacing w:after="0" w:line="226" w:lineRule="exact"/>
              <w:rPr>
                <w:sz w:val="20"/>
                <w:szCs w:val="20"/>
                <w:color w:val="auto"/>
              </w:rPr>
            </w:pPr>
            <w:r>
              <w:rPr>
                <w:rFonts w:ascii="Times New Roman" w:cs="Times New Roman" w:eastAsia="Times New Roman" w:hAnsi="Times New Roman"/>
                <w:sz w:val="20"/>
                <w:szCs w:val="20"/>
                <w:color w:val="auto"/>
              </w:rPr>
              <w:t>(14,490)</w:t>
            </w:r>
          </w:p>
        </w:tc>
        <w:tc>
          <w:tcPr>
            <w:tcW w:w="2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100" w:type="dxa"/>
            <w:vAlign w:val="bottom"/>
            <w:shd w:val="clear" w:color="auto" w:fill="D5EEEE"/>
          </w:tcPr>
          <w:p>
            <w:pPr>
              <w:jc w:val="right"/>
              <w:spacing w:after="0" w:line="226"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1620" w:type="dxa"/>
            <w:vAlign w:val="bottom"/>
            <w:shd w:val="clear" w:color="auto" w:fill="D5EEEE"/>
          </w:tcPr>
          <w:p>
            <w:pPr>
              <w:jc w:val="right"/>
              <w:spacing w:after="0" w:line="226" w:lineRule="exact"/>
              <w:rPr>
                <w:sz w:val="20"/>
                <w:szCs w:val="20"/>
                <w:color w:val="auto"/>
              </w:rPr>
            </w:pPr>
            <w:r>
              <w:rPr>
                <w:rFonts w:ascii="Times New Roman" w:cs="Times New Roman" w:eastAsia="Times New Roman" w:hAnsi="Times New Roman"/>
                <w:sz w:val="20"/>
                <w:szCs w:val="20"/>
                <w:color w:val="auto"/>
              </w:rPr>
              <w:t>(26,478</w:t>
            </w:r>
          </w:p>
        </w:tc>
        <w:tc>
          <w:tcPr>
            <w:tcW w:w="20" w:type="dxa"/>
            <w:vAlign w:val="bottom"/>
            <w:shd w:val="clear" w:color="auto" w:fill="D5EEEE"/>
          </w:tcPr>
          <w:p>
            <w:pPr>
              <w:spacing w:after="0"/>
              <w:rPr>
                <w:sz w:val="19"/>
                <w:szCs w:val="19"/>
                <w:color w:val="auto"/>
              </w:rPr>
            </w:pPr>
          </w:p>
        </w:tc>
        <w:tc>
          <w:tcPr>
            <w:tcW w:w="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D5EEEE"/>
              </w:rPr>
              <w:t>)</w:t>
            </w:r>
          </w:p>
        </w:tc>
      </w:tr>
      <w:tr>
        <w:trPr>
          <w:trHeight w:val="265"/>
        </w:trPr>
        <w:tc>
          <w:tcPr>
            <w:tcW w:w="4520" w:type="dxa"/>
            <w:vAlign w:val="bottom"/>
            <w:tcBorders>
              <w:bottom w:val="single" w:sz="8" w:color="D5EEEE"/>
            </w:tcBorders>
            <w:gridSpan w:val="2"/>
          </w:tcPr>
          <w:p>
            <w:pPr>
              <w:spacing w:after="0"/>
              <w:rPr>
                <w:sz w:val="20"/>
                <w:szCs w:val="20"/>
                <w:color w:val="auto"/>
              </w:rPr>
            </w:pPr>
            <w:r>
              <w:rPr>
                <w:rFonts w:ascii="Times New Roman" w:cs="Times New Roman" w:eastAsia="Times New Roman" w:hAnsi="Times New Roman"/>
                <w:sz w:val="20"/>
                <w:szCs w:val="20"/>
                <w:color w:val="auto"/>
              </w:rPr>
              <w:t>Foreign</w:t>
            </w:r>
          </w:p>
        </w:tc>
        <w:tc>
          <w:tcPr>
            <w:tcW w:w="180" w:type="dxa"/>
            <w:vAlign w:val="bottom"/>
            <w:tcBorders>
              <w:bottom w:val="single" w:sz="8" w:color="D5EEEE"/>
            </w:tcBorders>
          </w:tcPr>
          <w:p>
            <w:pPr>
              <w:spacing w:after="0"/>
              <w:rPr>
                <w:sz w:val="23"/>
                <w:szCs w:val="23"/>
                <w:color w:val="auto"/>
              </w:rPr>
            </w:pPr>
          </w:p>
        </w:tc>
        <w:tc>
          <w:tcPr>
            <w:tcW w:w="20" w:type="dxa"/>
            <w:vAlign w:val="bottom"/>
            <w:tcBorders>
              <w:bottom w:val="single" w:sz="8" w:color="D5EEEE"/>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D5EEEE"/>
            </w:tcBorders>
          </w:tcPr>
          <w:p>
            <w:pPr>
              <w:spacing w:after="0"/>
              <w:rPr>
                <w:sz w:val="23"/>
                <w:szCs w:val="23"/>
                <w:color w:val="auto"/>
              </w:rPr>
            </w:pPr>
          </w:p>
        </w:tc>
        <w:tc>
          <w:tcPr>
            <w:tcW w:w="200" w:type="dxa"/>
            <w:vAlign w:val="bottom"/>
            <w:tcBorders>
              <w:bottom w:val="single" w:sz="8" w:color="D5EEEE"/>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D5EEEE"/>
            </w:tcBorders>
          </w:tcPr>
          <w:p>
            <w:pPr>
              <w:spacing w:after="0"/>
              <w:rPr>
                <w:sz w:val="23"/>
                <w:szCs w:val="23"/>
                <w:color w:val="auto"/>
              </w:rPr>
            </w:pPr>
          </w:p>
        </w:tc>
        <w:tc>
          <w:tcPr>
            <w:tcW w:w="180" w:type="dxa"/>
            <w:vAlign w:val="bottom"/>
            <w:tcBorders>
              <w:bottom w:val="single" w:sz="8" w:color="D5EEEE"/>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5"/>
                <w:szCs w:val="15"/>
                <w:color w:val="auto"/>
                <w:highlight w:val="white"/>
                <w:w w:val="79"/>
              </w:rPr>
              <w:t>)</w:t>
            </w:r>
          </w:p>
        </w:tc>
      </w:tr>
      <w:tr>
        <w:trPr>
          <w:trHeight w:val="210"/>
        </w:trPr>
        <w:tc>
          <w:tcPr>
            <w:tcW w:w="4520" w:type="dxa"/>
            <w:vAlign w:val="bottom"/>
            <w:tcBorders>
              <w:top w:val="single" w:sz="8" w:color="D5EEEE"/>
              <w:bottom w:val="single" w:sz="8" w:color="D5EEEE"/>
            </w:tcBorders>
            <w:gridSpan w:val="2"/>
            <w:shd w:val="clear" w:color="auto" w:fill="D5EEEE"/>
          </w:tcPr>
          <w:p>
            <w:pPr>
              <w:ind w:left="280"/>
              <w:spacing w:after="0" w:line="209" w:lineRule="exact"/>
              <w:rPr>
                <w:sz w:val="20"/>
                <w:szCs w:val="20"/>
                <w:color w:val="auto"/>
              </w:rPr>
            </w:pPr>
            <w:r>
              <w:rPr>
                <w:rFonts w:ascii="Times New Roman" w:cs="Times New Roman" w:eastAsia="Times New Roman" w:hAnsi="Times New Roman"/>
                <w:sz w:val="20"/>
                <w:szCs w:val="20"/>
                <w:color w:val="auto"/>
              </w:rPr>
              <w:t>Loss before income taxes</w:t>
            </w:r>
          </w:p>
        </w:tc>
        <w:tc>
          <w:tcPr>
            <w:tcW w:w="180" w:type="dxa"/>
            <w:vAlign w:val="bottom"/>
            <w:tcBorders>
              <w:top w:val="single" w:sz="8" w:color="D5EEEE"/>
              <w:bottom w:val="single" w:sz="8" w:color="D5EEEE"/>
            </w:tcBorders>
            <w:shd w:val="clear" w:color="auto" w:fill="D5EEEE"/>
          </w:tcPr>
          <w:p>
            <w:pPr>
              <w:spacing w:after="0"/>
              <w:rPr>
                <w:sz w:val="18"/>
                <w:szCs w:val="18"/>
                <w:color w:val="auto"/>
              </w:rPr>
            </w:pPr>
          </w:p>
        </w:tc>
        <w:tc>
          <w:tcPr>
            <w:tcW w:w="20" w:type="dxa"/>
            <w:vAlign w:val="bottom"/>
            <w:tcBorders>
              <w:top w:val="single" w:sz="8" w:color="D5EEEE"/>
              <w:bottom w:val="single" w:sz="8" w:color="auto"/>
            </w:tcBorders>
            <w:shd w:val="clear" w:color="auto" w:fill="D5EEEE"/>
          </w:tcPr>
          <w:p>
            <w:pPr>
              <w:spacing w:after="0"/>
              <w:rPr>
                <w:sz w:val="18"/>
                <w:szCs w:val="18"/>
                <w:color w:val="auto"/>
              </w:rPr>
            </w:pPr>
          </w:p>
        </w:tc>
        <w:tc>
          <w:tcPr>
            <w:tcW w:w="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0" w:type="dxa"/>
            <w:vAlign w:val="bottom"/>
            <w:tcBorders>
              <w:bottom w:val="single" w:sz="8" w:color="auto"/>
            </w:tcBorders>
          </w:tcPr>
          <w:p>
            <w:pPr>
              <w:spacing w:after="0"/>
              <w:rPr>
                <w:sz w:val="18"/>
                <w:szCs w:val="18"/>
                <w:color w:val="auto"/>
              </w:rPr>
            </w:pPr>
          </w:p>
        </w:tc>
        <w:tc>
          <w:tcPr>
            <w:tcW w:w="1700" w:type="dxa"/>
            <w:vAlign w:val="bottom"/>
            <w:tcBorders>
              <w:top w:val="single" w:sz="8" w:color="D5EEEE"/>
              <w:bottom w:val="single" w:sz="8" w:color="D5EEEE"/>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rPr>
              <w:t>(26,629)</w:t>
            </w:r>
          </w:p>
        </w:tc>
        <w:tc>
          <w:tcPr>
            <w:tcW w:w="20" w:type="dxa"/>
            <w:vAlign w:val="bottom"/>
            <w:tcBorders>
              <w:top w:val="single" w:sz="8" w:color="D5EEEE"/>
              <w:bottom w:val="single" w:sz="8" w:color="D5EEEE"/>
            </w:tcBorders>
            <w:shd w:val="clear" w:color="auto" w:fill="D5EEEE"/>
          </w:tcPr>
          <w:p>
            <w:pPr>
              <w:spacing w:after="0"/>
              <w:rPr>
                <w:sz w:val="18"/>
                <w:szCs w:val="18"/>
                <w:color w:val="auto"/>
              </w:rPr>
            </w:pPr>
          </w:p>
        </w:tc>
        <w:tc>
          <w:tcPr>
            <w:tcW w:w="100" w:type="dxa"/>
            <w:vAlign w:val="bottom"/>
            <w:tcBorders>
              <w:top w:val="single" w:sz="8" w:color="D5EEEE"/>
              <w:bottom w:val="single" w:sz="8" w:color="D5EEEE"/>
            </w:tcBorders>
            <w:shd w:val="clear" w:color="auto" w:fill="D5EEEE"/>
          </w:tcPr>
          <w:p>
            <w:pPr>
              <w:spacing w:after="0"/>
              <w:rPr>
                <w:sz w:val="18"/>
                <w:szCs w:val="18"/>
                <w:color w:val="auto"/>
              </w:rPr>
            </w:pPr>
          </w:p>
        </w:tc>
        <w:tc>
          <w:tcPr>
            <w:tcW w:w="200" w:type="dxa"/>
            <w:vAlign w:val="bottom"/>
            <w:tcBorders>
              <w:top w:val="single" w:sz="8" w:color="D5EEEE"/>
              <w:bottom w:val="single" w:sz="8" w:color="D5EEEE"/>
            </w:tcBorders>
            <w:shd w:val="clear" w:color="auto" w:fill="D5EEEE"/>
          </w:tcPr>
          <w:p>
            <w:pPr>
              <w:spacing w:after="0"/>
              <w:rPr>
                <w:sz w:val="18"/>
                <w:szCs w:val="18"/>
                <w:color w:val="auto"/>
              </w:rPr>
            </w:pPr>
          </w:p>
        </w:tc>
        <w:tc>
          <w:tcPr>
            <w:tcW w:w="80" w:type="dxa"/>
            <w:vAlign w:val="bottom"/>
            <w:tcBorders>
              <w:top w:val="single" w:sz="8" w:color="D5EEEE"/>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0" w:type="dxa"/>
            <w:vAlign w:val="bottom"/>
            <w:tcBorders>
              <w:top w:val="single" w:sz="8" w:color="D5EEEE"/>
            </w:tcBorders>
          </w:tcPr>
          <w:p>
            <w:pPr>
              <w:spacing w:after="0"/>
              <w:rPr>
                <w:sz w:val="18"/>
                <w:szCs w:val="18"/>
                <w:color w:val="auto"/>
              </w:rPr>
            </w:pPr>
          </w:p>
        </w:tc>
        <w:tc>
          <w:tcPr>
            <w:tcW w:w="1720" w:type="dxa"/>
            <w:vAlign w:val="bottom"/>
            <w:tcBorders>
              <w:top w:val="single" w:sz="8" w:color="D5EEEE"/>
              <w:bottom w:val="single" w:sz="8" w:color="D5EEEE"/>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rPr>
              <w:t>(14,402)</w:t>
            </w:r>
          </w:p>
        </w:tc>
        <w:tc>
          <w:tcPr>
            <w:tcW w:w="20" w:type="dxa"/>
            <w:vAlign w:val="bottom"/>
            <w:tcBorders>
              <w:top w:val="single" w:sz="8" w:color="D5EEEE"/>
              <w:bottom w:val="single" w:sz="8" w:color="D5EEEE"/>
            </w:tcBorders>
            <w:shd w:val="clear" w:color="auto" w:fill="D5EEEE"/>
          </w:tcPr>
          <w:p>
            <w:pPr>
              <w:spacing w:after="0"/>
              <w:rPr>
                <w:sz w:val="18"/>
                <w:szCs w:val="18"/>
                <w:color w:val="auto"/>
              </w:rPr>
            </w:pPr>
          </w:p>
        </w:tc>
        <w:tc>
          <w:tcPr>
            <w:tcW w:w="100" w:type="dxa"/>
            <w:vAlign w:val="bottom"/>
            <w:tcBorders>
              <w:top w:val="single" w:sz="8" w:color="D5EEEE"/>
              <w:bottom w:val="single" w:sz="8" w:color="D5EEEE"/>
            </w:tcBorders>
            <w:shd w:val="clear" w:color="auto" w:fill="D5EEEE"/>
          </w:tcPr>
          <w:p>
            <w:pPr>
              <w:spacing w:after="0"/>
              <w:rPr>
                <w:sz w:val="18"/>
                <w:szCs w:val="18"/>
                <w:color w:val="auto"/>
              </w:rPr>
            </w:pPr>
          </w:p>
        </w:tc>
        <w:tc>
          <w:tcPr>
            <w:tcW w:w="180" w:type="dxa"/>
            <w:vAlign w:val="bottom"/>
            <w:tcBorders>
              <w:top w:val="single" w:sz="8" w:color="D5EEEE"/>
              <w:bottom w:val="single" w:sz="8" w:color="D5EEEE"/>
            </w:tcBorders>
            <w:shd w:val="clear" w:color="auto" w:fill="D5EEEE"/>
          </w:tcPr>
          <w:p>
            <w:pPr>
              <w:spacing w:after="0"/>
              <w:rPr>
                <w:sz w:val="18"/>
                <w:szCs w:val="18"/>
                <w:color w:val="auto"/>
              </w:rPr>
            </w:pPr>
          </w:p>
        </w:tc>
        <w:tc>
          <w:tcPr>
            <w:tcW w:w="100" w:type="dxa"/>
            <w:vAlign w:val="bottom"/>
            <w:tcBorders>
              <w:top w:val="single" w:sz="8" w:color="D5EEEE"/>
              <w:bottom w:val="single" w:sz="8" w:color="D5EEEE"/>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1620" w:type="dxa"/>
            <w:vAlign w:val="bottom"/>
            <w:tcBorders>
              <w:top w:val="single" w:sz="8" w:color="D5EEEE"/>
              <w:bottom w:val="single" w:sz="8" w:color="auto"/>
            </w:tcBorders>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rPr>
              <w:t>(26,545</w:t>
            </w:r>
          </w:p>
        </w:tc>
        <w:tc>
          <w:tcPr>
            <w:tcW w:w="20" w:type="dxa"/>
            <w:vAlign w:val="bottom"/>
            <w:tcBorders>
              <w:top w:val="single" w:sz="8" w:color="D5EEEE"/>
              <w:bottom w:val="single" w:sz="8" w:color="auto"/>
            </w:tcBorders>
            <w:shd w:val="clear" w:color="auto" w:fill="D5EEEE"/>
          </w:tcPr>
          <w:p>
            <w:pPr>
              <w:spacing w:after="0"/>
              <w:rPr>
                <w:sz w:val="18"/>
                <w:szCs w:val="18"/>
                <w:color w:val="auto"/>
              </w:rPr>
            </w:pPr>
          </w:p>
        </w:tc>
        <w:tc>
          <w:tcPr>
            <w:tcW w:w="100" w:type="dxa"/>
            <w:vAlign w:val="bottom"/>
            <w:tcBorders>
              <w:top w:val="single" w:sz="8" w:color="D5EEEE"/>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D5EEEE"/>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-772795</wp:posOffset>
            </wp:positionV>
            <wp:extent cx="6884670" cy="7861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84670" cy="786130"/>
                    </a:xfrm>
                    <a:prstGeom prst="rect">
                      <a:avLst/>
                    </a:prstGeom>
                    <a:noFill/>
                  </pic:spPr>
                </pic:pic>
              </a:graphicData>
            </a:graphic>
          </wp:anchor>
        </w:drawing>
      </w:r>
    </w:p>
    <w:p>
      <w:pPr>
        <w:sectPr>
          <w:pgSz w:w="11880" w:h="15480" w:orient="portrait"/>
          <w:cols w:equalWidth="0" w:num="1">
            <w:col w:w="10800"/>
          </w:cols>
          <w:pgMar w:left="540" w:top="888" w:right="540" w:bottom="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F-31</w:t>
      </w:r>
    </w:p>
    <w:p>
      <w:pPr>
        <w:sectPr>
          <w:pgSz w:w="11880" w:h="15480" w:orient="portrait"/>
          <w:cols w:equalWidth="0" w:num="1">
            <w:col w:w="10800"/>
          </w:cols>
          <w:pgMar w:left="540" w:top="888" w:right="540" w:bottom="5" w:gutter="0" w:footer="0" w:header="0"/>
          <w:type w:val="continuous"/>
        </w:sectPr>
      </w:pPr>
    </w:p>
    <w:bookmarkStart w:id="97" w:name="page98"/>
    <w:bookmarkEnd w:id="97"/>
    <w:p>
      <w:pPr>
        <w:ind w:left="480"/>
        <w:spacing w:after="0"/>
        <w:rPr>
          <w:sz w:val="20"/>
          <w:szCs w:val="20"/>
          <w:color w:val="auto"/>
        </w:rPr>
      </w:pPr>
      <w:r>
        <w:rPr>
          <w:rFonts w:ascii="Times New Roman" w:cs="Times New Roman" w:eastAsia="Times New Roman" w:hAnsi="Times New Roman"/>
          <w:sz w:val="20"/>
          <w:szCs w:val="20"/>
          <w:color w:val="auto"/>
        </w:rPr>
        <w:t>The income tax expense as shown in the accompanying Consolidated Statements of Operations includes the following: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6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Year-Ended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Transition Period Ended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Year-Ended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00" w:type="dxa"/>
            <w:vAlign w:val="bottom"/>
            <w:tcBorders>
              <w:bottom w:val="single" w:sz="8" w:color="auto"/>
            </w:tcBorders>
          </w:tcPr>
          <w:p>
            <w:pPr>
              <w:spacing w:after="0"/>
              <w:rPr>
                <w:sz w:val="16"/>
                <w:szCs w:val="16"/>
                <w:color w:val="auto"/>
              </w:rPr>
            </w:pPr>
          </w:p>
        </w:tc>
        <w:tc>
          <w:tcPr>
            <w:tcW w:w="2860" w:type="dxa"/>
            <w:vAlign w:val="bottom"/>
          </w:tcPr>
          <w:p>
            <w:pPr>
              <w:spacing w:after="0"/>
              <w:rPr>
                <w:sz w:val="16"/>
                <w:szCs w:val="16"/>
                <w:color w:val="auto"/>
              </w:rPr>
            </w:pPr>
          </w:p>
        </w:tc>
        <w:tc>
          <w:tcPr>
            <w:tcW w:w="200" w:type="dxa"/>
            <w:vAlign w:val="bottom"/>
            <w:tcBorders>
              <w:bottom w:val="single" w:sz="8" w:color="D5EEEE"/>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140"/>
              <w:spacing w:after="0" w:line="168" w:lineRule="exact"/>
              <w:rPr>
                <w:sz w:val="20"/>
                <w:szCs w:val="20"/>
                <w:color w:val="auto"/>
              </w:rPr>
            </w:pPr>
            <w:r>
              <w:rPr>
                <w:rFonts w:ascii="Times New Roman" w:cs="Times New Roman" w:eastAsia="Times New Roman" w:hAnsi="Times New Roman"/>
                <w:sz w:val="16"/>
                <w:szCs w:val="16"/>
                <w:b w:val="1"/>
                <w:bCs w:val="1"/>
                <w:color w:val="auto"/>
                <w:w w:val="98"/>
              </w:rPr>
              <w:t>December 31, 2022</w:t>
            </w:r>
          </w:p>
        </w:tc>
        <w:tc>
          <w:tcPr>
            <w:tcW w:w="100" w:type="dxa"/>
            <w:vAlign w:val="bottom"/>
            <w:tcBorders>
              <w:bottom w:val="single" w:sz="8" w:color="D5EEEE"/>
            </w:tcBorders>
          </w:tcPr>
          <w:p>
            <w:pPr>
              <w:spacing w:after="0"/>
              <w:rPr>
                <w:sz w:val="16"/>
                <w:szCs w:val="16"/>
                <w:color w:val="auto"/>
              </w:rPr>
            </w:pPr>
          </w:p>
        </w:tc>
        <w:tc>
          <w:tcPr>
            <w:tcW w:w="200" w:type="dxa"/>
            <w:vAlign w:val="bottom"/>
            <w:tcBorders>
              <w:bottom w:val="single" w:sz="8" w:color="D5EEEE"/>
            </w:tcBorders>
          </w:tcPr>
          <w:p>
            <w:pPr>
              <w:spacing w:after="0"/>
              <w:rPr>
                <w:sz w:val="16"/>
                <w:szCs w:val="16"/>
                <w:color w:val="auto"/>
              </w:rPr>
            </w:pPr>
          </w:p>
        </w:tc>
        <w:tc>
          <w:tcPr>
            <w:tcW w:w="20" w:type="dxa"/>
            <w:vAlign w:val="bottom"/>
            <w:tcBorders>
              <w:bottom w:val="single" w:sz="8" w:color="D5EEEE"/>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center"/>
              <w:ind w:right="140"/>
              <w:spacing w:after="0" w:line="168" w:lineRule="exact"/>
              <w:rPr>
                <w:sz w:val="20"/>
                <w:szCs w:val="20"/>
                <w:color w:val="auto"/>
              </w:rPr>
            </w:pPr>
            <w:r>
              <w:rPr>
                <w:rFonts w:ascii="Times New Roman" w:cs="Times New Roman" w:eastAsia="Times New Roman" w:hAnsi="Times New Roman"/>
                <w:sz w:val="16"/>
                <w:szCs w:val="16"/>
                <w:b w:val="1"/>
                <w:bCs w:val="1"/>
                <w:color w:val="auto"/>
              </w:rPr>
              <w:t>December 31, 2021</w:t>
            </w:r>
          </w:p>
        </w:tc>
        <w:tc>
          <w:tcPr>
            <w:tcW w:w="100" w:type="dxa"/>
            <w:vAlign w:val="bottom"/>
            <w:tcBorders>
              <w:bottom w:val="single" w:sz="8" w:color="D5EEEE"/>
            </w:tcBorders>
          </w:tcPr>
          <w:p>
            <w:pPr>
              <w:spacing w:after="0"/>
              <w:rPr>
                <w:sz w:val="16"/>
                <w:szCs w:val="16"/>
                <w:color w:val="auto"/>
              </w:rPr>
            </w:pPr>
          </w:p>
        </w:tc>
        <w:tc>
          <w:tcPr>
            <w:tcW w:w="180" w:type="dxa"/>
            <w:vAlign w:val="bottom"/>
            <w:tcBorders>
              <w:bottom w:val="single" w:sz="8" w:color="D5EEEE"/>
            </w:tcBorders>
          </w:tcPr>
          <w:p>
            <w:pPr>
              <w:spacing w:after="0"/>
              <w:rPr>
                <w:sz w:val="16"/>
                <w:szCs w:val="16"/>
                <w:color w:val="auto"/>
              </w:rPr>
            </w:pPr>
          </w:p>
        </w:tc>
        <w:tc>
          <w:tcPr>
            <w:tcW w:w="20" w:type="dxa"/>
            <w:vAlign w:val="bottom"/>
            <w:tcBorders>
              <w:bottom w:val="single" w:sz="8" w:color="D5EEEE"/>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140"/>
              <w:spacing w:after="0" w:line="168" w:lineRule="exact"/>
              <w:rPr>
                <w:sz w:val="20"/>
                <w:szCs w:val="20"/>
                <w:color w:val="auto"/>
              </w:rPr>
            </w:pPr>
            <w:r>
              <w:rPr>
                <w:rFonts w:ascii="Times New Roman" w:cs="Times New Roman" w:eastAsia="Times New Roman" w:hAnsi="Times New Roman"/>
                <w:sz w:val="16"/>
                <w:szCs w:val="16"/>
                <w:b w:val="1"/>
                <w:bCs w:val="1"/>
                <w:color w:val="auto"/>
                <w:w w:val="98"/>
              </w:rPr>
              <w:t>June 30, 2021</w:t>
            </w:r>
          </w:p>
        </w:tc>
        <w:tc>
          <w:tcPr>
            <w:tcW w:w="100" w:type="dxa"/>
            <w:vAlign w:val="bottom"/>
            <w:tcBorders>
              <w:bottom w:val="single" w:sz="8" w:color="D5EEEE"/>
            </w:tcBorders>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4460" w:type="dxa"/>
            <w:vAlign w:val="bottom"/>
            <w:tcBorders>
              <w:top w:val="single" w:sz="8" w:color="D5EEEE"/>
              <w:bottom w:val="single" w:sz="8" w:color="D5EEEE"/>
            </w:tcBorders>
            <w:gridSpan w:val="2"/>
            <w:shd w:val="clear" w:color="auto" w:fill="D5EEEE"/>
          </w:tcPr>
          <w:p>
            <w:pPr>
              <w:spacing w:after="0"/>
              <w:rPr>
                <w:sz w:val="20"/>
                <w:szCs w:val="20"/>
                <w:color w:val="auto"/>
              </w:rPr>
            </w:pPr>
            <w:r>
              <w:rPr>
                <w:rFonts w:ascii="Times New Roman" w:cs="Times New Roman" w:eastAsia="Times New Roman" w:hAnsi="Times New Roman"/>
                <w:sz w:val="20"/>
                <w:szCs w:val="20"/>
                <w:color w:val="auto"/>
              </w:rPr>
              <w:t>Current:</w:t>
            </w:r>
          </w:p>
        </w:tc>
        <w:tc>
          <w:tcPr>
            <w:tcW w:w="200" w:type="dxa"/>
            <w:vAlign w:val="bottom"/>
            <w:tcBorders>
              <w:top w:val="single" w:sz="8" w:color="D5EEEE"/>
              <w:bottom w:val="single" w:sz="8" w:color="D5EEEE"/>
            </w:tcBorders>
            <w:shd w:val="clear" w:color="auto" w:fill="D5EEEE"/>
          </w:tcPr>
          <w:p>
            <w:pPr>
              <w:spacing w:after="0"/>
              <w:rPr>
                <w:sz w:val="23"/>
                <w:szCs w:val="23"/>
                <w:color w:val="auto"/>
              </w:rPr>
            </w:pPr>
          </w:p>
        </w:tc>
        <w:tc>
          <w:tcPr>
            <w:tcW w:w="100" w:type="dxa"/>
            <w:vAlign w:val="bottom"/>
            <w:tcBorders>
              <w:top w:val="single" w:sz="8" w:color="D5EEEE"/>
            </w:tcBorders>
          </w:tcPr>
          <w:p>
            <w:pPr>
              <w:spacing w:after="0"/>
              <w:rPr>
                <w:sz w:val="23"/>
                <w:szCs w:val="23"/>
                <w:color w:val="auto"/>
              </w:rPr>
            </w:pPr>
          </w:p>
        </w:tc>
        <w:tc>
          <w:tcPr>
            <w:tcW w:w="20" w:type="dxa"/>
            <w:vAlign w:val="bottom"/>
            <w:tcBorders>
              <w:top w:val="single" w:sz="8" w:color="D5EEEE"/>
            </w:tcBorders>
          </w:tcPr>
          <w:p>
            <w:pPr>
              <w:spacing w:after="0"/>
              <w:rPr>
                <w:sz w:val="23"/>
                <w:szCs w:val="23"/>
                <w:color w:val="auto"/>
              </w:rPr>
            </w:pPr>
          </w:p>
        </w:tc>
        <w:tc>
          <w:tcPr>
            <w:tcW w:w="1600" w:type="dxa"/>
            <w:vAlign w:val="bottom"/>
            <w:tcBorders>
              <w:top w:val="single" w:sz="8" w:color="D5EEEE"/>
            </w:tcBorders>
          </w:tcPr>
          <w:p>
            <w:pPr>
              <w:spacing w:after="0"/>
              <w:rPr>
                <w:sz w:val="23"/>
                <w:szCs w:val="23"/>
                <w:color w:val="auto"/>
              </w:rPr>
            </w:pPr>
          </w:p>
        </w:tc>
        <w:tc>
          <w:tcPr>
            <w:tcW w:w="20" w:type="dxa"/>
            <w:vAlign w:val="bottom"/>
            <w:tcBorders>
              <w:top w:val="single" w:sz="8" w:color="D5EEEE"/>
            </w:tcBorders>
          </w:tcPr>
          <w:p>
            <w:pPr>
              <w:spacing w:after="0"/>
              <w:rPr>
                <w:sz w:val="23"/>
                <w:szCs w:val="23"/>
                <w:color w:val="auto"/>
              </w:rPr>
            </w:pPr>
          </w:p>
        </w:tc>
        <w:tc>
          <w:tcPr>
            <w:tcW w:w="100" w:type="dxa"/>
            <w:vAlign w:val="bottom"/>
            <w:tcBorders>
              <w:top w:val="single" w:sz="8" w:color="D5EEEE"/>
            </w:tcBorders>
          </w:tcPr>
          <w:p>
            <w:pPr>
              <w:spacing w:after="0"/>
              <w:rPr>
                <w:sz w:val="23"/>
                <w:szCs w:val="23"/>
                <w:color w:val="auto"/>
              </w:rPr>
            </w:pPr>
          </w:p>
        </w:tc>
        <w:tc>
          <w:tcPr>
            <w:tcW w:w="200" w:type="dxa"/>
            <w:vAlign w:val="bottom"/>
            <w:tcBorders>
              <w:top w:val="single" w:sz="8" w:color="D5EEEE"/>
            </w:tcBorders>
          </w:tcPr>
          <w:p>
            <w:pPr>
              <w:spacing w:after="0"/>
              <w:rPr>
                <w:sz w:val="23"/>
                <w:szCs w:val="23"/>
                <w:color w:val="auto"/>
              </w:rPr>
            </w:pPr>
          </w:p>
        </w:tc>
        <w:tc>
          <w:tcPr>
            <w:tcW w:w="20" w:type="dxa"/>
            <w:vAlign w:val="bottom"/>
            <w:tcBorders>
              <w:top w:val="single" w:sz="8" w:color="D5EEEE"/>
            </w:tcBorders>
          </w:tcPr>
          <w:p>
            <w:pPr>
              <w:spacing w:after="0"/>
              <w:rPr>
                <w:sz w:val="23"/>
                <w:szCs w:val="23"/>
                <w:color w:val="auto"/>
              </w:rPr>
            </w:pPr>
          </w:p>
        </w:tc>
        <w:tc>
          <w:tcPr>
            <w:tcW w:w="80" w:type="dxa"/>
            <w:vAlign w:val="bottom"/>
            <w:tcBorders>
              <w:top w:val="single" w:sz="8" w:color="D5EEEE"/>
            </w:tcBorders>
          </w:tcPr>
          <w:p>
            <w:pPr>
              <w:spacing w:after="0"/>
              <w:rPr>
                <w:sz w:val="23"/>
                <w:szCs w:val="23"/>
                <w:color w:val="auto"/>
              </w:rPr>
            </w:pPr>
          </w:p>
        </w:tc>
        <w:tc>
          <w:tcPr>
            <w:tcW w:w="20" w:type="dxa"/>
            <w:vAlign w:val="bottom"/>
            <w:tcBorders>
              <w:top w:val="single" w:sz="8" w:color="D5EEEE"/>
            </w:tcBorders>
          </w:tcPr>
          <w:p>
            <w:pPr>
              <w:spacing w:after="0"/>
              <w:rPr>
                <w:sz w:val="23"/>
                <w:szCs w:val="23"/>
                <w:color w:val="auto"/>
              </w:rPr>
            </w:pPr>
          </w:p>
        </w:tc>
        <w:tc>
          <w:tcPr>
            <w:tcW w:w="1780" w:type="dxa"/>
            <w:vAlign w:val="bottom"/>
            <w:tcBorders>
              <w:top w:val="single" w:sz="8" w:color="D5EEEE"/>
            </w:tcBorders>
          </w:tcPr>
          <w:p>
            <w:pPr>
              <w:spacing w:after="0"/>
              <w:rPr>
                <w:sz w:val="23"/>
                <w:szCs w:val="23"/>
                <w:color w:val="auto"/>
              </w:rPr>
            </w:pPr>
          </w:p>
        </w:tc>
        <w:tc>
          <w:tcPr>
            <w:tcW w:w="20" w:type="dxa"/>
            <w:vAlign w:val="bottom"/>
            <w:tcBorders>
              <w:top w:val="single" w:sz="8" w:color="D5EEEE"/>
            </w:tcBorders>
          </w:tcPr>
          <w:p>
            <w:pPr>
              <w:spacing w:after="0"/>
              <w:rPr>
                <w:sz w:val="23"/>
                <w:szCs w:val="23"/>
                <w:color w:val="auto"/>
              </w:rPr>
            </w:pPr>
          </w:p>
        </w:tc>
        <w:tc>
          <w:tcPr>
            <w:tcW w:w="100" w:type="dxa"/>
            <w:vAlign w:val="bottom"/>
            <w:tcBorders>
              <w:top w:val="single" w:sz="8" w:color="D5EEEE"/>
            </w:tcBorders>
          </w:tcPr>
          <w:p>
            <w:pPr>
              <w:spacing w:after="0"/>
              <w:rPr>
                <w:sz w:val="23"/>
                <w:szCs w:val="23"/>
                <w:color w:val="auto"/>
              </w:rPr>
            </w:pPr>
          </w:p>
        </w:tc>
        <w:tc>
          <w:tcPr>
            <w:tcW w:w="180" w:type="dxa"/>
            <w:vAlign w:val="bottom"/>
            <w:tcBorders>
              <w:top w:val="single" w:sz="8" w:color="D5EEEE"/>
            </w:tcBorders>
          </w:tcPr>
          <w:p>
            <w:pPr>
              <w:spacing w:after="0"/>
              <w:rPr>
                <w:sz w:val="23"/>
                <w:szCs w:val="23"/>
                <w:color w:val="auto"/>
              </w:rPr>
            </w:pPr>
          </w:p>
        </w:tc>
        <w:tc>
          <w:tcPr>
            <w:tcW w:w="20" w:type="dxa"/>
            <w:vAlign w:val="bottom"/>
            <w:tcBorders>
              <w:top w:val="single" w:sz="8" w:color="D5EEEE"/>
            </w:tcBorders>
          </w:tcPr>
          <w:p>
            <w:pPr>
              <w:spacing w:after="0"/>
              <w:rPr>
                <w:sz w:val="23"/>
                <w:szCs w:val="23"/>
                <w:color w:val="auto"/>
              </w:rPr>
            </w:pPr>
          </w:p>
        </w:tc>
        <w:tc>
          <w:tcPr>
            <w:tcW w:w="100" w:type="dxa"/>
            <w:vAlign w:val="bottom"/>
            <w:tcBorders>
              <w:top w:val="single" w:sz="8" w:color="D5EEEE"/>
            </w:tcBorders>
          </w:tcPr>
          <w:p>
            <w:pPr>
              <w:spacing w:after="0"/>
              <w:rPr>
                <w:sz w:val="23"/>
                <w:szCs w:val="23"/>
                <w:color w:val="auto"/>
              </w:rPr>
            </w:pPr>
          </w:p>
        </w:tc>
        <w:tc>
          <w:tcPr>
            <w:tcW w:w="20" w:type="dxa"/>
            <w:vAlign w:val="bottom"/>
            <w:tcBorders>
              <w:top w:val="single" w:sz="8" w:color="D5EEEE"/>
            </w:tcBorders>
          </w:tcPr>
          <w:p>
            <w:pPr>
              <w:spacing w:after="0"/>
              <w:rPr>
                <w:sz w:val="23"/>
                <w:szCs w:val="23"/>
                <w:color w:val="auto"/>
              </w:rPr>
            </w:pPr>
          </w:p>
        </w:tc>
        <w:tc>
          <w:tcPr>
            <w:tcW w:w="1640" w:type="dxa"/>
            <w:vAlign w:val="bottom"/>
            <w:tcBorders>
              <w:top w:val="single" w:sz="8" w:color="D5EEEE"/>
            </w:tcBorders>
          </w:tcPr>
          <w:p>
            <w:pPr>
              <w:spacing w:after="0"/>
              <w:rPr>
                <w:sz w:val="23"/>
                <w:szCs w:val="23"/>
                <w:color w:val="auto"/>
              </w:rPr>
            </w:pPr>
          </w:p>
        </w:tc>
        <w:tc>
          <w:tcPr>
            <w:tcW w:w="20" w:type="dxa"/>
            <w:vAlign w:val="bottom"/>
            <w:tcBorders>
              <w:top w:val="single" w:sz="8" w:color="D5EEEE"/>
            </w:tcBorders>
          </w:tcPr>
          <w:p>
            <w:pPr>
              <w:spacing w:after="0"/>
              <w:rPr>
                <w:sz w:val="23"/>
                <w:szCs w:val="23"/>
                <w:color w:val="auto"/>
              </w:rPr>
            </w:pPr>
          </w:p>
        </w:tc>
        <w:tc>
          <w:tcPr>
            <w:tcW w:w="100" w:type="dxa"/>
            <w:vAlign w:val="bottom"/>
            <w:tcBorders>
              <w:top w:val="single" w:sz="8" w:color="D5EEEE"/>
            </w:tcBorders>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4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20"/>
                <w:szCs w:val="20"/>
                <w:color w:val="auto"/>
              </w:rPr>
              <w:t>Federal</w:t>
            </w:r>
          </w:p>
        </w:tc>
        <w:tc>
          <w:tcPr>
            <w:tcW w:w="20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20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18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4460" w:type="dxa"/>
            <w:vAlign w:val="bottom"/>
            <w:gridSpan w:val="2"/>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20" w:type="dxa"/>
            <w:vAlign w:val="bottom"/>
            <w:vMerge w:val="continue"/>
          </w:tcPr>
          <w:p>
            <w:pPr>
              <w:spacing w:after="0"/>
              <w:rPr>
                <w:sz w:val="19"/>
                <w:szCs w:val="19"/>
                <w:color w:val="auto"/>
              </w:rPr>
            </w:pPr>
          </w:p>
        </w:tc>
        <w:tc>
          <w:tcPr>
            <w:tcW w:w="17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1600" w:type="dxa"/>
            <w:vAlign w:val="bottom"/>
            <w:tcBorders>
              <w:bottom w:val="single" w:sz="8" w:color="D5EEEE"/>
            </w:tcBorders>
          </w:tcPr>
          <w:p>
            <w:pPr>
              <w:spacing w:after="0"/>
              <w:rPr>
                <w:sz w:val="5"/>
                <w:szCs w:val="5"/>
                <w:color w:val="auto"/>
              </w:rPr>
            </w:pPr>
          </w:p>
        </w:tc>
        <w:tc>
          <w:tcPr>
            <w:tcW w:w="2860" w:type="dxa"/>
            <w:vAlign w:val="bottom"/>
            <w:tcBorders>
              <w:bottom w:val="single" w:sz="8" w:color="D5EEEE"/>
            </w:tcBorders>
          </w:tcPr>
          <w:p>
            <w:pPr>
              <w:spacing w:after="0"/>
              <w:rPr>
                <w:sz w:val="5"/>
                <w:szCs w:val="5"/>
                <w:color w:val="auto"/>
              </w:rPr>
            </w:pPr>
          </w:p>
        </w:tc>
        <w:tc>
          <w:tcPr>
            <w:tcW w:w="200" w:type="dxa"/>
            <w:vAlign w:val="bottom"/>
            <w:tcBorders>
              <w:bottom w:val="single" w:sz="8" w:color="D5EEEE"/>
            </w:tcBorders>
          </w:tcPr>
          <w:p>
            <w:pPr>
              <w:spacing w:after="0"/>
              <w:rPr>
                <w:sz w:val="5"/>
                <w:szCs w:val="5"/>
                <w:color w:val="auto"/>
              </w:rPr>
            </w:pPr>
          </w:p>
        </w:tc>
        <w:tc>
          <w:tcPr>
            <w:tcW w:w="100" w:type="dxa"/>
            <w:vAlign w:val="bottom"/>
            <w:tcBorders>
              <w:bottom w:val="single" w:sz="8" w:color="D5EEEE"/>
            </w:tcBorders>
          </w:tcPr>
          <w:p>
            <w:pPr>
              <w:spacing w:after="0"/>
              <w:rPr>
                <w:sz w:val="5"/>
                <w:szCs w:val="5"/>
                <w:color w:val="auto"/>
              </w:rPr>
            </w:pPr>
          </w:p>
        </w:tc>
        <w:tc>
          <w:tcPr>
            <w:tcW w:w="20" w:type="dxa"/>
            <w:vAlign w:val="bottom"/>
            <w:tcBorders>
              <w:bottom w:val="single" w:sz="8" w:color="D5EEEE"/>
            </w:tcBorders>
          </w:tcPr>
          <w:p>
            <w:pPr>
              <w:spacing w:after="0"/>
              <w:rPr>
                <w:sz w:val="5"/>
                <w:szCs w:val="5"/>
                <w:color w:val="auto"/>
              </w:rPr>
            </w:pPr>
          </w:p>
        </w:tc>
        <w:tc>
          <w:tcPr>
            <w:tcW w:w="1600" w:type="dxa"/>
            <w:vAlign w:val="bottom"/>
            <w:tcBorders>
              <w:bottom w:val="single" w:sz="8" w:color="D5EEEE"/>
            </w:tcBorders>
          </w:tcPr>
          <w:p>
            <w:pPr>
              <w:spacing w:after="0"/>
              <w:rPr>
                <w:sz w:val="5"/>
                <w:szCs w:val="5"/>
                <w:color w:val="auto"/>
              </w:rPr>
            </w:pPr>
          </w:p>
        </w:tc>
        <w:tc>
          <w:tcPr>
            <w:tcW w:w="20" w:type="dxa"/>
            <w:vAlign w:val="bottom"/>
            <w:tcBorders>
              <w:bottom w:val="single" w:sz="8" w:color="D5EEEE"/>
            </w:tcBorders>
          </w:tcPr>
          <w:p>
            <w:pPr>
              <w:spacing w:after="0"/>
              <w:rPr>
                <w:sz w:val="5"/>
                <w:szCs w:val="5"/>
                <w:color w:val="auto"/>
              </w:rPr>
            </w:pPr>
          </w:p>
        </w:tc>
        <w:tc>
          <w:tcPr>
            <w:tcW w:w="100" w:type="dxa"/>
            <w:vAlign w:val="bottom"/>
            <w:tcBorders>
              <w:bottom w:val="single" w:sz="8" w:color="D5EEEE"/>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780" w:type="dxa"/>
            <w:vAlign w:val="bottom"/>
            <w:tcBorders>
              <w:bottom w:val="single" w:sz="8" w:color="D5EEEE"/>
            </w:tcBorders>
          </w:tcPr>
          <w:p>
            <w:pPr>
              <w:spacing w:after="0"/>
              <w:rPr>
                <w:sz w:val="5"/>
                <w:szCs w:val="5"/>
                <w:color w:val="auto"/>
              </w:rPr>
            </w:pPr>
          </w:p>
        </w:tc>
        <w:tc>
          <w:tcPr>
            <w:tcW w:w="20" w:type="dxa"/>
            <w:vAlign w:val="bottom"/>
            <w:tcBorders>
              <w:bottom w:val="single" w:sz="8" w:color="D5EEEE"/>
            </w:tcBorders>
          </w:tcPr>
          <w:p>
            <w:pPr>
              <w:spacing w:after="0"/>
              <w:rPr>
                <w:sz w:val="5"/>
                <w:szCs w:val="5"/>
                <w:color w:val="auto"/>
              </w:rPr>
            </w:pPr>
          </w:p>
        </w:tc>
        <w:tc>
          <w:tcPr>
            <w:tcW w:w="100" w:type="dxa"/>
            <w:vAlign w:val="bottom"/>
            <w:tcBorders>
              <w:bottom w:val="single" w:sz="8" w:color="D5EEEE"/>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40" w:type="dxa"/>
            <w:vAlign w:val="bottom"/>
            <w:tcBorders>
              <w:bottom w:val="single" w:sz="8" w:color="D5EEEE"/>
            </w:tcBorders>
          </w:tcPr>
          <w:p>
            <w:pPr>
              <w:spacing w:after="0"/>
              <w:rPr>
                <w:sz w:val="5"/>
                <w:szCs w:val="5"/>
                <w:color w:val="auto"/>
              </w:rPr>
            </w:pPr>
          </w:p>
        </w:tc>
        <w:tc>
          <w:tcPr>
            <w:tcW w:w="20" w:type="dxa"/>
            <w:vAlign w:val="bottom"/>
            <w:tcBorders>
              <w:bottom w:val="single" w:sz="8" w:color="D5EEEE"/>
            </w:tcBorders>
          </w:tcPr>
          <w:p>
            <w:pPr>
              <w:spacing w:after="0"/>
              <w:rPr>
                <w:sz w:val="5"/>
                <w:szCs w:val="5"/>
                <w:color w:val="auto"/>
              </w:rPr>
            </w:pPr>
          </w:p>
        </w:tc>
        <w:tc>
          <w:tcPr>
            <w:tcW w:w="100" w:type="dxa"/>
            <w:vAlign w:val="bottom"/>
            <w:tcBorders>
              <w:bottom w:val="single" w:sz="8" w:color="D5EEEE"/>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1600" w:type="dxa"/>
            <w:vAlign w:val="bottom"/>
            <w:tcBorders>
              <w:bottom w:val="single" w:sz="8" w:color="D5EEEE"/>
            </w:tcBorders>
            <w:shd w:val="clear" w:color="auto" w:fill="D5EEEE"/>
          </w:tcPr>
          <w:p>
            <w:pPr>
              <w:spacing w:after="0"/>
              <w:rPr>
                <w:sz w:val="21"/>
                <w:szCs w:val="21"/>
                <w:color w:val="auto"/>
              </w:rPr>
            </w:pPr>
          </w:p>
        </w:tc>
        <w:tc>
          <w:tcPr>
            <w:tcW w:w="2860" w:type="dxa"/>
            <w:vAlign w:val="bottom"/>
            <w:tcBorders>
              <w:bottom w:val="single" w:sz="8" w:color="D5EEEE"/>
            </w:tcBorders>
            <w:shd w:val="clear" w:color="auto" w:fill="D5EEEE"/>
          </w:tcPr>
          <w:p>
            <w:pPr>
              <w:spacing w:after="0"/>
              <w:rPr>
                <w:sz w:val="21"/>
                <w:szCs w:val="21"/>
                <w:color w:val="auto"/>
              </w:rPr>
            </w:pPr>
          </w:p>
        </w:tc>
        <w:tc>
          <w:tcPr>
            <w:tcW w:w="200" w:type="dxa"/>
            <w:vAlign w:val="bottom"/>
            <w:tcBorders>
              <w:bottom w:val="single" w:sz="8" w:color="D5EEEE"/>
            </w:tcBorders>
            <w:shd w:val="clear" w:color="auto" w:fill="D5EEE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20" w:type="dxa"/>
            <w:vAlign w:val="bottom"/>
            <w:tcBorders>
              <w:bottom w:val="single" w:sz="8" w:color="D5EEEE"/>
            </w:tcBorders>
            <w:shd w:val="clear" w:color="auto" w:fill="D5EEEE"/>
          </w:tcPr>
          <w:p>
            <w:pPr>
              <w:spacing w:after="0"/>
              <w:rPr>
                <w:sz w:val="21"/>
                <w:szCs w:val="21"/>
                <w:color w:val="auto"/>
              </w:rPr>
            </w:pPr>
          </w:p>
        </w:tc>
        <w:tc>
          <w:tcPr>
            <w:tcW w:w="100" w:type="dxa"/>
            <w:vAlign w:val="bottom"/>
            <w:tcBorders>
              <w:bottom w:val="single" w:sz="8" w:color="D5EEEE"/>
            </w:tcBorders>
            <w:shd w:val="clear" w:color="auto" w:fill="D5EEEE"/>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180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20" w:type="dxa"/>
            <w:vAlign w:val="bottom"/>
          </w:tcPr>
          <w:p>
            <w:pPr>
              <w:spacing w:after="0"/>
              <w:rPr>
                <w:sz w:val="21"/>
                <w:szCs w:val="21"/>
                <w:color w:val="auto"/>
              </w:rPr>
            </w:pPr>
          </w:p>
        </w:tc>
        <w:tc>
          <w:tcPr>
            <w:tcW w:w="100" w:type="dxa"/>
            <w:vAlign w:val="bottom"/>
            <w:tcBorders>
              <w:bottom w:val="single" w:sz="8" w:color="D5EEEE"/>
            </w:tcBorders>
            <w:shd w:val="clear" w:color="auto" w:fill="D5EEEE"/>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1660" w:type="dxa"/>
            <w:vAlign w:val="bottom"/>
            <w:gridSpan w:val="2"/>
            <w:shd w:val="clear" w:color="auto" w:fill="D5EEEE"/>
          </w:tcPr>
          <w:p>
            <w:pPr>
              <w:jc w:val="right"/>
              <w:ind w:right="13"/>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1"/>
                <w:szCs w:val="21"/>
                <w:color w:val="auto"/>
              </w:rPr>
            </w:pPr>
          </w:p>
        </w:tc>
        <w:tc>
          <w:tcPr>
            <w:tcW w:w="100" w:type="dxa"/>
            <w:vAlign w:val="bottom"/>
            <w:tcBorders>
              <w:bottom w:val="single" w:sz="8" w:color="D5EEEE"/>
            </w:tcBorders>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4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20"/>
                <w:szCs w:val="20"/>
                <w:color w:val="auto"/>
              </w:rPr>
              <w:t>Foreign</w:t>
            </w:r>
          </w:p>
        </w:tc>
        <w:tc>
          <w:tcPr>
            <w:tcW w:w="200" w:type="dxa"/>
            <w:vAlign w:val="bottom"/>
            <w:vMerge w:val="restart"/>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1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1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460" w:type="dxa"/>
            <w:vAlign w:val="bottom"/>
            <w:gridSpan w:val="2"/>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1600" w:type="dxa"/>
            <w:vAlign w:val="bottom"/>
            <w:tcBorders>
              <w:bottom w:val="single" w:sz="8" w:color="D5EEEE"/>
            </w:tcBorders>
          </w:tcPr>
          <w:p>
            <w:pPr>
              <w:spacing w:after="0"/>
              <w:rPr>
                <w:sz w:val="5"/>
                <w:szCs w:val="5"/>
                <w:color w:val="auto"/>
              </w:rPr>
            </w:pPr>
          </w:p>
        </w:tc>
        <w:tc>
          <w:tcPr>
            <w:tcW w:w="2860" w:type="dxa"/>
            <w:vAlign w:val="bottom"/>
            <w:tcBorders>
              <w:bottom w:val="single" w:sz="8" w:color="D5EEEE"/>
            </w:tcBorders>
          </w:tcPr>
          <w:p>
            <w:pPr>
              <w:spacing w:after="0"/>
              <w:rPr>
                <w:sz w:val="5"/>
                <w:szCs w:val="5"/>
                <w:color w:val="auto"/>
              </w:rPr>
            </w:pPr>
          </w:p>
        </w:tc>
        <w:tc>
          <w:tcPr>
            <w:tcW w:w="200" w:type="dxa"/>
            <w:vAlign w:val="bottom"/>
            <w:tcBorders>
              <w:bottom w:val="single" w:sz="8" w:color="D5EEEE"/>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D5EEEE"/>
            </w:tcBorders>
          </w:tcPr>
          <w:p>
            <w:pPr>
              <w:spacing w:after="0"/>
              <w:rPr>
                <w:sz w:val="5"/>
                <w:szCs w:val="5"/>
                <w:color w:val="auto"/>
              </w:rPr>
            </w:pPr>
          </w:p>
        </w:tc>
        <w:tc>
          <w:tcPr>
            <w:tcW w:w="200" w:type="dxa"/>
            <w:vAlign w:val="bottom"/>
            <w:tcBorders>
              <w:bottom w:val="single" w:sz="8" w:color="D5EEEE"/>
            </w:tcBorders>
          </w:tcPr>
          <w:p>
            <w:pPr>
              <w:spacing w:after="0"/>
              <w:rPr>
                <w:sz w:val="5"/>
                <w:szCs w:val="5"/>
                <w:color w:val="auto"/>
              </w:rPr>
            </w:pPr>
          </w:p>
        </w:tc>
        <w:tc>
          <w:tcPr>
            <w:tcW w:w="20" w:type="dxa"/>
            <w:vAlign w:val="bottom"/>
            <w:tcBorders>
              <w:bottom w:val="single" w:sz="8" w:color="D5EEEE"/>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D5EEEE"/>
            </w:tcBorders>
          </w:tcPr>
          <w:p>
            <w:pPr>
              <w:spacing w:after="0"/>
              <w:rPr>
                <w:sz w:val="5"/>
                <w:szCs w:val="5"/>
                <w:color w:val="auto"/>
              </w:rPr>
            </w:pPr>
          </w:p>
        </w:tc>
        <w:tc>
          <w:tcPr>
            <w:tcW w:w="180" w:type="dxa"/>
            <w:vAlign w:val="bottom"/>
            <w:tcBorders>
              <w:bottom w:val="single" w:sz="8" w:color="D5EEEE"/>
            </w:tcBorders>
          </w:tcPr>
          <w:p>
            <w:pPr>
              <w:spacing w:after="0"/>
              <w:rPr>
                <w:sz w:val="5"/>
                <w:szCs w:val="5"/>
                <w:color w:val="auto"/>
              </w:rPr>
            </w:pPr>
          </w:p>
        </w:tc>
        <w:tc>
          <w:tcPr>
            <w:tcW w:w="20" w:type="dxa"/>
            <w:vAlign w:val="bottom"/>
            <w:tcBorders>
              <w:bottom w:val="single" w:sz="8" w:color="D5EEEE"/>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D5EEEE"/>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4460" w:type="dxa"/>
            <w:vAlign w:val="bottom"/>
            <w:tcBorders>
              <w:top w:val="single" w:sz="8" w:color="D5EEEE"/>
              <w:bottom w:val="single" w:sz="8" w:color="D5EEEE"/>
            </w:tcBorders>
            <w:gridSpan w:val="2"/>
            <w:shd w:val="clear" w:color="auto" w:fill="D5EEEE"/>
          </w:tcPr>
          <w:p>
            <w:pPr>
              <w:spacing w:after="0"/>
              <w:rPr>
                <w:sz w:val="20"/>
                <w:szCs w:val="20"/>
                <w:color w:val="auto"/>
              </w:rPr>
            </w:pPr>
            <w:r>
              <w:rPr>
                <w:rFonts w:ascii="Times New Roman" w:cs="Times New Roman" w:eastAsia="Times New Roman" w:hAnsi="Times New Roman"/>
                <w:sz w:val="20"/>
                <w:szCs w:val="20"/>
                <w:color w:val="auto"/>
              </w:rPr>
              <w:t>Total current</w:t>
            </w:r>
          </w:p>
        </w:tc>
        <w:tc>
          <w:tcPr>
            <w:tcW w:w="200" w:type="dxa"/>
            <w:vAlign w:val="bottom"/>
            <w:tcBorders>
              <w:top w:val="single" w:sz="8" w:color="D5EEEE"/>
              <w:bottom w:val="single" w:sz="8" w:color="D5EEEE"/>
            </w:tcBorders>
            <w:shd w:val="clear" w:color="auto" w:fill="D5EEEE"/>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20" w:type="dxa"/>
            <w:vAlign w:val="bottom"/>
            <w:tcBorders>
              <w:top w:val="single" w:sz="8" w:color="D5EEEE"/>
              <w:bottom w:val="single" w:sz="8" w:color="D5EEEE"/>
            </w:tcBorders>
            <w:shd w:val="clear" w:color="auto" w:fill="D5EEEE"/>
          </w:tcPr>
          <w:p>
            <w:pPr>
              <w:spacing w:after="0"/>
              <w:rPr>
                <w:sz w:val="22"/>
                <w:szCs w:val="22"/>
                <w:color w:val="auto"/>
              </w:rPr>
            </w:pPr>
          </w:p>
        </w:tc>
        <w:tc>
          <w:tcPr>
            <w:tcW w:w="100" w:type="dxa"/>
            <w:vAlign w:val="bottom"/>
            <w:tcBorders>
              <w:top w:val="single" w:sz="8" w:color="D5EEEE"/>
              <w:bottom w:val="single" w:sz="8" w:color="D5EEEE"/>
            </w:tcBorders>
            <w:shd w:val="clear" w:color="auto" w:fill="D5EEEE"/>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shd w:val="clear" w:color="auto" w:fill="D5EEEE"/>
          </w:tcPr>
          <w:p>
            <w:pPr>
              <w:spacing w:after="0"/>
              <w:rPr>
                <w:sz w:val="22"/>
                <w:szCs w:val="22"/>
                <w:color w:val="auto"/>
              </w:rPr>
            </w:pPr>
          </w:p>
        </w:tc>
        <w:tc>
          <w:tcPr>
            <w:tcW w:w="180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20" w:type="dxa"/>
            <w:vAlign w:val="bottom"/>
          </w:tcPr>
          <w:p>
            <w:pPr>
              <w:spacing w:after="0"/>
              <w:rPr>
                <w:sz w:val="22"/>
                <w:szCs w:val="22"/>
                <w:color w:val="auto"/>
              </w:rPr>
            </w:pPr>
          </w:p>
        </w:tc>
        <w:tc>
          <w:tcPr>
            <w:tcW w:w="100" w:type="dxa"/>
            <w:vAlign w:val="bottom"/>
            <w:tcBorders>
              <w:top w:val="single" w:sz="8" w:color="D5EEEE"/>
              <w:bottom w:val="single" w:sz="8" w:color="D5EEEE"/>
            </w:tcBorders>
            <w:shd w:val="clear" w:color="auto" w:fill="D5EEEE"/>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shd w:val="clear" w:color="auto" w:fill="D5EEEE"/>
          </w:tcPr>
          <w:p>
            <w:pPr>
              <w:spacing w:after="0"/>
              <w:rPr>
                <w:sz w:val="22"/>
                <w:szCs w:val="22"/>
                <w:color w:val="auto"/>
              </w:rPr>
            </w:pPr>
          </w:p>
        </w:tc>
        <w:tc>
          <w:tcPr>
            <w:tcW w:w="1660" w:type="dxa"/>
            <w:vAlign w:val="bottom"/>
            <w:gridSpan w:val="2"/>
            <w:shd w:val="clear" w:color="auto" w:fill="D5EEEE"/>
          </w:tcPr>
          <w:p>
            <w:pPr>
              <w:jc w:val="right"/>
              <w:ind w:right="13"/>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2"/>
                <w:szCs w:val="22"/>
                <w:color w:val="auto"/>
              </w:rPr>
            </w:pPr>
          </w:p>
        </w:tc>
        <w:tc>
          <w:tcPr>
            <w:tcW w:w="100" w:type="dxa"/>
            <w:vAlign w:val="bottom"/>
            <w:tcBorders>
              <w:top w:val="single" w:sz="8" w:color="D5EEEE"/>
              <w:bottom w:val="single" w:sz="8" w:color="D5EEEE"/>
            </w:tcBorders>
            <w:shd w:val="clear" w:color="auto" w:fill="D5EEEE"/>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1600" w:type="dxa"/>
            <w:vAlign w:val="bottom"/>
            <w:tcBorders>
              <w:bottom w:val="single" w:sz="8" w:color="D5EEEE"/>
            </w:tcBorders>
          </w:tcPr>
          <w:p>
            <w:pPr>
              <w:spacing w:after="0"/>
              <w:rPr>
                <w:sz w:val="24"/>
                <w:szCs w:val="24"/>
                <w:color w:val="auto"/>
              </w:rPr>
            </w:pPr>
          </w:p>
        </w:tc>
        <w:tc>
          <w:tcPr>
            <w:tcW w:w="2860" w:type="dxa"/>
            <w:vAlign w:val="bottom"/>
            <w:tcBorders>
              <w:bottom w:val="single" w:sz="8" w:color="D5EEEE"/>
            </w:tcBorders>
          </w:tcPr>
          <w:p>
            <w:pPr>
              <w:spacing w:after="0"/>
              <w:rPr>
                <w:sz w:val="24"/>
                <w:szCs w:val="24"/>
                <w:color w:val="auto"/>
              </w:rPr>
            </w:pPr>
          </w:p>
        </w:tc>
        <w:tc>
          <w:tcPr>
            <w:tcW w:w="200" w:type="dxa"/>
            <w:vAlign w:val="bottom"/>
            <w:tcBorders>
              <w:bottom w:val="single" w:sz="8" w:color="D5EEEE"/>
            </w:tcBorders>
          </w:tcPr>
          <w:p>
            <w:pPr>
              <w:spacing w:after="0"/>
              <w:rPr>
                <w:sz w:val="24"/>
                <w:szCs w:val="24"/>
                <w:color w:val="auto"/>
              </w:rPr>
            </w:pPr>
          </w:p>
        </w:tc>
        <w:tc>
          <w:tcPr>
            <w:tcW w:w="100" w:type="dxa"/>
            <w:vAlign w:val="bottom"/>
            <w:tcBorders>
              <w:top w:val="single" w:sz="8" w:color="auto"/>
              <w:bottom w:val="single" w:sz="8" w:color="D5EEEE"/>
            </w:tcBorders>
          </w:tcPr>
          <w:p>
            <w:pPr>
              <w:spacing w:after="0"/>
              <w:rPr>
                <w:sz w:val="24"/>
                <w:szCs w:val="24"/>
                <w:color w:val="auto"/>
              </w:rPr>
            </w:pPr>
          </w:p>
        </w:tc>
        <w:tc>
          <w:tcPr>
            <w:tcW w:w="20" w:type="dxa"/>
            <w:vAlign w:val="bottom"/>
            <w:tcBorders>
              <w:top w:val="single" w:sz="8" w:color="auto"/>
              <w:bottom w:val="single" w:sz="8" w:color="D5EEEE"/>
            </w:tcBorders>
          </w:tcPr>
          <w:p>
            <w:pPr>
              <w:spacing w:after="0"/>
              <w:rPr>
                <w:sz w:val="24"/>
                <w:szCs w:val="24"/>
                <w:color w:val="auto"/>
              </w:rPr>
            </w:pPr>
          </w:p>
        </w:tc>
        <w:tc>
          <w:tcPr>
            <w:tcW w:w="1600" w:type="dxa"/>
            <w:vAlign w:val="bottom"/>
            <w:tcBorders>
              <w:top w:val="single" w:sz="8" w:color="auto"/>
              <w:bottom w:val="single" w:sz="8" w:color="D5EEEE"/>
            </w:tcBorders>
          </w:tcPr>
          <w:p>
            <w:pPr>
              <w:spacing w:after="0"/>
              <w:rPr>
                <w:sz w:val="24"/>
                <w:szCs w:val="24"/>
                <w:color w:val="auto"/>
              </w:rPr>
            </w:pPr>
          </w:p>
        </w:tc>
        <w:tc>
          <w:tcPr>
            <w:tcW w:w="20" w:type="dxa"/>
            <w:vAlign w:val="bottom"/>
            <w:tcBorders>
              <w:top w:val="single" w:sz="8" w:color="auto"/>
              <w:bottom w:val="single" w:sz="8" w:color="D5EEEE"/>
            </w:tcBorders>
          </w:tcPr>
          <w:p>
            <w:pPr>
              <w:spacing w:after="0"/>
              <w:rPr>
                <w:sz w:val="24"/>
                <w:szCs w:val="24"/>
                <w:color w:val="auto"/>
              </w:rPr>
            </w:pPr>
          </w:p>
        </w:tc>
        <w:tc>
          <w:tcPr>
            <w:tcW w:w="100" w:type="dxa"/>
            <w:vAlign w:val="bottom"/>
            <w:tcBorders>
              <w:bottom w:val="single" w:sz="8" w:color="D5EEEE"/>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780" w:type="dxa"/>
            <w:vAlign w:val="bottom"/>
            <w:tcBorders>
              <w:top w:val="single" w:sz="8" w:color="auto"/>
              <w:bottom w:val="single" w:sz="8" w:color="D5EEEE"/>
            </w:tcBorders>
          </w:tcPr>
          <w:p>
            <w:pPr>
              <w:spacing w:after="0"/>
              <w:rPr>
                <w:sz w:val="24"/>
                <w:szCs w:val="24"/>
                <w:color w:val="auto"/>
              </w:rPr>
            </w:pPr>
          </w:p>
        </w:tc>
        <w:tc>
          <w:tcPr>
            <w:tcW w:w="20" w:type="dxa"/>
            <w:vAlign w:val="bottom"/>
            <w:tcBorders>
              <w:top w:val="single" w:sz="8" w:color="auto"/>
              <w:bottom w:val="single" w:sz="8" w:color="D5EEEE"/>
            </w:tcBorders>
          </w:tcPr>
          <w:p>
            <w:pPr>
              <w:spacing w:after="0"/>
              <w:rPr>
                <w:sz w:val="24"/>
                <w:szCs w:val="24"/>
                <w:color w:val="auto"/>
              </w:rPr>
            </w:pPr>
          </w:p>
        </w:tc>
        <w:tc>
          <w:tcPr>
            <w:tcW w:w="100" w:type="dxa"/>
            <w:vAlign w:val="bottom"/>
            <w:tcBorders>
              <w:bottom w:val="single" w:sz="8" w:color="D5EEEE"/>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40" w:type="dxa"/>
            <w:vAlign w:val="bottom"/>
            <w:tcBorders>
              <w:top w:val="single" w:sz="8" w:color="auto"/>
              <w:bottom w:val="single" w:sz="8" w:color="D5EEEE"/>
            </w:tcBorders>
          </w:tcPr>
          <w:p>
            <w:pPr>
              <w:spacing w:after="0"/>
              <w:rPr>
                <w:sz w:val="24"/>
                <w:szCs w:val="24"/>
                <w:color w:val="auto"/>
              </w:rPr>
            </w:pPr>
          </w:p>
        </w:tc>
        <w:tc>
          <w:tcPr>
            <w:tcW w:w="20" w:type="dxa"/>
            <w:vAlign w:val="bottom"/>
            <w:tcBorders>
              <w:top w:val="single" w:sz="8" w:color="auto"/>
              <w:bottom w:val="single" w:sz="8" w:color="D5EEEE"/>
            </w:tcBorders>
          </w:tcPr>
          <w:p>
            <w:pPr>
              <w:spacing w:after="0"/>
              <w:rPr>
                <w:sz w:val="24"/>
                <w:szCs w:val="24"/>
                <w:color w:val="auto"/>
              </w:rPr>
            </w:pPr>
          </w:p>
        </w:tc>
        <w:tc>
          <w:tcPr>
            <w:tcW w:w="100" w:type="dxa"/>
            <w:vAlign w:val="bottom"/>
            <w:tcBorders>
              <w:bottom w:val="single" w:sz="8" w:color="D5EEEE"/>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600" w:type="dxa"/>
            <w:vAlign w:val="bottom"/>
            <w:tcBorders>
              <w:bottom w:val="single" w:sz="8" w:color="D5EEEE"/>
            </w:tcBorders>
            <w:shd w:val="clear" w:color="auto" w:fill="D5EEEE"/>
          </w:tcPr>
          <w:p>
            <w:pPr>
              <w:spacing w:after="0"/>
              <w:rPr>
                <w:sz w:val="21"/>
                <w:szCs w:val="21"/>
                <w:color w:val="auto"/>
              </w:rPr>
            </w:pPr>
          </w:p>
        </w:tc>
        <w:tc>
          <w:tcPr>
            <w:tcW w:w="2860" w:type="dxa"/>
            <w:vAlign w:val="bottom"/>
            <w:tcBorders>
              <w:bottom w:val="single" w:sz="8" w:color="D5EEEE"/>
            </w:tcBorders>
            <w:shd w:val="clear" w:color="auto" w:fill="D5EEEE"/>
          </w:tcPr>
          <w:p>
            <w:pPr>
              <w:spacing w:after="0"/>
              <w:rPr>
                <w:sz w:val="21"/>
                <w:szCs w:val="21"/>
                <w:color w:val="auto"/>
              </w:rPr>
            </w:pPr>
          </w:p>
        </w:tc>
        <w:tc>
          <w:tcPr>
            <w:tcW w:w="200" w:type="dxa"/>
            <w:vAlign w:val="bottom"/>
            <w:tcBorders>
              <w:bottom w:val="single" w:sz="8" w:color="D5EEEE"/>
            </w:tcBorders>
            <w:shd w:val="clear" w:color="auto" w:fill="D5EEE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Borders>
              <w:bottom w:val="single" w:sz="8" w:color="D5EEEE"/>
            </w:tcBorders>
            <w:shd w:val="clear" w:color="auto" w:fill="D5EEEE"/>
          </w:tcPr>
          <w:p>
            <w:pPr>
              <w:spacing w:after="0"/>
              <w:rPr>
                <w:sz w:val="21"/>
                <w:szCs w:val="21"/>
                <w:color w:val="auto"/>
              </w:rPr>
            </w:pPr>
          </w:p>
        </w:tc>
        <w:tc>
          <w:tcPr>
            <w:tcW w:w="100" w:type="dxa"/>
            <w:vAlign w:val="bottom"/>
            <w:tcBorders>
              <w:bottom w:val="single" w:sz="8" w:color="D5EEEE"/>
            </w:tcBorders>
            <w:shd w:val="clear" w:color="auto" w:fill="D5EEEE"/>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Pr>
          <w:p>
            <w:pPr>
              <w:spacing w:after="0"/>
              <w:rPr>
                <w:sz w:val="21"/>
                <w:szCs w:val="21"/>
                <w:color w:val="auto"/>
              </w:rPr>
            </w:pPr>
          </w:p>
        </w:tc>
        <w:tc>
          <w:tcPr>
            <w:tcW w:w="100" w:type="dxa"/>
            <w:vAlign w:val="bottom"/>
            <w:tcBorders>
              <w:bottom w:val="single" w:sz="8" w:color="D5EEEE"/>
            </w:tcBorders>
            <w:shd w:val="clear" w:color="auto" w:fill="D5EEEE"/>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40" w:type="dxa"/>
            <w:vAlign w:val="bottom"/>
            <w:shd w:val="clear" w:color="auto" w:fill="D5EEE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D5EEEE"/>
            </w:tcBorders>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4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20"/>
                <w:szCs w:val="20"/>
                <w:color w:val="auto"/>
              </w:rPr>
              <w:t>State</w:t>
            </w:r>
          </w:p>
        </w:tc>
        <w:tc>
          <w:tcPr>
            <w:tcW w:w="20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460" w:type="dxa"/>
            <w:vAlign w:val="bottom"/>
            <w:gridSpan w:val="2"/>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
        </w:trPr>
        <w:tc>
          <w:tcPr>
            <w:tcW w:w="1600" w:type="dxa"/>
            <w:vAlign w:val="bottom"/>
            <w:tcBorders>
              <w:bottom w:val="single" w:sz="8" w:color="D5EEEE"/>
            </w:tcBorders>
          </w:tcPr>
          <w:p>
            <w:pPr>
              <w:spacing w:after="0"/>
              <w:rPr>
                <w:sz w:val="4"/>
                <w:szCs w:val="4"/>
                <w:color w:val="auto"/>
              </w:rPr>
            </w:pPr>
          </w:p>
        </w:tc>
        <w:tc>
          <w:tcPr>
            <w:tcW w:w="2860" w:type="dxa"/>
            <w:vAlign w:val="bottom"/>
            <w:tcBorders>
              <w:bottom w:val="single" w:sz="8" w:color="D5EEEE"/>
            </w:tcBorders>
          </w:tcPr>
          <w:p>
            <w:pPr>
              <w:spacing w:after="0"/>
              <w:rPr>
                <w:sz w:val="4"/>
                <w:szCs w:val="4"/>
                <w:color w:val="auto"/>
              </w:rPr>
            </w:pPr>
          </w:p>
        </w:tc>
        <w:tc>
          <w:tcPr>
            <w:tcW w:w="200" w:type="dxa"/>
            <w:vAlign w:val="bottom"/>
            <w:tcBorders>
              <w:bottom w:val="single" w:sz="8" w:color="D5EEEE"/>
            </w:tcBorders>
          </w:tcPr>
          <w:p>
            <w:pPr>
              <w:spacing w:after="0"/>
              <w:rPr>
                <w:sz w:val="4"/>
                <w:szCs w:val="4"/>
                <w:color w:val="auto"/>
              </w:rPr>
            </w:pPr>
          </w:p>
        </w:tc>
        <w:tc>
          <w:tcPr>
            <w:tcW w:w="100" w:type="dxa"/>
            <w:vAlign w:val="bottom"/>
            <w:tcBorders>
              <w:bottom w:val="single" w:sz="8" w:color="D5EEEE"/>
            </w:tcBorders>
          </w:tcPr>
          <w:p>
            <w:pPr>
              <w:spacing w:after="0"/>
              <w:rPr>
                <w:sz w:val="4"/>
                <w:szCs w:val="4"/>
                <w:color w:val="auto"/>
              </w:rPr>
            </w:pPr>
          </w:p>
        </w:tc>
        <w:tc>
          <w:tcPr>
            <w:tcW w:w="20" w:type="dxa"/>
            <w:vAlign w:val="bottom"/>
            <w:tcBorders>
              <w:bottom w:val="single" w:sz="8" w:color="D5EEEE"/>
            </w:tcBorders>
          </w:tcPr>
          <w:p>
            <w:pPr>
              <w:spacing w:after="0"/>
              <w:rPr>
                <w:sz w:val="4"/>
                <w:szCs w:val="4"/>
                <w:color w:val="auto"/>
              </w:rPr>
            </w:pPr>
          </w:p>
        </w:tc>
        <w:tc>
          <w:tcPr>
            <w:tcW w:w="1600" w:type="dxa"/>
            <w:vAlign w:val="bottom"/>
            <w:tcBorders>
              <w:bottom w:val="single" w:sz="8" w:color="D5EEEE"/>
            </w:tcBorders>
          </w:tcPr>
          <w:p>
            <w:pPr>
              <w:spacing w:after="0"/>
              <w:rPr>
                <w:sz w:val="4"/>
                <w:szCs w:val="4"/>
                <w:color w:val="auto"/>
              </w:rPr>
            </w:pPr>
          </w:p>
        </w:tc>
        <w:tc>
          <w:tcPr>
            <w:tcW w:w="20" w:type="dxa"/>
            <w:vAlign w:val="bottom"/>
            <w:tcBorders>
              <w:bottom w:val="single" w:sz="8" w:color="D5EEEE"/>
            </w:tcBorders>
          </w:tcPr>
          <w:p>
            <w:pPr>
              <w:spacing w:after="0"/>
              <w:rPr>
                <w:sz w:val="4"/>
                <w:szCs w:val="4"/>
                <w:color w:val="auto"/>
              </w:rPr>
            </w:pPr>
          </w:p>
        </w:tc>
        <w:tc>
          <w:tcPr>
            <w:tcW w:w="100" w:type="dxa"/>
            <w:vAlign w:val="bottom"/>
            <w:tcBorders>
              <w:bottom w:val="single" w:sz="8" w:color="D5EEEE"/>
            </w:tcBorders>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780" w:type="dxa"/>
            <w:vAlign w:val="bottom"/>
            <w:tcBorders>
              <w:bottom w:val="single" w:sz="8" w:color="D5EEEE"/>
            </w:tcBorders>
          </w:tcPr>
          <w:p>
            <w:pPr>
              <w:spacing w:after="0"/>
              <w:rPr>
                <w:sz w:val="4"/>
                <w:szCs w:val="4"/>
                <w:color w:val="auto"/>
              </w:rPr>
            </w:pPr>
          </w:p>
        </w:tc>
        <w:tc>
          <w:tcPr>
            <w:tcW w:w="20" w:type="dxa"/>
            <w:vAlign w:val="bottom"/>
            <w:tcBorders>
              <w:bottom w:val="single" w:sz="8" w:color="D5EEEE"/>
            </w:tcBorders>
          </w:tcPr>
          <w:p>
            <w:pPr>
              <w:spacing w:after="0"/>
              <w:rPr>
                <w:sz w:val="4"/>
                <w:szCs w:val="4"/>
                <w:color w:val="auto"/>
              </w:rPr>
            </w:pPr>
          </w:p>
        </w:tc>
        <w:tc>
          <w:tcPr>
            <w:tcW w:w="100" w:type="dxa"/>
            <w:vAlign w:val="bottom"/>
            <w:tcBorders>
              <w:bottom w:val="single" w:sz="8" w:color="D5EEEE"/>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tcBorders>
              <w:bottom w:val="single" w:sz="8" w:color="D5EEEE"/>
            </w:tcBorders>
          </w:tcPr>
          <w:p>
            <w:pPr>
              <w:spacing w:after="0"/>
              <w:rPr>
                <w:sz w:val="4"/>
                <w:szCs w:val="4"/>
                <w:color w:val="auto"/>
              </w:rPr>
            </w:pPr>
          </w:p>
        </w:tc>
        <w:tc>
          <w:tcPr>
            <w:tcW w:w="20" w:type="dxa"/>
            <w:vAlign w:val="bottom"/>
            <w:tcBorders>
              <w:bottom w:val="single" w:sz="8" w:color="D5EEEE"/>
            </w:tcBorders>
          </w:tcPr>
          <w:p>
            <w:pPr>
              <w:spacing w:after="0"/>
              <w:rPr>
                <w:sz w:val="4"/>
                <w:szCs w:val="4"/>
                <w:color w:val="auto"/>
              </w:rPr>
            </w:pPr>
          </w:p>
        </w:tc>
        <w:tc>
          <w:tcPr>
            <w:tcW w:w="100" w:type="dxa"/>
            <w:vAlign w:val="bottom"/>
            <w:tcBorders>
              <w:bottom w:val="single" w:sz="8" w:color="D5EEEE"/>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600" w:type="dxa"/>
            <w:vAlign w:val="bottom"/>
            <w:tcBorders>
              <w:bottom w:val="single" w:sz="8" w:color="D5EEEE"/>
            </w:tcBorders>
            <w:shd w:val="clear" w:color="auto" w:fill="D5EEEE"/>
          </w:tcPr>
          <w:p>
            <w:pPr>
              <w:spacing w:after="0"/>
              <w:rPr>
                <w:sz w:val="22"/>
                <w:szCs w:val="22"/>
                <w:color w:val="auto"/>
              </w:rPr>
            </w:pPr>
          </w:p>
        </w:tc>
        <w:tc>
          <w:tcPr>
            <w:tcW w:w="2860" w:type="dxa"/>
            <w:vAlign w:val="bottom"/>
            <w:tcBorders>
              <w:bottom w:val="single" w:sz="8" w:color="D5EEEE"/>
            </w:tcBorders>
            <w:shd w:val="clear" w:color="auto" w:fill="D5EEEE"/>
          </w:tcPr>
          <w:p>
            <w:pPr>
              <w:spacing w:after="0"/>
              <w:rPr>
                <w:sz w:val="22"/>
                <w:szCs w:val="22"/>
                <w:color w:val="auto"/>
              </w:rPr>
            </w:pPr>
          </w:p>
        </w:tc>
        <w:tc>
          <w:tcPr>
            <w:tcW w:w="200" w:type="dxa"/>
            <w:vAlign w:val="bottom"/>
            <w:tcBorders>
              <w:bottom w:val="single" w:sz="8" w:color="D5EEEE"/>
            </w:tcBorders>
            <w:shd w:val="clear" w:color="auto" w:fill="D5EEEE"/>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Borders>
              <w:bottom w:val="single" w:sz="8" w:color="D5EEEE"/>
            </w:tcBorders>
            <w:shd w:val="clear" w:color="auto" w:fill="D5EEEE"/>
          </w:tcPr>
          <w:p>
            <w:pPr>
              <w:spacing w:after="0"/>
              <w:rPr>
                <w:sz w:val="22"/>
                <w:szCs w:val="22"/>
                <w:color w:val="auto"/>
              </w:rPr>
            </w:pPr>
          </w:p>
        </w:tc>
        <w:tc>
          <w:tcPr>
            <w:tcW w:w="100" w:type="dxa"/>
            <w:vAlign w:val="bottom"/>
            <w:tcBorders>
              <w:bottom w:val="single" w:sz="8" w:color="D5EEEE"/>
            </w:tcBorders>
            <w:shd w:val="clear" w:color="auto" w:fill="D5EEEE"/>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Pr>
          <w:p>
            <w:pPr>
              <w:spacing w:after="0"/>
              <w:rPr>
                <w:sz w:val="22"/>
                <w:szCs w:val="22"/>
                <w:color w:val="auto"/>
              </w:rPr>
            </w:pPr>
          </w:p>
        </w:tc>
        <w:tc>
          <w:tcPr>
            <w:tcW w:w="100" w:type="dxa"/>
            <w:vAlign w:val="bottom"/>
            <w:tcBorders>
              <w:bottom w:val="single" w:sz="8" w:color="D5EEEE"/>
            </w:tcBorders>
            <w:shd w:val="clear" w:color="auto" w:fill="D5EEEE"/>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40" w:type="dxa"/>
            <w:vAlign w:val="bottom"/>
            <w:shd w:val="clear" w:color="auto" w:fill="D5EEEE"/>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D5EEEE"/>
            </w:tcBorders>
            <w:shd w:val="clear" w:color="auto" w:fill="D5EEEE"/>
          </w:tcPr>
          <w:p>
            <w:pPr>
              <w:spacing w:after="0"/>
              <w:rPr>
                <w:sz w:val="22"/>
                <w:szCs w:val="22"/>
                <w:color w:val="auto"/>
              </w:rPr>
            </w:pPr>
          </w:p>
        </w:tc>
        <w:tc>
          <w:tcPr>
            <w:tcW w:w="0" w:type="dxa"/>
            <w:vAlign w:val="bottom"/>
          </w:tcPr>
          <w:p>
            <w:pPr>
              <w:spacing w:after="0"/>
              <w:rPr>
                <w:sz w:val="1"/>
                <w:szCs w:val="1"/>
                <w:color w:val="auto"/>
              </w:rPr>
            </w:pPr>
          </w:p>
        </w:tc>
      </w:tr>
      <w:tr>
        <w:trPr>
          <w:trHeight w:val="30"/>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Total deferred</w:t>
            </w:r>
          </w:p>
        </w:tc>
        <w:tc>
          <w:tcPr>
            <w:tcW w:w="200" w:type="dxa"/>
            <w:vAlign w:val="bottom"/>
            <w:vMerge w:val="restart"/>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vMerge w:val="restart"/>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vMerge w:val="restart"/>
          </w:tcPr>
          <w:p>
            <w:pPr>
              <w:spacing w:after="0"/>
              <w:rPr>
                <w:sz w:val="2"/>
                <w:szCs w:val="2"/>
                <w:color w:val="auto"/>
              </w:rPr>
            </w:pPr>
          </w:p>
        </w:tc>
        <w:tc>
          <w:tcPr>
            <w:tcW w:w="17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6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460" w:type="dxa"/>
            <w:vAlign w:val="bottom"/>
            <w:gridSpan w:val="2"/>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
        </w:trPr>
        <w:tc>
          <w:tcPr>
            <w:tcW w:w="1600" w:type="dxa"/>
            <w:vAlign w:val="bottom"/>
          </w:tcPr>
          <w:p>
            <w:pPr>
              <w:spacing w:after="0"/>
              <w:rPr>
                <w:sz w:val="4"/>
                <w:szCs w:val="4"/>
                <w:color w:val="auto"/>
              </w:rPr>
            </w:pPr>
          </w:p>
        </w:tc>
        <w:tc>
          <w:tcPr>
            <w:tcW w:w="2860" w:type="dxa"/>
            <w:vAlign w:val="bottom"/>
          </w:tcPr>
          <w:p>
            <w:pPr>
              <w:spacing w:after="0"/>
              <w:rPr>
                <w:sz w:val="4"/>
                <w:szCs w:val="4"/>
                <w:color w:val="auto"/>
              </w:rPr>
            </w:pPr>
          </w:p>
        </w:tc>
        <w:tc>
          <w:tcPr>
            <w:tcW w:w="200" w:type="dxa"/>
            <w:vAlign w:val="bottom"/>
            <w:tcBorders>
              <w:bottom w:val="single" w:sz="8" w:color="D5EEEE"/>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D5EEEE"/>
            </w:tcBorders>
          </w:tcPr>
          <w:p>
            <w:pPr>
              <w:spacing w:after="0"/>
              <w:rPr>
                <w:sz w:val="4"/>
                <w:szCs w:val="4"/>
                <w:color w:val="auto"/>
              </w:rPr>
            </w:pPr>
          </w:p>
        </w:tc>
        <w:tc>
          <w:tcPr>
            <w:tcW w:w="200" w:type="dxa"/>
            <w:vAlign w:val="bottom"/>
            <w:tcBorders>
              <w:bottom w:val="single" w:sz="8" w:color="D5EEEE"/>
            </w:tcBorders>
          </w:tcPr>
          <w:p>
            <w:pPr>
              <w:spacing w:after="0"/>
              <w:rPr>
                <w:sz w:val="4"/>
                <w:szCs w:val="4"/>
                <w:color w:val="auto"/>
              </w:rPr>
            </w:pPr>
          </w:p>
        </w:tc>
        <w:tc>
          <w:tcPr>
            <w:tcW w:w="20" w:type="dxa"/>
            <w:vAlign w:val="bottom"/>
            <w:tcBorders>
              <w:bottom w:val="single" w:sz="8" w:color="D5EEEE"/>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D5EEEE"/>
            </w:tcBorders>
          </w:tcPr>
          <w:p>
            <w:pPr>
              <w:spacing w:after="0"/>
              <w:rPr>
                <w:sz w:val="4"/>
                <w:szCs w:val="4"/>
                <w:color w:val="auto"/>
              </w:rPr>
            </w:pPr>
          </w:p>
        </w:tc>
        <w:tc>
          <w:tcPr>
            <w:tcW w:w="180" w:type="dxa"/>
            <w:vAlign w:val="bottom"/>
            <w:tcBorders>
              <w:bottom w:val="single" w:sz="8" w:color="D5EEEE"/>
            </w:tcBorders>
          </w:tcPr>
          <w:p>
            <w:pPr>
              <w:spacing w:after="0"/>
              <w:rPr>
                <w:sz w:val="4"/>
                <w:szCs w:val="4"/>
                <w:color w:val="auto"/>
              </w:rPr>
            </w:pPr>
          </w:p>
        </w:tc>
        <w:tc>
          <w:tcPr>
            <w:tcW w:w="20" w:type="dxa"/>
            <w:vAlign w:val="bottom"/>
            <w:tcBorders>
              <w:bottom w:val="single" w:sz="8" w:color="D5EEEE"/>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D5EEEE"/>
            </w:tcBorders>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4460" w:type="dxa"/>
            <w:vAlign w:val="bottom"/>
            <w:tcBorders>
              <w:top w:val="single" w:sz="8" w:color="D5EEEE"/>
              <w:bottom w:val="single" w:sz="8" w:color="D5EEEE"/>
            </w:tcBorders>
            <w:gridSpan w:val="2"/>
            <w:shd w:val="clear" w:color="auto" w:fill="D5EEEE"/>
          </w:tcPr>
          <w:p>
            <w:pPr>
              <w:spacing w:after="0"/>
              <w:rPr>
                <w:sz w:val="20"/>
                <w:szCs w:val="20"/>
                <w:color w:val="auto"/>
              </w:rPr>
            </w:pPr>
            <w:r>
              <w:rPr>
                <w:rFonts w:ascii="Times New Roman" w:cs="Times New Roman" w:eastAsia="Times New Roman" w:hAnsi="Times New Roman"/>
                <w:sz w:val="20"/>
                <w:szCs w:val="20"/>
                <w:color w:val="auto"/>
              </w:rPr>
              <w:t>Total income tax expense</w:t>
            </w:r>
          </w:p>
        </w:tc>
        <w:tc>
          <w:tcPr>
            <w:tcW w:w="200" w:type="dxa"/>
            <w:vAlign w:val="bottom"/>
            <w:tcBorders>
              <w:top w:val="single" w:sz="8" w:color="D5EEEE"/>
              <w:bottom w:val="single" w:sz="8" w:color="D5EEEE"/>
            </w:tcBorders>
            <w:shd w:val="clear" w:color="auto" w:fill="D5EEEE"/>
          </w:tcPr>
          <w:p>
            <w:pPr>
              <w:spacing w:after="0"/>
              <w:rPr>
                <w:sz w:val="23"/>
                <w:szCs w:val="23"/>
                <w:color w:val="auto"/>
              </w:rPr>
            </w:pPr>
          </w:p>
        </w:tc>
        <w:tc>
          <w:tcPr>
            <w:tcW w:w="100" w:type="dxa"/>
            <w:vAlign w:val="bottom"/>
            <w:tcBorders>
              <w:top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Borders>
              <w:top w:val="single" w:sz="8" w:color="D5EEEE"/>
            </w:tcBorders>
          </w:tcPr>
          <w:p>
            <w:pPr>
              <w:spacing w:after="0"/>
              <w:rPr>
                <w:sz w:val="23"/>
                <w:szCs w:val="23"/>
                <w:color w:val="auto"/>
              </w:rPr>
            </w:pPr>
          </w:p>
        </w:tc>
        <w:tc>
          <w:tcPr>
            <w:tcW w:w="1600" w:type="dxa"/>
            <w:vAlign w:val="bottom"/>
            <w:tcBorders>
              <w:top w:val="single" w:sz="8" w:color="D5EEEE"/>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20" w:type="dxa"/>
            <w:vAlign w:val="bottom"/>
            <w:tcBorders>
              <w:top w:val="single" w:sz="8" w:color="D5EEEE"/>
              <w:bottom w:val="single" w:sz="8" w:color="D5EEEE"/>
            </w:tcBorders>
            <w:shd w:val="clear" w:color="auto" w:fill="D5EEEE"/>
          </w:tcPr>
          <w:p>
            <w:pPr>
              <w:spacing w:after="0"/>
              <w:rPr>
                <w:sz w:val="23"/>
                <w:szCs w:val="23"/>
                <w:color w:val="auto"/>
              </w:rPr>
            </w:pPr>
          </w:p>
        </w:tc>
        <w:tc>
          <w:tcPr>
            <w:tcW w:w="100" w:type="dxa"/>
            <w:vAlign w:val="bottom"/>
            <w:tcBorders>
              <w:top w:val="single" w:sz="8" w:color="D5EEEE"/>
              <w:bottom w:val="single" w:sz="8" w:color="D5EEEE"/>
            </w:tcBorders>
            <w:shd w:val="clear" w:color="auto" w:fill="D5EEEE"/>
          </w:tcPr>
          <w:p>
            <w:pPr>
              <w:spacing w:after="0"/>
              <w:rPr>
                <w:sz w:val="23"/>
                <w:szCs w:val="23"/>
                <w:color w:val="auto"/>
              </w:rPr>
            </w:pPr>
          </w:p>
        </w:tc>
        <w:tc>
          <w:tcPr>
            <w:tcW w:w="200" w:type="dxa"/>
            <w:vAlign w:val="bottom"/>
            <w:tcBorders>
              <w:top w:val="single" w:sz="8" w:color="D5EEEE"/>
            </w:tcBorders>
          </w:tcPr>
          <w:p>
            <w:pPr>
              <w:spacing w:after="0"/>
              <w:rPr>
                <w:sz w:val="23"/>
                <w:szCs w:val="23"/>
                <w:color w:val="auto"/>
              </w:rPr>
            </w:pPr>
          </w:p>
        </w:tc>
        <w:tc>
          <w:tcPr>
            <w:tcW w:w="20" w:type="dxa"/>
            <w:vAlign w:val="bottom"/>
            <w:tcBorders>
              <w:top w:val="single" w:sz="8" w:color="D5EEEE"/>
              <w:bottom w:val="single" w:sz="8" w:color="auto"/>
            </w:tcBorders>
          </w:tcPr>
          <w:p>
            <w:pPr>
              <w:spacing w:after="0"/>
              <w:rPr>
                <w:sz w:val="23"/>
                <w:szCs w:val="23"/>
                <w:color w:val="auto"/>
              </w:rPr>
            </w:pPr>
          </w:p>
        </w:tc>
        <w:tc>
          <w:tcPr>
            <w:tcW w:w="80" w:type="dxa"/>
            <w:vAlign w:val="bottom"/>
            <w:tcBorders>
              <w:top w:val="single" w:sz="8" w:color="D5EEEE"/>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0" w:type="dxa"/>
            <w:vAlign w:val="bottom"/>
            <w:tcBorders>
              <w:top w:val="single" w:sz="8" w:color="D5EEEE"/>
              <w:bottom w:val="single" w:sz="8" w:color="auto"/>
            </w:tcBorders>
          </w:tcPr>
          <w:p>
            <w:pPr>
              <w:spacing w:after="0"/>
              <w:rPr>
                <w:sz w:val="23"/>
                <w:szCs w:val="23"/>
                <w:color w:val="auto"/>
              </w:rPr>
            </w:pPr>
          </w:p>
        </w:tc>
        <w:tc>
          <w:tcPr>
            <w:tcW w:w="1780" w:type="dxa"/>
            <w:vAlign w:val="bottom"/>
            <w:tcBorders>
              <w:top w:val="single" w:sz="8" w:color="D5EEEE"/>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20" w:type="dxa"/>
            <w:vAlign w:val="bottom"/>
            <w:tcBorders>
              <w:top w:val="single" w:sz="8" w:color="D5EEEE"/>
              <w:bottom w:val="single" w:sz="8" w:color="D5EEEE"/>
            </w:tcBorders>
            <w:shd w:val="clear" w:color="auto" w:fill="D5EEEE"/>
          </w:tcPr>
          <w:p>
            <w:pPr>
              <w:spacing w:after="0"/>
              <w:rPr>
                <w:sz w:val="23"/>
                <w:szCs w:val="23"/>
                <w:color w:val="auto"/>
              </w:rPr>
            </w:pPr>
          </w:p>
        </w:tc>
        <w:tc>
          <w:tcPr>
            <w:tcW w:w="100" w:type="dxa"/>
            <w:vAlign w:val="bottom"/>
            <w:tcBorders>
              <w:top w:val="single" w:sz="8" w:color="D5EEEE"/>
              <w:bottom w:val="single" w:sz="8" w:color="D5EEEE"/>
            </w:tcBorders>
            <w:shd w:val="clear" w:color="auto" w:fill="D5EEEE"/>
          </w:tcPr>
          <w:p>
            <w:pPr>
              <w:spacing w:after="0"/>
              <w:rPr>
                <w:sz w:val="23"/>
                <w:szCs w:val="23"/>
                <w:color w:val="auto"/>
              </w:rPr>
            </w:pPr>
          </w:p>
        </w:tc>
        <w:tc>
          <w:tcPr>
            <w:tcW w:w="180" w:type="dxa"/>
            <w:vAlign w:val="bottom"/>
            <w:tcBorders>
              <w:top w:val="single" w:sz="8" w:color="D5EEEE"/>
            </w:tcBorders>
          </w:tcPr>
          <w:p>
            <w:pPr>
              <w:spacing w:after="0"/>
              <w:rPr>
                <w:sz w:val="23"/>
                <w:szCs w:val="23"/>
                <w:color w:val="auto"/>
              </w:rPr>
            </w:pPr>
          </w:p>
        </w:tc>
        <w:tc>
          <w:tcPr>
            <w:tcW w:w="20" w:type="dxa"/>
            <w:vAlign w:val="bottom"/>
            <w:tcBorders>
              <w:top w:val="single" w:sz="8" w:color="D5EEEE"/>
              <w:bottom w:val="single" w:sz="8" w:color="auto"/>
            </w:tcBorders>
          </w:tcPr>
          <w:p>
            <w:pPr>
              <w:spacing w:after="0"/>
              <w:rPr>
                <w:sz w:val="23"/>
                <w:szCs w:val="23"/>
                <w:color w:val="auto"/>
              </w:rPr>
            </w:pPr>
          </w:p>
        </w:tc>
        <w:tc>
          <w:tcPr>
            <w:tcW w:w="100" w:type="dxa"/>
            <w:vAlign w:val="bottom"/>
            <w:tcBorders>
              <w:top w:val="single" w:sz="8" w:color="D5EEEE"/>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Borders>
              <w:top w:val="single" w:sz="8" w:color="D5EEEE"/>
              <w:bottom w:val="single" w:sz="8" w:color="auto"/>
            </w:tcBorders>
          </w:tcPr>
          <w:p>
            <w:pPr>
              <w:spacing w:after="0"/>
              <w:rPr>
                <w:sz w:val="23"/>
                <w:szCs w:val="23"/>
                <w:color w:val="auto"/>
              </w:rPr>
            </w:pPr>
          </w:p>
        </w:tc>
        <w:tc>
          <w:tcPr>
            <w:tcW w:w="1640" w:type="dxa"/>
            <w:vAlign w:val="bottom"/>
            <w:tcBorders>
              <w:top w:val="single" w:sz="8" w:color="D5EEEE"/>
              <w:bottom w:val="single" w:sz="8" w:color="D5EEEE"/>
            </w:tcBorders>
            <w:shd w:val="clear" w:color="auto" w:fill="D5EEEE"/>
          </w:tcPr>
          <w:p>
            <w:pPr>
              <w:jc w:val="right"/>
              <w:ind w:right="13"/>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Borders>
              <w:top w:val="single" w:sz="8" w:color="D5EEEE"/>
              <w:bottom w:val="single" w:sz="8" w:color="D5EEEE"/>
            </w:tcBorders>
            <w:shd w:val="clear" w:color="auto" w:fill="D5EEEE"/>
          </w:tcPr>
          <w:p>
            <w:pPr>
              <w:spacing w:after="0"/>
              <w:rPr>
                <w:sz w:val="23"/>
                <w:szCs w:val="23"/>
                <w:color w:val="auto"/>
              </w:rPr>
            </w:pPr>
          </w:p>
        </w:tc>
        <w:tc>
          <w:tcPr>
            <w:tcW w:w="100" w:type="dxa"/>
            <w:vAlign w:val="bottom"/>
            <w:tcBorders>
              <w:top w:val="single" w:sz="8" w:color="D5EEEE"/>
              <w:bottom w:val="single" w:sz="8" w:color="D5EEEE"/>
            </w:tcBorders>
            <w:shd w:val="clear" w:color="auto" w:fill="D5EEE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-2319655</wp:posOffset>
            </wp:positionV>
            <wp:extent cx="6884670" cy="23514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84670" cy="2351405"/>
                    </a:xfrm>
                    <a:prstGeom prst="rect">
                      <a:avLst/>
                    </a:prstGeom>
                    <a:noFill/>
                  </pic:spPr>
                </pic:pic>
              </a:graphicData>
            </a:graphic>
          </wp:anchor>
        </w:drawing>
      </w:r>
    </w:p>
    <w:p>
      <w:pPr>
        <w:spacing w:after="0" w:line="262" w:lineRule="exact"/>
        <w:rPr>
          <w:sz w:val="20"/>
          <w:szCs w:val="20"/>
          <w:color w:val="auto"/>
        </w:rPr>
      </w:pPr>
    </w:p>
    <w:p>
      <w:pPr>
        <w:jc w:val="both"/>
        <w:ind w:right="200" w:firstLine="490"/>
        <w:spacing w:after="0" w:line="259" w:lineRule="auto"/>
        <w:rPr>
          <w:sz w:val="20"/>
          <w:szCs w:val="20"/>
          <w:color w:val="auto"/>
        </w:rPr>
      </w:pPr>
      <w:r>
        <w:rPr>
          <w:rFonts w:ascii="Times New Roman" w:cs="Times New Roman" w:eastAsia="Times New Roman" w:hAnsi="Times New Roman"/>
          <w:sz w:val="20"/>
          <w:szCs w:val="20"/>
          <w:color w:val="auto"/>
        </w:rPr>
        <w:t>The provision for income taxes differs from the tax computed using the statutory United States federal income tax rate of 21% for the year-ended December 31, 2022, transition period ended December 31, 2021, and year-ended June 30, 2021 as a result of the following items: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6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6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Year-Ended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gridSpan w:val="5"/>
          </w:tcPr>
          <w:p>
            <w:pPr>
              <w:jc w:val="center"/>
              <w:ind w:right="181"/>
              <w:spacing w:after="0"/>
              <w:rPr>
                <w:sz w:val="20"/>
                <w:szCs w:val="20"/>
                <w:color w:val="auto"/>
              </w:rPr>
            </w:pPr>
            <w:r>
              <w:rPr>
                <w:rFonts w:ascii="Times New Roman" w:cs="Times New Roman" w:eastAsia="Times New Roman" w:hAnsi="Times New Roman"/>
                <w:sz w:val="16"/>
                <w:szCs w:val="16"/>
                <w:b w:val="1"/>
                <w:bCs w:val="1"/>
                <w:color w:val="auto"/>
              </w:rPr>
              <w:t>Transition Period Ended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gridSpan w:val="4"/>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Year-Ended</w:t>
            </w:r>
          </w:p>
        </w:tc>
        <w:tc>
          <w:tcPr>
            <w:tcW w:w="0" w:type="dxa"/>
            <w:vAlign w:val="bottom"/>
          </w:tcPr>
          <w:p>
            <w:pPr>
              <w:spacing w:after="0"/>
              <w:rPr>
                <w:sz w:val="1"/>
                <w:szCs w:val="1"/>
                <w:color w:val="auto"/>
              </w:rPr>
            </w:pPr>
          </w:p>
        </w:tc>
      </w:tr>
      <w:tr>
        <w:trPr>
          <w:trHeight w:val="194"/>
        </w:trPr>
        <w:tc>
          <w:tcPr>
            <w:tcW w:w="1600" w:type="dxa"/>
            <w:vAlign w:val="bottom"/>
            <w:tcBorders>
              <w:bottom w:val="single" w:sz="8" w:color="auto"/>
            </w:tcBorders>
          </w:tcPr>
          <w:p>
            <w:pPr>
              <w:spacing w:after="0"/>
              <w:rPr>
                <w:sz w:val="16"/>
                <w:szCs w:val="16"/>
                <w:color w:val="auto"/>
              </w:rPr>
            </w:pPr>
          </w:p>
        </w:tc>
        <w:tc>
          <w:tcPr>
            <w:tcW w:w="2480" w:type="dxa"/>
            <w:vAlign w:val="bottom"/>
            <w:tcBorders>
              <w:bottom w:val="single" w:sz="8" w:color="D5EEEE"/>
            </w:tcBorders>
          </w:tcPr>
          <w:p>
            <w:pPr>
              <w:spacing w:after="0"/>
              <w:rPr>
                <w:sz w:val="16"/>
                <w:szCs w:val="16"/>
                <w:color w:val="auto"/>
              </w:rPr>
            </w:pPr>
          </w:p>
        </w:tc>
        <w:tc>
          <w:tcPr>
            <w:tcW w:w="40" w:type="dxa"/>
            <w:vAlign w:val="bottom"/>
            <w:tcBorders>
              <w:bottom w:val="single" w:sz="8" w:color="D5EEEE"/>
            </w:tcBorders>
          </w:tcPr>
          <w:p>
            <w:pPr>
              <w:spacing w:after="0"/>
              <w:rPr>
                <w:sz w:val="16"/>
                <w:szCs w:val="16"/>
                <w:color w:val="auto"/>
              </w:rPr>
            </w:pPr>
          </w:p>
        </w:tc>
        <w:tc>
          <w:tcPr>
            <w:tcW w:w="160" w:type="dxa"/>
            <w:vAlign w:val="bottom"/>
            <w:tcBorders>
              <w:bottom w:val="single" w:sz="8" w:color="D5EEEE"/>
            </w:tcBorders>
          </w:tcPr>
          <w:p>
            <w:pPr>
              <w:spacing w:after="0"/>
              <w:rPr>
                <w:sz w:val="16"/>
                <w:szCs w:val="16"/>
                <w:color w:val="auto"/>
              </w:rPr>
            </w:pPr>
          </w:p>
        </w:tc>
        <w:tc>
          <w:tcPr>
            <w:tcW w:w="40" w:type="dxa"/>
            <w:vAlign w:val="bottom"/>
            <w:tcBorders>
              <w:bottom w:val="single" w:sz="8" w:color="D5EEEE"/>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860" w:type="dxa"/>
            <w:vAlign w:val="bottom"/>
            <w:tcBorders>
              <w:top w:val="single" w:sz="8" w:color="auto"/>
              <w:bottom w:val="single" w:sz="8" w:color="auto"/>
            </w:tcBorders>
            <w:gridSpan w:val="4"/>
          </w:tcPr>
          <w:p>
            <w:pPr>
              <w:jc w:val="center"/>
              <w:ind w:right="140"/>
              <w:spacing w:after="0" w:line="168" w:lineRule="exact"/>
              <w:rPr>
                <w:sz w:val="20"/>
                <w:szCs w:val="20"/>
                <w:color w:val="auto"/>
              </w:rPr>
            </w:pPr>
            <w:r>
              <w:rPr>
                <w:rFonts w:ascii="Times New Roman" w:cs="Times New Roman" w:eastAsia="Times New Roman" w:hAnsi="Times New Roman"/>
                <w:sz w:val="16"/>
                <w:szCs w:val="16"/>
                <w:b w:val="1"/>
                <w:bCs w:val="1"/>
                <w:color w:val="auto"/>
                <w:w w:val="98"/>
              </w:rPr>
              <w:t>December 31, 2022</w:t>
            </w:r>
          </w:p>
        </w:tc>
        <w:tc>
          <w:tcPr>
            <w:tcW w:w="100" w:type="dxa"/>
            <w:vAlign w:val="bottom"/>
            <w:tcBorders>
              <w:bottom w:val="single" w:sz="8" w:color="D5EEEE"/>
            </w:tcBorders>
          </w:tcPr>
          <w:p>
            <w:pPr>
              <w:spacing w:after="0"/>
              <w:rPr>
                <w:sz w:val="16"/>
                <w:szCs w:val="16"/>
                <w:color w:val="auto"/>
              </w:rPr>
            </w:pPr>
          </w:p>
        </w:tc>
        <w:tc>
          <w:tcPr>
            <w:tcW w:w="20" w:type="dxa"/>
            <w:vAlign w:val="bottom"/>
            <w:tcBorders>
              <w:bottom w:val="single" w:sz="8" w:color="D5EEEE"/>
            </w:tcBorders>
          </w:tcPr>
          <w:p>
            <w:pPr>
              <w:spacing w:after="0"/>
              <w:rPr>
                <w:sz w:val="16"/>
                <w:szCs w:val="16"/>
                <w:color w:val="auto"/>
              </w:rPr>
            </w:pPr>
          </w:p>
        </w:tc>
        <w:tc>
          <w:tcPr>
            <w:tcW w:w="80" w:type="dxa"/>
            <w:vAlign w:val="bottom"/>
            <w:tcBorders>
              <w:bottom w:val="single" w:sz="8" w:color="D5EEEE"/>
            </w:tcBorders>
          </w:tcPr>
          <w:p>
            <w:pPr>
              <w:spacing w:after="0"/>
              <w:rPr>
                <w:sz w:val="16"/>
                <w:szCs w:val="16"/>
                <w:color w:val="auto"/>
              </w:rPr>
            </w:pPr>
          </w:p>
        </w:tc>
        <w:tc>
          <w:tcPr>
            <w:tcW w:w="20" w:type="dxa"/>
            <w:vAlign w:val="bottom"/>
            <w:tcBorders>
              <w:bottom w:val="single" w:sz="8" w:color="D5EEEE"/>
            </w:tcBorders>
          </w:tcPr>
          <w:p>
            <w:pPr>
              <w:spacing w:after="0"/>
              <w:rPr>
                <w:sz w:val="16"/>
                <w:szCs w:val="16"/>
                <w:color w:val="auto"/>
              </w:rPr>
            </w:pPr>
          </w:p>
        </w:tc>
        <w:tc>
          <w:tcPr>
            <w:tcW w:w="80" w:type="dxa"/>
            <w:vAlign w:val="bottom"/>
            <w:tcBorders>
              <w:bottom w:val="single" w:sz="8" w:color="D5EEEE"/>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920" w:type="dxa"/>
            <w:vAlign w:val="bottom"/>
            <w:tcBorders>
              <w:top w:val="single" w:sz="8" w:color="auto"/>
              <w:bottom w:val="single" w:sz="8" w:color="auto"/>
            </w:tcBorders>
            <w:gridSpan w:val="4"/>
          </w:tcPr>
          <w:p>
            <w:pPr>
              <w:jc w:val="center"/>
              <w:ind w:right="140"/>
              <w:spacing w:after="0" w:line="168" w:lineRule="exact"/>
              <w:rPr>
                <w:sz w:val="20"/>
                <w:szCs w:val="20"/>
                <w:color w:val="auto"/>
              </w:rPr>
            </w:pPr>
            <w:r>
              <w:rPr>
                <w:rFonts w:ascii="Times New Roman" w:cs="Times New Roman" w:eastAsia="Times New Roman" w:hAnsi="Times New Roman"/>
                <w:sz w:val="16"/>
                <w:szCs w:val="16"/>
                <w:b w:val="1"/>
                <w:bCs w:val="1"/>
                <w:color w:val="auto"/>
              </w:rPr>
              <w:t>December 31, 2021</w:t>
            </w:r>
          </w:p>
        </w:tc>
        <w:tc>
          <w:tcPr>
            <w:tcW w:w="80" w:type="dxa"/>
            <w:vAlign w:val="bottom"/>
            <w:tcBorders>
              <w:bottom w:val="single" w:sz="8" w:color="D5EEEE"/>
            </w:tcBorders>
          </w:tcPr>
          <w:p>
            <w:pPr>
              <w:spacing w:after="0"/>
              <w:rPr>
                <w:sz w:val="16"/>
                <w:szCs w:val="16"/>
                <w:color w:val="auto"/>
              </w:rPr>
            </w:pPr>
          </w:p>
        </w:tc>
        <w:tc>
          <w:tcPr>
            <w:tcW w:w="120" w:type="dxa"/>
            <w:vAlign w:val="bottom"/>
            <w:tcBorders>
              <w:bottom w:val="single" w:sz="8" w:color="D5EEEE"/>
            </w:tcBorders>
          </w:tcPr>
          <w:p>
            <w:pPr>
              <w:spacing w:after="0"/>
              <w:rPr>
                <w:sz w:val="16"/>
                <w:szCs w:val="16"/>
                <w:color w:val="auto"/>
              </w:rPr>
            </w:pPr>
          </w:p>
        </w:tc>
        <w:tc>
          <w:tcPr>
            <w:tcW w:w="80" w:type="dxa"/>
            <w:vAlign w:val="bottom"/>
            <w:tcBorders>
              <w:bottom w:val="single" w:sz="8" w:color="D5EEEE"/>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680" w:type="dxa"/>
            <w:vAlign w:val="bottom"/>
            <w:tcBorders>
              <w:top w:val="single" w:sz="8" w:color="auto"/>
              <w:bottom w:val="single" w:sz="8" w:color="auto"/>
            </w:tcBorders>
            <w:gridSpan w:val="3"/>
          </w:tcPr>
          <w:p>
            <w:pPr>
              <w:ind w:left="300"/>
              <w:spacing w:after="0" w:line="168" w:lineRule="exact"/>
              <w:rPr>
                <w:sz w:val="20"/>
                <w:szCs w:val="20"/>
                <w:color w:val="auto"/>
              </w:rPr>
            </w:pPr>
            <w:r>
              <w:rPr>
                <w:rFonts w:ascii="Times New Roman" w:cs="Times New Roman" w:eastAsia="Times New Roman" w:hAnsi="Times New Roman"/>
                <w:sz w:val="16"/>
                <w:szCs w:val="16"/>
                <w:b w:val="1"/>
                <w:bCs w:val="1"/>
                <w:color w:val="auto"/>
              </w:rPr>
              <w:t>June 30, 2021</w:t>
            </w:r>
          </w:p>
        </w:tc>
        <w:tc>
          <w:tcPr>
            <w:tcW w:w="80" w:type="dxa"/>
            <w:vAlign w:val="bottom"/>
            <w:tcBorders>
              <w:bottom w:val="single" w:sz="8" w:color="D5EEEE"/>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20" w:type="dxa"/>
            <w:vAlign w:val="bottom"/>
            <w:tcBorders>
              <w:top w:val="single" w:sz="8" w:color="D5EEEE"/>
            </w:tcBorders>
            <w:gridSpan w:val="3"/>
            <w:shd w:val="clear" w:color="auto" w:fill="D5EEEE"/>
          </w:tcPr>
          <w:p>
            <w:pPr>
              <w:spacing w:after="0" w:line="228" w:lineRule="exact"/>
              <w:rPr>
                <w:sz w:val="20"/>
                <w:szCs w:val="20"/>
                <w:color w:val="auto"/>
              </w:rPr>
            </w:pPr>
            <w:r>
              <w:rPr>
                <w:rFonts w:ascii="Times New Roman" w:cs="Times New Roman" w:eastAsia="Times New Roman" w:hAnsi="Times New Roman"/>
                <w:sz w:val="20"/>
                <w:szCs w:val="20"/>
                <w:color w:val="auto"/>
              </w:rPr>
              <w:t>Tax expense (benefit) at U.S. statutory rate</w:t>
            </w:r>
          </w:p>
        </w:tc>
        <w:tc>
          <w:tcPr>
            <w:tcW w:w="160" w:type="dxa"/>
            <w:vAlign w:val="bottom"/>
            <w:tcBorders>
              <w:top w:val="single" w:sz="8" w:color="D5EEEE"/>
            </w:tcBorders>
            <w:shd w:val="clear" w:color="auto" w:fill="D5EEEE"/>
          </w:tcPr>
          <w:p>
            <w:pPr>
              <w:spacing w:after="0"/>
              <w:rPr>
                <w:sz w:val="19"/>
                <w:szCs w:val="19"/>
                <w:color w:val="auto"/>
              </w:rPr>
            </w:pPr>
          </w:p>
        </w:tc>
        <w:tc>
          <w:tcPr>
            <w:tcW w:w="40" w:type="dxa"/>
            <w:vAlign w:val="bottom"/>
            <w:tcBorders>
              <w:top w:val="single" w:sz="8" w:color="D5EEEE"/>
              <w:right w:val="single" w:sz="8" w:color="D5EEEE"/>
            </w:tcBorders>
            <w:shd w:val="clear" w:color="auto" w:fill="D5EEEE"/>
          </w:tcPr>
          <w:p>
            <w:pPr>
              <w:spacing w:after="0"/>
              <w:rPr>
                <w:sz w:val="19"/>
                <w:szCs w:val="19"/>
                <w:color w:val="auto"/>
              </w:rPr>
            </w:pPr>
          </w:p>
        </w:tc>
        <w:tc>
          <w:tcPr>
            <w:tcW w:w="80" w:type="dxa"/>
            <w:vAlign w:val="bottom"/>
            <w:tcBorders>
              <w:top w:val="single" w:sz="8" w:color="D5EEEE"/>
            </w:tcBorders>
            <w:gridSpan w:val="2"/>
            <w:shd w:val="clear" w:color="auto" w:fill="D5EEEE"/>
          </w:tcPr>
          <w:p>
            <w:pPr>
              <w:jc w:val="right"/>
              <w:spacing w:after="0" w:line="228"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40" w:type="dxa"/>
            <w:vAlign w:val="bottom"/>
            <w:tcBorders>
              <w:top w:val="single" w:sz="8" w:color="D5EEEE"/>
              <w:left w:val="single" w:sz="8" w:color="D5EEEE"/>
            </w:tcBorders>
          </w:tcPr>
          <w:p>
            <w:pPr>
              <w:spacing w:after="0"/>
              <w:rPr>
                <w:sz w:val="19"/>
                <w:szCs w:val="19"/>
                <w:color w:val="auto"/>
              </w:rPr>
            </w:pPr>
          </w:p>
        </w:tc>
        <w:tc>
          <w:tcPr>
            <w:tcW w:w="1840" w:type="dxa"/>
            <w:vAlign w:val="bottom"/>
            <w:tcBorders>
              <w:top w:val="single" w:sz="8" w:color="D5EEEE"/>
            </w:tcBorders>
            <w:gridSpan w:val="3"/>
            <w:shd w:val="clear" w:color="auto" w:fill="D5EEEE"/>
          </w:tcPr>
          <w:p>
            <w:pPr>
              <w:jc w:val="right"/>
              <w:spacing w:after="0" w:line="228" w:lineRule="exact"/>
              <w:rPr>
                <w:sz w:val="20"/>
                <w:szCs w:val="20"/>
                <w:color w:val="auto"/>
              </w:rPr>
            </w:pPr>
            <w:r>
              <w:rPr>
                <w:rFonts w:ascii="Times New Roman" w:cs="Times New Roman" w:eastAsia="Times New Roman" w:hAnsi="Times New Roman"/>
                <w:sz w:val="20"/>
                <w:szCs w:val="20"/>
                <w:color w:val="auto"/>
              </w:rPr>
              <w:t>(5,592)</w:t>
            </w:r>
          </w:p>
        </w:tc>
        <w:tc>
          <w:tcPr>
            <w:tcW w:w="20" w:type="dxa"/>
            <w:vAlign w:val="bottom"/>
            <w:tcBorders>
              <w:top w:val="single" w:sz="8" w:color="D5EEEE"/>
            </w:tcBorders>
            <w:shd w:val="clear" w:color="auto" w:fill="D5EEEE"/>
          </w:tcPr>
          <w:p>
            <w:pPr>
              <w:spacing w:after="0"/>
              <w:rPr>
                <w:sz w:val="19"/>
                <w:szCs w:val="19"/>
                <w:color w:val="auto"/>
              </w:rPr>
            </w:pPr>
          </w:p>
        </w:tc>
        <w:tc>
          <w:tcPr>
            <w:tcW w:w="100" w:type="dxa"/>
            <w:vAlign w:val="bottom"/>
            <w:tcBorders>
              <w:top w:val="single" w:sz="8" w:color="D5EEEE"/>
            </w:tcBorders>
            <w:shd w:val="clear" w:color="auto" w:fill="D5EEEE"/>
          </w:tcPr>
          <w:p>
            <w:pPr>
              <w:spacing w:after="0"/>
              <w:rPr>
                <w:sz w:val="19"/>
                <w:szCs w:val="19"/>
                <w:color w:val="auto"/>
              </w:rPr>
            </w:pPr>
          </w:p>
        </w:tc>
        <w:tc>
          <w:tcPr>
            <w:tcW w:w="20" w:type="dxa"/>
            <w:vAlign w:val="bottom"/>
            <w:tcBorders>
              <w:top w:val="single" w:sz="8" w:color="D5EEEE"/>
            </w:tcBorders>
            <w:shd w:val="clear" w:color="auto" w:fill="D5EEEE"/>
          </w:tcPr>
          <w:p>
            <w:pPr>
              <w:spacing w:after="0"/>
              <w:rPr>
                <w:sz w:val="19"/>
                <w:szCs w:val="19"/>
                <w:color w:val="auto"/>
              </w:rPr>
            </w:pPr>
          </w:p>
        </w:tc>
        <w:tc>
          <w:tcPr>
            <w:tcW w:w="80" w:type="dxa"/>
            <w:vAlign w:val="bottom"/>
            <w:tcBorders>
              <w:top w:val="single" w:sz="8" w:color="D5EEEE"/>
              <w:left w:val="single" w:sz="8" w:color="D5EEEE"/>
            </w:tcBorders>
            <w:shd w:val="clear" w:color="auto" w:fill="D5EEEE"/>
          </w:tcPr>
          <w:p>
            <w:pPr>
              <w:spacing w:after="0"/>
              <w:rPr>
                <w:sz w:val="19"/>
                <w:szCs w:val="19"/>
                <w:color w:val="auto"/>
              </w:rPr>
            </w:pPr>
          </w:p>
        </w:tc>
        <w:tc>
          <w:tcPr>
            <w:tcW w:w="20" w:type="dxa"/>
            <w:vAlign w:val="bottom"/>
            <w:tcBorders>
              <w:top w:val="single" w:sz="8" w:color="D5EEEE"/>
            </w:tcBorders>
            <w:shd w:val="clear" w:color="auto" w:fill="D5EEEE"/>
          </w:tcPr>
          <w:p>
            <w:pPr>
              <w:spacing w:after="0"/>
              <w:rPr>
                <w:sz w:val="19"/>
                <w:szCs w:val="19"/>
                <w:color w:val="auto"/>
              </w:rPr>
            </w:pPr>
          </w:p>
        </w:tc>
        <w:tc>
          <w:tcPr>
            <w:tcW w:w="80" w:type="dxa"/>
            <w:vAlign w:val="bottom"/>
            <w:tcBorders>
              <w:top w:val="single" w:sz="8" w:color="D5EEEE"/>
            </w:tcBorders>
            <w:shd w:val="clear" w:color="auto" w:fill="D5EEEE"/>
          </w:tcPr>
          <w:p>
            <w:pPr>
              <w:spacing w:after="0"/>
              <w:rPr>
                <w:sz w:val="19"/>
                <w:szCs w:val="19"/>
                <w:color w:val="auto"/>
              </w:rPr>
            </w:pPr>
          </w:p>
        </w:tc>
        <w:tc>
          <w:tcPr>
            <w:tcW w:w="100" w:type="dxa"/>
            <w:vAlign w:val="bottom"/>
            <w:tcBorders>
              <w:top w:val="single" w:sz="8" w:color="D5EEEE"/>
            </w:tcBorders>
            <w:shd w:val="clear" w:color="auto" w:fill="D5EEEE"/>
          </w:tcPr>
          <w:p>
            <w:pPr>
              <w:spacing w:after="0" w:line="228"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Borders>
              <w:top w:val="single" w:sz="8" w:color="D5EEEE"/>
            </w:tcBorders>
          </w:tcPr>
          <w:p>
            <w:pPr>
              <w:spacing w:after="0"/>
              <w:rPr>
                <w:sz w:val="19"/>
                <w:szCs w:val="19"/>
                <w:color w:val="auto"/>
              </w:rPr>
            </w:pPr>
          </w:p>
        </w:tc>
        <w:tc>
          <w:tcPr>
            <w:tcW w:w="1880" w:type="dxa"/>
            <w:vAlign w:val="bottom"/>
            <w:tcBorders>
              <w:top w:val="single" w:sz="8" w:color="D5EEEE"/>
            </w:tcBorders>
            <w:gridSpan w:val="3"/>
            <w:shd w:val="clear" w:color="auto" w:fill="D5EEEE"/>
          </w:tcPr>
          <w:p>
            <w:pPr>
              <w:jc w:val="right"/>
              <w:spacing w:after="0" w:line="228" w:lineRule="exact"/>
              <w:rPr>
                <w:sz w:val="20"/>
                <w:szCs w:val="20"/>
                <w:color w:val="auto"/>
              </w:rPr>
            </w:pPr>
            <w:r>
              <w:rPr>
                <w:rFonts w:ascii="Times New Roman" w:cs="Times New Roman" w:eastAsia="Times New Roman" w:hAnsi="Times New Roman"/>
                <w:sz w:val="20"/>
                <w:szCs w:val="20"/>
                <w:color w:val="auto"/>
              </w:rPr>
              <w:t>(3,024</w:t>
            </w:r>
          </w:p>
        </w:tc>
        <w:tc>
          <w:tcPr>
            <w:tcW w:w="40" w:type="dxa"/>
            <w:vAlign w:val="bottom"/>
            <w:tcBorders>
              <w:top w:val="single" w:sz="8" w:color="D5EEEE"/>
              <w:right w:val="single" w:sz="8" w:color="D5EEEE"/>
            </w:tcBorders>
            <w:shd w:val="clear" w:color="auto" w:fill="D5EEEE"/>
          </w:tcPr>
          <w:p>
            <w:pPr>
              <w:spacing w:after="0"/>
              <w:rPr>
                <w:sz w:val="19"/>
                <w:szCs w:val="19"/>
                <w:color w:val="auto"/>
              </w:rPr>
            </w:pPr>
          </w:p>
        </w:tc>
        <w:tc>
          <w:tcPr>
            <w:tcW w:w="80" w:type="dxa"/>
            <w:vAlign w:val="bottom"/>
            <w:tcBorders>
              <w:top w:val="single" w:sz="8" w:color="D5EEEE"/>
            </w:tcBorders>
            <w:shd w:val="clear" w:color="auto" w:fill="D5EEEE"/>
          </w:tcPr>
          <w:p>
            <w:pPr>
              <w:jc w:val="right"/>
              <w:ind w:right="1"/>
              <w:spacing w:after="0"/>
              <w:rPr>
                <w:sz w:val="20"/>
                <w:szCs w:val="20"/>
                <w:color w:val="auto"/>
              </w:rPr>
            </w:pPr>
            <w:r>
              <w:rPr>
                <w:rFonts w:ascii="Times New Roman" w:cs="Times New Roman" w:eastAsia="Times New Roman" w:hAnsi="Times New Roman"/>
                <w:sz w:val="8"/>
                <w:szCs w:val="8"/>
                <w:color w:val="auto"/>
                <w:w w:val="73"/>
                <w:shd w:val="clear" w:color="auto" w:fill="D5EEEE"/>
              </w:rPr>
              <w:t>)</w:t>
            </w:r>
          </w:p>
        </w:tc>
        <w:tc>
          <w:tcPr>
            <w:tcW w:w="120" w:type="dxa"/>
            <w:vAlign w:val="bottom"/>
            <w:tcBorders>
              <w:top w:val="single" w:sz="8" w:color="D5EEEE"/>
            </w:tcBorders>
            <w:shd w:val="clear" w:color="auto" w:fill="D5EEEE"/>
          </w:tcPr>
          <w:p>
            <w:pPr>
              <w:spacing w:after="0"/>
              <w:rPr>
                <w:sz w:val="19"/>
                <w:szCs w:val="19"/>
                <w:color w:val="auto"/>
              </w:rPr>
            </w:pPr>
          </w:p>
        </w:tc>
        <w:tc>
          <w:tcPr>
            <w:tcW w:w="80" w:type="dxa"/>
            <w:vAlign w:val="bottom"/>
            <w:tcBorders>
              <w:top w:val="single" w:sz="8" w:color="D5EEEE"/>
            </w:tcBorders>
            <w:shd w:val="clear" w:color="auto" w:fill="D5EEEE"/>
          </w:tcPr>
          <w:p>
            <w:pPr>
              <w:spacing w:after="0"/>
              <w:rPr>
                <w:sz w:val="19"/>
                <w:szCs w:val="19"/>
                <w:color w:val="auto"/>
              </w:rPr>
            </w:pPr>
          </w:p>
        </w:tc>
        <w:tc>
          <w:tcPr>
            <w:tcW w:w="100" w:type="dxa"/>
            <w:vAlign w:val="bottom"/>
            <w:tcBorders>
              <w:top w:val="single" w:sz="8" w:color="D5EEEE"/>
            </w:tcBorders>
            <w:gridSpan w:val="3"/>
            <w:shd w:val="clear" w:color="auto" w:fill="D5EEEE"/>
          </w:tcPr>
          <w:p>
            <w:pPr>
              <w:jc w:val="right"/>
              <w:spacing w:after="0" w:line="228"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Borders>
              <w:top w:val="single" w:sz="8" w:color="D5EEEE"/>
            </w:tcBorders>
          </w:tcPr>
          <w:p>
            <w:pPr>
              <w:spacing w:after="0"/>
              <w:rPr>
                <w:sz w:val="19"/>
                <w:szCs w:val="19"/>
                <w:color w:val="auto"/>
              </w:rPr>
            </w:pPr>
          </w:p>
        </w:tc>
        <w:tc>
          <w:tcPr>
            <w:tcW w:w="1640" w:type="dxa"/>
            <w:vAlign w:val="bottom"/>
            <w:tcBorders>
              <w:top w:val="single" w:sz="8" w:color="D5EEEE"/>
            </w:tcBorders>
            <w:shd w:val="clear" w:color="auto" w:fill="D5EEEE"/>
          </w:tcPr>
          <w:p>
            <w:pPr>
              <w:jc w:val="right"/>
              <w:spacing w:after="0" w:line="228" w:lineRule="exact"/>
              <w:rPr>
                <w:sz w:val="20"/>
                <w:szCs w:val="20"/>
                <w:color w:val="auto"/>
              </w:rPr>
            </w:pPr>
            <w:r>
              <w:rPr>
                <w:rFonts w:ascii="Times New Roman" w:cs="Times New Roman" w:eastAsia="Times New Roman" w:hAnsi="Times New Roman"/>
                <w:sz w:val="20"/>
                <w:szCs w:val="20"/>
                <w:color w:val="auto"/>
              </w:rPr>
              <w:t>(5,574</w:t>
            </w:r>
          </w:p>
        </w:tc>
        <w:tc>
          <w:tcPr>
            <w:tcW w:w="20" w:type="dxa"/>
            <w:vAlign w:val="bottom"/>
            <w:tcBorders>
              <w:top w:val="single" w:sz="8" w:color="D5EEEE"/>
            </w:tcBorders>
            <w:shd w:val="clear" w:color="auto" w:fill="D5EEEE"/>
          </w:tcPr>
          <w:p>
            <w:pPr>
              <w:spacing w:after="0"/>
              <w:rPr>
                <w:sz w:val="19"/>
                <w:szCs w:val="19"/>
                <w:color w:val="auto"/>
              </w:rPr>
            </w:pPr>
          </w:p>
        </w:tc>
        <w:tc>
          <w:tcPr>
            <w:tcW w:w="20" w:type="dxa"/>
            <w:vAlign w:val="bottom"/>
            <w:tcBorders>
              <w:top w:val="single" w:sz="8" w:color="D5EEEE"/>
            </w:tcBorders>
            <w:shd w:val="clear" w:color="auto" w:fill="D5EEEE"/>
          </w:tcPr>
          <w:p>
            <w:pPr>
              <w:spacing w:after="0"/>
              <w:rPr>
                <w:sz w:val="19"/>
                <w:szCs w:val="19"/>
                <w:color w:val="auto"/>
              </w:rPr>
            </w:pPr>
          </w:p>
        </w:tc>
        <w:tc>
          <w:tcPr>
            <w:tcW w:w="80" w:type="dxa"/>
            <w:vAlign w:val="bottom"/>
            <w:tcBorders>
              <w:top w:val="single" w:sz="8" w:color="D5EEEE"/>
            </w:tcBorders>
            <w:shd w:val="clear" w:color="auto" w:fill="D5EEEE"/>
          </w:tcPr>
          <w:p>
            <w:pPr>
              <w:jc w:val="right"/>
              <w:ind w:right="1"/>
              <w:spacing w:after="0"/>
              <w:rPr>
                <w:sz w:val="20"/>
                <w:szCs w:val="20"/>
                <w:color w:val="auto"/>
              </w:rPr>
            </w:pPr>
            <w:r>
              <w:rPr>
                <w:rFonts w:ascii="Times New Roman" w:cs="Times New Roman" w:eastAsia="Times New Roman" w:hAnsi="Times New Roman"/>
                <w:sz w:val="8"/>
                <w:szCs w:val="8"/>
                <w:color w:val="auto"/>
                <w:w w:val="73"/>
                <w:shd w:val="clear" w:color="auto" w:fill="D5EEEE"/>
              </w:rPr>
              <w:t>)</w:t>
            </w:r>
          </w:p>
        </w:tc>
        <w:tc>
          <w:tcPr>
            <w:tcW w:w="0" w:type="dxa"/>
            <w:vAlign w:val="bottom"/>
          </w:tcPr>
          <w:p>
            <w:pPr>
              <w:spacing w:after="0"/>
              <w:rPr>
                <w:sz w:val="1"/>
                <w:szCs w:val="1"/>
                <w:color w:val="auto"/>
              </w:rPr>
            </w:pPr>
          </w:p>
        </w:tc>
      </w:tr>
      <w:tr>
        <w:trPr>
          <w:trHeight w:val="245"/>
        </w:trPr>
        <w:tc>
          <w:tcPr>
            <w:tcW w:w="1600" w:type="dxa"/>
            <w:vAlign w:val="bottom"/>
            <w:tcBorders>
              <w:bottom w:val="single" w:sz="8" w:color="D5EEEE"/>
            </w:tcBorders>
          </w:tcPr>
          <w:p>
            <w:pPr>
              <w:spacing w:after="0"/>
              <w:rPr>
                <w:sz w:val="21"/>
                <w:szCs w:val="21"/>
                <w:color w:val="auto"/>
              </w:rPr>
            </w:pPr>
          </w:p>
        </w:tc>
        <w:tc>
          <w:tcPr>
            <w:tcW w:w="2480" w:type="dxa"/>
            <w:vAlign w:val="bottom"/>
            <w:tcBorders>
              <w:bottom w:val="single" w:sz="8" w:color="D5EEEE"/>
            </w:tcBorders>
          </w:tcPr>
          <w:p>
            <w:pPr>
              <w:spacing w:after="0"/>
              <w:rPr>
                <w:sz w:val="21"/>
                <w:szCs w:val="21"/>
                <w:color w:val="auto"/>
              </w:rPr>
            </w:pPr>
          </w:p>
        </w:tc>
        <w:tc>
          <w:tcPr>
            <w:tcW w:w="40" w:type="dxa"/>
            <w:vAlign w:val="bottom"/>
            <w:tcBorders>
              <w:bottom w:val="single" w:sz="8" w:color="D5EEEE"/>
            </w:tcBorders>
          </w:tcPr>
          <w:p>
            <w:pPr>
              <w:spacing w:after="0"/>
              <w:rPr>
                <w:sz w:val="21"/>
                <w:szCs w:val="21"/>
                <w:color w:val="auto"/>
              </w:rPr>
            </w:pPr>
          </w:p>
        </w:tc>
        <w:tc>
          <w:tcPr>
            <w:tcW w:w="160" w:type="dxa"/>
            <w:vAlign w:val="bottom"/>
            <w:tcBorders>
              <w:bottom w:val="single" w:sz="8" w:color="D5EEEE"/>
            </w:tcBorders>
          </w:tcPr>
          <w:p>
            <w:pPr>
              <w:spacing w:after="0"/>
              <w:rPr>
                <w:sz w:val="21"/>
                <w:szCs w:val="21"/>
                <w:color w:val="auto"/>
              </w:rPr>
            </w:pPr>
          </w:p>
        </w:tc>
        <w:tc>
          <w:tcPr>
            <w:tcW w:w="40" w:type="dxa"/>
            <w:vAlign w:val="bottom"/>
            <w:tcBorders>
              <w:bottom w:val="single" w:sz="8" w:color="D5EEEE"/>
            </w:tcBorders>
          </w:tcPr>
          <w:p>
            <w:pPr>
              <w:spacing w:after="0"/>
              <w:rPr>
                <w:sz w:val="21"/>
                <w:szCs w:val="21"/>
                <w:color w:val="auto"/>
              </w:rPr>
            </w:pPr>
          </w:p>
        </w:tc>
        <w:tc>
          <w:tcPr>
            <w:tcW w:w="6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40" w:type="dxa"/>
            <w:vAlign w:val="bottom"/>
            <w:tcBorders>
              <w:bottom w:val="single" w:sz="8" w:color="D5EEEE"/>
            </w:tcBorders>
          </w:tcPr>
          <w:p>
            <w:pPr>
              <w:spacing w:after="0"/>
              <w:rPr>
                <w:sz w:val="21"/>
                <w:szCs w:val="21"/>
                <w:color w:val="auto"/>
              </w:rPr>
            </w:pPr>
          </w:p>
        </w:tc>
        <w:tc>
          <w:tcPr>
            <w:tcW w:w="1840" w:type="dxa"/>
            <w:vAlign w:val="bottom"/>
            <w:tcBorders>
              <w:bottom w:val="single" w:sz="8" w:color="D5EEEE"/>
            </w:tcBorders>
            <w:gridSpan w:val="3"/>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880" w:type="dxa"/>
            <w:vAlign w:val="bottom"/>
            <w:tcBorders>
              <w:bottom w:val="single" w:sz="8" w:color="D5EEEE"/>
            </w:tcBorders>
            <w:gridSpan w:val="3"/>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4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40" w:type="dxa"/>
            <w:vAlign w:val="bottom"/>
            <w:tcBorders>
              <w:bottom w:val="single" w:sz="8" w:color="D5EEEE"/>
            </w:tcBorders>
          </w:tcPr>
          <w:p>
            <w:pPr>
              <w:jc w:val="right"/>
              <w:ind w:right="6"/>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120" w:type="dxa"/>
            <w:vAlign w:val="bottom"/>
            <w:gridSpan w:val="3"/>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Foreign rate differential</w:t>
            </w:r>
          </w:p>
        </w:tc>
        <w:tc>
          <w:tcPr>
            <w:tcW w:w="160" w:type="dxa"/>
            <w:vAlign w:val="bottom"/>
            <w:shd w:val="clear" w:color="auto" w:fill="D5EEEE"/>
          </w:tcPr>
          <w:p>
            <w:pPr>
              <w:spacing w:after="0"/>
              <w:rPr>
                <w:sz w:val="19"/>
                <w:szCs w:val="19"/>
                <w:color w:val="auto"/>
              </w:rPr>
            </w:pPr>
          </w:p>
        </w:tc>
        <w:tc>
          <w:tcPr>
            <w:tcW w:w="40" w:type="dxa"/>
            <w:vAlign w:val="bottom"/>
            <w:tcBorders>
              <w:right w:val="single" w:sz="8" w:color="D5EEEE"/>
            </w:tcBorders>
            <w:shd w:val="clear" w:color="auto" w:fill="D5EEEE"/>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40" w:type="dxa"/>
            <w:vAlign w:val="bottom"/>
            <w:gridSpan w:val="3"/>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5</w:t>
            </w:r>
          </w:p>
        </w:tc>
        <w:tc>
          <w:tcPr>
            <w:tcW w:w="2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80" w:type="dxa"/>
            <w:vAlign w:val="bottom"/>
            <w:tcBorders>
              <w:left w:val="single" w:sz="8" w:color="D5EEEE"/>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80" w:type="dxa"/>
            <w:vAlign w:val="bottom"/>
            <w:gridSpan w:val="3"/>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5</w:t>
            </w:r>
          </w:p>
        </w:tc>
        <w:tc>
          <w:tcPr>
            <w:tcW w:w="40" w:type="dxa"/>
            <w:vAlign w:val="bottom"/>
            <w:tcBorders>
              <w:right w:val="single" w:sz="8" w:color="D5EEEE"/>
            </w:tcBorders>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60" w:type="dxa"/>
            <w:vAlign w:val="bottom"/>
            <w:gridSpan w:val="4"/>
          </w:tcPr>
          <w:p>
            <w:pPr>
              <w:jc w:val="right"/>
              <w:ind w:right="1"/>
              <w:spacing w:after="0" w:line="225" w:lineRule="exact"/>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45"/>
        </w:trPr>
        <w:tc>
          <w:tcPr>
            <w:tcW w:w="4120" w:type="dxa"/>
            <w:vAlign w:val="bottom"/>
            <w:tcBorders>
              <w:bottom w:val="single" w:sz="8" w:color="D5EEEE"/>
            </w:tcBorders>
            <w:gridSpan w:val="3"/>
          </w:tcPr>
          <w:p>
            <w:pPr>
              <w:spacing w:after="0"/>
              <w:rPr>
                <w:sz w:val="20"/>
                <w:szCs w:val="20"/>
                <w:color w:val="auto"/>
              </w:rPr>
            </w:pPr>
            <w:r>
              <w:rPr>
                <w:rFonts w:ascii="Times New Roman" w:cs="Times New Roman" w:eastAsia="Times New Roman" w:hAnsi="Times New Roman"/>
                <w:sz w:val="20"/>
                <w:szCs w:val="20"/>
                <w:color w:val="auto"/>
              </w:rPr>
              <w:t>Share-based compensation</w:t>
            </w:r>
          </w:p>
        </w:tc>
        <w:tc>
          <w:tcPr>
            <w:tcW w:w="160" w:type="dxa"/>
            <w:vAlign w:val="bottom"/>
            <w:tcBorders>
              <w:bottom w:val="single" w:sz="8" w:color="D5EEEE"/>
            </w:tcBorders>
          </w:tcPr>
          <w:p>
            <w:pPr>
              <w:spacing w:after="0"/>
              <w:rPr>
                <w:sz w:val="21"/>
                <w:szCs w:val="21"/>
                <w:color w:val="auto"/>
              </w:rPr>
            </w:pPr>
          </w:p>
        </w:tc>
        <w:tc>
          <w:tcPr>
            <w:tcW w:w="40" w:type="dxa"/>
            <w:vAlign w:val="bottom"/>
            <w:tcBorders>
              <w:bottom w:val="single" w:sz="8" w:color="D5EEEE"/>
            </w:tcBorders>
          </w:tcPr>
          <w:p>
            <w:pPr>
              <w:spacing w:after="0"/>
              <w:rPr>
                <w:sz w:val="21"/>
                <w:szCs w:val="21"/>
                <w:color w:val="auto"/>
              </w:rPr>
            </w:pPr>
          </w:p>
        </w:tc>
        <w:tc>
          <w:tcPr>
            <w:tcW w:w="6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40" w:type="dxa"/>
            <w:vAlign w:val="bottom"/>
            <w:tcBorders>
              <w:bottom w:val="single" w:sz="8" w:color="D5EEEE"/>
            </w:tcBorders>
          </w:tcPr>
          <w:p>
            <w:pPr>
              <w:spacing w:after="0"/>
              <w:rPr>
                <w:sz w:val="21"/>
                <w:szCs w:val="21"/>
                <w:color w:val="auto"/>
              </w:rPr>
            </w:pPr>
          </w:p>
        </w:tc>
        <w:tc>
          <w:tcPr>
            <w:tcW w:w="1840" w:type="dxa"/>
            <w:vAlign w:val="bottom"/>
            <w:tcBorders>
              <w:bottom w:val="single" w:sz="8" w:color="D5EEEE"/>
            </w:tcBorders>
            <w:gridSpan w:val="3"/>
          </w:tcPr>
          <w:p>
            <w:pPr>
              <w:jc w:val="right"/>
              <w:spacing w:after="0"/>
              <w:rPr>
                <w:sz w:val="20"/>
                <w:szCs w:val="20"/>
                <w:color w:val="auto"/>
              </w:rPr>
            </w:pPr>
            <w:r>
              <w:rPr>
                <w:rFonts w:ascii="Times New Roman" w:cs="Times New Roman" w:eastAsia="Times New Roman" w:hAnsi="Times New Roman"/>
                <w:sz w:val="20"/>
                <w:szCs w:val="20"/>
                <w:color w:val="auto"/>
              </w:rPr>
              <w:t>719</w:t>
            </w: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880" w:type="dxa"/>
            <w:vAlign w:val="bottom"/>
            <w:tcBorders>
              <w:bottom w:val="single" w:sz="8" w:color="D5EEEE"/>
            </w:tcBorders>
            <w:gridSpan w:val="3"/>
          </w:tcPr>
          <w:p>
            <w:pPr>
              <w:jc w:val="right"/>
              <w:spacing w:after="0"/>
              <w:rPr>
                <w:sz w:val="20"/>
                <w:szCs w:val="20"/>
                <w:color w:val="auto"/>
              </w:rPr>
            </w:pPr>
            <w:r>
              <w:rPr>
                <w:rFonts w:ascii="Times New Roman" w:cs="Times New Roman" w:eastAsia="Times New Roman" w:hAnsi="Times New Roman"/>
                <w:sz w:val="20"/>
                <w:szCs w:val="20"/>
                <w:color w:val="auto"/>
              </w:rPr>
              <w:t>997</w:t>
            </w:r>
          </w:p>
        </w:tc>
        <w:tc>
          <w:tcPr>
            <w:tcW w:w="4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4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2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jc w:val="right"/>
              <w:ind w:right="1"/>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0" w:type="dxa"/>
            <w:vAlign w:val="bottom"/>
          </w:tcPr>
          <w:p>
            <w:pPr>
              <w:spacing w:after="0"/>
              <w:rPr>
                <w:sz w:val="1"/>
                <w:szCs w:val="1"/>
                <w:color w:val="auto"/>
              </w:rPr>
            </w:pPr>
          </w:p>
        </w:tc>
      </w:tr>
      <w:tr>
        <w:trPr>
          <w:trHeight w:val="239"/>
        </w:trPr>
        <w:tc>
          <w:tcPr>
            <w:tcW w:w="1600" w:type="dxa"/>
            <w:vAlign w:val="bottom"/>
            <w:shd w:val="clear" w:color="auto" w:fill="D5EEEE"/>
          </w:tcPr>
          <w:p>
            <w:pPr>
              <w:spacing w:after="0"/>
              <w:rPr>
                <w:sz w:val="20"/>
                <w:szCs w:val="20"/>
                <w:color w:val="auto"/>
              </w:rPr>
            </w:pPr>
          </w:p>
        </w:tc>
        <w:tc>
          <w:tcPr>
            <w:tcW w:w="2480" w:type="dxa"/>
            <w:vAlign w:val="bottom"/>
            <w:shd w:val="clear" w:color="auto" w:fill="D5EEEE"/>
          </w:tcPr>
          <w:p>
            <w:pPr>
              <w:spacing w:after="0"/>
              <w:rPr>
                <w:sz w:val="20"/>
                <w:szCs w:val="20"/>
                <w:color w:val="auto"/>
              </w:rPr>
            </w:pPr>
          </w:p>
        </w:tc>
        <w:tc>
          <w:tcPr>
            <w:tcW w:w="40" w:type="dxa"/>
            <w:vAlign w:val="bottom"/>
            <w:shd w:val="clear" w:color="auto" w:fill="D5EEEE"/>
          </w:tcPr>
          <w:p>
            <w:pPr>
              <w:spacing w:after="0"/>
              <w:rPr>
                <w:sz w:val="20"/>
                <w:szCs w:val="20"/>
                <w:color w:val="auto"/>
              </w:rPr>
            </w:pPr>
          </w:p>
        </w:tc>
        <w:tc>
          <w:tcPr>
            <w:tcW w:w="160" w:type="dxa"/>
            <w:vAlign w:val="bottom"/>
            <w:shd w:val="clear" w:color="auto" w:fill="D5EEEE"/>
          </w:tcPr>
          <w:p>
            <w:pPr>
              <w:spacing w:after="0"/>
              <w:rPr>
                <w:sz w:val="20"/>
                <w:szCs w:val="20"/>
                <w:color w:val="auto"/>
              </w:rPr>
            </w:pPr>
          </w:p>
        </w:tc>
        <w:tc>
          <w:tcPr>
            <w:tcW w:w="40" w:type="dxa"/>
            <w:vAlign w:val="bottom"/>
            <w:tcBorders>
              <w:right w:val="single" w:sz="8" w:color="D5EEEE"/>
            </w:tcBorders>
            <w:shd w:val="clear" w:color="auto" w:fill="D5EEE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40" w:type="dxa"/>
            <w:vAlign w:val="bottom"/>
            <w:gridSpan w:val="3"/>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(30)</w:t>
            </w:r>
          </w:p>
        </w:tc>
        <w:tc>
          <w:tcPr>
            <w:tcW w:w="20" w:type="dxa"/>
            <w:vAlign w:val="bottom"/>
            <w:shd w:val="clear" w:color="auto" w:fill="D5EEEE"/>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20" w:type="dxa"/>
            <w:vAlign w:val="bottom"/>
            <w:shd w:val="clear" w:color="auto" w:fill="D5EEEE"/>
          </w:tcPr>
          <w:p>
            <w:pPr>
              <w:spacing w:after="0"/>
              <w:rPr>
                <w:sz w:val="20"/>
                <w:szCs w:val="20"/>
                <w:color w:val="auto"/>
              </w:rPr>
            </w:pPr>
          </w:p>
        </w:tc>
        <w:tc>
          <w:tcPr>
            <w:tcW w:w="80" w:type="dxa"/>
            <w:vAlign w:val="bottom"/>
            <w:tcBorders>
              <w:left w:val="single" w:sz="8" w:color="D5EEEE"/>
            </w:tcBorders>
            <w:shd w:val="clear" w:color="auto" w:fill="D5EEEE"/>
          </w:tcPr>
          <w:p>
            <w:pPr>
              <w:spacing w:after="0"/>
              <w:rPr>
                <w:sz w:val="20"/>
                <w:szCs w:val="20"/>
                <w:color w:val="auto"/>
              </w:rPr>
            </w:pPr>
          </w:p>
        </w:tc>
        <w:tc>
          <w:tcPr>
            <w:tcW w:w="2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gridSpan w:val="3"/>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29</w:t>
            </w:r>
          </w:p>
        </w:tc>
        <w:tc>
          <w:tcPr>
            <w:tcW w:w="40" w:type="dxa"/>
            <w:vAlign w:val="bottom"/>
            <w:tcBorders>
              <w:right w:val="single" w:sz="8" w:color="D5EEEE"/>
            </w:tcBorders>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shd w:val="clear" w:color="auto" w:fill="D5EEEE"/>
          </w:tcPr>
          <w:p>
            <w:pPr>
              <w:jc w:val="right"/>
              <w:ind w:right="6"/>
              <w:spacing w:after="0" w:line="225" w:lineRule="exact"/>
              <w:rPr>
                <w:sz w:val="20"/>
                <w:szCs w:val="20"/>
                <w:color w:val="auto"/>
              </w:rPr>
            </w:pPr>
            <w:r>
              <w:rPr>
                <w:rFonts w:ascii="Times New Roman" w:cs="Times New Roman" w:eastAsia="Times New Roman" w:hAnsi="Times New Roman"/>
                <w:sz w:val="20"/>
                <w:szCs w:val="20"/>
                <w:color w:val="auto"/>
              </w:rPr>
              <w:t>23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6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Borders>
              <w:bottom w:val="single" w:sz="8" w:color="D5EEEE"/>
            </w:tcBorders>
          </w:tcPr>
          <w:p>
            <w:pPr>
              <w:spacing w:after="0"/>
              <w:rPr>
                <w:sz w:val="23"/>
                <w:szCs w:val="23"/>
                <w:color w:val="auto"/>
              </w:rPr>
            </w:pPr>
          </w:p>
        </w:tc>
        <w:tc>
          <w:tcPr>
            <w:tcW w:w="40" w:type="dxa"/>
            <w:vAlign w:val="bottom"/>
            <w:tcBorders>
              <w:bottom w:val="single" w:sz="8" w:color="D5EEEE"/>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4,899</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D5EEEE"/>
            </w:tcBorders>
          </w:tcPr>
          <w:p>
            <w:pPr>
              <w:spacing w:after="0"/>
              <w:rPr>
                <w:sz w:val="23"/>
                <w:szCs w:val="23"/>
                <w:color w:val="auto"/>
              </w:rPr>
            </w:pPr>
          </w:p>
        </w:tc>
        <w:tc>
          <w:tcPr>
            <w:tcW w:w="20" w:type="dxa"/>
            <w:vAlign w:val="bottom"/>
            <w:tcBorders>
              <w:bottom w:val="single" w:sz="8" w:color="D5EEEE"/>
            </w:tcBorders>
          </w:tcPr>
          <w:p>
            <w:pPr>
              <w:spacing w:after="0"/>
              <w:rPr>
                <w:sz w:val="23"/>
                <w:szCs w:val="23"/>
                <w:color w:val="auto"/>
              </w:rPr>
            </w:pPr>
          </w:p>
        </w:tc>
        <w:tc>
          <w:tcPr>
            <w:tcW w:w="80" w:type="dxa"/>
            <w:vAlign w:val="bottom"/>
            <w:tcBorders>
              <w:bottom w:val="single" w:sz="8" w:color="D5EEEE"/>
            </w:tcBorders>
          </w:tcPr>
          <w:p>
            <w:pPr>
              <w:spacing w:after="0"/>
              <w:rPr>
                <w:sz w:val="23"/>
                <w:szCs w:val="23"/>
                <w:color w:val="auto"/>
              </w:rPr>
            </w:pPr>
          </w:p>
        </w:tc>
        <w:tc>
          <w:tcPr>
            <w:tcW w:w="20" w:type="dxa"/>
            <w:vAlign w:val="bottom"/>
            <w:tcBorders>
              <w:bottom w:val="single" w:sz="8" w:color="D5EEEE"/>
            </w:tcBorders>
          </w:tcPr>
          <w:p>
            <w:pPr>
              <w:spacing w:after="0"/>
              <w:rPr>
                <w:sz w:val="23"/>
                <w:szCs w:val="23"/>
                <w:color w:val="auto"/>
              </w:rPr>
            </w:pPr>
          </w:p>
        </w:tc>
        <w:tc>
          <w:tcPr>
            <w:tcW w:w="80" w:type="dxa"/>
            <w:vAlign w:val="bottom"/>
            <w:tcBorders>
              <w:bottom w:val="single" w:sz="8" w:color="D5EEEE"/>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1,993</w:t>
            </w:r>
          </w:p>
        </w:tc>
        <w:tc>
          <w:tcPr>
            <w:tcW w:w="40" w:type="dxa"/>
            <w:vAlign w:val="bottom"/>
            <w:tcBorders>
              <w:bottom w:val="single" w:sz="8" w:color="auto"/>
            </w:tcBorders>
          </w:tcPr>
          <w:p>
            <w:pPr>
              <w:spacing w:after="0"/>
              <w:rPr>
                <w:sz w:val="23"/>
                <w:szCs w:val="23"/>
                <w:color w:val="auto"/>
              </w:rPr>
            </w:pPr>
          </w:p>
        </w:tc>
        <w:tc>
          <w:tcPr>
            <w:tcW w:w="80" w:type="dxa"/>
            <w:vAlign w:val="bottom"/>
            <w:tcBorders>
              <w:bottom w:val="single" w:sz="8" w:color="D5EEEE"/>
            </w:tcBorders>
          </w:tcPr>
          <w:p>
            <w:pPr>
              <w:spacing w:after="0"/>
              <w:rPr>
                <w:sz w:val="23"/>
                <w:szCs w:val="23"/>
                <w:color w:val="auto"/>
              </w:rPr>
            </w:pPr>
          </w:p>
        </w:tc>
        <w:tc>
          <w:tcPr>
            <w:tcW w:w="120" w:type="dxa"/>
            <w:vAlign w:val="bottom"/>
            <w:tcBorders>
              <w:bottom w:val="single" w:sz="8" w:color="D5EEEE"/>
            </w:tcBorders>
          </w:tcPr>
          <w:p>
            <w:pPr>
              <w:spacing w:after="0"/>
              <w:rPr>
                <w:sz w:val="23"/>
                <w:szCs w:val="23"/>
                <w:color w:val="auto"/>
              </w:rPr>
            </w:pPr>
          </w:p>
        </w:tc>
        <w:tc>
          <w:tcPr>
            <w:tcW w:w="80" w:type="dxa"/>
            <w:vAlign w:val="bottom"/>
            <w:tcBorders>
              <w:bottom w:val="single" w:sz="8" w:color="D5EEEE"/>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5,375</w:t>
            </w: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D5EEEE"/>
            </w:tcBorders>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1600" w:type="dxa"/>
            <w:vAlign w:val="bottom"/>
            <w:tcBorders>
              <w:top w:val="single" w:sz="8" w:color="D5EEEE"/>
            </w:tcBorders>
            <w:shd w:val="clear" w:color="auto" w:fill="D5EEEE"/>
          </w:tcPr>
          <w:p>
            <w:pPr>
              <w:spacing w:after="0"/>
              <w:rPr>
                <w:sz w:val="16"/>
                <w:szCs w:val="16"/>
                <w:color w:val="auto"/>
              </w:rPr>
            </w:pPr>
          </w:p>
        </w:tc>
        <w:tc>
          <w:tcPr>
            <w:tcW w:w="2480" w:type="dxa"/>
            <w:vAlign w:val="bottom"/>
            <w:tcBorders>
              <w:top w:val="single" w:sz="8" w:color="D5EEEE"/>
            </w:tcBorders>
            <w:shd w:val="clear" w:color="auto" w:fill="D5EEEE"/>
          </w:tcPr>
          <w:p>
            <w:pPr>
              <w:spacing w:after="0"/>
              <w:rPr>
                <w:sz w:val="16"/>
                <w:szCs w:val="16"/>
                <w:color w:val="auto"/>
              </w:rPr>
            </w:pPr>
          </w:p>
        </w:tc>
        <w:tc>
          <w:tcPr>
            <w:tcW w:w="40" w:type="dxa"/>
            <w:vAlign w:val="bottom"/>
            <w:tcBorders>
              <w:top w:val="single" w:sz="8" w:color="D5EEEE"/>
            </w:tcBorders>
            <w:shd w:val="clear" w:color="auto" w:fill="D5EEEE"/>
          </w:tcPr>
          <w:p>
            <w:pPr>
              <w:spacing w:after="0"/>
              <w:rPr>
                <w:sz w:val="16"/>
                <w:szCs w:val="16"/>
                <w:color w:val="auto"/>
              </w:rPr>
            </w:pPr>
          </w:p>
        </w:tc>
        <w:tc>
          <w:tcPr>
            <w:tcW w:w="160" w:type="dxa"/>
            <w:vAlign w:val="bottom"/>
            <w:tcBorders>
              <w:top w:val="single" w:sz="8" w:color="D5EEEE"/>
            </w:tcBorders>
            <w:shd w:val="clear" w:color="auto" w:fill="D5EEEE"/>
          </w:tcPr>
          <w:p>
            <w:pPr>
              <w:spacing w:after="0"/>
              <w:rPr>
                <w:sz w:val="16"/>
                <w:szCs w:val="16"/>
                <w:color w:val="auto"/>
              </w:rPr>
            </w:pPr>
          </w:p>
        </w:tc>
        <w:tc>
          <w:tcPr>
            <w:tcW w:w="40" w:type="dxa"/>
            <w:vAlign w:val="bottom"/>
            <w:tcBorders>
              <w:top w:val="single" w:sz="8" w:color="D5EEEE"/>
              <w:right w:val="single" w:sz="8" w:color="D5EEEE"/>
            </w:tcBorders>
            <w:shd w:val="clear" w:color="auto" w:fill="D5EEEE"/>
          </w:tcPr>
          <w:p>
            <w:pPr>
              <w:spacing w:after="0"/>
              <w:rPr>
                <w:sz w:val="16"/>
                <w:szCs w:val="16"/>
                <w:color w:val="auto"/>
              </w:rPr>
            </w:pPr>
          </w:p>
        </w:tc>
        <w:tc>
          <w:tcPr>
            <w:tcW w:w="80" w:type="dxa"/>
            <w:vAlign w:val="bottom"/>
            <w:tcBorders>
              <w:top w:val="single" w:sz="8" w:color="D5EEEE"/>
              <w:bottom w:val="single" w:sz="8" w:color="auto"/>
            </w:tcBorders>
            <w:gridSpan w:val="2"/>
            <w:shd w:val="clear" w:color="auto" w:fill="D5EEEE"/>
          </w:tcPr>
          <w:p>
            <w:pPr>
              <w:jc w:val="right"/>
              <w:spacing w:after="0" w:line="189"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40" w:type="dxa"/>
            <w:vAlign w:val="bottom"/>
            <w:tcBorders>
              <w:top w:val="single" w:sz="8" w:color="D5EEEE"/>
              <w:left w:val="single" w:sz="8" w:color="D5EEEE"/>
              <w:bottom w:val="single" w:sz="8" w:color="auto"/>
            </w:tcBorders>
          </w:tcPr>
          <w:p>
            <w:pPr>
              <w:spacing w:after="0"/>
              <w:rPr>
                <w:sz w:val="16"/>
                <w:szCs w:val="16"/>
                <w:color w:val="auto"/>
              </w:rPr>
            </w:pPr>
          </w:p>
        </w:tc>
        <w:tc>
          <w:tcPr>
            <w:tcW w:w="1840" w:type="dxa"/>
            <w:vAlign w:val="bottom"/>
            <w:tcBorders>
              <w:top w:val="single" w:sz="8" w:color="D5EEEE"/>
            </w:tcBorders>
            <w:gridSpan w:val="3"/>
            <w:shd w:val="clear" w:color="auto" w:fill="D5EEEE"/>
          </w:tcPr>
          <w:p>
            <w:pPr>
              <w:jc w:val="right"/>
              <w:spacing w:after="0" w:line="189" w:lineRule="exact"/>
              <w:rPr>
                <w:sz w:val="20"/>
                <w:szCs w:val="20"/>
                <w:color w:val="auto"/>
              </w:rPr>
            </w:pPr>
            <w:r>
              <w:rPr>
                <w:rFonts w:ascii="Times New Roman" w:cs="Times New Roman" w:eastAsia="Times New Roman" w:hAnsi="Times New Roman"/>
                <w:sz w:val="20"/>
                <w:szCs w:val="20"/>
                <w:color w:val="auto"/>
              </w:rPr>
              <w:t>36</w:t>
            </w:r>
          </w:p>
        </w:tc>
        <w:tc>
          <w:tcPr>
            <w:tcW w:w="20" w:type="dxa"/>
            <w:vAlign w:val="bottom"/>
            <w:tcBorders>
              <w:top w:val="single" w:sz="8" w:color="D5EEEE"/>
            </w:tcBorders>
            <w:shd w:val="clear" w:color="auto" w:fill="D5EEEE"/>
          </w:tcPr>
          <w:p>
            <w:pPr>
              <w:spacing w:after="0"/>
              <w:rPr>
                <w:sz w:val="16"/>
                <w:szCs w:val="16"/>
                <w:color w:val="auto"/>
              </w:rPr>
            </w:pPr>
          </w:p>
        </w:tc>
        <w:tc>
          <w:tcPr>
            <w:tcW w:w="100" w:type="dxa"/>
            <w:vAlign w:val="bottom"/>
            <w:tcBorders>
              <w:top w:val="single" w:sz="8" w:color="D5EEEE"/>
            </w:tcBorders>
            <w:shd w:val="clear" w:color="auto" w:fill="D5EEEE"/>
          </w:tcPr>
          <w:p>
            <w:pPr>
              <w:spacing w:after="0"/>
              <w:rPr>
                <w:sz w:val="16"/>
                <w:szCs w:val="16"/>
                <w:color w:val="auto"/>
              </w:rPr>
            </w:pPr>
          </w:p>
        </w:tc>
        <w:tc>
          <w:tcPr>
            <w:tcW w:w="20" w:type="dxa"/>
            <w:vAlign w:val="bottom"/>
            <w:tcBorders>
              <w:top w:val="single" w:sz="8" w:color="D5EEEE"/>
            </w:tcBorders>
            <w:shd w:val="clear" w:color="auto" w:fill="D5EEEE"/>
          </w:tcPr>
          <w:p>
            <w:pPr>
              <w:spacing w:after="0"/>
              <w:rPr>
                <w:sz w:val="16"/>
                <w:szCs w:val="16"/>
                <w:color w:val="auto"/>
              </w:rPr>
            </w:pPr>
          </w:p>
        </w:tc>
        <w:tc>
          <w:tcPr>
            <w:tcW w:w="80" w:type="dxa"/>
            <w:vAlign w:val="bottom"/>
            <w:tcBorders>
              <w:top w:val="single" w:sz="8" w:color="D5EEEE"/>
              <w:left w:val="single" w:sz="8" w:color="D5EEEE"/>
            </w:tcBorders>
          </w:tcPr>
          <w:p>
            <w:pPr>
              <w:spacing w:after="0"/>
              <w:rPr>
                <w:sz w:val="16"/>
                <w:szCs w:val="16"/>
                <w:color w:val="auto"/>
              </w:rPr>
            </w:pPr>
          </w:p>
        </w:tc>
        <w:tc>
          <w:tcPr>
            <w:tcW w:w="20" w:type="dxa"/>
            <w:vAlign w:val="bottom"/>
            <w:tcBorders>
              <w:top w:val="single" w:sz="8" w:color="D5EEEE"/>
            </w:tcBorders>
          </w:tcPr>
          <w:p>
            <w:pPr>
              <w:spacing w:after="0"/>
              <w:rPr>
                <w:sz w:val="16"/>
                <w:szCs w:val="16"/>
                <w:color w:val="auto"/>
              </w:rPr>
            </w:pPr>
          </w:p>
        </w:tc>
        <w:tc>
          <w:tcPr>
            <w:tcW w:w="80" w:type="dxa"/>
            <w:vAlign w:val="bottom"/>
            <w:tcBorders>
              <w:top w:val="single" w:sz="8" w:color="D5EEEE"/>
            </w:tcBorders>
          </w:tcPr>
          <w:p>
            <w:pPr>
              <w:spacing w:after="0"/>
              <w:rPr>
                <w:sz w:val="16"/>
                <w:szCs w:val="16"/>
                <w:color w:val="auto"/>
              </w:rPr>
            </w:pPr>
          </w:p>
        </w:tc>
        <w:tc>
          <w:tcPr>
            <w:tcW w:w="100" w:type="dxa"/>
            <w:vAlign w:val="bottom"/>
            <w:tcBorders>
              <w:top w:val="single" w:sz="8" w:color="D5EEEE"/>
            </w:tcBorders>
            <w:shd w:val="clear" w:color="auto" w:fill="D5EEEE"/>
          </w:tcPr>
          <w:p>
            <w:pPr>
              <w:spacing w:after="0" w:line="189"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Borders>
              <w:top w:val="single" w:sz="8" w:color="D5EEEE"/>
            </w:tcBorders>
          </w:tcPr>
          <w:p>
            <w:pPr>
              <w:spacing w:after="0"/>
              <w:rPr>
                <w:sz w:val="16"/>
                <w:szCs w:val="16"/>
                <w:color w:val="auto"/>
              </w:rPr>
            </w:pPr>
          </w:p>
        </w:tc>
        <w:tc>
          <w:tcPr>
            <w:tcW w:w="1880" w:type="dxa"/>
            <w:vAlign w:val="bottom"/>
            <w:tcBorders>
              <w:top w:val="single" w:sz="8" w:color="D5EEEE"/>
            </w:tcBorders>
            <w:gridSpan w:val="3"/>
            <w:shd w:val="clear" w:color="auto" w:fill="D5EEEE"/>
          </w:tcPr>
          <w:p>
            <w:pPr>
              <w:jc w:val="right"/>
              <w:spacing w:after="0" w:line="189" w:lineRule="exact"/>
              <w:rPr>
                <w:sz w:val="20"/>
                <w:szCs w:val="20"/>
                <w:color w:val="auto"/>
              </w:rPr>
            </w:pPr>
            <w:r>
              <w:rPr>
                <w:rFonts w:ascii="Times New Roman" w:cs="Times New Roman" w:eastAsia="Times New Roman" w:hAnsi="Times New Roman"/>
                <w:sz w:val="20"/>
                <w:szCs w:val="20"/>
                <w:color w:val="auto"/>
              </w:rPr>
              <w:t>25</w:t>
            </w:r>
          </w:p>
        </w:tc>
        <w:tc>
          <w:tcPr>
            <w:tcW w:w="40" w:type="dxa"/>
            <w:vAlign w:val="bottom"/>
            <w:tcBorders>
              <w:top w:val="single" w:sz="8" w:color="D5EEEE"/>
              <w:right w:val="single" w:sz="8" w:color="D5EEEE"/>
            </w:tcBorders>
            <w:shd w:val="clear" w:color="auto" w:fill="D5EEEE"/>
          </w:tcPr>
          <w:p>
            <w:pPr>
              <w:spacing w:after="0"/>
              <w:rPr>
                <w:sz w:val="16"/>
                <w:szCs w:val="16"/>
                <w:color w:val="auto"/>
              </w:rPr>
            </w:pPr>
          </w:p>
        </w:tc>
        <w:tc>
          <w:tcPr>
            <w:tcW w:w="80" w:type="dxa"/>
            <w:vAlign w:val="bottom"/>
            <w:tcBorders>
              <w:top w:val="single" w:sz="8" w:color="D5EEEE"/>
            </w:tcBorders>
            <w:shd w:val="clear" w:color="auto" w:fill="D5EEEE"/>
          </w:tcPr>
          <w:p>
            <w:pPr>
              <w:spacing w:after="0"/>
              <w:rPr>
                <w:sz w:val="16"/>
                <w:szCs w:val="16"/>
                <w:color w:val="auto"/>
              </w:rPr>
            </w:pPr>
          </w:p>
        </w:tc>
        <w:tc>
          <w:tcPr>
            <w:tcW w:w="120" w:type="dxa"/>
            <w:vAlign w:val="bottom"/>
            <w:tcBorders>
              <w:top w:val="single" w:sz="8" w:color="D5EEEE"/>
            </w:tcBorders>
          </w:tcPr>
          <w:p>
            <w:pPr>
              <w:spacing w:after="0"/>
              <w:rPr>
                <w:sz w:val="16"/>
                <w:szCs w:val="16"/>
                <w:color w:val="auto"/>
              </w:rPr>
            </w:pPr>
          </w:p>
        </w:tc>
        <w:tc>
          <w:tcPr>
            <w:tcW w:w="80" w:type="dxa"/>
            <w:vAlign w:val="bottom"/>
            <w:tcBorders>
              <w:top w:val="single" w:sz="8" w:color="D5EEEE"/>
            </w:tcBorders>
          </w:tcPr>
          <w:p>
            <w:pPr>
              <w:spacing w:after="0"/>
              <w:rPr>
                <w:sz w:val="16"/>
                <w:szCs w:val="16"/>
                <w:color w:val="auto"/>
              </w:rPr>
            </w:pPr>
          </w:p>
        </w:tc>
        <w:tc>
          <w:tcPr>
            <w:tcW w:w="100" w:type="dxa"/>
            <w:vAlign w:val="bottom"/>
            <w:tcBorders>
              <w:top w:val="single" w:sz="8" w:color="D5EEEE"/>
            </w:tcBorders>
            <w:gridSpan w:val="3"/>
            <w:shd w:val="clear" w:color="auto" w:fill="D5EEEE"/>
          </w:tcPr>
          <w:p>
            <w:pPr>
              <w:jc w:val="right"/>
              <w:spacing w:after="0" w:line="189"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Borders>
              <w:top w:val="single" w:sz="8" w:color="D5EEEE"/>
              <w:bottom w:val="single" w:sz="8" w:color="auto"/>
            </w:tcBorders>
          </w:tcPr>
          <w:p>
            <w:pPr>
              <w:spacing w:after="0"/>
              <w:rPr>
                <w:sz w:val="16"/>
                <w:szCs w:val="16"/>
                <w:color w:val="auto"/>
              </w:rPr>
            </w:pPr>
          </w:p>
        </w:tc>
        <w:tc>
          <w:tcPr>
            <w:tcW w:w="1640" w:type="dxa"/>
            <w:vAlign w:val="bottom"/>
            <w:tcBorders>
              <w:top w:val="single" w:sz="8" w:color="D5EEEE"/>
              <w:bottom w:val="single" w:sz="8" w:color="auto"/>
            </w:tcBorders>
            <w:shd w:val="clear" w:color="auto" w:fill="D5EEEE"/>
          </w:tcPr>
          <w:p>
            <w:pPr>
              <w:jc w:val="right"/>
              <w:ind w:right="6"/>
              <w:spacing w:after="0" w:line="189" w:lineRule="exact"/>
              <w:rPr>
                <w:sz w:val="20"/>
                <w:szCs w:val="20"/>
                <w:color w:val="auto"/>
              </w:rPr>
            </w:pPr>
            <w:r>
              <w:rPr>
                <w:rFonts w:ascii="Times New Roman" w:cs="Times New Roman" w:eastAsia="Times New Roman" w:hAnsi="Times New Roman"/>
                <w:sz w:val="20"/>
                <w:szCs w:val="20"/>
                <w:color w:val="auto"/>
              </w:rPr>
              <w:t>3</w:t>
            </w:r>
          </w:p>
        </w:tc>
        <w:tc>
          <w:tcPr>
            <w:tcW w:w="20" w:type="dxa"/>
            <w:vAlign w:val="bottom"/>
            <w:tcBorders>
              <w:top w:val="single" w:sz="8" w:color="D5EEEE"/>
              <w:bottom w:val="single" w:sz="8" w:color="auto"/>
            </w:tcBorders>
            <w:shd w:val="clear" w:color="auto" w:fill="D5EEEE"/>
          </w:tcPr>
          <w:p>
            <w:pPr>
              <w:spacing w:after="0"/>
              <w:rPr>
                <w:sz w:val="16"/>
                <w:szCs w:val="16"/>
                <w:color w:val="auto"/>
              </w:rPr>
            </w:pPr>
          </w:p>
        </w:tc>
        <w:tc>
          <w:tcPr>
            <w:tcW w:w="20" w:type="dxa"/>
            <w:vAlign w:val="bottom"/>
            <w:tcBorders>
              <w:top w:val="single" w:sz="8" w:color="D5EEEE"/>
              <w:bottom w:val="single" w:sz="8" w:color="auto"/>
            </w:tcBorders>
            <w:shd w:val="clear" w:color="auto" w:fill="D5EEEE"/>
          </w:tcPr>
          <w:p>
            <w:pPr>
              <w:spacing w:after="0"/>
              <w:rPr>
                <w:sz w:val="16"/>
                <w:szCs w:val="16"/>
                <w:color w:val="auto"/>
              </w:rPr>
            </w:pPr>
          </w:p>
        </w:tc>
        <w:tc>
          <w:tcPr>
            <w:tcW w:w="80" w:type="dxa"/>
            <w:vAlign w:val="bottom"/>
            <w:tcBorders>
              <w:top w:val="single" w:sz="8" w:color="D5EEEE"/>
            </w:tcBorders>
            <w:shd w:val="clear" w:color="auto" w:fill="D5EEEE"/>
          </w:tcPr>
          <w:p>
            <w:pPr>
              <w:spacing w:after="0"/>
              <w:rPr>
                <w:sz w:val="16"/>
                <w:szCs w:val="16"/>
                <w:color w:val="auto"/>
              </w:rPr>
            </w:pPr>
          </w:p>
        </w:tc>
        <w:tc>
          <w:tcPr>
            <w:tcW w:w="0" w:type="dxa"/>
            <w:vAlign w:val="bottom"/>
          </w:tcPr>
          <w:p>
            <w:pPr>
              <w:spacing w:after="0"/>
              <w:rPr>
                <w:sz w:val="1"/>
                <w:szCs w:val="1"/>
                <w:color w:val="auto"/>
              </w:rPr>
            </w:pPr>
          </w:p>
        </w:tc>
      </w:tr>
      <w:tr>
        <w:trPr>
          <w:trHeight w:val="508"/>
        </w:trPr>
        <w:tc>
          <w:tcPr>
            <w:tcW w:w="6400" w:type="dxa"/>
            <w:vAlign w:val="bottom"/>
            <w:gridSpan w:val="13"/>
          </w:tcPr>
          <w:p>
            <w:pPr>
              <w:ind w:left="480"/>
              <w:spacing w:after="0"/>
              <w:rPr>
                <w:sz w:val="20"/>
                <w:szCs w:val="20"/>
                <w:color w:val="auto"/>
              </w:rPr>
            </w:pPr>
            <w:r>
              <w:rPr>
                <w:rFonts w:ascii="Times New Roman" w:cs="Times New Roman" w:eastAsia="Times New Roman" w:hAnsi="Times New Roman"/>
                <w:sz w:val="20"/>
                <w:szCs w:val="20"/>
                <w:color w:val="auto"/>
              </w:rPr>
              <w:t>A summary of deferred income tax assets is as follows (in thousands):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16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6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Year-Ended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gridSpan w:val="8"/>
          </w:tcPr>
          <w:p>
            <w:pPr>
              <w:ind w:left="80"/>
              <w:spacing w:after="0"/>
              <w:rPr>
                <w:sz w:val="20"/>
                <w:szCs w:val="20"/>
                <w:color w:val="auto"/>
              </w:rPr>
            </w:pPr>
            <w:r>
              <w:rPr>
                <w:rFonts w:ascii="Times New Roman" w:cs="Times New Roman" w:eastAsia="Times New Roman" w:hAnsi="Times New Roman"/>
                <w:sz w:val="16"/>
                <w:szCs w:val="16"/>
                <w:b w:val="1"/>
                <w:bCs w:val="1"/>
                <w:color w:val="auto"/>
              </w:rPr>
              <w:t>Transition Period Ended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600" w:type="dxa"/>
            <w:vAlign w:val="bottom"/>
            <w:tcBorders>
              <w:bottom w:val="single" w:sz="8" w:color="D5EEEE"/>
            </w:tcBorders>
          </w:tcPr>
          <w:p>
            <w:pPr>
              <w:spacing w:after="0"/>
              <w:rPr>
                <w:sz w:val="16"/>
                <w:szCs w:val="16"/>
                <w:color w:val="auto"/>
              </w:rPr>
            </w:pPr>
          </w:p>
        </w:tc>
        <w:tc>
          <w:tcPr>
            <w:tcW w:w="2480" w:type="dxa"/>
            <w:vAlign w:val="bottom"/>
            <w:tcBorders>
              <w:bottom w:val="single" w:sz="8" w:color="D5EEEE"/>
            </w:tcBorders>
          </w:tcPr>
          <w:p>
            <w:pPr>
              <w:spacing w:after="0"/>
              <w:rPr>
                <w:sz w:val="16"/>
                <w:szCs w:val="16"/>
                <w:color w:val="auto"/>
              </w:rPr>
            </w:pPr>
          </w:p>
        </w:tc>
        <w:tc>
          <w:tcPr>
            <w:tcW w:w="40" w:type="dxa"/>
            <w:vAlign w:val="bottom"/>
            <w:tcBorders>
              <w:bottom w:val="single" w:sz="8" w:color="D5EEEE"/>
            </w:tcBorders>
          </w:tcPr>
          <w:p>
            <w:pPr>
              <w:spacing w:after="0"/>
              <w:rPr>
                <w:sz w:val="16"/>
                <w:szCs w:val="16"/>
                <w:color w:val="auto"/>
              </w:rPr>
            </w:pPr>
          </w:p>
        </w:tc>
        <w:tc>
          <w:tcPr>
            <w:tcW w:w="160" w:type="dxa"/>
            <w:vAlign w:val="bottom"/>
            <w:tcBorders>
              <w:bottom w:val="single" w:sz="8" w:color="D5EEEE"/>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64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20" w:type="dxa"/>
            <w:vAlign w:val="bottom"/>
            <w:tcBorders>
              <w:bottom w:val="single" w:sz="8" w:color="D5EEEE"/>
            </w:tcBorders>
          </w:tcPr>
          <w:p>
            <w:pPr>
              <w:spacing w:after="0"/>
              <w:rPr>
                <w:sz w:val="16"/>
                <w:szCs w:val="16"/>
                <w:color w:val="auto"/>
              </w:rPr>
            </w:pPr>
          </w:p>
        </w:tc>
        <w:tc>
          <w:tcPr>
            <w:tcW w:w="200" w:type="dxa"/>
            <w:vAlign w:val="bottom"/>
            <w:tcBorders>
              <w:bottom w:val="single" w:sz="8" w:color="D5EEEE"/>
            </w:tcBorders>
            <w:gridSpan w:val="3"/>
          </w:tcPr>
          <w:p>
            <w:pPr>
              <w:spacing w:after="0"/>
              <w:rPr>
                <w:sz w:val="16"/>
                <w:szCs w:val="16"/>
                <w:color w:val="auto"/>
              </w:rPr>
            </w:pPr>
          </w:p>
        </w:tc>
        <w:tc>
          <w:tcPr>
            <w:tcW w:w="20" w:type="dxa"/>
            <w:vAlign w:val="bottom"/>
            <w:tcBorders>
              <w:bottom w:val="single" w:sz="8" w:color="D5EEEE"/>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80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D5EEEE"/>
            </w:tcBorders>
          </w:tcPr>
          <w:p>
            <w:pPr>
              <w:spacing w:after="0"/>
              <w:rPr>
                <w:sz w:val="16"/>
                <w:szCs w:val="16"/>
                <w:color w:val="auto"/>
              </w:rPr>
            </w:pPr>
          </w:p>
        </w:tc>
        <w:tc>
          <w:tcPr>
            <w:tcW w:w="120" w:type="dxa"/>
            <w:vAlign w:val="bottom"/>
            <w:tcBorders>
              <w:bottom w:val="single" w:sz="8" w:color="D5EEEE"/>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660" w:type="dxa"/>
            <w:vAlign w:val="bottom"/>
            <w:tcBorders>
              <w:top w:val="single" w:sz="8" w:color="auto"/>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D5EEEE"/>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600" w:type="dxa"/>
            <w:vAlign w:val="bottom"/>
            <w:shd w:val="clear" w:color="auto" w:fill="D5EEEE"/>
          </w:tcPr>
          <w:p>
            <w:pPr>
              <w:spacing w:after="0"/>
              <w:rPr>
                <w:sz w:val="20"/>
                <w:szCs w:val="20"/>
                <w:color w:val="auto"/>
              </w:rPr>
            </w:pPr>
          </w:p>
        </w:tc>
        <w:tc>
          <w:tcPr>
            <w:tcW w:w="2480" w:type="dxa"/>
            <w:vAlign w:val="bottom"/>
            <w:shd w:val="clear" w:color="auto" w:fill="D5EEEE"/>
          </w:tcPr>
          <w:p>
            <w:pPr>
              <w:spacing w:after="0"/>
              <w:rPr>
                <w:sz w:val="20"/>
                <w:szCs w:val="20"/>
                <w:color w:val="auto"/>
              </w:rPr>
            </w:pPr>
          </w:p>
        </w:tc>
        <w:tc>
          <w:tcPr>
            <w:tcW w:w="40" w:type="dxa"/>
            <w:vAlign w:val="bottom"/>
            <w:shd w:val="clear" w:color="auto" w:fill="D5EEEE"/>
          </w:tcPr>
          <w:p>
            <w:pPr>
              <w:spacing w:after="0"/>
              <w:rPr>
                <w:sz w:val="20"/>
                <w:szCs w:val="20"/>
                <w:color w:val="auto"/>
              </w:rPr>
            </w:pPr>
          </w:p>
        </w:tc>
        <w:tc>
          <w:tcPr>
            <w:tcW w:w="160" w:type="dxa"/>
            <w:vAlign w:val="bottom"/>
            <w:shd w:val="clear" w:color="auto" w:fill="D5EEEE"/>
          </w:tcPr>
          <w:p>
            <w:pPr>
              <w:spacing w:after="0"/>
              <w:rPr>
                <w:sz w:val="20"/>
                <w:szCs w:val="20"/>
                <w:color w:val="auto"/>
              </w:rPr>
            </w:pPr>
          </w:p>
        </w:tc>
        <w:tc>
          <w:tcPr>
            <w:tcW w:w="100" w:type="dxa"/>
            <w:vAlign w:val="bottom"/>
            <w:gridSpan w:val="2"/>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168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8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spacing w:after="0"/>
              <w:rPr>
                <w:sz w:val="20"/>
                <w:szCs w:val="20"/>
                <w:color w:val="auto"/>
              </w:rPr>
            </w:pPr>
          </w:p>
        </w:tc>
        <w:tc>
          <w:tcPr>
            <w:tcW w:w="10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gridSpan w:val="2"/>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60" w:type="dxa"/>
            <w:vAlign w:val="bottom"/>
          </w:tcPr>
          <w:p>
            <w:pPr>
              <w:spacing w:after="0"/>
              <w:rPr>
                <w:sz w:val="20"/>
                <w:szCs w:val="20"/>
                <w:color w:val="auto"/>
              </w:rPr>
            </w:pPr>
          </w:p>
        </w:tc>
        <w:tc>
          <w:tcPr>
            <w:tcW w:w="178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ROU Asset</w:t>
            </w:r>
          </w:p>
        </w:tc>
        <w:tc>
          <w:tcPr>
            <w:tcW w:w="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(229</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highlight w:val="white"/>
                <w:w w:val="89"/>
              </w:rPr>
              <w:t>)</w:t>
            </w:r>
          </w:p>
        </w:tc>
        <w:tc>
          <w:tcPr>
            <w:tcW w:w="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(404</w:t>
            </w:r>
          </w:p>
        </w:tc>
        <w:tc>
          <w:tcPr>
            <w:tcW w:w="20" w:type="dxa"/>
            <w:vAlign w:val="bottom"/>
            <w:vMerge w:val="restart"/>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highlight w:val="white"/>
                <w:w w:val="79"/>
              </w:rPr>
              <w:t>)</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(389)</w:t>
            </w:r>
          </w:p>
        </w:tc>
        <w:tc>
          <w:tcPr>
            <w:tcW w:w="40" w:type="dxa"/>
            <w:vAlign w:val="bottom"/>
            <w:gridSpan w:val="2"/>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080" w:type="dxa"/>
            <w:vAlign w:val="bottom"/>
            <w:tcBorders>
              <w:bottom w:val="single" w:sz="8" w:color="D5EEEE"/>
            </w:tcBorders>
            <w:gridSpan w:val="2"/>
            <w:vMerge w:val="continue"/>
          </w:tcPr>
          <w:p>
            <w:pPr>
              <w:spacing w:after="0"/>
              <w:rPr>
                <w:sz w:val="19"/>
                <w:szCs w:val="19"/>
                <w:color w:val="auto"/>
              </w:rPr>
            </w:pPr>
          </w:p>
        </w:tc>
        <w:tc>
          <w:tcPr>
            <w:tcW w:w="40" w:type="dxa"/>
            <w:vAlign w:val="bottom"/>
            <w:tcBorders>
              <w:bottom w:val="single" w:sz="8" w:color="D5EEEE"/>
            </w:tcBorders>
            <w:vMerge w:val="continue"/>
          </w:tcPr>
          <w:p>
            <w:pPr>
              <w:spacing w:after="0"/>
              <w:rPr>
                <w:sz w:val="19"/>
                <w:szCs w:val="19"/>
                <w:color w:val="auto"/>
              </w:rPr>
            </w:pPr>
          </w:p>
        </w:tc>
        <w:tc>
          <w:tcPr>
            <w:tcW w:w="16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Borders>
              <w:bottom w:val="single" w:sz="8" w:color="D5EEEE"/>
            </w:tcBorders>
            <w:vMerge w:val="continue"/>
          </w:tcPr>
          <w:p>
            <w:pPr>
              <w:spacing w:after="0"/>
              <w:rPr>
                <w:sz w:val="19"/>
                <w:szCs w:val="19"/>
                <w:color w:val="auto"/>
              </w:rPr>
            </w:pPr>
          </w:p>
        </w:tc>
        <w:tc>
          <w:tcPr>
            <w:tcW w:w="1680" w:type="dxa"/>
            <w:vAlign w:val="bottom"/>
            <w:tcBorders>
              <w:bottom w:val="single" w:sz="8" w:color="D5EEEE"/>
            </w:tcBorders>
            <w:gridSpan w:val="2"/>
            <w:vMerge w:val="continue"/>
          </w:tcPr>
          <w:p>
            <w:pPr>
              <w:spacing w:after="0"/>
              <w:rPr>
                <w:sz w:val="19"/>
                <w:szCs w:val="19"/>
                <w:color w:val="auto"/>
              </w:rPr>
            </w:pPr>
          </w:p>
        </w:tc>
        <w:tc>
          <w:tcPr>
            <w:tcW w:w="120" w:type="dxa"/>
            <w:vAlign w:val="bottom"/>
            <w:tcBorders>
              <w:bottom w:val="single" w:sz="8" w:color="D5EEEE"/>
            </w:tcBorders>
            <w:vMerge w:val="continue"/>
          </w:tcPr>
          <w:p>
            <w:pPr>
              <w:spacing w:after="0"/>
              <w:rPr>
                <w:sz w:val="19"/>
                <w:szCs w:val="19"/>
                <w:color w:val="auto"/>
              </w:rPr>
            </w:pPr>
          </w:p>
        </w:tc>
        <w:tc>
          <w:tcPr>
            <w:tcW w:w="80" w:type="dxa"/>
            <w:vAlign w:val="bottom"/>
            <w:tcBorders>
              <w:bottom w:val="single" w:sz="8" w:color="D5EEEE"/>
            </w:tcBorders>
            <w:vMerge w:val="continue"/>
          </w:tcPr>
          <w:p>
            <w:pPr>
              <w:spacing w:after="0"/>
              <w:rPr>
                <w:sz w:val="19"/>
                <w:szCs w:val="19"/>
                <w:color w:val="auto"/>
              </w:rPr>
            </w:pPr>
          </w:p>
        </w:tc>
        <w:tc>
          <w:tcPr>
            <w:tcW w:w="2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8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20" w:type="dxa"/>
            <w:vAlign w:val="bottom"/>
            <w:tcBorders>
              <w:bottom w:val="single" w:sz="8" w:color="D5EEEE"/>
            </w:tcBorders>
            <w:vMerge w:val="continue"/>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1800" w:type="dxa"/>
            <w:vAlign w:val="bottom"/>
            <w:tcBorders>
              <w:bottom w:val="single" w:sz="8" w:color="D5EEEE"/>
            </w:tcBorders>
            <w:gridSpan w:val="2"/>
            <w:vMerge w:val="continue"/>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80" w:type="dxa"/>
            <w:vAlign w:val="bottom"/>
            <w:tcBorders>
              <w:bottom w:val="single" w:sz="8" w:color="D5EEEE"/>
            </w:tcBorders>
            <w:vMerge w:val="continue"/>
          </w:tcPr>
          <w:p>
            <w:pPr>
              <w:spacing w:after="0"/>
              <w:rPr>
                <w:sz w:val="19"/>
                <w:szCs w:val="19"/>
                <w:color w:val="auto"/>
              </w:rPr>
            </w:pPr>
          </w:p>
        </w:tc>
        <w:tc>
          <w:tcPr>
            <w:tcW w:w="40" w:type="dxa"/>
            <w:vAlign w:val="bottom"/>
            <w:tcBorders>
              <w:bottom w:val="single" w:sz="8" w:color="D5EEEE"/>
            </w:tcBorders>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120" w:type="dxa"/>
            <w:vAlign w:val="bottom"/>
            <w:tcBorders>
              <w:bottom w:val="single" w:sz="8" w:color="D5EEEE"/>
            </w:tcBorders>
            <w:vMerge w:val="continue"/>
          </w:tcPr>
          <w:p>
            <w:pPr>
              <w:spacing w:after="0"/>
              <w:rPr>
                <w:sz w:val="19"/>
                <w:szCs w:val="19"/>
                <w:color w:val="auto"/>
              </w:rPr>
            </w:pPr>
          </w:p>
        </w:tc>
        <w:tc>
          <w:tcPr>
            <w:tcW w:w="10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40" w:type="dxa"/>
            <w:vAlign w:val="bottom"/>
            <w:gridSpan w:val="2"/>
            <w:vMerge w:val="continue"/>
          </w:tcPr>
          <w:p>
            <w:pPr>
              <w:spacing w:after="0"/>
              <w:rPr>
                <w:sz w:val="19"/>
                <w:szCs w:val="19"/>
                <w:color w:val="auto"/>
              </w:rPr>
            </w:pPr>
          </w:p>
        </w:tc>
        <w:tc>
          <w:tcPr>
            <w:tcW w:w="8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600" w:type="dxa"/>
            <w:vAlign w:val="bottom"/>
            <w:shd w:val="clear" w:color="auto" w:fill="D5EEEE"/>
          </w:tcPr>
          <w:p>
            <w:pPr>
              <w:spacing w:after="0"/>
              <w:rPr>
                <w:sz w:val="19"/>
                <w:szCs w:val="19"/>
                <w:color w:val="auto"/>
              </w:rPr>
            </w:pPr>
          </w:p>
        </w:tc>
        <w:tc>
          <w:tcPr>
            <w:tcW w:w="2480" w:type="dxa"/>
            <w:vAlign w:val="bottom"/>
            <w:shd w:val="clear" w:color="auto" w:fill="D5EEEE"/>
          </w:tcPr>
          <w:p>
            <w:pPr>
              <w:spacing w:after="0"/>
              <w:rPr>
                <w:sz w:val="19"/>
                <w:szCs w:val="19"/>
                <w:color w:val="auto"/>
              </w:rPr>
            </w:pPr>
          </w:p>
        </w:tc>
        <w:tc>
          <w:tcPr>
            <w:tcW w:w="4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80" w:type="dxa"/>
            <w:vAlign w:val="bottom"/>
            <w:tcBorders>
              <w:left w:val="single" w:sz="8" w:color="D5EEEE"/>
            </w:tcBorders>
            <w:gridSpan w:val="2"/>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(11</w:t>
            </w:r>
          </w:p>
        </w:tc>
        <w:tc>
          <w:tcPr>
            <w:tcW w:w="12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w w:val="89"/>
                <w:shd w:val="clear" w:color="auto" w:fill="D5EEEE"/>
              </w:rPr>
              <w:t>)</w:t>
            </w:r>
          </w:p>
        </w:tc>
        <w:tc>
          <w:tcPr>
            <w:tcW w:w="8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1800" w:type="dxa"/>
            <w:vAlign w:val="bottom"/>
            <w:gridSpan w:val="2"/>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(25</w:t>
            </w:r>
          </w:p>
        </w:tc>
        <w:tc>
          <w:tcPr>
            <w:tcW w:w="20" w:type="dxa"/>
            <w:vAlign w:val="bottom"/>
          </w:tcPr>
          <w:p>
            <w:pPr>
              <w:spacing w:after="0"/>
              <w:rPr>
                <w:sz w:val="19"/>
                <w:szCs w:val="19"/>
                <w:color w:val="auto"/>
              </w:rPr>
            </w:pPr>
          </w:p>
        </w:tc>
        <w:tc>
          <w:tcPr>
            <w:tcW w:w="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D5EEEE"/>
              </w:rPr>
              <w:t>)</w:t>
            </w:r>
          </w:p>
        </w:tc>
        <w:tc>
          <w:tcPr>
            <w:tcW w:w="40" w:type="dxa"/>
            <w:vAlign w:val="bottom"/>
            <w:tcBorders>
              <w:right w:val="single" w:sz="8" w:color="D5EEEE"/>
            </w:tcBorders>
            <w:shd w:val="clear" w:color="auto" w:fill="D5EEEE"/>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120" w:type="dxa"/>
            <w:vAlign w:val="bottom"/>
            <w:shd w:val="clear" w:color="auto" w:fill="D5EEE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1640" w:type="dxa"/>
            <w:vAlign w:val="bottom"/>
            <w:shd w:val="clear" w:color="auto" w:fill="D5EEEE"/>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4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Property, plant and equipment</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780" w:type="dxa"/>
            <w:vAlign w:val="bottom"/>
            <w:gridSpan w:val="5"/>
          </w:tcPr>
          <w:p>
            <w:pPr>
              <w:jc w:val="right"/>
              <w:ind w:right="1"/>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11"/>
        </w:trPr>
        <w:tc>
          <w:tcPr>
            <w:tcW w:w="4080" w:type="dxa"/>
            <w:vAlign w:val="bottom"/>
            <w:tcBorders>
              <w:top w:val="single" w:sz="8" w:color="D5EEEE"/>
            </w:tcBorders>
            <w:gridSpan w:val="2"/>
            <w:shd w:val="clear" w:color="auto" w:fill="D5EEEE"/>
          </w:tcPr>
          <w:p>
            <w:pPr>
              <w:spacing w:after="0" w:line="211" w:lineRule="exact"/>
              <w:rPr>
                <w:sz w:val="20"/>
                <w:szCs w:val="20"/>
                <w:color w:val="auto"/>
              </w:rPr>
            </w:pPr>
            <w:r>
              <w:rPr>
                <w:rFonts w:ascii="Times New Roman" w:cs="Times New Roman" w:eastAsia="Times New Roman" w:hAnsi="Times New Roman"/>
                <w:sz w:val="20"/>
                <w:szCs w:val="20"/>
                <w:color w:val="auto"/>
              </w:rPr>
              <w:t>Total deferred tax liabilities</w:t>
            </w:r>
          </w:p>
        </w:tc>
        <w:tc>
          <w:tcPr>
            <w:tcW w:w="40" w:type="dxa"/>
            <w:vAlign w:val="bottom"/>
            <w:tcBorders>
              <w:top w:val="single" w:sz="8" w:color="D5EEEE"/>
            </w:tcBorders>
            <w:shd w:val="clear" w:color="auto" w:fill="D5EEEE"/>
          </w:tcPr>
          <w:p>
            <w:pPr>
              <w:spacing w:after="0"/>
              <w:rPr>
                <w:sz w:val="18"/>
                <w:szCs w:val="18"/>
                <w:color w:val="auto"/>
              </w:rPr>
            </w:pPr>
          </w:p>
        </w:tc>
        <w:tc>
          <w:tcPr>
            <w:tcW w:w="16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auto"/>
            </w:tcBorders>
            <w:gridSpan w:val="2"/>
            <w:shd w:val="clear" w:color="auto" w:fill="D5EEEE"/>
          </w:tcPr>
          <w:p>
            <w:pPr>
              <w:jc w:val="right"/>
              <w:spacing w:after="0" w:line="211"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Borders>
              <w:top w:val="single" w:sz="8" w:color="auto"/>
            </w:tcBorders>
          </w:tcPr>
          <w:p>
            <w:pPr>
              <w:spacing w:after="0"/>
              <w:rPr>
                <w:sz w:val="18"/>
                <w:szCs w:val="18"/>
                <w:color w:val="auto"/>
              </w:rPr>
            </w:pPr>
          </w:p>
        </w:tc>
        <w:tc>
          <w:tcPr>
            <w:tcW w:w="1680" w:type="dxa"/>
            <w:vAlign w:val="bottom"/>
            <w:tcBorders>
              <w:top w:val="single" w:sz="8" w:color="auto"/>
              <w:left w:val="single" w:sz="8" w:color="D5EEEE"/>
            </w:tcBorders>
            <w:gridSpan w:val="2"/>
            <w:shd w:val="clear" w:color="auto" w:fill="D5EEEE"/>
          </w:tcPr>
          <w:p>
            <w:pPr>
              <w:jc w:val="right"/>
              <w:spacing w:after="0" w:line="211" w:lineRule="exact"/>
              <w:rPr>
                <w:sz w:val="20"/>
                <w:szCs w:val="20"/>
                <w:color w:val="auto"/>
              </w:rPr>
            </w:pPr>
            <w:r>
              <w:rPr>
                <w:rFonts w:ascii="Times New Roman" w:cs="Times New Roman" w:eastAsia="Times New Roman" w:hAnsi="Times New Roman"/>
                <w:sz w:val="20"/>
                <w:szCs w:val="20"/>
                <w:color w:val="auto"/>
              </w:rPr>
              <w:t>(240</w:t>
            </w:r>
          </w:p>
        </w:tc>
        <w:tc>
          <w:tcPr>
            <w:tcW w:w="120" w:type="dxa"/>
            <w:vAlign w:val="bottom"/>
            <w:tcBorders>
              <w:top w:val="single" w:sz="8" w:color="D5EEEE"/>
            </w:tcBorders>
            <w:shd w:val="clear" w:color="auto" w:fill="D5EEEE"/>
          </w:tcPr>
          <w:p>
            <w:pPr>
              <w:jc w:val="right"/>
              <w:spacing w:after="0" w:line="211" w:lineRule="exact"/>
              <w:rPr>
                <w:sz w:val="20"/>
                <w:szCs w:val="20"/>
                <w:color w:val="auto"/>
              </w:rPr>
            </w:pPr>
            <w:r>
              <w:rPr>
                <w:rFonts w:ascii="Times New Roman" w:cs="Times New Roman" w:eastAsia="Times New Roman" w:hAnsi="Times New Roman"/>
                <w:sz w:val="20"/>
                <w:szCs w:val="20"/>
                <w:color w:val="auto"/>
                <w:w w:val="89"/>
                <w:shd w:val="clear" w:color="auto" w:fill="D5EEEE"/>
              </w:rPr>
              <w:t>)</w:t>
            </w:r>
          </w:p>
        </w:tc>
        <w:tc>
          <w:tcPr>
            <w:tcW w:w="8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D5EEEE"/>
            </w:tcBorders>
          </w:tcPr>
          <w:p>
            <w:pPr>
              <w:spacing w:after="0"/>
              <w:rPr>
                <w:sz w:val="18"/>
                <w:szCs w:val="18"/>
                <w:color w:val="auto"/>
              </w:rPr>
            </w:pPr>
          </w:p>
        </w:tc>
        <w:tc>
          <w:tcPr>
            <w:tcW w:w="80" w:type="dxa"/>
            <w:vAlign w:val="bottom"/>
            <w:tcBorders>
              <w:top w:val="single" w:sz="8" w:color="auto"/>
              <w:left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shd w:val="clear" w:color="auto" w:fill="D5EEEE"/>
          </w:tcPr>
          <w:p>
            <w:pPr>
              <w:spacing w:after="0"/>
              <w:rPr>
                <w:sz w:val="18"/>
                <w:szCs w:val="18"/>
                <w:color w:val="auto"/>
              </w:rPr>
            </w:pPr>
          </w:p>
        </w:tc>
        <w:tc>
          <w:tcPr>
            <w:tcW w:w="100" w:type="dxa"/>
            <w:vAlign w:val="bottom"/>
            <w:tcBorders>
              <w:top w:val="single" w:sz="8" w:color="auto"/>
            </w:tcBorders>
            <w:shd w:val="clear" w:color="auto" w:fill="D5EEEE"/>
          </w:tcPr>
          <w:p>
            <w:pPr>
              <w:spacing w:after="0"/>
              <w:rPr>
                <w:sz w:val="18"/>
                <w:szCs w:val="18"/>
                <w:color w:val="auto"/>
              </w:rPr>
            </w:pPr>
          </w:p>
        </w:tc>
        <w:tc>
          <w:tcPr>
            <w:tcW w:w="1800" w:type="dxa"/>
            <w:vAlign w:val="bottom"/>
            <w:tcBorders>
              <w:top w:val="single" w:sz="8" w:color="auto"/>
            </w:tcBorders>
            <w:gridSpan w:val="2"/>
            <w:shd w:val="clear" w:color="auto" w:fill="D5EEEE"/>
          </w:tcPr>
          <w:p>
            <w:pPr>
              <w:jc w:val="right"/>
              <w:spacing w:after="0" w:line="211" w:lineRule="exact"/>
              <w:rPr>
                <w:sz w:val="20"/>
                <w:szCs w:val="20"/>
                <w:color w:val="auto"/>
              </w:rPr>
            </w:pPr>
            <w:r>
              <w:rPr>
                <w:rFonts w:ascii="Times New Roman" w:cs="Times New Roman" w:eastAsia="Times New Roman" w:hAnsi="Times New Roman"/>
                <w:sz w:val="20"/>
                <w:szCs w:val="20"/>
                <w:color w:val="auto"/>
              </w:rPr>
              <w:t>(434</w:t>
            </w:r>
          </w:p>
        </w:tc>
        <w:tc>
          <w:tcPr>
            <w:tcW w:w="20" w:type="dxa"/>
            <w:vAlign w:val="bottom"/>
            <w:tcBorders>
              <w:top w:val="single" w:sz="8" w:color="auto"/>
            </w:tcBorders>
            <w:shd w:val="clear" w:color="auto" w:fill="D5EEEE"/>
          </w:tcPr>
          <w:p>
            <w:pPr>
              <w:spacing w:after="0"/>
              <w:rPr>
                <w:sz w:val="18"/>
                <w:szCs w:val="18"/>
                <w:color w:val="auto"/>
              </w:rPr>
            </w:pPr>
          </w:p>
        </w:tc>
        <w:tc>
          <w:tcPr>
            <w:tcW w:w="80" w:type="dxa"/>
            <w:vAlign w:val="bottom"/>
            <w:tcBorders>
              <w:top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5"/>
                <w:szCs w:val="15"/>
                <w:color w:val="auto"/>
                <w:w w:val="79"/>
                <w:shd w:val="clear" w:color="auto" w:fill="D5EEEE"/>
              </w:rPr>
              <w:t>)</w:t>
            </w:r>
          </w:p>
        </w:tc>
        <w:tc>
          <w:tcPr>
            <w:tcW w:w="40" w:type="dxa"/>
            <w:vAlign w:val="bottom"/>
            <w:tcBorders>
              <w:top w:val="single" w:sz="8" w:color="D5EEEE"/>
              <w:right w:val="single" w:sz="8" w:color="D5EEEE"/>
            </w:tcBorders>
            <w:shd w:val="clear" w:color="auto" w:fill="D5EEEE"/>
          </w:tcPr>
          <w:p>
            <w:pPr>
              <w:spacing w:after="0"/>
              <w:rPr>
                <w:sz w:val="18"/>
                <w:szCs w:val="18"/>
                <w:color w:val="auto"/>
              </w:rPr>
            </w:pPr>
          </w:p>
        </w:tc>
        <w:tc>
          <w:tcPr>
            <w:tcW w:w="80" w:type="dxa"/>
            <w:vAlign w:val="bottom"/>
            <w:tcBorders>
              <w:top w:val="single" w:sz="8" w:color="D5EEEE"/>
            </w:tcBorders>
            <w:shd w:val="clear" w:color="auto" w:fill="D5EEEE"/>
          </w:tcPr>
          <w:p>
            <w:pPr>
              <w:spacing w:after="0"/>
              <w:rPr>
                <w:sz w:val="18"/>
                <w:szCs w:val="18"/>
                <w:color w:val="auto"/>
              </w:rPr>
            </w:pPr>
          </w:p>
        </w:tc>
        <w:tc>
          <w:tcPr>
            <w:tcW w:w="12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auto"/>
            </w:tcBorders>
            <w:gridSpan w:val="2"/>
            <w:shd w:val="clear" w:color="auto" w:fill="D5EEEE"/>
          </w:tcPr>
          <w:p>
            <w:pPr>
              <w:jc w:val="right"/>
              <w:spacing w:after="0" w:line="211"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shd w:val="clear" w:color="auto" w:fill="D5EEEE"/>
          </w:tcPr>
          <w:p>
            <w:pPr>
              <w:spacing w:after="0"/>
              <w:rPr>
                <w:sz w:val="18"/>
                <w:szCs w:val="18"/>
                <w:color w:val="auto"/>
              </w:rPr>
            </w:pPr>
          </w:p>
        </w:tc>
        <w:tc>
          <w:tcPr>
            <w:tcW w:w="1660" w:type="dxa"/>
            <w:vAlign w:val="bottom"/>
            <w:tcBorders>
              <w:top w:val="single" w:sz="8" w:color="auto"/>
            </w:tcBorders>
            <w:gridSpan w:val="2"/>
            <w:shd w:val="clear" w:color="auto" w:fill="D5EEEE"/>
          </w:tcPr>
          <w:p>
            <w:pPr>
              <w:jc w:val="right"/>
              <w:spacing w:after="0" w:line="211" w:lineRule="exact"/>
              <w:rPr>
                <w:sz w:val="20"/>
                <w:szCs w:val="20"/>
                <w:color w:val="auto"/>
              </w:rPr>
            </w:pPr>
            <w:r>
              <w:rPr>
                <w:rFonts w:ascii="Times New Roman" w:cs="Times New Roman" w:eastAsia="Times New Roman" w:hAnsi="Times New Roman"/>
                <w:sz w:val="20"/>
                <w:szCs w:val="20"/>
                <w:color w:val="auto"/>
              </w:rPr>
              <w:t>(394)</w:t>
            </w:r>
          </w:p>
        </w:tc>
        <w:tc>
          <w:tcPr>
            <w:tcW w:w="40" w:type="dxa"/>
            <w:vAlign w:val="bottom"/>
            <w:tcBorders>
              <w:top w:val="single" w:sz="8" w:color="auto"/>
            </w:tcBorders>
            <w:gridSpan w:val="2"/>
            <w:shd w:val="clear" w:color="auto" w:fill="D5EEEE"/>
          </w:tcPr>
          <w:p>
            <w:pPr>
              <w:spacing w:after="0"/>
              <w:rPr>
                <w:sz w:val="18"/>
                <w:szCs w:val="18"/>
                <w:color w:val="auto"/>
              </w:rPr>
            </w:pPr>
          </w:p>
        </w:tc>
        <w:tc>
          <w:tcPr>
            <w:tcW w:w="80" w:type="dxa"/>
            <w:vAlign w:val="bottom"/>
            <w:tcBorders>
              <w:top w:val="single" w:sz="8" w:color="D5EEEE"/>
            </w:tcBorders>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600" w:type="dxa"/>
            <w:vAlign w:val="bottom"/>
            <w:tcBorders>
              <w:bottom w:val="single" w:sz="8" w:color="D5EEEE"/>
            </w:tcBorders>
          </w:tcPr>
          <w:p>
            <w:pPr>
              <w:spacing w:after="0"/>
              <w:rPr>
                <w:sz w:val="21"/>
                <w:szCs w:val="21"/>
                <w:color w:val="auto"/>
              </w:rPr>
            </w:pPr>
          </w:p>
        </w:tc>
        <w:tc>
          <w:tcPr>
            <w:tcW w:w="2480" w:type="dxa"/>
            <w:vAlign w:val="bottom"/>
            <w:tcBorders>
              <w:bottom w:val="single" w:sz="8" w:color="D5EEEE"/>
            </w:tcBorders>
          </w:tcPr>
          <w:p>
            <w:pPr>
              <w:spacing w:after="0"/>
              <w:rPr>
                <w:sz w:val="21"/>
                <w:szCs w:val="21"/>
                <w:color w:val="auto"/>
              </w:rPr>
            </w:pPr>
          </w:p>
        </w:tc>
        <w:tc>
          <w:tcPr>
            <w:tcW w:w="40" w:type="dxa"/>
            <w:vAlign w:val="bottom"/>
            <w:tcBorders>
              <w:bottom w:val="single" w:sz="8" w:color="D5EEEE"/>
            </w:tcBorders>
          </w:tcPr>
          <w:p>
            <w:pPr>
              <w:spacing w:after="0"/>
              <w:rPr>
                <w:sz w:val="21"/>
                <w:szCs w:val="21"/>
                <w:color w:val="auto"/>
              </w:rPr>
            </w:pPr>
          </w:p>
        </w:tc>
        <w:tc>
          <w:tcPr>
            <w:tcW w:w="16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gridSpan w:val="2"/>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680" w:type="dxa"/>
            <w:vAlign w:val="bottom"/>
            <w:tcBorders>
              <w:bottom w:val="single" w:sz="8" w:color="D5EEEE"/>
            </w:tcBorders>
            <w:gridSpan w:val="2"/>
          </w:tcPr>
          <w:p>
            <w:pPr>
              <w:spacing w:after="0"/>
              <w:rPr>
                <w:sz w:val="21"/>
                <w:szCs w:val="21"/>
                <w:color w:val="auto"/>
              </w:rPr>
            </w:pPr>
          </w:p>
        </w:tc>
        <w:tc>
          <w:tcPr>
            <w:tcW w:w="12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920" w:type="dxa"/>
            <w:vAlign w:val="bottom"/>
            <w:tcBorders>
              <w:bottom w:val="single" w:sz="8" w:color="D5EEEE"/>
            </w:tcBorders>
            <w:gridSpan w:val="4"/>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120" w:type="dxa"/>
            <w:vAlign w:val="bottom"/>
            <w:tcBorders>
              <w:bottom w:val="single" w:sz="8" w:color="D5EEEE"/>
            </w:tcBorders>
          </w:tcPr>
          <w:p>
            <w:pPr>
              <w:spacing w:after="0"/>
              <w:rPr>
                <w:sz w:val="21"/>
                <w:szCs w:val="21"/>
                <w:color w:val="auto"/>
              </w:rPr>
            </w:pPr>
          </w:p>
        </w:tc>
        <w:tc>
          <w:tcPr>
            <w:tcW w:w="10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64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1600" w:type="dxa"/>
            <w:vAlign w:val="bottom"/>
            <w:shd w:val="clear" w:color="auto" w:fill="D5EEEE"/>
          </w:tcPr>
          <w:p>
            <w:pPr>
              <w:spacing w:after="0"/>
              <w:rPr>
                <w:sz w:val="19"/>
                <w:szCs w:val="19"/>
                <w:color w:val="auto"/>
              </w:rPr>
            </w:pPr>
          </w:p>
        </w:tc>
        <w:tc>
          <w:tcPr>
            <w:tcW w:w="2480" w:type="dxa"/>
            <w:vAlign w:val="bottom"/>
            <w:shd w:val="clear" w:color="auto" w:fill="D5EEEE"/>
          </w:tcPr>
          <w:p>
            <w:pPr>
              <w:spacing w:after="0"/>
              <w:rPr>
                <w:sz w:val="19"/>
                <w:szCs w:val="19"/>
                <w:color w:val="auto"/>
              </w:rPr>
            </w:pPr>
          </w:p>
        </w:tc>
        <w:tc>
          <w:tcPr>
            <w:tcW w:w="4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100" w:type="dxa"/>
            <w:vAlign w:val="bottom"/>
            <w:gridSpan w:val="2"/>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Pr>
          <w:p>
            <w:pPr>
              <w:spacing w:after="0"/>
              <w:rPr>
                <w:sz w:val="19"/>
                <w:szCs w:val="19"/>
                <w:color w:val="auto"/>
              </w:rPr>
            </w:pPr>
          </w:p>
        </w:tc>
        <w:tc>
          <w:tcPr>
            <w:tcW w:w="1680" w:type="dxa"/>
            <w:vAlign w:val="bottom"/>
            <w:tcBorders>
              <w:left w:val="single" w:sz="8" w:color="D5EEEE"/>
            </w:tcBorders>
            <w:gridSpan w:val="2"/>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3</w:t>
            </w:r>
          </w:p>
        </w:tc>
        <w:tc>
          <w:tcPr>
            <w:tcW w:w="120" w:type="dxa"/>
            <w:vAlign w:val="bottom"/>
            <w:shd w:val="clear" w:color="auto" w:fill="D5EEE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left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0" w:type="dxa"/>
            <w:vAlign w:val="bottom"/>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178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right w:val="single" w:sz="8" w:color="D5EEEE"/>
            </w:tcBorders>
            <w:gridSpan w:val="3"/>
            <w:shd w:val="clear" w:color="auto" w:fill="D5EEE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gridSpan w:val="2"/>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Pr>
          <w:p>
            <w:pPr>
              <w:spacing w:after="0"/>
              <w:rPr>
                <w:sz w:val="19"/>
                <w:szCs w:val="19"/>
                <w:color w:val="auto"/>
              </w:rPr>
            </w:pPr>
          </w:p>
        </w:tc>
        <w:tc>
          <w:tcPr>
            <w:tcW w:w="6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164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20" w:type="dxa"/>
            <w:vAlign w:val="bottom"/>
            <w:shd w:val="clear" w:color="auto" w:fill="D5EEEE"/>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600" w:type="dxa"/>
            <w:vAlign w:val="bottom"/>
            <w:tcBorders>
              <w:bottom w:val="single" w:sz="8" w:color="D5EEEE"/>
            </w:tcBorders>
          </w:tcPr>
          <w:p>
            <w:pPr>
              <w:spacing w:after="0"/>
              <w:rPr>
                <w:sz w:val="21"/>
                <w:szCs w:val="21"/>
                <w:color w:val="auto"/>
              </w:rPr>
            </w:pPr>
          </w:p>
        </w:tc>
        <w:tc>
          <w:tcPr>
            <w:tcW w:w="2480" w:type="dxa"/>
            <w:vAlign w:val="bottom"/>
            <w:tcBorders>
              <w:bottom w:val="single" w:sz="8" w:color="D5EEEE"/>
            </w:tcBorders>
          </w:tcPr>
          <w:p>
            <w:pPr>
              <w:spacing w:after="0"/>
              <w:rPr>
                <w:sz w:val="21"/>
                <w:szCs w:val="21"/>
                <w:color w:val="auto"/>
              </w:rPr>
            </w:pPr>
          </w:p>
        </w:tc>
        <w:tc>
          <w:tcPr>
            <w:tcW w:w="40" w:type="dxa"/>
            <w:vAlign w:val="bottom"/>
            <w:tcBorders>
              <w:bottom w:val="single" w:sz="8" w:color="D5EEEE"/>
            </w:tcBorders>
          </w:tcPr>
          <w:p>
            <w:pPr>
              <w:spacing w:after="0"/>
              <w:rPr>
                <w:sz w:val="21"/>
                <w:szCs w:val="21"/>
                <w:color w:val="auto"/>
              </w:rPr>
            </w:pPr>
          </w:p>
        </w:tc>
        <w:tc>
          <w:tcPr>
            <w:tcW w:w="160" w:type="dxa"/>
            <w:vAlign w:val="bottom"/>
            <w:tcBorders>
              <w:bottom w:val="single" w:sz="8" w:color="D5EEEE"/>
            </w:tcBorders>
          </w:tcPr>
          <w:p>
            <w:pPr>
              <w:spacing w:after="0"/>
              <w:rPr>
                <w:sz w:val="21"/>
                <w:szCs w:val="21"/>
                <w:color w:val="auto"/>
              </w:rPr>
            </w:pPr>
          </w:p>
        </w:tc>
        <w:tc>
          <w:tcPr>
            <w:tcW w:w="40" w:type="dxa"/>
            <w:vAlign w:val="bottom"/>
            <w:tcBorders>
              <w:bottom w:val="single" w:sz="8" w:color="D5EEEE"/>
            </w:tcBorders>
          </w:tcPr>
          <w:p>
            <w:pPr>
              <w:spacing w:after="0"/>
              <w:rPr>
                <w:sz w:val="21"/>
                <w:szCs w:val="21"/>
                <w:color w:val="auto"/>
              </w:rPr>
            </w:pPr>
          </w:p>
        </w:tc>
        <w:tc>
          <w:tcPr>
            <w:tcW w:w="6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680" w:type="dxa"/>
            <w:vAlign w:val="bottom"/>
            <w:tcBorders>
              <w:bottom w:val="single" w:sz="8" w:color="D5EEEE"/>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1,833</w:t>
            </w:r>
          </w:p>
        </w:tc>
        <w:tc>
          <w:tcPr>
            <w:tcW w:w="12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1800" w:type="dxa"/>
            <w:vAlign w:val="bottom"/>
            <w:tcBorders>
              <w:bottom w:val="single" w:sz="8" w:color="D5EEEE"/>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1,151</w:t>
            </w:r>
          </w:p>
        </w:tc>
        <w:tc>
          <w:tcPr>
            <w:tcW w:w="2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4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120" w:type="dxa"/>
            <w:vAlign w:val="bottom"/>
            <w:tcBorders>
              <w:bottom w:val="single" w:sz="8" w:color="D5EEEE"/>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60" w:type="dxa"/>
            <w:vAlign w:val="bottom"/>
            <w:gridSpan w:val="2"/>
          </w:tcPr>
          <w:p>
            <w:pPr>
              <w:jc w:val="right"/>
              <w:ind w:right="6"/>
              <w:spacing w:after="0"/>
              <w:rPr>
                <w:sz w:val="20"/>
                <w:szCs w:val="20"/>
                <w:color w:val="auto"/>
              </w:rPr>
            </w:pPr>
            <w:r>
              <w:rPr>
                <w:rFonts w:ascii="Times New Roman" w:cs="Times New Roman" w:eastAsia="Times New Roman" w:hAnsi="Times New Roman"/>
                <w:sz w:val="20"/>
                <w:szCs w:val="20"/>
                <w:color w:val="auto"/>
              </w:rPr>
              <w:t>68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600" w:type="dxa"/>
            <w:vAlign w:val="bottom"/>
            <w:shd w:val="clear" w:color="auto" w:fill="D5EEEE"/>
          </w:tcPr>
          <w:p>
            <w:pPr>
              <w:spacing w:after="0"/>
              <w:rPr>
                <w:sz w:val="20"/>
                <w:szCs w:val="20"/>
                <w:color w:val="auto"/>
              </w:rPr>
            </w:pPr>
          </w:p>
        </w:tc>
        <w:tc>
          <w:tcPr>
            <w:tcW w:w="2480" w:type="dxa"/>
            <w:vAlign w:val="bottom"/>
            <w:shd w:val="clear" w:color="auto" w:fill="D5EEEE"/>
          </w:tcPr>
          <w:p>
            <w:pPr>
              <w:spacing w:after="0"/>
              <w:rPr>
                <w:sz w:val="20"/>
                <w:szCs w:val="20"/>
                <w:color w:val="auto"/>
              </w:rPr>
            </w:pPr>
          </w:p>
        </w:tc>
        <w:tc>
          <w:tcPr>
            <w:tcW w:w="40" w:type="dxa"/>
            <w:vAlign w:val="bottom"/>
            <w:shd w:val="clear" w:color="auto" w:fill="D5EEEE"/>
          </w:tcPr>
          <w:p>
            <w:pPr>
              <w:spacing w:after="0"/>
              <w:rPr>
                <w:sz w:val="20"/>
                <w:szCs w:val="20"/>
                <w:color w:val="auto"/>
              </w:rPr>
            </w:pPr>
          </w:p>
        </w:tc>
        <w:tc>
          <w:tcPr>
            <w:tcW w:w="160" w:type="dxa"/>
            <w:vAlign w:val="bottom"/>
            <w:shd w:val="clear" w:color="auto" w:fill="D5EEEE"/>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left w:val="single" w:sz="8" w:color="D5EEEE"/>
            </w:tcBorders>
            <w:shd w:val="clear" w:color="auto" w:fill="D5EEEE"/>
          </w:tcPr>
          <w:p>
            <w:pPr>
              <w:spacing w:after="0"/>
              <w:rPr>
                <w:sz w:val="20"/>
                <w:szCs w:val="20"/>
                <w:color w:val="auto"/>
              </w:rPr>
            </w:pPr>
          </w:p>
        </w:tc>
        <w:tc>
          <w:tcPr>
            <w:tcW w:w="164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5EEE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20" w:type="dxa"/>
            <w:vAlign w:val="bottom"/>
            <w:shd w:val="clear" w:color="auto" w:fill="D5EEEE"/>
          </w:tcPr>
          <w:p>
            <w:pPr>
              <w:spacing w:after="0"/>
              <w:rPr>
                <w:sz w:val="20"/>
                <w:szCs w:val="20"/>
                <w:color w:val="auto"/>
              </w:rPr>
            </w:pPr>
          </w:p>
        </w:tc>
        <w:tc>
          <w:tcPr>
            <w:tcW w:w="178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40" w:type="dxa"/>
            <w:vAlign w:val="bottom"/>
            <w:tcBorders>
              <w:right w:val="single" w:sz="8" w:color="D5EEEE"/>
            </w:tcBorders>
            <w:shd w:val="clear" w:color="auto" w:fill="D5EEE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shd w:val="clear" w:color="auto" w:fill="D5EEEE"/>
          </w:tcPr>
          <w:p>
            <w:pPr>
              <w:spacing w:after="0"/>
              <w:rPr>
                <w:sz w:val="20"/>
                <w:szCs w:val="20"/>
                <w:color w:val="auto"/>
              </w:rPr>
            </w:pPr>
          </w:p>
        </w:tc>
        <w:tc>
          <w:tcPr>
            <w:tcW w:w="1660" w:type="dxa"/>
            <w:vAlign w:val="bottom"/>
            <w:gridSpan w:val="2"/>
            <w:shd w:val="clear" w:color="auto" w:fill="D5EEEE"/>
          </w:tcPr>
          <w:p>
            <w:pPr>
              <w:jc w:val="right"/>
              <w:ind w:right="6"/>
              <w:spacing w:after="0"/>
              <w:rPr>
                <w:sz w:val="20"/>
                <w:szCs w:val="20"/>
                <w:color w:val="auto"/>
              </w:rPr>
            </w:pPr>
            <w:r>
              <w:rPr>
                <w:rFonts w:ascii="Times New Roman" w:cs="Times New Roman" w:eastAsia="Times New Roman" w:hAnsi="Times New Roman"/>
                <w:sz w:val="20"/>
                <w:szCs w:val="20"/>
                <w:color w:val="auto"/>
              </w:rPr>
              <w:t>26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00" w:type="dxa"/>
            <w:vAlign w:val="bottom"/>
            <w:tcBorders>
              <w:bottom w:val="single" w:sz="8" w:color="D5EEEE"/>
            </w:tcBorders>
          </w:tcPr>
          <w:p>
            <w:pPr>
              <w:spacing w:after="0"/>
              <w:rPr>
                <w:sz w:val="20"/>
                <w:szCs w:val="20"/>
                <w:color w:val="auto"/>
              </w:rPr>
            </w:pPr>
          </w:p>
        </w:tc>
        <w:tc>
          <w:tcPr>
            <w:tcW w:w="2480" w:type="dxa"/>
            <w:vAlign w:val="bottom"/>
            <w:tcBorders>
              <w:bottom w:val="single" w:sz="8" w:color="D5EEEE"/>
            </w:tcBorders>
          </w:tcPr>
          <w:p>
            <w:pPr>
              <w:spacing w:after="0"/>
              <w:rPr>
                <w:sz w:val="20"/>
                <w:szCs w:val="20"/>
                <w:color w:val="auto"/>
              </w:rPr>
            </w:pPr>
          </w:p>
        </w:tc>
        <w:tc>
          <w:tcPr>
            <w:tcW w:w="40" w:type="dxa"/>
            <w:vAlign w:val="bottom"/>
            <w:tcBorders>
              <w:bottom w:val="single" w:sz="8" w:color="D5EEEE"/>
            </w:tcBorders>
          </w:tcPr>
          <w:p>
            <w:pPr>
              <w:spacing w:after="0"/>
              <w:rPr>
                <w:sz w:val="20"/>
                <w:szCs w:val="20"/>
                <w:color w:val="auto"/>
              </w:rPr>
            </w:pPr>
          </w:p>
        </w:tc>
        <w:tc>
          <w:tcPr>
            <w:tcW w:w="160" w:type="dxa"/>
            <w:vAlign w:val="bottom"/>
            <w:tcBorders>
              <w:bottom w:val="single" w:sz="8" w:color="D5EEEE"/>
            </w:tcBorders>
          </w:tcPr>
          <w:p>
            <w:pPr>
              <w:spacing w:after="0"/>
              <w:rPr>
                <w:sz w:val="20"/>
                <w:szCs w:val="20"/>
                <w:color w:val="auto"/>
              </w:rPr>
            </w:pPr>
          </w:p>
        </w:tc>
        <w:tc>
          <w:tcPr>
            <w:tcW w:w="40" w:type="dxa"/>
            <w:vAlign w:val="bottom"/>
            <w:tcBorders>
              <w:bottom w:val="single" w:sz="8" w:color="D5EEEE"/>
            </w:tcBorders>
          </w:tcPr>
          <w:p>
            <w:pPr>
              <w:spacing w:after="0"/>
              <w:rPr>
                <w:sz w:val="20"/>
                <w:szCs w:val="20"/>
                <w:color w:val="auto"/>
              </w:rPr>
            </w:pPr>
          </w:p>
        </w:tc>
        <w:tc>
          <w:tcPr>
            <w:tcW w:w="6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1680" w:type="dxa"/>
            <w:vAlign w:val="bottom"/>
            <w:tcBorders>
              <w:bottom w:val="single" w:sz="8" w:color="D5EEEE"/>
            </w:tcBorders>
            <w:gridSpan w:val="2"/>
          </w:tcPr>
          <w:p>
            <w:pPr>
              <w:jc w:val="right"/>
              <w:spacing w:after="0"/>
              <w:rPr>
                <w:sz w:val="20"/>
                <w:szCs w:val="20"/>
                <w:color w:val="auto"/>
              </w:rPr>
            </w:pPr>
            <w:r>
              <w:rPr>
                <w:rFonts w:ascii="Times New Roman" w:cs="Times New Roman" w:eastAsia="Times New Roman" w:hAnsi="Times New Roman"/>
                <w:sz w:val="20"/>
                <w:szCs w:val="20"/>
                <w:color w:val="auto"/>
              </w:rPr>
              <w:t>3,405</w:t>
            </w:r>
          </w:p>
        </w:tc>
        <w:tc>
          <w:tcPr>
            <w:tcW w:w="120" w:type="dxa"/>
            <w:vAlign w:val="bottom"/>
            <w:tcBorders>
              <w:bottom w:val="single" w:sz="8" w:color="D5EEEE"/>
            </w:tcBorders>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20" w:type="dxa"/>
            <w:vAlign w:val="bottom"/>
            <w:tcBorders>
              <w:bottom w:val="single" w:sz="8" w:color="D5EEEE"/>
            </w:tcBorders>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100" w:type="dxa"/>
            <w:vAlign w:val="bottom"/>
            <w:tcBorders>
              <w:bottom w:val="single" w:sz="8" w:color="D5EEEE"/>
            </w:tcBorders>
          </w:tcPr>
          <w:p>
            <w:pPr>
              <w:spacing w:after="0"/>
              <w:rPr>
                <w:sz w:val="20"/>
                <w:szCs w:val="20"/>
                <w:color w:val="auto"/>
              </w:rPr>
            </w:pPr>
          </w:p>
        </w:tc>
        <w:tc>
          <w:tcPr>
            <w:tcW w:w="1800" w:type="dxa"/>
            <w:vAlign w:val="bottom"/>
            <w:tcBorders>
              <w:bottom w:val="single" w:sz="8" w:color="D5EEEE"/>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2,739</w:t>
            </w:r>
          </w:p>
        </w:tc>
        <w:tc>
          <w:tcPr>
            <w:tcW w:w="20" w:type="dxa"/>
            <w:vAlign w:val="bottom"/>
            <w:tcBorders>
              <w:bottom w:val="single" w:sz="8" w:color="D5EEEE"/>
            </w:tcBorders>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40" w:type="dxa"/>
            <w:vAlign w:val="bottom"/>
            <w:tcBorders>
              <w:bottom w:val="single" w:sz="8" w:color="D5EEEE"/>
            </w:tcBorders>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120" w:type="dxa"/>
            <w:vAlign w:val="bottom"/>
            <w:tcBorders>
              <w:bottom w:val="single" w:sz="8" w:color="D5EE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gridSpan w:val="2"/>
          </w:tcPr>
          <w:p>
            <w:pPr>
              <w:jc w:val="right"/>
              <w:ind w:right="6"/>
              <w:spacing w:after="0"/>
              <w:rPr>
                <w:sz w:val="20"/>
                <w:szCs w:val="20"/>
                <w:color w:val="auto"/>
              </w:rPr>
            </w:pPr>
            <w:r>
              <w:rPr>
                <w:rFonts w:ascii="Times New Roman" w:cs="Times New Roman" w:eastAsia="Times New Roman" w:hAnsi="Times New Roman"/>
                <w:sz w:val="20"/>
                <w:szCs w:val="20"/>
                <w:color w:val="auto"/>
              </w:rPr>
              <w:t>3,21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D5EEEE"/>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600" w:type="dxa"/>
            <w:vAlign w:val="bottom"/>
            <w:shd w:val="clear" w:color="auto" w:fill="D5EEEE"/>
          </w:tcPr>
          <w:p>
            <w:pPr>
              <w:spacing w:after="0"/>
              <w:rPr>
                <w:sz w:val="20"/>
                <w:szCs w:val="20"/>
                <w:color w:val="auto"/>
              </w:rPr>
            </w:pPr>
          </w:p>
        </w:tc>
        <w:tc>
          <w:tcPr>
            <w:tcW w:w="2480" w:type="dxa"/>
            <w:vAlign w:val="bottom"/>
            <w:shd w:val="clear" w:color="auto" w:fill="D5EEEE"/>
          </w:tcPr>
          <w:p>
            <w:pPr>
              <w:spacing w:after="0"/>
              <w:rPr>
                <w:sz w:val="20"/>
                <w:szCs w:val="20"/>
                <w:color w:val="auto"/>
              </w:rPr>
            </w:pPr>
          </w:p>
        </w:tc>
        <w:tc>
          <w:tcPr>
            <w:tcW w:w="40" w:type="dxa"/>
            <w:vAlign w:val="bottom"/>
            <w:shd w:val="clear" w:color="auto" w:fill="D5EEEE"/>
          </w:tcPr>
          <w:p>
            <w:pPr>
              <w:spacing w:after="0"/>
              <w:rPr>
                <w:sz w:val="20"/>
                <w:szCs w:val="20"/>
                <w:color w:val="auto"/>
              </w:rPr>
            </w:pPr>
          </w:p>
        </w:tc>
        <w:tc>
          <w:tcPr>
            <w:tcW w:w="160" w:type="dxa"/>
            <w:vAlign w:val="bottom"/>
            <w:shd w:val="clear" w:color="auto" w:fill="D5EEEE"/>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tcBorders>
              <w:left w:val="single" w:sz="8" w:color="D5EEEE"/>
            </w:tcBorders>
            <w:gridSpan w:val="2"/>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247</w:t>
            </w:r>
          </w:p>
        </w:tc>
        <w:tc>
          <w:tcPr>
            <w:tcW w:w="120" w:type="dxa"/>
            <w:vAlign w:val="bottom"/>
            <w:shd w:val="clear" w:color="auto" w:fill="D5EEE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1800" w:type="dxa"/>
            <w:vAlign w:val="bottom"/>
            <w:gridSpan w:val="2"/>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428</w:t>
            </w:r>
          </w:p>
        </w:tc>
        <w:tc>
          <w:tcPr>
            <w:tcW w:w="20" w:type="dxa"/>
            <w:vAlign w:val="bottom"/>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40" w:type="dxa"/>
            <w:vAlign w:val="bottom"/>
            <w:tcBorders>
              <w:right w:val="single" w:sz="8" w:color="D5EEEE"/>
            </w:tcBorders>
            <w:shd w:val="clear" w:color="auto" w:fill="D5EEE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shd w:val="clear" w:color="auto" w:fill="D5EEEE"/>
          </w:tcPr>
          <w:p>
            <w:pPr>
              <w:spacing w:after="0"/>
              <w:rPr>
                <w:sz w:val="20"/>
                <w:szCs w:val="20"/>
                <w:color w:val="auto"/>
              </w:rPr>
            </w:pPr>
          </w:p>
        </w:tc>
        <w:tc>
          <w:tcPr>
            <w:tcW w:w="1660" w:type="dxa"/>
            <w:vAlign w:val="bottom"/>
            <w:gridSpan w:val="2"/>
            <w:shd w:val="clear" w:color="auto" w:fill="D5EEEE"/>
          </w:tcPr>
          <w:p>
            <w:pPr>
              <w:jc w:val="right"/>
              <w:ind w:right="6"/>
              <w:spacing w:after="0"/>
              <w:rPr>
                <w:sz w:val="20"/>
                <w:szCs w:val="20"/>
                <w:color w:val="auto"/>
              </w:rPr>
            </w:pPr>
            <w:r>
              <w:rPr>
                <w:rFonts w:ascii="Times New Roman" w:cs="Times New Roman" w:eastAsia="Times New Roman" w:hAnsi="Times New Roman"/>
                <w:sz w:val="20"/>
                <w:szCs w:val="20"/>
                <w:color w:val="auto"/>
              </w:rPr>
              <w:t>41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600" w:type="dxa"/>
            <w:vAlign w:val="bottom"/>
            <w:tcBorders>
              <w:bottom w:val="single" w:sz="8" w:color="D5EEEE"/>
            </w:tcBorders>
          </w:tcPr>
          <w:p>
            <w:pPr>
              <w:spacing w:after="0"/>
              <w:rPr>
                <w:sz w:val="23"/>
                <w:szCs w:val="23"/>
                <w:color w:val="auto"/>
              </w:rPr>
            </w:pPr>
          </w:p>
        </w:tc>
        <w:tc>
          <w:tcPr>
            <w:tcW w:w="2480" w:type="dxa"/>
            <w:vAlign w:val="bottom"/>
            <w:tcBorders>
              <w:bottom w:val="single" w:sz="8" w:color="D5EEEE"/>
            </w:tcBorders>
          </w:tcPr>
          <w:p>
            <w:pPr>
              <w:spacing w:after="0"/>
              <w:rPr>
                <w:sz w:val="23"/>
                <w:szCs w:val="23"/>
                <w:color w:val="auto"/>
              </w:rPr>
            </w:pPr>
          </w:p>
        </w:tc>
        <w:tc>
          <w:tcPr>
            <w:tcW w:w="40" w:type="dxa"/>
            <w:vAlign w:val="bottom"/>
            <w:tcBorders>
              <w:bottom w:val="single" w:sz="8" w:color="D5EEEE"/>
            </w:tcBorders>
          </w:tcPr>
          <w:p>
            <w:pPr>
              <w:spacing w:after="0"/>
              <w:rPr>
                <w:sz w:val="23"/>
                <w:szCs w:val="23"/>
                <w:color w:val="auto"/>
              </w:rPr>
            </w:pPr>
          </w:p>
        </w:tc>
        <w:tc>
          <w:tcPr>
            <w:tcW w:w="160" w:type="dxa"/>
            <w:vAlign w:val="bottom"/>
            <w:tcBorders>
              <w:bottom w:val="single" w:sz="8" w:color="D5EEEE"/>
            </w:tcBorders>
          </w:tcPr>
          <w:p>
            <w:pPr>
              <w:spacing w:after="0"/>
              <w:rPr>
                <w:sz w:val="23"/>
                <w:szCs w:val="23"/>
                <w:color w:val="auto"/>
              </w:rPr>
            </w:pPr>
          </w:p>
        </w:tc>
        <w:tc>
          <w:tcPr>
            <w:tcW w:w="40" w:type="dxa"/>
            <w:vAlign w:val="bottom"/>
            <w:tcBorders>
              <w:bottom w:val="single" w:sz="8" w:color="D5EEEE"/>
            </w:tcBorders>
          </w:tcPr>
          <w:p>
            <w:pPr>
              <w:spacing w:after="0"/>
              <w:rPr>
                <w:sz w:val="23"/>
                <w:szCs w:val="23"/>
                <w:color w:val="auto"/>
              </w:rPr>
            </w:pPr>
          </w:p>
        </w:tc>
        <w:tc>
          <w:tcPr>
            <w:tcW w:w="60" w:type="dxa"/>
            <w:vAlign w:val="bottom"/>
            <w:tcBorders>
              <w:bottom w:val="single" w:sz="8" w:color="D5EEEE"/>
            </w:tcBorders>
          </w:tcPr>
          <w:p>
            <w:pPr>
              <w:spacing w:after="0"/>
              <w:rPr>
                <w:sz w:val="23"/>
                <w:szCs w:val="23"/>
                <w:color w:val="auto"/>
              </w:rPr>
            </w:pPr>
          </w:p>
        </w:tc>
        <w:tc>
          <w:tcPr>
            <w:tcW w:w="20" w:type="dxa"/>
            <w:vAlign w:val="bottom"/>
            <w:tcBorders>
              <w:bottom w:val="single" w:sz="8" w:color="D5EEEE"/>
            </w:tcBorders>
          </w:tcPr>
          <w:p>
            <w:pPr>
              <w:spacing w:after="0"/>
              <w:rPr>
                <w:sz w:val="23"/>
                <w:szCs w:val="23"/>
                <w:color w:val="auto"/>
              </w:rPr>
            </w:pPr>
          </w:p>
        </w:tc>
        <w:tc>
          <w:tcPr>
            <w:tcW w:w="1680" w:type="dxa"/>
            <w:vAlign w:val="bottom"/>
            <w:tcBorders>
              <w:bottom w:val="single" w:sz="8" w:color="D5EEEE"/>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2,215</w:t>
            </w:r>
          </w:p>
        </w:tc>
        <w:tc>
          <w:tcPr>
            <w:tcW w:w="120" w:type="dxa"/>
            <w:vAlign w:val="bottom"/>
            <w:tcBorders>
              <w:bottom w:val="single" w:sz="8" w:color="D5EEEE"/>
            </w:tcBorders>
          </w:tcPr>
          <w:p>
            <w:pPr>
              <w:spacing w:after="0"/>
              <w:rPr>
                <w:sz w:val="23"/>
                <w:szCs w:val="23"/>
                <w:color w:val="auto"/>
              </w:rPr>
            </w:pPr>
          </w:p>
        </w:tc>
        <w:tc>
          <w:tcPr>
            <w:tcW w:w="80" w:type="dxa"/>
            <w:vAlign w:val="bottom"/>
            <w:tcBorders>
              <w:bottom w:val="single" w:sz="8" w:color="D5EEEE"/>
            </w:tcBorders>
          </w:tcPr>
          <w:p>
            <w:pPr>
              <w:spacing w:after="0"/>
              <w:rPr>
                <w:sz w:val="23"/>
                <w:szCs w:val="23"/>
                <w:color w:val="auto"/>
              </w:rPr>
            </w:pPr>
          </w:p>
        </w:tc>
        <w:tc>
          <w:tcPr>
            <w:tcW w:w="20" w:type="dxa"/>
            <w:vAlign w:val="bottom"/>
            <w:tcBorders>
              <w:bottom w:val="single" w:sz="8" w:color="D5EEEE"/>
            </w:tcBorders>
          </w:tcPr>
          <w:p>
            <w:pPr>
              <w:spacing w:after="0"/>
              <w:rPr>
                <w:sz w:val="23"/>
                <w:szCs w:val="23"/>
                <w:color w:val="auto"/>
              </w:rPr>
            </w:pPr>
          </w:p>
        </w:tc>
        <w:tc>
          <w:tcPr>
            <w:tcW w:w="100" w:type="dxa"/>
            <w:vAlign w:val="bottom"/>
            <w:tcBorders>
              <w:bottom w:val="single" w:sz="8" w:color="D5EEEE"/>
            </w:tcBorders>
          </w:tcPr>
          <w:p>
            <w:pPr>
              <w:spacing w:after="0"/>
              <w:rPr>
                <w:sz w:val="23"/>
                <w:szCs w:val="23"/>
                <w:color w:val="auto"/>
              </w:rPr>
            </w:pPr>
          </w:p>
        </w:tc>
        <w:tc>
          <w:tcPr>
            <w:tcW w:w="20" w:type="dxa"/>
            <w:vAlign w:val="bottom"/>
            <w:tcBorders>
              <w:bottom w:val="single" w:sz="8" w:color="D5EEEE"/>
            </w:tcBorders>
          </w:tcPr>
          <w:p>
            <w:pPr>
              <w:spacing w:after="0"/>
              <w:rPr>
                <w:sz w:val="23"/>
                <w:szCs w:val="23"/>
                <w:color w:val="auto"/>
              </w:rPr>
            </w:pPr>
          </w:p>
        </w:tc>
        <w:tc>
          <w:tcPr>
            <w:tcW w:w="80" w:type="dxa"/>
            <w:vAlign w:val="bottom"/>
            <w:tcBorders>
              <w:bottom w:val="single" w:sz="8" w:color="D5EEEE"/>
            </w:tcBorders>
          </w:tcPr>
          <w:p>
            <w:pPr>
              <w:spacing w:after="0"/>
              <w:rPr>
                <w:sz w:val="23"/>
                <w:szCs w:val="23"/>
                <w:color w:val="auto"/>
              </w:rPr>
            </w:pPr>
          </w:p>
        </w:tc>
        <w:tc>
          <w:tcPr>
            <w:tcW w:w="20" w:type="dxa"/>
            <w:vAlign w:val="bottom"/>
            <w:tcBorders>
              <w:bottom w:val="single" w:sz="8" w:color="D5EEEE"/>
            </w:tcBorders>
          </w:tcPr>
          <w:p>
            <w:pPr>
              <w:spacing w:after="0"/>
              <w:rPr>
                <w:sz w:val="23"/>
                <w:szCs w:val="23"/>
                <w:color w:val="auto"/>
              </w:rPr>
            </w:pPr>
          </w:p>
        </w:tc>
        <w:tc>
          <w:tcPr>
            <w:tcW w:w="80" w:type="dxa"/>
            <w:vAlign w:val="bottom"/>
            <w:tcBorders>
              <w:bottom w:val="single" w:sz="8" w:color="D5EEEE"/>
            </w:tcBorders>
          </w:tcPr>
          <w:p>
            <w:pPr>
              <w:spacing w:after="0"/>
              <w:rPr>
                <w:sz w:val="23"/>
                <w:szCs w:val="23"/>
                <w:color w:val="auto"/>
              </w:rPr>
            </w:pPr>
          </w:p>
        </w:tc>
        <w:tc>
          <w:tcPr>
            <w:tcW w:w="100" w:type="dxa"/>
            <w:vAlign w:val="bottom"/>
            <w:tcBorders>
              <w:bottom w:val="single" w:sz="8" w:color="D5EEEE"/>
            </w:tcBorders>
          </w:tcPr>
          <w:p>
            <w:pPr>
              <w:spacing w:after="0"/>
              <w:rPr>
                <w:sz w:val="23"/>
                <w:szCs w:val="23"/>
                <w:color w:val="auto"/>
              </w:rPr>
            </w:pPr>
          </w:p>
        </w:tc>
        <w:tc>
          <w:tcPr>
            <w:tcW w:w="20" w:type="dxa"/>
            <w:vAlign w:val="bottom"/>
            <w:tcBorders>
              <w:bottom w:val="single" w:sz="8" w:color="D5EEEE"/>
            </w:tcBorders>
          </w:tcPr>
          <w:p>
            <w:pPr>
              <w:spacing w:after="0"/>
              <w:rPr>
                <w:sz w:val="23"/>
                <w:szCs w:val="23"/>
                <w:color w:val="auto"/>
              </w:rPr>
            </w:pPr>
          </w:p>
        </w:tc>
        <w:tc>
          <w:tcPr>
            <w:tcW w:w="178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D5EEEE"/>
            </w:tcBorders>
          </w:tcPr>
          <w:p>
            <w:pPr>
              <w:spacing w:after="0"/>
              <w:rPr>
                <w:sz w:val="23"/>
                <w:szCs w:val="23"/>
                <w:color w:val="auto"/>
              </w:rPr>
            </w:pPr>
          </w:p>
        </w:tc>
        <w:tc>
          <w:tcPr>
            <w:tcW w:w="80" w:type="dxa"/>
            <w:vAlign w:val="bottom"/>
            <w:tcBorders>
              <w:bottom w:val="single" w:sz="8" w:color="D5EEEE"/>
            </w:tcBorders>
          </w:tcPr>
          <w:p>
            <w:pPr>
              <w:spacing w:after="0"/>
              <w:rPr>
                <w:sz w:val="23"/>
                <w:szCs w:val="23"/>
                <w:color w:val="auto"/>
              </w:rPr>
            </w:pPr>
          </w:p>
        </w:tc>
        <w:tc>
          <w:tcPr>
            <w:tcW w:w="40" w:type="dxa"/>
            <w:vAlign w:val="bottom"/>
            <w:tcBorders>
              <w:bottom w:val="single" w:sz="8" w:color="D5EEEE"/>
            </w:tcBorders>
          </w:tcPr>
          <w:p>
            <w:pPr>
              <w:spacing w:after="0"/>
              <w:rPr>
                <w:sz w:val="23"/>
                <w:szCs w:val="23"/>
                <w:color w:val="auto"/>
              </w:rPr>
            </w:pPr>
          </w:p>
        </w:tc>
        <w:tc>
          <w:tcPr>
            <w:tcW w:w="80" w:type="dxa"/>
            <w:vAlign w:val="bottom"/>
            <w:tcBorders>
              <w:bottom w:val="single" w:sz="8" w:color="D5EEEE"/>
            </w:tcBorders>
          </w:tcPr>
          <w:p>
            <w:pPr>
              <w:spacing w:after="0"/>
              <w:rPr>
                <w:sz w:val="23"/>
                <w:szCs w:val="23"/>
                <w:color w:val="auto"/>
              </w:rPr>
            </w:pPr>
          </w:p>
        </w:tc>
        <w:tc>
          <w:tcPr>
            <w:tcW w:w="120" w:type="dxa"/>
            <w:vAlign w:val="bottom"/>
            <w:tcBorders>
              <w:bottom w:val="single" w:sz="8" w:color="D5EEEE"/>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Borders>
              <w:bottom w:val="single" w:sz="8" w:color="D5EEEE"/>
            </w:tcBorders>
          </w:tcPr>
          <w:p>
            <w:pPr>
              <w:spacing w:after="0"/>
              <w:rPr>
                <w:sz w:val="23"/>
                <w:szCs w:val="23"/>
                <w:color w:val="auto"/>
              </w:rPr>
            </w:pPr>
          </w:p>
        </w:tc>
        <w:tc>
          <w:tcPr>
            <w:tcW w:w="20" w:type="dxa"/>
            <w:vAlign w:val="bottom"/>
            <w:tcBorders>
              <w:bottom w:val="single" w:sz="8" w:color="D5EEEE"/>
            </w:tcBorders>
          </w:tcPr>
          <w:p>
            <w:pPr>
              <w:spacing w:after="0"/>
              <w:rPr>
                <w:sz w:val="23"/>
                <w:szCs w:val="23"/>
                <w:color w:val="auto"/>
              </w:rPr>
            </w:pPr>
          </w:p>
        </w:tc>
        <w:tc>
          <w:tcPr>
            <w:tcW w:w="1640" w:type="dxa"/>
            <w:vAlign w:val="bottom"/>
            <w:tcBorders>
              <w:bottom w:val="single" w:sz="8" w:color="D5EEEE"/>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Borders>
              <w:bottom w:val="single" w:sz="8" w:color="D5EEEE"/>
            </w:tcBorders>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1600" w:type="dxa"/>
            <w:vAlign w:val="bottom"/>
            <w:shd w:val="clear" w:color="auto" w:fill="D5EEEE"/>
          </w:tcPr>
          <w:p>
            <w:pPr>
              <w:spacing w:after="0"/>
              <w:rPr>
                <w:sz w:val="17"/>
                <w:szCs w:val="17"/>
                <w:color w:val="auto"/>
              </w:rPr>
            </w:pPr>
          </w:p>
        </w:tc>
        <w:tc>
          <w:tcPr>
            <w:tcW w:w="2480" w:type="dxa"/>
            <w:vAlign w:val="bottom"/>
            <w:shd w:val="clear" w:color="auto" w:fill="D5EEEE"/>
          </w:tcPr>
          <w:p>
            <w:pPr>
              <w:spacing w:after="0"/>
              <w:rPr>
                <w:sz w:val="17"/>
                <w:szCs w:val="17"/>
                <w:color w:val="auto"/>
              </w:rPr>
            </w:pPr>
          </w:p>
        </w:tc>
        <w:tc>
          <w:tcPr>
            <w:tcW w:w="40" w:type="dxa"/>
            <w:vAlign w:val="bottom"/>
            <w:shd w:val="clear" w:color="auto" w:fill="D5EEEE"/>
          </w:tcPr>
          <w:p>
            <w:pPr>
              <w:spacing w:after="0"/>
              <w:rPr>
                <w:sz w:val="17"/>
                <w:szCs w:val="17"/>
                <w:color w:val="auto"/>
              </w:rPr>
            </w:pPr>
          </w:p>
        </w:tc>
        <w:tc>
          <w:tcPr>
            <w:tcW w:w="160" w:type="dxa"/>
            <w:vAlign w:val="bottom"/>
            <w:shd w:val="clear" w:color="auto" w:fill="D5EEE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Borders>
              <w:left w:val="single" w:sz="8" w:color="D5EEEE"/>
            </w:tcBorders>
            <w:gridSpan w:val="2"/>
            <w:shd w:val="clear" w:color="auto" w:fill="D5EEEE"/>
          </w:tcPr>
          <w:p>
            <w:pPr>
              <w:jc w:val="right"/>
              <w:spacing w:after="0" w:line="200" w:lineRule="exact"/>
              <w:rPr>
                <w:sz w:val="20"/>
                <w:szCs w:val="20"/>
                <w:color w:val="auto"/>
              </w:rPr>
            </w:pPr>
            <w:r>
              <w:rPr>
                <w:rFonts w:ascii="Times New Roman" w:cs="Times New Roman" w:eastAsia="Times New Roman" w:hAnsi="Times New Roman"/>
                <w:sz w:val="20"/>
                <w:szCs w:val="20"/>
                <w:color w:val="auto"/>
              </w:rPr>
              <w:t>48,413</w:t>
            </w:r>
          </w:p>
        </w:tc>
        <w:tc>
          <w:tcPr>
            <w:tcW w:w="120" w:type="dxa"/>
            <w:vAlign w:val="bottom"/>
            <w:shd w:val="clear" w:color="auto" w:fill="D5EEE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1800" w:type="dxa"/>
            <w:vAlign w:val="bottom"/>
            <w:gridSpan w:val="2"/>
            <w:shd w:val="clear" w:color="auto" w:fill="D5EEEE"/>
          </w:tcPr>
          <w:p>
            <w:pPr>
              <w:jc w:val="right"/>
              <w:spacing w:after="0" w:line="200" w:lineRule="exact"/>
              <w:rPr>
                <w:sz w:val="20"/>
                <w:szCs w:val="20"/>
                <w:color w:val="auto"/>
              </w:rPr>
            </w:pPr>
            <w:r>
              <w:rPr>
                <w:rFonts w:ascii="Times New Roman" w:cs="Times New Roman" w:eastAsia="Times New Roman" w:hAnsi="Times New Roman"/>
                <w:sz w:val="20"/>
                <w:szCs w:val="20"/>
                <w:color w:val="auto"/>
              </w:rPr>
              <w:t>46,918</w:t>
            </w:r>
          </w:p>
        </w:tc>
        <w:tc>
          <w:tcPr>
            <w:tcW w:w="20" w:type="dxa"/>
            <w:vAlign w:val="bottom"/>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40" w:type="dxa"/>
            <w:vAlign w:val="bottom"/>
            <w:tcBorders>
              <w:right w:val="single" w:sz="8" w:color="D5EEEE"/>
            </w:tcBorders>
            <w:shd w:val="clear" w:color="auto" w:fill="D5EEE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shd w:val="clear" w:color="auto" w:fill="D5EEEE"/>
          </w:tcPr>
          <w:p>
            <w:pPr>
              <w:spacing w:after="0"/>
              <w:rPr>
                <w:sz w:val="17"/>
                <w:szCs w:val="17"/>
                <w:color w:val="auto"/>
              </w:rPr>
            </w:pPr>
          </w:p>
        </w:tc>
        <w:tc>
          <w:tcPr>
            <w:tcW w:w="1660" w:type="dxa"/>
            <w:vAlign w:val="bottom"/>
            <w:gridSpan w:val="2"/>
            <w:shd w:val="clear" w:color="auto" w:fill="D5EEEE"/>
          </w:tcPr>
          <w:p>
            <w:pPr>
              <w:jc w:val="right"/>
              <w:ind w:right="6"/>
              <w:spacing w:after="0" w:line="200" w:lineRule="exact"/>
              <w:rPr>
                <w:sz w:val="20"/>
                <w:szCs w:val="20"/>
                <w:color w:val="auto"/>
              </w:rPr>
            </w:pPr>
            <w:r>
              <w:rPr>
                <w:rFonts w:ascii="Times New Roman" w:cs="Times New Roman" w:eastAsia="Times New Roman" w:hAnsi="Times New Roman"/>
                <w:sz w:val="20"/>
                <w:szCs w:val="20"/>
                <w:color w:val="auto"/>
              </w:rPr>
              <w:t>44,28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6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40" w:type="dxa"/>
            <w:vAlign w:val="bottom"/>
            <w:tcBorders>
              <w:bottom w:val="single" w:sz="8" w:color="D5EEEE"/>
            </w:tcBorders>
          </w:tcPr>
          <w:p>
            <w:pPr>
              <w:spacing w:after="0"/>
              <w:rPr>
                <w:sz w:val="21"/>
                <w:szCs w:val="21"/>
                <w:color w:val="auto"/>
              </w:rPr>
            </w:pPr>
          </w:p>
        </w:tc>
        <w:tc>
          <w:tcPr>
            <w:tcW w:w="160" w:type="dxa"/>
            <w:vAlign w:val="bottom"/>
            <w:tcBorders>
              <w:bottom w:val="single" w:sz="8" w:color="D5EEEE"/>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630</w:t>
            </w:r>
          </w:p>
        </w:tc>
        <w:tc>
          <w:tcPr>
            <w:tcW w:w="120" w:type="dxa"/>
            <w:vAlign w:val="bottom"/>
            <w:tcBorders>
              <w:bottom w:val="single" w:sz="8" w:color="D5EEEE"/>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483</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120" w:type="dxa"/>
            <w:vAlign w:val="bottom"/>
            <w:tcBorders>
              <w:bottom w:val="single" w:sz="8" w:color="D5EEEE"/>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right"/>
              <w:ind w:right="6"/>
              <w:spacing w:after="0"/>
              <w:rPr>
                <w:sz w:val="20"/>
                <w:szCs w:val="20"/>
                <w:color w:val="auto"/>
              </w:rPr>
            </w:pPr>
            <w:r>
              <w:rPr>
                <w:rFonts w:ascii="Times New Roman" w:cs="Times New Roman" w:eastAsia="Times New Roman" w:hAnsi="Times New Roman"/>
                <w:sz w:val="20"/>
                <w:szCs w:val="20"/>
                <w:color w:val="auto"/>
              </w:rPr>
              <w:t>60</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D5EEEE"/>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600" w:type="dxa"/>
            <w:vAlign w:val="bottom"/>
            <w:tcBorders>
              <w:top w:val="single" w:sz="8" w:color="D5EEEE"/>
            </w:tcBorders>
            <w:shd w:val="clear" w:color="auto" w:fill="D5EEEE"/>
          </w:tcPr>
          <w:p>
            <w:pPr>
              <w:spacing w:after="0"/>
              <w:rPr>
                <w:sz w:val="18"/>
                <w:szCs w:val="18"/>
                <w:color w:val="auto"/>
              </w:rPr>
            </w:pPr>
          </w:p>
        </w:tc>
        <w:tc>
          <w:tcPr>
            <w:tcW w:w="2480" w:type="dxa"/>
            <w:vAlign w:val="bottom"/>
            <w:tcBorders>
              <w:top w:val="single" w:sz="8" w:color="D5EEEE"/>
            </w:tcBorders>
            <w:shd w:val="clear" w:color="auto" w:fill="D5EEEE"/>
          </w:tcPr>
          <w:p>
            <w:pPr>
              <w:spacing w:after="0"/>
              <w:rPr>
                <w:sz w:val="18"/>
                <w:szCs w:val="18"/>
                <w:color w:val="auto"/>
              </w:rPr>
            </w:pPr>
          </w:p>
        </w:tc>
        <w:tc>
          <w:tcPr>
            <w:tcW w:w="40" w:type="dxa"/>
            <w:vAlign w:val="bottom"/>
            <w:tcBorders>
              <w:top w:val="single" w:sz="8" w:color="D5EEEE"/>
            </w:tcBorders>
            <w:shd w:val="clear" w:color="auto" w:fill="D5EEEE"/>
          </w:tcPr>
          <w:p>
            <w:pPr>
              <w:spacing w:after="0"/>
              <w:rPr>
                <w:sz w:val="18"/>
                <w:szCs w:val="18"/>
                <w:color w:val="auto"/>
              </w:rPr>
            </w:pPr>
          </w:p>
        </w:tc>
        <w:tc>
          <w:tcPr>
            <w:tcW w:w="16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D5EEEE"/>
            </w:tcBorders>
            <w:gridSpan w:val="2"/>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Borders>
              <w:top w:val="single" w:sz="8" w:color="D5EEEE"/>
            </w:tcBorders>
          </w:tcPr>
          <w:p>
            <w:pPr>
              <w:spacing w:after="0"/>
              <w:rPr>
                <w:sz w:val="18"/>
                <w:szCs w:val="18"/>
                <w:color w:val="auto"/>
              </w:rPr>
            </w:pPr>
          </w:p>
        </w:tc>
        <w:tc>
          <w:tcPr>
            <w:tcW w:w="1680" w:type="dxa"/>
            <w:vAlign w:val="bottom"/>
            <w:tcBorders>
              <w:top w:val="single" w:sz="8" w:color="D5EEEE"/>
              <w:left w:val="single" w:sz="8" w:color="D5EEEE"/>
            </w:tcBorders>
            <w:gridSpan w:val="2"/>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rPr>
              <w:t>56,746</w:t>
            </w:r>
          </w:p>
        </w:tc>
        <w:tc>
          <w:tcPr>
            <w:tcW w:w="120" w:type="dxa"/>
            <w:vAlign w:val="bottom"/>
            <w:tcBorders>
              <w:top w:val="single" w:sz="8" w:color="D5EEEE"/>
            </w:tcBorders>
            <w:shd w:val="clear" w:color="auto" w:fill="D5EEEE"/>
          </w:tcPr>
          <w:p>
            <w:pPr>
              <w:spacing w:after="0"/>
              <w:rPr>
                <w:sz w:val="18"/>
                <w:szCs w:val="18"/>
                <w:color w:val="auto"/>
              </w:rPr>
            </w:pPr>
          </w:p>
        </w:tc>
        <w:tc>
          <w:tcPr>
            <w:tcW w:w="80" w:type="dxa"/>
            <w:vAlign w:val="bottom"/>
            <w:tcBorders>
              <w:top w:val="single" w:sz="8" w:color="D5EEEE"/>
            </w:tcBorders>
          </w:tcPr>
          <w:p>
            <w:pPr>
              <w:spacing w:after="0"/>
              <w:rPr>
                <w:sz w:val="18"/>
                <w:szCs w:val="18"/>
                <w:color w:val="auto"/>
              </w:rPr>
            </w:pPr>
          </w:p>
        </w:tc>
        <w:tc>
          <w:tcPr>
            <w:tcW w:w="20" w:type="dxa"/>
            <w:vAlign w:val="bottom"/>
            <w:tcBorders>
              <w:top w:val="single" w:sz="8" w:color="D5EEEE"/>
            </w:tcBorders>
          </w:tcPr>
          <w:p>
            <w:pPr>
              <w:spacing w:after="0"/>
              <w:rPr>
                <w:sz w:val="18"/>
                <w:szCs w:val="18"/>
                <w:color w:val="auto"/>
              </w:rPr>
            </w:pPr>
          </w:p>
        </w:tc>
        <w:tc>
          <w:tcPr>
            <w:tcW w:w="100" w:type="dxa"/>
            <w:vAlign w:val="bottom"/>
            <w:tcBorders>
              <w:top w:val="single" w:sz="8" w:color="D5EEEE"/>
            </w:tcBorders>
          </w:tcPr>
          <w:p>
            <w:pPr>
              <w:spacing w:after="0"/>
              <w:rPr>
                <w:sz w:val="18"/>
                <w:szCs w:val="18"/>
                <w:color w:val="auto"/>
              </w:rPr>
            </w:pPr>
          </w:p>
        </w:tc>
        <w:tc>
          <w:tcPr>
            <w:tcW w:w="20" w:type="dxa"/>
            <w:vAlign w:val="bottom"/>
            <w:tcBorders>
              <w:top w:val="single" w:sz="8" w:color="D5EEEE"/>
            </w:tcBorders>
          </w:tcPr>
          <w:p>
            <w:pPr>
              <w:spacing w:after="0"/>
              <w:rPr>
                <w:sz w:val="18"/>
                <w:szCs w:val="18"/>
                <w:color w:val="auto"/>
              </w:rPr>
            </w:pPr>
          </w:p>
        </w:tc>
        <w:tc>
          <w:tcPr>
            <w:tcW w:w="80" w:type="dxa"/>
            <w:vAlign w:val="bottom"/>
            <w:tcBorders>
              <w:top w:val="single" w:sz="8" w:color="D5EEEE"/>
              <w:left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0" w:type="dxa"/>
            <w:vAlign w:val="bottom"/>
            <w:tcBorders>
              <w:top w:val="single" w:sz="8" w:color="D5EEEE"/>
            </w:tcBorders>
          </w:tcPr>
          <w:p>
            <w:pPr>
              <w:spacing w:after="0"/>
              <w:rPr>
                <w:sz w:val="18"/>
                <w:szCs w:val="18"/>
                <w:color w:val="auto"/>
              </w:rPr>
            </w:pPr>
          </w:p>
        </w:tc>
        <w:tc>
          <w:tcPr>
            <w:tcW w:w="8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D5EEEE"/>
            </w:tcBorders>
            <w:shd w:val="clear" w:color="auto" w:fill="D5EEEE"/>
          </w:tcPr>
          <w:p>
            <w:pPr>
              <w:spacing w:after="0"/>
              <w:rPr>
                <w:sz w:val="18"/>
                <w:szCs w:val="18"/>
                <w:color w:val="auto"/>
              </w:rPr>
            </w:pPr>
          </w:p>
        </w:tc>
        <w:tc>
          <w:tcPr>
            <w:tcW w:w="1800" w:type="dxa"/>
            <w:vAlign w:val="bottom"/>
            <w:tcBorders>
              <w:top w:val="single" w:sz="8" w:color="D5EEEE"/>
            </w:tcBorders>
            <w:gridSpan w:val="2"/>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rPr>
              <w:t>51,719</w:t>
            </w:r>
          </w:p>
        </w:tc>
        <w:tc>
          <w:tcPr>
            <w:tcW w:w="20" w:type="dxa"/>
            <w:vAlign w:val="bottom"/>
            <w:tcBorders>
              <w:top w:val="single" w:sz="8" w:color="D5EEEE"/>
            </w:tcBorders>
            <w:shd w:val="clear" w:color="auto" w:fill="D5EEEE"/>
          </w:tcPr>
          <w:p>
            <w:pPr>
              <w:spacing w:after="0"/>
              <w:rPr>
                <w:sz w:val="18"/>
                <w:szCs w:val="18"/>
                <w:color w:val="auto"/>
              </w:rPr>
            </w:pPr>
          </w:p>
        </w:tc>
        <w:tc>
          <w:tcPr>
            <w:tcW w:w="80" w:type="dxa"/>
            <w:vAlign w:val="bottom"/>
            <w:tcBorders>
              <w:top w:val="single" w:sz="8" w:color="D5EEEE"/>
            </w:tcBorders>
            <w:shd w:val="clear" w:color="auto" w:fill="D5EEEE"/>
          </w:tcPr>
          <w:p>
            <w:pPr>
              <w:spacing w:after="0"/>
              <w:rPr>
                <w:sz w:val="18"/>
                <w:szCs w:val="18"/>
                <w:color w:val="auto"/>
              </w:rPr>
            </w:pPr>
          </w:p>
        </w:tc>
        <w:tc>
          <w:tcPr>
            <w:tcW w:w="40" w:type="dxa"/>
            <w:vAlign w:val="bottom"/>
            <w:tcBorders>
              <w:top w:val="single" w:sz="8" w:color="D5EEEE"/>
              <w:right w:val="single" w:sz="8" w:color="D5EEEE"/>
            </w:tcBorders>
            <w:shd w:val="clear" w:color="auto" w:fill="D5EEEE"/>
          </w:tcPr>
          <w:p>
            <w:pPr>
              <w:spacing w:after="0"/>
              <w:rPr>
                <w:sz w:val="18"/>
                <w:szCs w:val="18"/>
                <w:color w:val="auto"/>
              </w:rPr>
            </w:pPr>
          </w:p>
        </w:tc>
        <w:tc>
          <w:tcPr>
            <w:tcW w:w="80" w:type="dxa"/>
            <w:vAlign w:val="bottom"/>
            <w:tcBorders>
              <w:top w:val="single" w:sz="8" w:color="D5EEEE"/>
            </w:tcBorders>
          </w:tcPr>
          <w:p>
            <w:pPr>
              <w:spacing w:after="0"/>
              <w:rPr>
                <w:sz w:val="18"/>
                <w:szCs w:val="18"/>
                <w:color w:val="auto"/>
              </w:rPr>
            </w:pPr>
          </w:p>
        </w:tc>
        <w:tc>
          <w:tcPr>
            <w:tcW w:w="120" w:type="dxa"/>
            <w:vAlign w:val="bottom"/>
            <w:tcBorders>
              <w:top w:val="single" w:sz="8" w:color="D5EEEE"/>
            </w:tcBorders>
          </w:tcPr>
          <w:p>
            <w:pPr>
              <w:spacing w:after="0"/>
              <w:rPr>
                <w:sz w:val="18"/>
                <w:szCs w:val="18"/>
                <w:color w:val="auto"/>
              </w:rPr>
            </w:pPr>
          </w:p>
        </w:tc>
        <w:tc>
          <w:tcPr>
            <w:tcW w:w="100" w:type="dxa"/>
            <w:vAlign w:val="bottom"/>
            <w:gridSpan w:val="2"/>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Pr>
          <w:p>
            <w:pPr>
              <w:spacing w:after="0"/>
              <w:rPr>
                <w:sz w:val="18"/>
                <w:szCs w:val="18"/>
                <w:color w:val="auto"/>
              </w:rPr>
            </w:pPr>
          </w:p>
        </w:tc>
        <w:tc>
          <w:tcPr>
            <w:tcW w:w="60" w:type="dxa"/>
            <w:vAlign w:val="bottom"/>
            <w:tcBorders>
              <w:top w:val="single" w:sz="8" w:color="D5EEEE"/>
            </w:tcBorders>
            <w:shd w:val="clear" w:color="auto" w:fill="D5EEEE"/>
          </w:tcPr>
          <w:p>
            <w:pPr>
              <w:spacing w:after="0"/>
              <w:rPr>
                <w:sz w:val="18"/>
                <w:szCs w:val="18"/>
                <w:color w:val="auto"/>
              </w:rPr>
            </w:pPr>
          </w:p>
        </w:tc>
        <w:tc>
          <w:tcPr>
            <w:tcW w:w="1660" w:type="dxa"/>
            <w:vAlign w:val="bottom"/>
            <w:tcBorders>
              <w:top w:val="single" w:sz="8" w:color="D5EEEE"/>
            </w:tcBorders>
            <w:gridSpan w:val="2"/>
            <w:shd w:val="clear" w:color="auto" w:fill="D5EEEE"/>
          </w:tcPr>
          <w:p>
            <w:pPr>
              <w:jc w:val="right"/>
              <w:ind w:right="6"/>
              <w:spacing w:after="0" w:line="209" w:lineRule="exact"/>
              <w:rPr>
                <w:sz w:val="20"/>
                <w:szCs w:val="20"/>
                <w:color w:val="auto"/>
              </w:rPr>
            </w:pPr>
            <w:r>
              <w:rPr>
                <w:rFonts w:ascii="Times New Roman" w:cs="Times New Roman" w:eastAsia="Times New Roman" w:hAnsi="Times New Roman"/>
                <w:sz w:val="20"/>
                <w:szCs w:val="20"/>
                <w:color w:val="auto"/>
              </w:rPr>
              <w:t>49,46</w:t>
            </w:r>
          </w:p>
        </w:tc>
        <w:tc>
          <w:tcPr>
            <w:tcW w:w="20" w:type="dxa"/>
            <w:vAlign w:val="bottom"/>
            <w:tcBorders>
              <w:top w:val="single" w:sz="8" w:color="D5EEEE"/>
            </w:tcBorders>
            <w:shd w:val="clear" w:color="auto" w:fill="D5EEEE"/>
          </w:tcPr>
          <w:p>
            <w:pPr>
              <w:spacing w:after="0"/>
              <w:rPr>
                <w:sz w:val="18"/>
                <w:szCs w:val="18"/>
                <w:color w:val="auto"/>
              </w:rPr>
            </w:pPr>
          </w:p>
        </w:tc>
        <w:tc>
          <w:tcPr>
            <w:tcW w:w="20" w:type="dxa"/>
            <w:vAlign w:val="bottom"/>
            <w:tcBorders>
              <w:top w:val="single" w:sz="8" w:color="D5EEEE"/>
            </w:tcBorders>
            <w:shd w:val="clear" w:color="auto" w:fill="D5EEEE"/>
          </w:tcPr>
          <w:p>
            <w:pPr>
              <w:spacing w:after="0"/>
              <w:rPr>
                <w:sz w:val="18"/>
                <w:szCs w:val="18"/>
                <w:color w:val="auto"/>
              </w:rPr>
            </w:pPr>
          </w:p>
        </w:tc>
        <w:tc>
          <w:tcPr>
            <w:tcW w:w="80" w:type="dxa"/>
            <w:vAlign w:val="bottom"/>
            <w:tcBorders>
              <w:top w:val="single" w:sz="8" w:color="D5EEEE"/>
            </w:tcBorders>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Less valuation allowance</w:t>
            </w:r>
          </w:p>
        </w:tc>
        <w:tc>
          <w:tcPr>
            <w:tcW w:w="40" w:type="dxa"/>
            <w:vAlign w:val="bottom"/>
            <w:tcBorders>
              <w:bottom w:val="single" w:sz="8" w:color="D5EEEE"/>
            </w:tcBorders>
          </w:tcPr>
          <w:p>
            <w:pPr>
              <w:spacing w:after="0"/>
              <w:rPr>
                <w:sz w:val="23"/>
                <w:szCs w:val="23"/>
                <w:color w:val="auto"/>
              </w:rPr>
            </w:pPr>
          </w:p>
        </w:tc>
        <w:tc>
          <w:tcPr>
            <w:tcW w:w="160" w:type="dxa"/>
            <w:vAlign w:val="bottom"/>
            <w:tcBorders>
              <w:bottom w:val="single" w:sz="8" w:color="D5EEEE"/>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(56,506</w:t>
            </w:r>
          </w:p>
        </w:tc>
        <w:tc>
          <w:tcPr>
            <w:tcW w:w="12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89"/>
              </w:rPr>
              <w:t>)</w:t>
            </w:r>
          </w:p>
        </w:tc>
        <w:tc>
          <w:tcPr>
            <w:tcW w:w="80" w:type="dxa"/>
            <w:vAlign w:val="bottom"/>
            <w:tcBorders>
              <w:bottom w:val="single" w:sz="8" w:color="D5EEEE"/>
            </w:tcBorders>
          </w:tcPr>
          <w:p>
            <w:pPr>
              <w:spacing w:after="0"/>
              <w:rPr>
                <w:sz w:val="23"/>
                <w:szCs w:val="23"/>
                <w:color w:val="auto"/>
              </w:rPr>
            </w:pPr>
          </w:p>
        </w:tc>
        <w:tc>
          <w:tcPr>
            <w:tcW w:w="20" w:type="dxa"/>
            <w:vAlign w:val="bottom"/>
            <w:tcBorders>
              <w:bottom w:val="single" w:sz="8" w:color="D5EEEE"/>
            </w:tcBorders>
          </w:tcPr>
          <w:p>
            <w:pPr>
              <w:spacing w:after="0"/>
              <w:rPr>
                <w:sz w:val="23"/>
                <w:szCs w:val="23"/>
                <w:color w:val="auto"/>
              </w:rPr>
            </w:pPr>
          </w:p>
        </w:tc>
        <w:tc>
          <w:tcPr>
            <w:tcW w:w="100" w:type="dxa"/>
            <w:vAlign w:val="bottom"/>
            <w:tcBorders>
              <w:bottom w:val="single" w:sz="8" w:color="D5EEEE"/>
            </w:tcBorders>
          </w:tcPr>
          <w:p>
            <w:pPr>
              <w:spacing w:after="0"/>
              <w:rPr>
                <w:sz w:val="23"/>
                <w:szCs w:val="23"/>
                <w:color w:val="auto"/>
              </w:rPr>
            </w:pPr>
          </w:p>
        </w:tc>
        <w:tc>
          <w:tcPr>
            <w:tcW w:w="20" w:type="dxa"/>
            <w:vAlign w:val="bottom"/>
            <w:tcBorders>
              <w:bottom w:val="single" w:sz="8" w:color="D5EEEE"/>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(51,285</w:t>
            </w:r>
          </w:p>
        </w:tc>
        <w:tc>
          <w:tcPr>
            <w:tcW w:w="20" w:type="dxa"/>
            <w:vAlign w:val="bottom"/>
            <w:tcBorders>
              <w:bottom w:val="single" w:sz="8" w:color="auto"/>
            </w:tcBorders>
          </w:tcPr>
          <w:p>
            <w:pPr>
              <w:spacing w:after="0"/>
              <w:rPr>
                <w:sz w:val="23"/>
                <w:szCs w:val="2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highlight w:val="white"/>
                <w:w w:val="79"/>
              </w:rPr>
              <w:t>)</w:t>
            </w:r>
          </w:p>
        </w:tc>
        <w:tc>
          <w:tcPr>
            <w:tcW w:w="40" w:type="dxa"/>
            <w:vAlign w:val="bottom"/>
          </w:tcPr>
          <w:p>
            <w:pPr>
              <w:spacing w:after="0"/>
              <w:rPr>
                <w:sz w:val="23"/>
                <w:szCs w:val="23"/>
                <w:color w:val="auto"/>
              </w:rPr>
            </w:pPr>
          </w:p>
        </w:tc>
        <w:tc>
          <w:tcPr>
            <w:tcW w:w="80" w:type="dxa"/>
            <w:vAlign w:val="bottom"/>
            <w:tcBorders>
              <w:bottom w:val="single" w:sz="8" w:color="D5EEEE"/>
            </w:tcBorders>
          </w:tcPr>
          <w:p>
            <w:pPr>
              <w:spacing w:after="0"/>
              <w:rPr>
                <w:sz w:val="23"/>
                <w:szCs w:val="23"/>
                <w:color w:val="auto"/>
              </w:rPr>
            </w:pPr>
          </w:p>
        </w:tc>
        <w:tc>
          <w:tcPr>
            <w:tcW w:w="120" w:type="dxa"/>
            <w:vAlign w:val="bottom"/>
            <w:tcBorders>
              <w:bottom w:val="single" w:sz="8" w:color="D5EEEE"/>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(49,075)</w:t>
            </w:r>
          </w:p>
        </w:tc>
        <w:tc>
          <w:tcPr>
            <w:tcW w:w="40" w:type="dxa"/>
            <w:vAlign w:val="bottom"/>
            <w:tcBorders>
              <w:bottom w:val="single" w:sz="8" w:color="auto"/>
            </w:tcBorders>
            <w:gridSpan w:val="2"/>
          </w:tcPr>
          <w:p>
            <w:pPr>
              <w:spacing w:after="0"/>
              <w:rPr>
                <w:sz w:val="23"/>
                <w:szCs w:val="23"/>
                <w:color w:val="auto"/>
              </w:rPr>
            </w:pPr>
          </w:p>
        </w:tc>
        <w:tc>
          <w:tcPr>
            <w:tcW w:w="80" w:type="dxa"/>
            <w:vAlign w:val="bottom"/>
            <w:tcBorders>
              <w:bottom w:val="single" w:sz="8" w:color="D5EEEE"/>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600" w:type="dxa"/>
            <w:vAlign w:val="bottom"/>
            <w:tcBorders>
              <w:top w:val="single" w:sz="8" w:color="D5EEEE"/>
            </w:tcBorders>
            <w:shd w:val="clear" w:color="auto" w:fill="D5EEEE"/>
          </w:tcPr>
          <w:p>
            <w:pPr>
              <w:spacing w:after="0"/>
              <w:rPr>
                <w:sz w:val="18"/>
                <w:szCs w:val="18"/>
                <w:color w:val="auto"/>
              </w:rPr>
            </w:pPr>
          </w:p>
        </w:tc>
        <w:tc>
          <w:tcPr>
            <w:tcW w:w="2480" w:type="dxa"/>
            <w:vAlign w:val="bottom"/>
            <w:tcBorders>
              <w:top w:val="single" w:sz="8" w:color="D5EEEE"/>
            </w:tcBorders>
            <w:shd w:val="clear" w:color="auto" w:fill="D5EEEE"/>
          </w:tcPr>
          <w:p>
            <w:pPr>
              <w:spacing w:after="0"/>
              <w:rPr>
                <w:sz w:val="18"/>
                <w:szCs w:val="18"/>
                <w:color w:val="auto"/>
              </w:rPr>
            </w:pPr>
          </w:p>
        </w:tc>
        <w:tc>
          <w:tcPr>
            <w:tcW w:w="40" w:type="dxa"/>
            <w:vAlign w:val="bottom"/>
            <w:tcBorders>
              <w:top w:val="single" w:sz="8" w:color="D5EEEE"/>
            </w:tcBorders>
            <w:shd w:val="clear" w:color="auto" w:fill="D5EEEE"/>
          </w:tcPr>
          <w:p>
            <w:pPr>
              <w:spacing w:after="0"/>
              <w:rPr>
                <w:sz w:val="18"/>
                <w:szCs w:val="18"/>
                <w:color w:val="auto"/>
              </w:rPr>
            </w:pPr>
          </w:p>
        </w:tc>
        <w:tc>
          <w:tcPr>
            <w:tcW w:w="16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D5EEEE"/>
              <w:bottom w:val="single" w:sz="8" w:color="auto"/>
            </w:tcBorders>
            <w:gridSpan w:val="2"/>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Borders>
              <w:top w:val="single" w:sz="8" w:color="D5EEEE"/>
              <w:bottom w:val="single" w:sz="8" w:color="auto"/>
            </w:tcBorders>
          </w:tcPr>
          <w:p>
            <w:pPr>
              <w:spacing w:after="0"/>
              <w:rPr>
                <w:sz w:val="18"/>
                <w:szCs w:val="18"/>
                <w:color w:val="auto"/>
              </w:rPr>
            </w:pPr>
          </w:p>
        </w:tc>
        <w:tc>
          <w:tcPr>
            <w:tcW w:w="1680" w:type="dxa"/>
            <w:vAlign w:val="bottom"/>
            <w:tcBorders>
              <w:top w:val="single" w:sz="8" w:color="D5EEEE"/>
              <w:left w:val="single" w:sz="8" w:color="D5EEEE"/>
              <w:bottom w:val="single" w:sz="8" w:color="auto"/>
            </w:tcBorders>
            <w:gridSpan w:val="2"/>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rPr>
              <w:t>240</w:t>
            </w:r>
          </w:p>
        </w:tc>
        <w:tc>
          <w:tcPr>
            <w:tcW w:w="120" w:type="dxa"/>
            <w:vAlign w:val="bottom"/>
            <w:tcBorders>
              <w:top w:val="single" w:sz="8" w:color="D5EEEE"/>
            </w:tcBorders>
            <w:shd w:val="clear" w:color="auto" w:fill="D5EEEE"/>
          </w:tcPr>
          <w:p>
            <w:pPr>
              <w:spacing w:after="0"/>
              <w:rPr>
                <w:sz w:val="18"/>
                <w:szCs w:val="18"/>
                <w:color w:val="auto"/>
              </w:rPr>
            </w:pPr>
          </w:p>
        </w:tc>
        <w:tc>
          <w:tcPr>
            <w:tcW w:w="80" w:type="dxa"/>
            <w:vAlign w:val="bottom"/>
            <w:tcBorders>
              <w:top w:val="single" w:sz="8" w:color="D5EEEE"/>
            </w:tcBorders>
          </w:tcPr>
          <w:p>
            <w:pPr>
              <w:spacing w:after="0"/>
              <w:rPr>
                <w:sz w:val="18"/>
                <w:szCs w:val="18"/>
                <w:color w:val="auto"/>
              </w:rPr>
            </w:pPr>
          </w:p>
        </w:tc>
        <w:tc>
          <w:tcPr>
            <w:tcW w:w="20" w:type="dxa"/>
            <w:vAlign w:val="bottom"/>
            <w:tcBorders>
              <w:top w:val="single" w:sz="8" w:color="D5EEEE"/>
            </w:tcBorders>
          </w:tcPr>
          <w:p>
            <w:pPr>
              <w:spacing w:after="0"/>
              <w:rPr>
                <w:sz w:val="18"/>
                <w:szCs w:val="18"/>
                <w:color w:val="auto"/>
              </w:rPr>
            </w:pPr>
          </w:p>
        </w:tc>
        <w:tc>
          <w:tcPr>
            <w:tcW w:w="100" w:type="dxa"/>
            <w:vAlign w:val="bottom"/>
            <w:tcBorders>
              <w:top w:val="single" w:sz="8" w:color="D5EEEE"/>
            </w:tcBorders>
          </w:tcPr>
          <w:p>
            <w:pPr>
              <w:spacing w:after="0"/>
              <w:rPr>
                <w:sz w:val="18"/>
                <w:szCs w:val="18"/>
                <w:color w:val="auto"/>
              </w:rPr>
            </w:pPr>
          </w:p>
        </w:tc>
        <w:tc>
          <w:tcPr>
            <w:tcW w:w="20" w:type="dxa"/>
            <w:vAlign w:val="bottom"/>
            <w:tcBorders>
              <w:top w:val="single" w:sz="8" w:color="D5EEEE"/>
            </w:tcBorders>
          </w:tcPr>
          <w:p>
            <w:pPr>
              <w:spacing w:after="0"/>
              <w:rPr>
                <w:sz w:val="18"/>
                <w:szCs w:val="18"/>
                <w:color w:val="auto"/>
              </w:rPr>
            </w:pPr>
          </w:p>
        </w:tc>
        <w:tc>
          <w:tcPr>
            <w:tcW w:w="80" w:type="dxa"/>
            <w:vAlign w:val="bottom"/>
            <w:tcBorders>
              <w:top w:val="single" w:sz="8" w:color="D5EEEE"/>
              <w:left w:val="single" w:sz="8" w:color="D5EEEE"/>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20" w:type="dxa"/>
            <w:vAlign w:val="bottom"/>
            <w:tcBorders>
              <w:top w:val="single" w:sz="8" w:color="D5EEEE"/>
              <w:bottom w:val="single" w:sz="8" w:color="auto"/>
            </w:tcBorders>
          </w:tcPr>
          <w:p>
            <w:pPr>
              <w:spacing w:after="0"/>
              <w:rPr>
                <w:sz w:val="18"/>
                <w:szCs w:val="18"/>
                <w:color w:val="auto"/>
              </w:rPr>
            </w:pPr>
          </w:p>
        </w:tc>
        <w:tc>
          <w:tcPr>
            <w:tcW w:w="80" w:type="dxa"/>
            <w:vAlign w:val="bottom"/>
            <w:tcBorders>
              <w:top w:val="single" w:sz="8" w:color="D5EEEE"/>
              <w:bottom w:val="single" w:sz="8" w:color="auto"/>
            </w:tcBorders>
            <w:shd w:val="clear" w:color="auto" w:fill="D5EEEE"/>
          </w:tcPr>
          <w:p>
            <w:pPr>
              <w:spacing w:after="0"/>
              <w:rPr>
                <w:sz w:val="18"/>
                <w:szCs w:val="18"/>
                <w:color w:val="auto"/>
              </w:rPr>
            </w:pPr>
          </w:p>
        </w:tc>
        <w:tc>
          <w:tcPr>
            <w:tcW w:w="100" w:type="dxa"/>
            <w:vAlign w:val="bottom"/>
            <w:tcBorders>
              <w:top w:val="single" w:sz="8" w:color="D5EEEE"/>
              <w:bottom w:val="single" w:sz="8" w:color="auto"/>
            </w:tcBorders>
            <w:shd w:val="clear" w:color="auto" w:fill="D5EEEE"/>
          </w:tcPr>
          <w:p>
            <w:pPr>
              <w:spacing w:after="0"/>
              <w:rPr>
                <w:sz w:val="18"/>
                <w:szCs w:val="18"/>
                <w:color w:val="auto"/>
              </w:rPr>
            </w:pPr>
          </w:p>
        </w:tc>
        <w:tc>
          <w:tcPr>
            <w:tcW w:w="1800" w:type="dxa"/>
            <w:vAlign w:val="bottom"/>
            <w:tcBorders>
              <w:top w:val="single" w:sz="8" w:color="D5EEEE"/>
              <w:bottom w:val="single" w:sz="8" w:color="auto"/>
            </w:tcBorders>
            <w:gridSpan w:val="2"/>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rPr>
              <w:t>434</w:t>
            </w:r>
          </w:p>
        </w:tc>
        <w:tc>
          <w:tcPr>
            <w:tcW w:w="20" w:type="dxa"/>
            <w:vAlign w:val="bottom"/>
            <w:tcBorders>
              <w:top w:val="single" w:sz="8" w:color="D5EEEE"/>
              <w:bottom w:val="single" w:sz="8" w:color="auto"/>
            </w:tcBorders>
            <w:shd w:val="clear" w:color="auto" w:fill="D5EEEE"/>
          </w:tcPr>
          <w:p>
            <w:pPr>
              <w:spacing w:after="0"/>
              <w:rPr>
                <w:sz w:val="18"/>
                <w:szCs w:val="18"/>
                <w:color w:val="auto"/>
              </w:rPr>
            </w:pPr>
          </w:p>
        </w:tc>
        <w:tc>
          <w:tcPr>
            <w:tcW w:w="80" w:type="dxa"/>
            <w:vAlign w:val="bottom"/>
            <w:tcBorders>
              <w:top w:val="single" w:sz="8" w:color="D5EEEE"/>
            </w:tcBorders>
            <w:shd w:val="clear" w:color="auto" w:fill="D5EEEE"/>
          </w:tcPr>
          <w:p>
            <w:pPr>
              <w:spacing w:after="0"/>
              <w:rPr>
                <w:sz w:val="18"/>
                <w:szCs w:val="18"/>
                <w:color w:val="auto"/>
              </w:rPr>
            </w:pPr>
          </w:p>
        </w:tc>
        <w:tc>
          <w:tcPr>
            <w:tcW w:w="40" w:type="dxa"/>
            <w:vAlign w:val="bottom"/>
            <w:tcBorders>
              <w:top w:val="single" w:sz="8" w:color="D5EEEE"/>
              <w:right w:val="single" w:sz="8" w:color="D5EEEE"/>
            </w:tcBorders>
            <w:shd w:val="clear" w:color="auto" w:fill="D5EEEE"/>
          </w:tcPr>
          <w:p>
            <w:pPr>
              <w:spacing w:after="0"/>
              <w:rPr>
                <w:sz w:val="18"/>
                <w:szCs w:val="18"/>
                <w:color w:val="auto"/>
              </w:rPr>
            </w:pPr>
          </w:p>
        </w:tc>
        <w:tc>
          <w:tcPr>
            <w:tcW w:w="80" w:type="dxa"/>
            <w:vAlign w:val="bottom"/>
            <w:tcBorders>
              <w:top w:val="single" w:sz="8" w:color="D5EEEE"/>
            </w:tcBorders>
          </w:tcPr>
          <w:p>
            <w:pPr>
              <w:spacing w:after="0"/>
              <w:rPr>
                <w:sz w:val="18"/>
                <w:szCs w:val="18"/>
                <w:color w:val="auto"/>
              </w:rPr>
            </w:pPr>
          </w:p>
        </w:tc>
        <w:tc>
          <w:tcPr>
            <w:tcW w:w="120" w:type="dxa"/>
            <w:vAlign w:val="bottom"/>
            <w:tcBorders>
              <w:top w:val="single" w:sz="8" w:color="D5EEEE"/>
            </w:tcBorders>
          </w:tcPr>
          <w:p>
            <w:pPr>
              <w:spacing w:after="0"/>
              <w:rPr>
                <w:sz w:val="18"/>
                <w:szCs w:val="18"/>
                <w:color w:val="auto"/>
              </w:rPr>
            </w:pPr>
          </w:p>
        </w:tc>
        <w:tc>
          <w:tcPr>
            <w:tcW w:w="100" w:type="dxa"/>
            <w:vAlign w:val="bottom"/>
            <w:tcBorders>
              <w:bottom w:val="single" w:sz="8" w:color="auto"/>
            </w:tcBorders>
            <w:gridSpan w:val="2"/>
            <w:shd w:val="clear" w:color="auto" w:fill="D5EEEE"/>
          </w:tcPr>
          <w:p>
            <w:pPr>
              <w:jc w:val="right"/>
              <w:spacing w:after="0" w:line="209"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D5EEEE"/>
              <w:bottom w:val="single" w:sz="8" w:color="auto"/>
            </w:tcBorders>
            <w:shd w:val="clear" w:color="auto" w:fill="D5EEEE"/>
          </w:tcPr>
          <w:p>
            <w:pPr>
              <w:spacing w:after="0"/>
              <w:rPr>
                <w:sz w:val="18"/>
                <w:szCs w:val="18"/>
                <w:color w:val="auto"/>
              </w:rPr>
            </w:pPr>
          </w:p>
        </w:tc>
        <w:tc>
          <w:tcPr>
            <w:tcW w:w="1660" w:type="dxa"/>
            <w:vAlign w:val="bottom"/>
            <w:tcBorders>
              <w:top w:val="single" w:sz="8" w:color="D5EEEE"/>
              <w:bottom w:val="single" w:sz="8" w:color="auto"/>
            </w:tcBorders>
            <w:gridSpan w:val="2"/>
            <w:shd w:val="clear" w:color="auto" w:fill="D5EEEE"/>
          </w:tcPr>
          <w:p>
            <w:pPr>
              <w:jc w:val="right"/>
              <w:ind w:right="6"/>
              <w:spacing w:after="0" w:line="209" w:lineRule="exact"/>
              <w:rPr>
                <w:sz w:val="20"/>
                <w:szCs w:val="20"/>
                <w:color w:val="auto"/>
              </w:rPr>
            </w:pPr>
            <w:r>
              <w:rPr>
                <w:rFonts w:ascii="Times New Roman" w:cs="Times New Roman" w:eastAsia="Times New Roman" w:hAnsi="Times New Roman"/>
                <w:sz w:val="20"/>
                <w:szCs w:val="20"/>
                <w:color w:val="auto"/>
              </w:rPr>
              <w:t>39</w:t>
            </w:r>
          </w:p>
        </w:tc>
        <w:tc>
          <w:tcPr>
            <w:tcW w:w="20" w:type="dxa"/>
            <w:vAlign w:val="bottom"/>
            <w:tcBorders>
              <w:top w:val="single" w:sz="8" w:color="D5EEEE"/>
              <w:bottom w:val="single" w:sz="8" w:color="auto"/>
            </w:tcBorders>
            <w:shd w:val="clear" w:color="auto" w:fill="D5EEEE"/>
          </w:tcPr>
          <w:p>
            <w:pPr>
              <w:spacing w:after="0"/>
              <w:rPr>
                <w:sz w:val="18"/>
                <w:szCs w:val="18"/>
                <w:color w:val="auto"/>
              </w:rPr>
            </w:pPr>
          </w:p>
        </w:tc>
        <w:tc>
          <w:tcPr>
            <w:tcW w:w="20" w:type="dxa"/>
            <w:vAlign w:val="bottom"/>
            <w:tcBorders>
              <w:top w:val="single" w:sz="8" w:color="D5EEEE"/>
              <w:bottom w:val="single" w:sz="8" w:color="auto"/>
            </w:tcBorders>
            <w:shd w:val="clear" w:color="auto" w:fill="D5EEEE"/>
          </w:tcPr>
          <w:p>
            <w:pPr>
              <w:spacing w:after="0"/>
              <w:rPr>
                <w:sz w:val="18"/>
                <w:szCs w:val="18"/>
                <w:color w:val="auto"/>
              </w:rPr>
            </w:pPr>
          </w:p>
        </w:tc>
        <w:tc>
          <w:tcPr>
            <w:tcW w:w="80" w:type="dxa"/>
            <w:vAlign w:val="bottom"/>
            <w:tcBorders>
              <w:top w:val="single" w:sz="8" w:color="D5EEEE"/>
            </w:tcBorders>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200" w:type="dxa"/>
            <w:vAlign w:val="bottom"/>
            <w:gridSpan w:val="3"/>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gridSpan w:val="3"/>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-4781550</wp:posOffset>
            </wp:positionV>
            <wp:extent cx="6875780" cy="12541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75780" cy="12541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-2958465</wp:posOffset>
            </wp:positionV>
            <wp:extent cx="6884670" cy="29718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84670" cy="2971800"/>
                    </a:xfrm>
                    <a:prstGeom prst="rect">
                      <a:avLst/>
                    </a:prstGeom>
                    <a:noFill/>
                  </pic:spPr>
                </pic:pic>
              </a:graphicData>
            </a:graphic>
          </wp:anchor>
        </w:drawing>
      </w:r>
    </w:p>
    <w:p>
      <w:pPr>
        <w:sectPr>
          <w:pgSz w:w="11880" w:h="15480" w:orient="portrait"/>
          <w:cols w:equalWidth="0" w:num="1">
            <w:col w:w="10800"/>
          </w:cols>
          <w:pgMar w:left="540" w:top="887" w:right="540" w:bottom="5"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F-32</w:t>
      </w:r>
    </w:p>
    <w:p>
      <w:pPr>
        <w:sectPr>
          <w:pgSz w:w="11880" w:h="15480" w:orient="portrait"/>
          <w:cols w:equalWidth="0" w:num="1">
            <w:col w:w="10800"/>
          </w:cols>
          <w:pgMar w:left="540" w:top="887" w:right="540" w:bottom="5" w:gutter="0" w:footer="0" w:header="0"/>
          <w:type w:val="continuous"/>
        </w:sectPr>
      </w:pPr>
    </w:p>
    <w:bookmarkStart w:id="98" w:name="page99"/>
    <w:bookmarkEnd w:id="98"/>
    <w:p>
      <w:pPr>
        <w:ind w:right="180" w:firstLine="490"/>
        <w:spacing w:after="0" w:line="249" w:lineRule="auto"/>
        <w:rPr>
          <w:sz w:val="20"/>
          <w:szCs w:val="20"/>
          <w:color w:val="auto"/>
        </w:rPr>
      </w:pPr>
      <w:r>
        <w:rPr>
          <w:rFonts w:ascii="Times New Roman" w:cs="Times New Roman" w:eastAsia="Times New Roman" w:hAnsi="Times New Roman"/>
          <w:sz w:val="20"/>
          <w:szCs w:val="20"/>
          <w:color w:val="auto"/>
        </w:rPr>
        <w:t>At December 31, 2022, the Company and its subsidiaries had net operating loss carryforwards for federal, state, United Kingdom, and Australia income tax purposes of $129.5 million, $83.5 million, $28.4 million and $36.0 million respectively. The net operating loss carryforwards may be subject to limitation regarding their utilization against taxable income in future periods due to “change of ownership” provisions of the Internal Revenue Code and similar state and foreign provisions. Of these carryforwards, $21.7 million will expire, if not utilized, between 2026 through 2038. The remaining carryforwards have no expiration.</w:t>
      </w:r>
    </w:p>
    <w:p>
      <w:pPr>
        <w:spacing w:after="0" w:line="197" w:lineRule="exact"/>
        <w:rPr>
          <w:sz w:val="20"/>
          <w:szCs w:val="20"/>
          <w:color w:val="auto"/>
        </w:rPr>
      </w:pPr>
    </w:p>
    <w:p>
      <w:pPr>
        <w:ind w:right="140" w:firstLine="490"/>
        <w:spacing w:after="0" w:line="244" w:lineRule="auto"/>
        <w:rPr>
          <w:sz w:val="20"/>
          <w:szCs w:val="20"/>
          <w:color w:val="auto"/>
        </w:rPr>
      </w:pPr>
      <w:r>
        <w:rPr>
          <w:rFonts w:ascii="Times New Roman" w:cs="Times New Roman" w:eastAsia="Times New Roman" w:hAnsi="Times New Roman"/>
          <w:sz w:val="20"/>
          <w:szCs w:val="20"/>
          <w:color w:val="auto"/>
        </w:rPr>
        <w:t>In assessing the recoverability of its deferred tax assets, the Company considers whether it is more likely than not that its deferred assets will be realized. The ultimate realization of deferred tax assets is dependent upon the generation of future taxable income in those periods in which temporary differences become deductible and/or net operating losses can be utilized. The Company considers all positive and negative evidence when determining the amount of the net deferred tax assets that are more likely than not to be realized. This evidence includes, but is not limited to, historical earnings, scheduled reversal of taxable temporary differences, tax planning strategies and projected future taxable income. Based upon the weight of available evidence including the uncertainty regarding the Company’s ability to utilize certain net operating losses and tax credits in the future, the Company has established a valuation allowance against its net deferred tax assets of $56.5 million and $51.3 million as of December 31, 2022, December 31, 2021, respectively. The Company has established a valuation allowance against its net deferred tax asset of $49.1 million as of June 30, 2021. The deferred tax assets are primarily net operating loss carryforwards for which management has determined it is more likely than not that the deferred tax assets will not be realized.</w:t>
      </w:r>
    </w:p>
    <w:p>
      <w:pPr>
        <w:spacing w:after="0" w:line="198"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The Company recognizes the tax benefit from an uncertain tax positions only if it is more likely than not that the tax position will be sustained on examination by the taxing authorities based on the technical merits of the position. The tax benefits recognized in the consolidated financial statements related to a particular tax position are measured based on the largest benefit that has a greater than a 50% likelihood of being realized upon settlement. The amount of unrecognized tax benefits is adjusted as appropriate for changes in facts and circumstances, such as significant amendments to existing tax law, new regulations or interpretations by the taxing authorities, new information obtained during a tax examination, or resolution of an examination.</w:t>
      </w:r>
    </w:p>
    <w:p>
      <w:pPr>
        <w:spacing w:after="0" w:line="2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Company has not identified any uncertain tax positions as of December 31, 2022, December 31, 2021, and June 30, 2021.</w:t>
      </w:r>
    </w:p>
    <w:p>
      <w:pPr>
        <w:spacing w:after="0" w:line="241"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auto"/>
        </w:rPr>
        <w:t>The Company files income tax returns in the U.S. federal, California and certain other state and foreign jurisdictions. The Company remains subject to income tax examinations for its U.S. federal and state income taxes generally for fiscal years ended June 30, 2006 and forward. The Company also remains subject to income tax examinations for international income taxes for fiscal years ended June 30, 2018 through December 31, 2021, and for certain other U.S. state and local income taxes generally for the fiscal years ended June 30, 2018 through December 31, 2021.</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Loss per Share</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is a reconciliation of the basic and diluted loss per share computations: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jc w:val="right"/>
              <w:ind w:right="405"/>
              <w:spacing w:after="0"/>
              <w:rPr>
                <w:sz w:val="20"/>
                <w:szCs w:val="20"/>
                <w:color w:val="auto"/>
              </w:rPr>
            </w:pPr>
            <w:r>
              <w:rPr>
                <w:rFonts w:ascii="Times New Roman" w:cs="Times New Roman" w:eastAsia="Times New Roman" w:hAnsi="Times New Roman"/>
                <w:sz w:val="18"/>
                <w:szCs w:val="18"/>
                <w:b w:val="1"/>
                <w:bCs w:val="1"/>
                <w:color w:val="auto"/>
              </w:rPr>
              <w:t>Year-Ended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Transition Period Ended</w:t>
            </w:r>
          </w:p>
        </w:tc>
        <w:tc>
          <w:tcPr>
            <w:tcW w:w="100" w:type="dxa"/>
            <w:vAlign w:val="bottom"/>
          </w:tcPr>
          <w:p>
            <w:pPr>
              <w:spacing w:after="0"/>
              <w:rPr>
                <w:sz w:val="19"/>
                <w:szCs w:val="19"/>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Year-Ended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145"/>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100" w:type="dxa"/>
            <w:vAlign w:val="bottom"/>
            <w:tcBorders>
              <w:top w:val="single" w:sz="8" w:color="auto"/>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June 30, 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4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60" w:type="dxa"/>
            <w:vAlign w:val="bottom"/>
            <w:gridSpan w:val="10"/>
          </w:tcPr>
          <w:p>
            <w:pPr>
              <w:ind w:left="1620"/>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4240" w:type="dxa"/>
            <w:vAlign w:val="bottom"/>
            <w:tcBorders>
              <w:bottom w:val="single" w:sz="8" w:color="D5EEEE"/>
            </w:tcBorders>
          </w:tcPr>
          <w:p>
            <w:pPr>
              <w:spacing w:after="0"/>
              <w:rPr>
                <w:sz w:val="6"/>
                <w:szCs w:val="6"/>
                <w:color w:val="auto"/>
              </w:rPr>
            </w:pPr>
          </w:p>
        </w:tc>
        <w:tc>
          <w:tcPr>
            <w:tcW w:w="180" w:type="dxa"/>
            <w:vAlign w:val="bottom"/>
            <w:tcBorders>
              <w:bottom w:val="single" w:sz="8" w:color="D5EEEE"/>
            </w:tcBorders>
          </w:tcPr>
          <w:p>
            <w:pPr>
              <w:spacing w:after="0"/>
              <w:rPr>
                <w:sz w:val="6"/>
                <w:szCs w:val="6"/>
                <w:color w:val="auto"/>
              </w:rPr>
            </w:pPr>
          </w:p>
        </w:tc>
        <w:tc>
          <w:tcPr>
            <w:tcW w:w="100" w:type="dxa"/>
            <w:vAlign w:val="bottom"/>
            <w:tcBorders>
              <w:bottom w:val="single" w:sz="8" w:color="D5EEEE"/>
            </w:tcBorders>
          </w:tcPr>
          <w:p>
            <w:pPr>
              <w:spacing w:after="0"/>
              <w:rPr>
                <w:sz w:val="6"/>
                <w:szCs w:val="6"/>
                <w:color w:val="auto"/>
              </w:rPr>
            </w:pPr>
          </w:p>
        </w:tc>
        <w:tc>
          <w:tcPr>
            <w:tcW w:w="1800" w:type="dxa"/>
            <w:vAlign w:val="bottom"/>
            <w:tcBorders>
              <w:bottom w:val="single" w:sz="8" w:color="D5EEEE"/>
            </w:tcBorders>
          </w:tcPr>
          <w:p>
            <w:pPr>
              <w:spacing w:after="0"/>
              <w:rPr>
                <w:sz w:val="6"/>
                <w:szCs w:val="6"/>
                <w:color w:val="auto"/>
              </w:rPr>
            </w:pPr>
          </w:p>
        </w:tc>
        <w:tc>
          <w:tcPr>
            <w:tcW w:w="100" w:type="dxa"/>
            <w:vAlign w:val="bottom"/>
            <w:tcBorders>
              <w:bottom w:val="single" w:sz="8" w:color="D5EEEE"/>
            </w:tcBorders>
          </w:tcPr>
          <w:p>
            <w:pPr>
              <w:spacing w:after="0"/>
              <w:rPr>
                <w:sz w:val="6"/>
                <w:szCs w:val="6"/>
                <w:color w:val="auto"/>
              </w:rPr>
            </w:pPr>
          </w:p>
        </w:tc>
        <w:tc>
          <w:tcPr>
            <w:tcW w:w="160" w:type="dxa"/>
            <w:vAlign w:val="bottom"/>
            <w:tcBorders>
              <w:bottom w:val="single" w:sz="8" w:color="D5EEEE"/>
            </w:tcBorders>
          </w:tcPr>
          <w:p>
            <w:pPr>
              <w:spacing w:after="0"/>
              <w:rPr>
                <w:sz w:val="6"/>
                <w:szCs w:val="6"/>
                <w:color w:val="auto"/>
              </w:rPr>
            </w:pPr>
          </w:p>
        </w:tc>
        <w:tc>
          <w:tcPr>
            <w:tcW w:w="20" w:type="dxa"/>
            <w:vAlign w:val="bottom"/>
            <w:tcBorders>
              <w:bottom w:val="single" w:sz="8" w:color="D5EEEE"/>
            </w:tcBorders>
          </w:tcPr>
          <w:p>
            <w:pPr>
              <w:spacing w:after="0"/>
              <w:rPr>
                <w:sz w:val="6"/>
                <w:szCs w:val="6"/>
                <w:color w:val="auto"/>
              </w:rPr>
            </w:pPr>
          </w:p>
        </w:tc>
        <w:tc>
          <w:tcPr>
            <w:tcW w:w="100" w:type="dxa"/>
            <w:vAlign w:val="bottom"/>
            <w:tcBorders>
              <w:bottom w:val="single" w:sz="8" w:color="D5EEEE"/>
            </w:tcBorders>
          </w:tcPr>
          <w:p>
            <w:pPr>
              <w:spacing w:after="0"/>
              <w:rPr>
                <w:sz w:val="6"/>
                <w:szCs w:val="6"/>
                <w:color w:val="auto"/>
              </w:rPr>
            </w:pPr>
          </w:p>
        </w:tc>
        <w:tc>
          <w:tcPr>
            <w:tcW w:w="2080" w:type="dxa"/>
            <w:vAlign w:val="bottom"/>
            <w:tcBorders>
              <w:bottom w:val="single" w:sz="8" w:color="D5EEEE"/>
            </w:tcBorders>
          </w:tcPr>
          <w:p>
            <w:pPr>
              <w:spacing w:after="0"/>
              <w:rPr>
                <w:sz w:val="6"/>
                <w:szCs w:val="6"/>
                <w:color w:val="auto"/>
              </w:rPr>
            </w:pPr>
          </w:p>
        </w:tc>
        <w:tc>
          <w:tcPr>
            <w:tcW w:w="20" w:type="dxa"/>
            <w:vAlign w:val="bottom"/>
            <w:tcBorders>
              <w:bottom w:val="single" w:sz="8" w:color="D5EEEE"/>
            </w:tcBorders>
          </w:tcPr>
          <w:p>
            <w:pPr>
              <w:spacing w:after="0"/>
              <w:rPr>
                <w:sz w:val="6"/>
                <w:szCs w:val="6"/>
                <w:color w:val="auto"/>
              </w:rPr>
            </w:pPr>
          </w:p>
        </w:tc>
        <w:tc>
          <w:tcPr>
            <w:tcW w:w="100" w:type="dxa"/>
            <w:vAlign w:val="bottom"/>
            <w:tcBorders>
              <w:bottom w:val="single" w:sz="8" w:color="D5EEEE"/>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bottom w:val="single" w:sz="8" w:color="D5EEEE"/>
            </w:tcBorders>
          </w:tcPr>
          <w:p>
            <w:pPr>
              <w:spacing w:after="0"/>
              <w:rPr>
                <w:sz w:val="6"/>
                <w:szCs w:val="6"/>
                <w:color w:val="auto"/>
              </w:rPr>
            </w:pPr>
          </w:p>
        </w:tc>
        <w:tc>
          <w:tcPr>
            <w:tcW w:w="1500" w:type="dxa"/>
            <w:vAlign w:val="bottom"/>
            <w:tcBorders>
              <w:bottom w:val="single" w:sz="8" w:color="D5EEEE"/>
            </w:tcBorders>
          </w:tcPr>
          <w:p>
            <w:pPr>
              <w:spacing w:after="0"/>
              <w:rPr>
                <w:sz w:val="6"/>
                <w:szCs w:val="6"/>
                <w:color w:val="auto"/>
              </w:rPr>
            </w:pPr>
          </w:p>
        </w:tc>
        <w:tc>
          <w:tcPr>
            <w:tcW w:w="20" w:type="dxa"/>
            <w:vAlign w:val="bottom"/>
            <w:tcBorders>
              <w:bottom w:val="single" w:sz="8" w:color="D5EEEE"/>
            </w:tcBorders>
          </w:tcPr>
          <w:p>
            <w:pPr>
              <w:spacing w:after="0"/>
              <w:rPr>
                <w:sz w:val="6"/>
                <w:szCs w:val="6"/>
                <w:color w:val="auto"/>
              </w:rPr>
            </w:pPr>
          </w:p>
        </w:tc>
        <w:tc>
          <w:tcPr>
            <w:tcW w:w="100" w:type="dxa"/>
            <w:vAlign w:val="bottom"/>
            <w:tcBorders>
              <w:bottom w:val="single" w:sz="8" w:color="D5EEEE"/>
            </w:tcBorders>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4240" w:type="dxa"/>
            <w:vAlign w:val="bottom"/>
            <w:shd w:val="clear" w:color="auto" w:fill="D5EEEE"/>
          </w:tcPr>
          <w:p>
            <w:pPr>
              <w:spacing w:after="0"/>
              <w:rPr>
                <w:sz w:val="17"/>
                <w:szCs w:val="17"/>
                <w:color w:val="auto"/>
              </w:rPr>
            </w:pPr>
          </w:p>
        </w:tc>
        <w:tc>
          <w:tcPr>
            <w:tcW w:w="180" w:type="dxa"/>
            <w:vAlign w:val="bottom"/>
            <w:shd w:val="clear" w:color="auto" w:fill="D5EEEE"/>
          </w:tcPr>
          <w:p>
            <w:pPr>
              <w:spacing w:after="0"/>
              <w:rPr>
                <w:sz w:val="17"/>
                <w:szCs w:val="17"/>
                <w:color w:val="auto"/>
              </w:rPr>
            </w:pPr>
          </w:p>
        </w:tc>
        <w:tc>
          <w:tcPr>
            <w:tcW w:w="100" w:type="dxa"/>
            <w:vAlign w:val="bottom"/>
            <w:shd w:val="clear" w:color="auto" w:fill="D5EEEE"/>
          </w:tcPr>
          <w:p>
            <w:pPr>
              <w:jc w:val="right"/>
              <w:spacing w:after="0" w:line="206"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1800" w:type="dxa"/>
            <w:vAlign w:val="bottom"/>
            <w:tcBorders>
              <w:right w:val="single" w:sz="8" w:color="D5EEEE"/>
            </w:tcBorders>
            <w:shd w:val="clear" w:color="auto" w:fill="D5EEEE"/>
          </w:tcPr>
          <w:p>
            <w:pPr>
              <w:jc w:val="right"/>
              <w:spacing w:after="0" w:line="205" w:lineRule="exact"/>
              <w:rPr>
                <w:sz w:val="20"/>
                <w:szCs w:val="20"/>
                <w:color w:val="auto"/>
              </w:rPr>
            </w:pPr>
            <w:r>
              <w:rPr>
                <w:rFonts w:ascii="Times New Roman" w:cs="Times New Roman" w:eastAsia="Times New Roman" w:hAnsi="Times New Roman"/>
                <w:sz w:val="20"/>
                <w:szCs w:val="20"/>
                <w:color w:val="auto"/>
              </w:rPr>
              <w:t>26,665</w:t>
            </w:r>
          </w:p>
        </w:tc>
        <w:tc>
          <w:tcPr>
            <w:tcW w:w="100" w:type="dxa"/>
            <w:vAlign w:val="bottom"/>
            <w:shd w:val="clear" w:color="auto" w:fill="D5EEEE"/>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D5EEEE"/>
          </w:tcPr>
          <w:p>
            <w:pPr>
              <w:jc w:val="right"/>
              <w:spacing w:after="0" w:line="206"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80" w:type="dxa"/>
            <w:vAlign w:val="bottom"/>
            <w:shd w:val="clear" w:color="auto" w:fill="D5EEEE"/>
          </w:tcPr>
          <w:p>
            <w:pPr>
              <w:jc w:val="right"/>
              <w:spacing w:after="0" w:line="205" w:lineRule="exact"/>
              <w:rPr>
                <w:sz w:val="20"/>
                <w:szCs w:val="20"/>
                <w:color w:val="auto"/>
              </w:rPr>
            </w:pPr>
            <w:r>
              <w:rPr>
                <w:rFonts w:ascii="Times New Roman" w:cs="Times New Roman" w:eastAsia="Times New Roman" w:hAnsi="Times New Roman"/>
                <w:sz w:val="20"/>
                <w:szCs w:val="20"/>
                <w:color w:val="auto"/>
              </w:rPr>
              <w:t>14,427</w:t>
            </w:r>
          </w:p>
        </w:tc>
        <w:tc>
          <w:tcPr>
            <w:tcW w:w="2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1500" w:type="dxa"/>
            <w:vAlign w:val="bottom"/>
            <w:shd w:val="clear" w:color="auto" w:fill="D5EEEE"/>
          </w:tcPr>
          <w:p>
            <w:pPr>
              <w:jc w:val="right"/>
              <w:ind w:right="3"/>
              <w:spacing w:after="0" w:line="205" w:lineRule="exact"/>
              <w:rPr>
                <w:sz w:val="20"/>
                <w:szCs w:val="20"/>
                <w:color w:val="auto"/>
              </w:rPr>
            </w:pPr>
            <w:r>
              <w:rPr>
                <w:rFonts w:ascii="Times New Roman" w:cs="Times New Roman" w:eastAsia="Times New Roman" w:hAnsi="Times New Roman"/>
                <w:sz w:val="20"/>
                <w:szCs w:val="20"/>
                <w:color w:val="auto"/>
              </w:rPr>
              <w:t>26,58</w:t>
            </w:r>
          </w:p>
        </w:tc>
        <w:tc>
          <w:tcPr>
            <w:tcW w:w="20" w:type="dxa"/>
            <w:vAlign w:val="bottom"/>
            <w:shd w:val="clear" w:color="auto" w:fill="D5EEEE"/>
          </w:tcPr>
          <w:p>
            <w:pPr>
              <w:spacing w:after="0"/>
              <w:rPr>
                <w:sz w:val="17"/>
                <w:szCs w:val="17"/>
                <w:color w:val="auto"/>
              </w:rPr>
            </w:pPr>
          </w:p>
        </w:tc>
        <w:tc>
          <w:tcPr>
            <w:tcW w:w="10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240" w:type="dxa"/>
            <w:vAlign w:val="bottom"/>
          </w:tcPr>
          <w:p>
            <w:pPr>
              <w:spacing w:after="0" w:line="224" w:lineRule="exact"/>
              <w:rPr>
                <w:sz w:val="20"/>
                <w:szCs w:val="20"/>
                <w:color w:val="auto"/>
              </w:rPr>
            </w:pPr>
            <w:r>
              <w:rPr>
                <w:rFonts w:ascii="Times New Roman" w:cs="Times New Roman" w:eastAsia="Times New Roman" w:hAnsi="Times New Roman"/>
                <w:sz w:val="20"/>
                <w:szCs w:val="20"/>
                <w:color w:val="auto"/>
              </w:rPr>
              <w:t>Weighted-average common shares—outstanding,</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basic</w:t>
            </w:r>
          </w:p>
        </w:tc>
        <w:tc>
          <w:tcPr>
            <w:tcW w:w="180" w:type="dxa"/>
            <w:vAlign w:val="bottom"/>
            <w:tcBorders>
              <w:bottom w:val="single" w:sz="8" w:color="D5EEEE"/>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25,000</w:t>
            </w:r>
          </w:p>
        </w:tc>
        <w:tc>
          <w:tcPr>
            <w:tcW w:w="100" w:type="dxa"/>
            <w:vAlign w:val="bottom"/>
            <w:tcBorders>
              <w:bottom w:val="single" w:sz="8" w:color="D5EEEE"/>
            </w:tcBorders>
          </w:tcPr>
          <w:p>
            <w:pPr>
              <w:spacing w:after="0"/>
              <w:rPr>
                <w:sz w:val="21"/>
                <w:szCs w:val="21"/>
                <w:color w:val="auto"/>
              </w:rPr>
            </w:pPr>
          </w:p>
        </w:tc>
        <w:tc>
          <w:tcPr>
            <w:tcW w:w="16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24,915</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22,67</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D5EEEE"/>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40" w:type="dxa"/>
            <w:vAlign w:val="bottom"/>
            <w:vMerge w:val="restart"/>
            <w:shd w:val="clear" w:color="auto" w:fill="D5EEEE"/>
          </w:tcPr>
          <w:p>
            <w:pPr>
              <w:spacing w:after="0"/>
              <w:rPr>
                <w:sz w:val="20"/>
                <w:szCs w:val="20"/>
                <w:color w:val="auto"/>
              </w:rPr>
            </w:pPr>
            <w:r>
              <w:rPr>
                <w:rFonts w:ascii="Times New Roman" w:cs="Times New Roman" w:eastAsia="Times New Roman" w:hAnsi="Times New Roman"/>
                <w:sz w:val="20"/>
                <w:szCs w:val="20"/>
                <w:color w:val="auto"/>
              </w:rPr>
              <w:t>diluted</w:t>
            </w:r>
          </w:p>
        </w:tc>
        <w:tc>
          <w:tcPr>
            <w:tcW w:w="180" w:type="dxa"/>
            <w:vAlign w:val="bottom"/>
            <w:shd w:val="clear" w:color="auto" w:fill="D5EEEE"/>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Borders>
              <w:right w:val="single" w:sz="8" w:color="D5EEEE"/>
            </w:tcBorders>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D5EEEE"/>
            </w:tcBorders>
            <w:vMerge w:val="continue"/>
            <w:shd w:val="clear" w:color="auto" w:fill="D5EEEE"/>
          </w:tcPr>
          <w:p>
            <w:pPr>
              <w:spacing w:after="0"/>
              <w:rPr>
                <w:sz w:val="20"/>
                <w:szCs w:val="20"/>
                <w:color w:val="auto"/>
              </w:rPr>
            </w:pPr>
          </w:p>
        </w:tc>
        <w:tc>
          <w:tcPr>
            <w:tcW w:w="180" w:type="dxa"/>
            <w:vAlign w:val="bottom"/>
            <w:tcBorders>
              <w:bottom w:val="single" w:sz="8" w:color="D5EEEE"/>
            </w:tcBorders>
            <w:shd w:val="clear" w:color="auto" w:fill="D5EEE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right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25,000</w:t>
            </w:r>
          </w:p>
        </w:tc>
        <w:tc>
          <w:tcPr>
            <w:tcW w:w="100" w:type="dxa"/>
            <w:vAlign w:val="bottom"/>
            <w:tcBorders>
              <w:bottom w:val="single" w:sz="8" w:color="D5EEEE"/>
            </w:tcBorders>
            <w:shd w:val="clear" w:color="auto" w:fill="D5EEEE"/>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24,915</w:t>
            </w:r>
          </w:p>
        </w:tc>
        <w:tc>
          <w:tcPr>
            <w:tcW w:w="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D5EEEE"/>
            </w:tcBorders>
            <w:shd w:val="clear" w:color="auto" w:fill="D5EEEE"/>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shd w:val="clear" w:color="auto" w:fill="D5EEEE"/>
          </w:tcPr>
          <w:p>
            <w:pPr>
              <w:jc w:val="right"/>
              <w:ind w:right="3"/>
              <w:spacing w:after="0"/>
              <w:rPr>
                <w:sz w:val="20"/>
                <w:szCs w:val="20"/>
                <w:color w:val="auto"/>
              </w:rPr>
            </w:pPr>
            <w:r>
              <w:rPr>
                <w:rFonts w:ascii="Times New Roman" w:cs="Times New Roman" w:eastAsia="Times New Roman" w:hAnsi="Times New Roman"/>
                <w:sz w:val="20"/>
                <w:szCs w:val="20"/>
                <w:color w:val="auto"/>
              </w:rPr>
              <w:t>22,67</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D5EEEE"/>
            </w:tcBorders>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10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0.58</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1.1</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tcPr>
          <w:p>
            <w:pPr>
              <w:spacing w:after="0"/>
              <w:rPr>
                <w:sz w:val="19"/>
                <w:szCs w:val="19"/>
                <w:color w:val="auto"/>
              </w:rPr>
            </w:pPr>
          </w:p>
        </w:tc>
        <w:tc>
          <w:tcPr>
            <w:tcW w:w="180" w:type="dxa"/>
            <w:vAlign w:val="bottom"/>
            <w:tcBorders>
              <w:bottom w:val="single" w:sz="8" w:color="D5EEEE"/>
            </w:tcBorders>
          </w:tcPr>
          <w:p>
            <w:pPr>
              <w:spacing w:after="0"/>
              <w:rPr>
                <w:sz w:val="19"/>
                <w:szCs w:val="19"/>
                <w:color w:val="auto"/>
              </w:rPr>
            </w:pPr>
          </w:p>
        </w:tc>
        <w:tc>
          <w:tcPr>
            <w:tcW w:w="10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18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160" w:type="dxa"/>
            <w:vAlign w:val="bottom"/>
            <w:tcBorders>
              <w:bottom w:val="single" w:sz="8" w:color="D5EEEE"/>
            </w:tcBorders>
            <w:vMerge w:val="continue"/>
          </w:tcPr>
          <w:p>
            <w:pPr>
              <w:spacing w:after="0"/>
              <w:rPr>
                <w:sz w:val="19"/>
                <w:szCs w:val="19"/>
                <w:color w:val="auto"/>
              </w:rPr>
            </w:pPr>
          </w:p>
        </w:tc>
        <w:tc>
          <w:tcPr>
            <w:tcW w:w="20" w:type="dxa"/>
            <w:vAlign w:val="bottom"/>
            <w:tcBorders>
              <w:bottom w:val="single" w:sz="8" w:color="D5EEEE"/>
            </w:tcBorders>
            <w:vMerge w:val="continue"/>
          </w:tcPr>
          <w:p>
            <w:pPr>
              <w:spacing w:after="0"/>
              <w:rPr>
                <w:sz w:val="19"/>
                <w:szCs w:val="19"/>
                <w:color w:val="auto"/>
              </w:rPr>
            </w:pPr>
          </w:p>
        </w:tc>
        <w:tc>
          <w:tcPr>
            <w:tcW w:w="100" w:type="dxa"/>
            <w:vAlign w:val="bottom"/>
            <w:tcBorders>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208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highlight w:val="white"/>
                <w:w w:val="70"/>
              </w:rPr>
              <w:t>$</w:t>
            </w:r>
          </w:p>
        </w:tc>
        <w:tc>
          <w:tcPr>
            <w:tcW w:w="15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240" w:type="dxa"/>
            <w:vAlign w:val="bottom"/>
            <w:tcBorders>
              <w:top w:val="single" w:sz="8" w:color="D5EEEE"/>
            </w:tcBorders>
            <w:shd w:val="clear" w:color="auto" w:fill="D5EEEE"/>
          </w:tcPr>
          <w:p>
            <w:pPr>
              <w:spacing w:after="0"/>
              <w:rPr>
                <w:sz w:val="18"/>
                <w:szCs w:val="18"/>
                <w:color w:val="auto"/>
              </w:rPr>
            </w:pPr>
          </w:p>
        </w:tc>
        <w:tc>
          <w:tcPr>
            <w:tcW w:w="18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D5EEEE"/>
            </w:tcBorders>
            <w:shd w:val="clear" w:color="auto" w:fill="D5EEEE"/>
          </w:tcPr>
          <w:p>
            <w:pPr>
              <w:jc w:val="right"/>
              <w:spacing w:after="0" w:line="212"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1800" w:type="dxa"/>
            <w:vAlign w:val="bottom"/>
            <w:tcBorders>
              <w:top w:val="single" w:sz="8" w:color="D5EEEE"/>
              <w:right w:val="single" w:sz="8" w:color="D5EEEE"/>
            </w:tcBorders>
            <w:shd w:val="clear" w:color="auto" w:fill="D5EEEE"/>
          </w:tcPr>
          <w:p>
            <w:pPr>
              <w:jc w:val="right"/>
              <w:spacing w:after="0" w:line="212" w:lineRule="exact"/>
              <w:rPr>
                <w:sz w:val="20"/>
                <w:szCs w:val="20"/>
                <w:color w:val="auto"/>
              </w:rPr>
            </w:pPr>
            <w:r>
              <w:rPr>
                <w:rFonts w:ascii="Times New Roman" w:cs="Times New Roman" w:eastAsia="Times New Roman" w:hAnsi="Times New Roman"/>
                <w:sz w:val="20"/>
                <w:szCs w:val="20"/>
                <w:color w:val="auto"/>
              </w:rPr>
              <w:t>1.07</w:t>
            </w:r>
          </w:p>
        </w:tc>
        <w:tc>
          <w:tcPr>
            <w:tcW w:w="100" w:type="dxa"/>
            <w:vAlign w:val="bottom"/>
            <w:tcBorders>
              <w:top w:val="single" w:sz="8" w:color="D5EEEE"/>
            </w:tcBorders>
            <w:shd w:val="clear" w:color="auto" w:fill="D5EEEE"/>
          </w:tcPr>
          <w:p>
            <w:pPr>
              <w:spacing w:after="0"/>
              <w:rPr>
                <w:sz w:val="18"/>
                <w:szCs w:val="18"/>
                <w:color w:val="auto"/>
              </w:rPr>
            </w:pPr>
          </w:p>
        </w:tc>
        <w:tc>
          <w:tcPr>
            <w:tcW w:w="160" w:type="dxa"/>
            <w:vAlign w:val="bottom"/>
            <w:tcBorders>
              <w:top w:val="single" w:sz="8" w:color="D5EEEE"/>
            </w:tcBorders>
          </w:tcPr>
          <w:p>
            <w:pPr>
              <w:spacing w:after="0"/>
              <w:rPr>
                <w:sz w:val="18"/>
                <w:szCs w:val="18"/>
                <w:color w:val="auto"/>
              </w:rPr>
            </w:pPr>
          </w:p>
        </w:tc>
        <w:tc>
          <w:tcPr>
            <w:tcW w:w="20" w:type="dxa"/>
            <w:vAlign w:val="bottom"/>
            <w:tcBorders>
              <w:top w:val="single" w:sz="8" w:color="D5EEEE"/>
              <w:bottom w:val="single" w:sz="8" w:color="auto"/>
            </w:tcBorders>
          </w:tcPr>
          <w:p>
            <w:pPr>
              <w:spacing w:after="0"/>
              <w:rPr>
                <w:sz w:val="18"/>
                <w:szCs w:val="18"/>
                <w:color w:val="auto"/>
              </w:rPr>
            </w:pPr>
          </w:p>
        </w:tc>
        <w:tc>
          <w:tcPr>
            <w:tcW w:w="100" w:type="dxa"/>
            <w:vAlign w:val="bottom"/>
            <w:tcBorders>
              <w:top w:val="single" w:sz="8" w:color="D5EEEE"/>
              <w:bottom w:val="single" w:sz="8" w:color="auto"/>
            </w:tcBorders>
            <w:shd w:val="clear" w:color="auto" w:fill="D5EEEE"/>
          </w:tcPr>
          <w:p>
            <w:pPr>
              <w:jc w:val="right"/>
              <w:spacing w:after="0" w:line="212"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80" w:type="dxa"/>
            <w:vAlign w:val="bottom"/>
            <w:tcBorders>
              <w:top w:val="single" w:sz="8" w:color="D5EEEE"/>
            </w:tcBorders>
            <w:shd w:val="clear" w:color="auto" w:fill="D5EEEE"/>
          </w:tcPr>
          <w:p>
            <w:pPr>
              <w:jc w:val="right"/>
              <w:spacing w:after="0" w:line="212" w:lineRule="exact"/>
              <w:rPr>
                <w:sz w:val="20"/>
                <w:szCs w:val="20"/>
                <w:color w:val="auto"/>
              </w:rPr>
            </w:pPr>
            <w:r>
              <w:rPr>
                <w:rFonts w:ascii="Times New Roman" w:cs="Times New Roman" w:eastAsia="Times New Roman" w:hAnsi="Times New Roman"/>
                <w:sz w:val="20"/>
                <w:szCs w:val="20"/>
                <w:color w:val="auto"/>
              </w:rPr>
              <w:t>0.58</w:t>
            </w:r>
          </w:p>
        </w:tc>
        <w:tc>
          <w:tcPr>
            <w:tcW w:w="2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D5EEEE"/>
            </w:tcBorders>
            <w:shd w:val="clear" w:color="auto" w:fill="D5EEEE"/>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D5EEEE"/>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1500" w:type="dxa"/>
            <w:vAlign w:val="bottom"/>
            <w:tcBorders>
              <w:top w:val="single" w:sz="8" w:color="D5EEEE"/>
            </w:tcBorders>
            <w:shd w:val="clear" w:color="auto" w:fill="D5EEEE"/>
          </w:tcPr>
          <w:p>
            <w:pPr>
              <w:jc w:val="right"/>
              <w:ind w:right="3"/>
              <w:spacing w:after="0" w:line="212" w:lineRule="exact"/>
              <w:rPr>
                <w:sz w:val="20"/>
                <w:szCs w:val="20"/>
                <w:color w:val="auto"/>
              </w:rPr>
            </w:pPr>
            <w:r>
              <w:rPr>
                <w:rFonts w:ascii="Times New Roman" w:cs="Times New Roman" w:eastAsia="Times New Roman" w:hAnsi="Times New Roman"/>
                <w:sz w:val="20"/>
                <w:szCs w:val="20"/>
                <w:color w:val="auto"/>
              </w:rPr>
              <w:t>1.1</w:t>
            </w:r>
          </w:p>
        </w:tc>
        <w:tc>
          <w:tcPr>
            <w:tcW w:w="20" w:type="dxa"/>
            <w:vAlign w:val="bottom"/>
            <w:tcBorders>
              <w:top w:val="single" w:sz="8" w:color="D5EEEE"/>
            </w:tcBorders>
            <w:shd w:val="clear" w:color="auto" w:fill="D5EEEE"/>
          </w:tcPr>
          <w:p>
            <w:pPr>
              <w:spacing w:after="0"/>
              <w:rPr>
                <w:sz w:val="18"/>
                <w:szCs w:val="18"/>
                <w:color w:val="auto"/>
              </w:rPr>
            </w:pPr>
          </w:p>
        </w:tc>
        <w:tc>
          <w:tcPr>
            <w:tcW w:w="100" w:type="dxa"/>
            <w:vAlign w:val="bottom"/>
            <w:tcBorders>
              <w:top w:val="single" w:sz="8" w:color="D5EEEE"/>
            </w:tcBorders>
            <w:shd w:val="clear" w:color="auto" w:fill="D5EEE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-1442085</wp:posOffset>
            </wp:positionV>
            <wp:extent cx="6884670" cy="14732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84670" cy="147320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right="100" w:firstLine="720"/>
        <w:spacing w:after="0" w:line="246" w:lineRule="auto"/>
        <w:rPr>
          <w:sz w:val="20"/>
          <w:szCs w:val="20"/>
          <w:color w:val="auto"/>
        </w:rPr>
      </w:pPr>
      <w:r>
        <w:rPr>
          <w:rFonts w:ascii="Times New Roman" w:cs="Times New Roman" w:eastAsia="Times New Roman" w:hAnsi="Times New Roman"/>
          <w:sz w:val="20"/>
          <w:szCs w:val="20"/>
          <w:color w:val="auto"/>
        </w:rPr>
        <w:t>The Company’s basic net loss per share is calculated by dividing the net loss by the weighted-average number of shares of common stock outstanding for the relevant period. In accordance with ASC 710-10, 17,927 shares of common stock held by the rabbi trust are excluded from the denominator in the basic and diluted EPS calculations. For details on shares of common stock held by the rabbi trust refer to Note 18. For the purposes of the calculation of diluted net loss per share, options to purchase common stock, restricted stock units and unvested shares of common stock issued upon the early exercise of stock options have been excluded from the calculation of diluted net loss per share as their effect is anti-dilutive. As the Company has reported a net loss for all periods presented diluted net loss per common share is the same as the basic net loss per share.</w:t>
      </w:r>
    </w:p>
    <w:p>
      <w:pPr>
        <w:sectPr>
          <w:pgSz w:w="11880" w:h="15480" w:orient="portrait"/>
          <w:cols w:equalWidth="0" w:num="1">
            <w:col w:w="10800"/>
          </w:cols>
          <w:pgMar w:left="540" w:top="887" w:right="540" w:bottom="5"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F-33</w:t>
      </w:r>
    </w:p>
    <w:p>
      <w:pPr>
        <w:sectPr>
          <w:pgSz w:w="11880" w:h="15480" w:orient="portrait"/>
          <w:cols w:equalWidth="0" w:num="1">
            <w:col w:w="10800"/>
          </w:cols>
          <w:pgMar w:left="540" w:top="887" w:right="540" w:bottom="5"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20"/>
          <w:szCs w:val="20"/>
          <w:b w:val="1"/>
          <w:bCs w:val="1"/>
          <w:color w:val="auto"/>
        </w:rPr>
        <w:t>18. Retirement Plans</w:t>
      </w:r>
    </w:p>
    <w:p>
      <w:pPr>
        <w:spacing w:after="0" w:line="121"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The Company offers a 401(k)-retirement savings plan (the “</w:t>
      </w:r>
      <w:r>
        <w:rPr>
          <w:rFonts w:ascii="Times New Roman" w:cs="Times New Roman" w:eastAsia="Times New Roman" w:hAnsi="Times New Roman"/>
          <w:sz w:val="20"/>
          <w:szCs w:val="20"/>
          <w:b w:val="1"/>
          <w:bCs w:val="1"/>
          <w:color w:val="auto"/>
        </w:rPr>
        <w:t>401(k) Plan</w:t>
      </w:r>
      <w:r>
        <w:rPr>
          <w:rFonts w:ascii="Times New Roman" w:cs="Times New Roman" w:eastAsia="Times New Roman" w:hAnsi="Times New Roman"/>
          <w:sz w:val="20"/>
          <w:szCs w:val="20"/>
          <w:color w:val="auto"/>
        </w:rPr>
        <w:t>”) for its employees, including its executive officers, who satisfy certain eligibility requirements. The Internal Revenue Code of 1986, as amended, allows eligible employees to defer a portion of their compensation, within prescribed limits, on a pre-tax basis through contributions to the 401(k) Plan. The Company matches contributions to the 401(k) Plan based on the amount of salary deferral contributions the participant makes to the 401(k) Plan. The Company will match up to 6% of an employee’s compensation that the employee contributes to his or her 401(k) Plan account. Total Company matching contributions to the 401(k) Plan were $1,027,000, $966,000, and $733,000 in the year-ended December 31, 2022, the transition period ended December 31, 2021 and the year-ended June 30, 2021.</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Non-qualified deferred compensation plan</w:t>
      </w:r>
    </w:p>
    <w:p>
      <w:pPr>
        <w:spacing w:after="0" w:line="14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The Company’s non-qualified deferred compensation plan (the •</w:t>
      </w:r>
      <w:r>
        <w:rPr>
          <w:rFonts w:ascii="Times New Roman" w:cs="Times New Roman" w:eastAsia="Times New Roman" w:hAnsi="Times New Roman"/>
          <w:sz w:val="20"/>
          <w:szCs w:val="20"/>
          <w:b w:val="1"/>
          <w:bCs w:val="1"/>
          <w:color w:val="auto"/>
        </w:rPr>
        <w:t>NQDC plan</w:t>
      </w:r>
      <w:r>
        <w:rPr>
          <w:rFonts w:ascii="Times New Roman" w:cs="Times New Roman" w:eastAsia="Times New Roman" w:hAnsi="Times New Roman"/>
          <w:sz w:val="20"/>
          <w:szCs w:val="20"/>
          <w:color w:val="auto"/>
        </w:rPr>
        <w:t>•), which became effective on October 2021 allows for eligible management and highly compensated key employees to elect to defer a portion of their salary, bonus, commissions and RSU awards to later years. Cash deferrals are immediately vested and are subject to investment risk and a risk of forfeiture under certain circumstances. RSU deferrals are subject to the vesting conditions of the award. Once RSUs vest, subject to a six-month and one day holding period, employees are allowed to diversify the common stock into other investment options offered by the plan. For cash deferrals, the Company matches 4% to 6% (depending on level) of employee contributions. These matching employer contributions are vested over a two-year period with 25% vesting on year one and 75% vesting on year two for employees under 55 years of age. Employer contributions for employees over 55 years of age are immediately vested. Employer contributions to the NQDC plan for the year-ended December 31, 2022 and the transition period ended December 31, 2021 were $258,000 and $16,000, respectively. The Company’s deferred compensation plan liability was $1,348,000 and $262,000 as of the year-ended December 31, 2022 and 2021. As of December 31, 2022, the Company has $1.27 million in non-qualified deferred compensation plan liability and $78,000 in other current liabilities in the Consolidated Balance Sheets. As of December 31, 2021 amounts are recorded in non-qualified deferred compensation plan liability in the Consolidated Balance Sheets. The Company did not have a NQDC plan for the year-ended June 30, 2021.</w:t>
      </w:r>
    </w:p>
    <w:p>
      <w:pPr>
        <w:spacing w:after="0" w:line="239" w:lineRule="exact"/>
        <w:rPr>
          <w:sz w:val="20"/>
          <w:szCs w:val="20"/>
          <w:color w:val="auto"/>
        </w:rPr>
      </w:pPr>
    </w:p>
    <w:p>
      <w:pPr>
        <w:ind w:right="340" w:firstLine="490"/>
        <w:spacing w:after="0" w:line="259" w:lineRule="auto"/>
        <w:rPr>
          <w:sz w:val="20"/>
          <w:szCs w:val="20"/>
          <w:color w:val="auto"/>
        </w:rPr>
      </w:pPr>
      <w:r>
        <w:rPr>
          <w:rFonts w:ascii="Times New Roman" w:cs="Times New Roman" w:eastAsia="Times New Roman" w:hAnsi="Times New Roman"/>
          <w:sz w:val="20"/>
          <w:szCs w:val="20"/>
          <w:color w:val="auto"/>
        </w:rPr>
        <w:t>The Company established a COLI to fund the NQDC plan. Amounts in the COLI are invested in a number of funds. The securities are carried at the cash surrender value on the Consolidated Balance Sheets. We record investment gains and losses of the COLI as other income.</w:t>
      </w:r>
    </w:p>
    <w:p>
      <w:pPr>
        <w:spacing w:after="0" w:line="223" w:lineRule="exact"/>
        <w:rPr>
          <w:sz w:val="20"/>
          <w:szCs w:val="20"/>
          <w:color w:val="auto"/>
        </w:rPr>
      </w:pPr>
    </w:p>
    <w:p>
      <w:pPr>
        <w:jc w:val="both"/>
        <w:ind w:right="180" w:firstLine="490"/>
        <w:spacing w:after="0" w:line="258" w:lineRule="auto"/>
        <w:rPr>
          <w:sz w:val="20"/>
          <w:szCs w:val="20"/>
          <w:color w:val="auto"/>
        </w:rPr>
      </w:pPr>
      <w:r>
        <w:rPr>
          <w:rFonts w:ascii="Times New Roman" w:cs="Times New Roman" w:eastAsia="Times New Roman" w:hAnsi="Times New Roman"/>
          <w:sz w:val="20"/>
          <w:szCs w:val="20"/>
          <w:color w:val="auto"/>
        </w:rPr>
        <w:t>The fair values of the Company’s deferred compensation plan assets and liability are included in the table below. Note that the Company did not have NQDC plan for the year-ended June 30, 2021. For additional information on the fair value hierarchy and the inputs used to measure fair value, see Note 5, Fair Value Measurements.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16"/>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Fair Value as of </w:t>
            </w:r>
            <w:r>
              <w:rPr>
                <w:rFonts w:ascii="Times New Roman" w:cs="Times New Roman" w:eastAsia="Times New Roman" w:hAnsi="Times New Roman"/>
                <w:sz w:val="18"/>
                <w:szCs w:val="18"/>
                <w:b w:val="1"/>
                <w:bCs w:val="1"/>
                <w:u w:val="single" w:color="auto"/>
                <w:color w:val="auto"/>
              </w:rPr>
              <w:t>D</w:t>
            </w:r>
            <w:r>
              <w:rPr>
                <w:rFonts w:ascii="Times New Roman" w:cs="Times New Roman" w:eastAsia="Times New Roman" w:hAnsi="Times New Roman"/>
                <w:sz w:val="18"/>
                <w:szCs w:val="18"/>
                <w:b w:val="1"/>
                <w:bCs w:val="1"/>
                <w:color w:val="auto"/>
              </w:rPr>
              <w:t>ecember 31, 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4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Borders>
              <w:top w:val="single" w:sz="8" w:color="auto"/>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gridSpan w:val="3"/>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gridSpan w:val="2"/>
          </w:tcPr>
          <w:p>
            <w:pPr>
              <w:ind w:left="60"/>
              <w:spacing w:after="0" w:line="206" w:lineRule="exact"/>
              <w:rPr>
                <w:sz w:val="20"/>
                <w:szCs w:val="20"/>
                <w:color w:val="auto"/>
              </w:rPr>
            </w:pPr>
            <w:r>
              <w:rPr>
                <w:rFonts w:ascii="Times New Roman" w:cs="Times New Roman" w:eastAsia="Times New Roman" w:hAnsi="Times New Roman"/>
                <w:sz w:val="18"/>
                <w:szCs w:val="18"/>
                <w:b w:val="1"/>
                <w:bCs w:val="1"/>
                <w:color w:val="auto"/>
                <w:w w:val="97"/>
              </w:rPr>
              <w:t>Level 3</w:t>
            </w:r>
          </w:p>
        </w:tc>
        <w:tc>
          <w:tcPr>
            <w:tcW w:w="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gridSpan w:val="3"/>
          </w:tcPr>
          <w:p>
            <w:pPr>
              <w:ind w:left="200"/>
              <w:spacing w:after="0" w:line="206" w:lineRule="exact"/>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c>
          <w:tcPr>
            <w:tcW w:w="580" w:type="dxa"/>
            <w:vAlign w:val="bottom"/>
            <w:tcBorders>
              <w:top w:val="single" w:sz="8" w:color="auto"/>
            </w:tcBorders>
            <w:gridSpan w:val="3"/>
          </w:tcPr>
          <w:p>
            <w:pPr>
              <w:ind w:left="20"/>
              <w:spacing w:after="0" w:line="206" w:lineRule="exact"/>
              <w:rPr>
                <w:sz w:val="20"/>
                <w:szCs w:val="20"/>
                <w:color w:val="auto"/>
              </w:rPr>
            </w:pPr>
            <w:r>
              <w:rPr>
                <w:rFonts w:ascii="Times New Roman" w:cs="Times New Roman" w:eastAsia="Times New Roman" w:hAnsi="Times New Roman"/>
                <w:sz w:val="18"/>
                <w:szCs w:val="18"/>
                <w:b w:val="1"/>
                <w:bCs w:val="1"/>
                <w:color w:val="auto"/>
                <w:w w:val="97"/>
              </w:rPr>
              <w:t>Level 1</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gridSpan w:val="5"/>
          </w:tcPr>
          <w:p>
            <w:pPr>
              <w:jc w:val="right"/>
              <w:ind w:right="120"/>
              <w:spacing w:after="0" w:line="206" w:lineRule="exact"/>
              <w:rPr>
                <w:sz w:val="20"/>
                <w:szCs w:val="20"/>
                <w:color w:val="auto"/>
              </w:rPr>
            </w:pPr>
            <w:r>
              <w:rPr>
                <w:rFonts w:ascii="Times New Roman" w:cs="Times New Roman" w:eastAsia="Times New Roman" w:hAnsi="Times New Roman"/>
                <w:sz w:val="18"/>
                <w:szCs w:val="18"/>
                <w:b w:val="1"/>
                <w:bCs w:val="1"/>
                <w:color w:val="auto"/>
                <w:w w:val="97"/>
              </w:rPr>
              <w:t>Level 2</w:t>
            </w:r>
          </w:p>
        </w:tc>
        <w:tc>
          <w:tcPr>
            <w:tcW w:w="120" w:type="dxa"/>
            <w:vAlign w:val="bottom"/>
          </w:tcPr>
          <w:p>
            <w:pPr>
              <w:spacing w:after="0"/>
              <w:rPr>
                <w:sz w:val="21"/>
                <w:szCs w:val="21"/>
                <w:color w:val="auto"/>
              </w:rPr>
            </w:pPr>
          </w:p>
        </w:tc>
        <w:tc>
          <w:tcPr>
            <w:tcW w:w="680" w:type="dxa"/>
            <w:vAlign w:val="bottom"/>
            <w:tcBorders>
              <w:top w:val="single" w:sz="8" w:color="auto"/>
            </w:tcBorders>
            <w:gridSpan w:val="4"/>
          </w:tcPr>
          <w:p>
            <w:pPr>
              <w:jc w:val="right"/>
              <w:ind w:right="120"/>
              <w:spacing w:after="0" w:line="206" w:lineRule="exact"/>
              <w:rPr>
                <w:sz w:val="20"/>
                <w:szCs w:val="20"/>
                <w:color w:val="auto"/>
              </w:rPr>
            </w:pPr>
            <w:r>
              <w:rPr>
                <w:rFonts w:ascii="Times New Roman" w:cs="Times New Roman" w:eastAsia="Times New Roman" w:hAnsi="Times New Roman"/>
                <w:sz w:val="18"/>
                <w:szCs w:val="18"/>
                <w:b w:val="1"/>
                <w:bCs w:val="1"/>
                <w:color w:val="auto"/>
                <w:w w:val="97"/>
              </w:rPr>
              <w:t>Level 3</w:t>
            </w:r>
          </w:p>
        </w:tc>
        <w:tc>
          <w:tcPr>
            <w:tcW w:w="120" w:type="dxa"/>
            <w:vAlign w:val="bottom"/>
          </w:tcPr>
          <w:p>
            <w:pPr>
              <w:spacing w:after="0"/>
              <w:rPr>
                <w:sz w:val="21"/>
                <w:szCs w:val="21"/>
                <w:color w:val="auto"/>
              </w:rPr>
            </w:pPr>
          </w:p>
        </w:tc>
        <w:tc>
          <w:tcPr>
            <w:tcW w:w="560" w:type="dxa"/>
            <w:vAlign w:val="bottom"/>
            <w:tcBorders>
              <w:top w:val="single" w:sz="8" w:color="auto"/>
            </w:tcBorders>
            <w:gridSpan w:val="3"/>
          </w:tcPr>
          <w:p>
            <w:pPr>
              <w:ind w:left="60"/>
              <w:spacing w:after="0" w:line="206" w:lineRule="exact"/>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168"/>
        </w:trPr>
        <w:tc>
          <w:tcPr>
            <w:tcW w:w="4320" w:type="dxa"/>
            <w:vAlign w:val="bottom"/>
            <w:tcBorders>
              <w:top w:val="single" w:sz="8" w:color="D5EEEE"/>
            </w:tcBorders>
            <w:shd w:val="clear" w:color="auto" w:fill="D5EEEE"/>
          </w:tcPr>
          <w:p>
            <w:pPr>
              <w:spacing w:after="0"/>
              <w:rPr>
                <w:sz w:val="14"/>
                <w:szCs w:val="14"/>
                <w:color w:val="auto"/>
              </w:rPr>
            </w:pPr>
          </w:p>
        </w:tc>
        <w:tc>
          <w:tcPr>
            <w:tcW w:w="140" w:type="dxa"/>
            <w:vAlign w:val="bottom"/>
            <w:tcBorders>
              <w:top w:val="single" w:sz="8" w:color="D5EEEE"/>
            </w:tcBorders>
            <w:shd w:val="clear" w:color="auto" w:fill="D5EEE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shd w:val="clear" w:color="auto" w:fill="D5EEEE"/>
          </w:tcPr>
          <w:p>
            <w:pPr>
              <w:jc w:val="right"/>
              <w:spacing w:after="0" w:line="168"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D5EEEE"/>
            </w:tcBorders>
            <w:shd w:val="clear" w:color="auto" w:fill="D5EEEE"/>
          </w:tcPr>
          <w:p>
            <w:pPr>
              <w:spacing w:after="0"/>
              <w:rPr>
                <w:sz w:val="14"/>
                <w:szCs w:val="14"/>
                <w:color w:val="auto"/>
              </w:rPr>
            </w:pPr>
          </w:p>
        </w:tc>
        <w:tc>
          <w:tcPr>
            <w:tcW w:w="120" w:type="dxa"/>
            <w:vAlign w:val="bottom"/>
            <w:tcBorders>
              <w:top w:val="single" w:sz="8" w:color="D5EEEE"/>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shd w:val="clear" w:color="auto" w:fill="D5EEEE"/>
          </w:tcPr>
          <w:p>
            <w:pPr>
              <w:jc w:val="right"/>
              <w:spacing w:after="0" w:line="168" w:lineRule="exact"/>
              <w:rPr>
                <w:sz w:val="20"/>
                <w:szCs w:val="20"/>
                <w:color w:val="auto"/>
              </w:rPr>
            </w:pPr>
            <w:r>
              <w:rPr>
                <w:rFonts w:ascii="Times New Roman" w:cs="Times New Roman" w:eastAsia="Times New Roman" w:hAnsi="Times New Roman"/>
                <w:sz w:val="18"/>
                <w:szCs w:val="18"/>
                <w:color w:val="auto"/>
              </w:rPr>
              <w:t>1,238</w:t>
            </w: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D5EEEE"/>
            </w:tcBorders>
            <w:shd w:val="clear" w:color="auto" w:fill="D5EEE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shd w:val="clear" w:color="auto" w:fill="D5EEEE"/>
          </w:tcPr>
          <w:p>
            <w:pPr>
              <w:spacing w:after="0"/>
              <w:rPr>
                <w:sz w:val="14"/>
                <w:szCs w:val="14"/>
                <w:color w:val="auto"/>
              </w:rPr>
            </w:pPr>
          </w:p>
        </w:tc>
        <w:tc>
          <w:tcPr>
            <w:tcW w:w="60" w:type="dxa"/>
            <w:vAlign w:val="bottom"/>
            <w:tcBorders>
              <w:top w:val="single" w:sz="8" w:color="auto"/>
            </w:tcBorders>
            <w:shd w:val="clear" w:color="auto" w:fill="D5EEEE"/>
          </w:tcPr>
          <w:p>
            <w:pPr>
              <w:jc w:val="right"/>
              <w:spacing w:after="0" w:line="168" w:lineRule="exact"/>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D5EEEE"/>
            </w:tcBorders>
            <w:shd w:val="clear" w:color="auto" w:fill="D5EEEE"/>
          </w:tcPr>
          <w:p>
            <w:pPr>
              <w:spacing w:after="0"/>
              <w:rPr>
                <w:sz w:val="14"/>
                <w:szCs w:val="14"/>
                <w:color w:val="auto"/>
              </w:rPr>
            </w:pPr>
          </w:p>
        </w:tc>
        <w:tc>
          <w:tcPr>
            <w:tcW w:w="240" w:type="dxa"/>
            <w:vAlign w:val="bottom"/>
            <w:tcBorders>
              <w:top w:val="single" w:sz="8" w:color="D5EEEE"/>
            </w:tcBorders>
          </w:tcPr>
          <w:p>
            <w:pPr>
              <w:spacing w:after="0"/>
              <w:rPr>
                <w:sz w:val="14"/>
                <w:szCs w:val="14"/>
                <w:color w:val="auto"/>
              </w:rPr>
            </w:pPr>
          </w:p>
        </w:tc>
        <w:tc>
          <w:tcPr>
            <w:tcW w:w="420" w:type="dxa"/>
            <w:vAlign w:val="bottom"/>
            <w:shd w:val="clear" w:color="auto" w:fill="D5EEEE"/>
          </w:tcPr>
          <w:p>
            <w:pPr>
              <w:jc w:val="right"/>
              <w:spacing w:after="0" w:line="168" w:lineRule="exact"/>
              <w:rPr>
                <w:sz w:val="20"/>
                <w:szCs w:val="20"/>
                <w:color w:val="auto"/>
              </w:rPr>
            </w:pPr>
            <w:r>
              <w:rPr>
                <w:rFonts w:ascii="Times New Roman" w:cs="Times New Roman" w:eastAsia="Times New Roman" w:hAnsi="Times New Roman"/>
                <w:sz w:val="18"/>
                <w:szCs w:val="18"/>
                <w:color w:val="auto"/>
                <w:w w:val="98"/>
                <w:shd w:val="clear" w:color="auto" w:fill="D5EEEE"/>
              </w:rPr>
              <w:t>1,238</w:t>
            </w:r>
          </w:p>
        </w:tc>
        <w:tc>
          <w:tcPr>
            <w:tcW w:w="20" w:type="dxa"/>
            <w:vAlign w:val="bottom"/>
          </w:tcPr>
          <w:p>
            <w:pPr>
              <w:spacing w:after="0"/>
              <w:rPr>
                <w:sz w:val="14"/>
                <w:szCs w:val="14"/>
                <w:color w:val="auto"/>
              </w:rPr>
            </w:pPr>
          </w:p>
        </w:tc>
        <w:tc>
          <w:tcPr>
            <w:tcW w:w="100" w:type="dxa"/>
            <w:vAlign w:val="bottom"/>
            <w:tcBorders>
              <w:top w:val="single" w:sz="8" w:color="D5EEEE"/>
            </w:tcBorders>
            <w:shd w:val="clear" w:color="auto" w:fill="D5EEE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shd w:val="clear" w:color="auto" w:fill="D5EEEE"/>
          </w:tcPr>
          <w:p>
            <w:pPr>
              <w:jc w:val="right"/>
              <w:spacing w:after="0" w:line="168"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D5EEEE"/>
            </w:tcBorders>
            <w:shd w:val="clear" w:color="auto" w:fill="D5EEE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gridSpan w:val="2"/>
            <w:shd w:val="clear" w:color="auto" w:fill="D5EEEE"/>
          </w:tcPr>
          <w:p>
            <w:pPr>
              <w:jc w:val="right"/>
              <w:spacing w:after="0" w:line="168" w:lineRule="exact"/>
              <w:rPr>
                <w:sz w:val="20"/>
                <w:szCs w:val="20"/>
                <w:color w:val="auto"/>
              </w:rPr>
            </w:pPr>
            <w:r>
              <w:rPr>
                <w:rFonts w:ascii="Times New Roman" w:cs="Times New Roman" w:eastAsia="Times New Roman" w:hAnsi="Times New Roman"/>
                <w:sz w:val="18"/>
                <w:szCs w:val="18"/>
                <w:color w:val="auto"/>
              </w:rPr>
              <w:t>304</w:t>
            </w: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D5EEEE"/>
            </w:tcBorders>
            <w:shd w:val="clear" w:color="auto" w:fill="D5EEEE"/>
          </w:tcPr>
          <w:p>
            <w:pPr>
              <w:spacing w:after="0"/>
              <w:rPr>
                <w:sz w:val="14"/>
                <w:szCs w:val="14"/>
                <w:color w:val="auto"/>
              </w:rPr>
            </w:pPr>
          </w:p>
        </w:tc>
        <w:tc>
          <w:tcPr>
            <w:tcW w:w="120" w:type="dxa"/>
            <w:vAlign w:val="bottom"/>
            <w:tcBorders>
              <w:top w:val="single" w:sz="8" w:color="D5EEEE"/>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shd w:val="clear" w:color="auto" w:fill="D5EEEE"/>
          </w:tcPr>
          <w:p>
            <w:pPr>
              <w:jc w:val="right"/>
              <w:spacing w:after="0" w:line="168"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D5EEEE"/>
            </w:tcBorders>
            <w:shd w:val="clear" w:color="auto" w:fill="D5EEEE"/>
          </w:tcPr>
          <w:p>
            <w:pPr>
              <w:spacing w:after="0"/>
              <w:rPr>
                <w:sz w:val="14"/>
                <w:szCs w:val="14"/>
                <w:color w:val="auto"/>
              </w:rPr>
            </w:pPr>
          </w:p>
        </w:tc>
        <w:tc>
          <w:tcPr>
            <w:tcW w:w="240" w:type="dxa"/>
            <w:vAlign w:val="bottom"/>
            <w:gridSpan w:val="2"/>
          </w:tcPr>
          <w:p>
            <w:pPr>
              <w:spacing w:after="0"/>
              <w:rPr>
                <w:sz w:val="14"/>
                <w:szCs w:val="14"/>
                <w:color w:val="auto"/>
              </w:rPr>
            </w:pPr>
          </w:p>
        </w:tc>
        <w:tc>
          <w:tcPr>
            <w:tcW w:w="420" w:type="dxa"/>
            <w:vAlign w:val="bottom"/>
            <w:tcBorders>
              <w:top w:val="single" w:sz="8" w:color="D5EEEE"/>
            </w:tcBorders>
            <w:shd w:val="clear" w:color="auto" w:fill="D5EEEE"/>
          </w:tcPr>
          <w:p>
            <w:pPr>
              <w:jc w:val="right"/>
              <w:spacing w:after="0" w:line="168" w:lineRule="exact"/>
              <w:rPr>
                <w:sz w:val="20"/>
                <w:szCs w:val="20"/>
                <w:color w:val="auto"/>
              </w:rPr>
            </w:pPr>
            <w:r>
              <w:rPr>
                <w:rFonts w:ascii="Times New Roman" w:cs="Times New Roman" w:eastAsia="Times New Roman" w:hAnsi="Times New Roman"/>
                <w:sz w:val="18"/>
                <w:szCs w:val="18"/>
                <w:color w:val="auto"/>
              </w:rPr>
              <w:t>304</w:t>
            </w:r>
          </w:p>
        </w:tc>
        <w:tc>
          <w:tcPr>
            <w:tcW w:w="20" w:type="dxa"/>
            <w:vAlign w:val="bottom"/>
            <w:tcBorders>
              <w:top w:val="single" w:sz="8" w:color="D5EEEE"/>
            </w:tcBorders>
          </w:tcPr>
          <w:p>
            <w:pPr>
              <w:spacing w:after="0"/>
              <w:rPr>
                <w:sz w:val="14"/>
                <w:szCs w:val="14"/>
                <w:color w:val="auto"/>
              </w:rPr>
            </w:pPr>
          </w:p>
        </w:tc>
        <w:tc>
          <w:tcPr>
            <w:tcW w:w="100" w:type="dxa"/>
            <w:vAlign w:val="bottom"/>
            <w:tcBorders>
              <w:top w:val="single" w:sz="8" w:color="D5EEEE"/>
            </w:tcBorders>
            <w:shd w:val="clear" w:color="auto" w:fill="D5EEEE"/>
          </w:tcPr>
          <w:p>
            <w:pPr>
              <w:spacing w:after="0"/>
              <w:rPr>
                <w:sz w:val="14"/>
                <w:szCs w:val="14"/>
                <w:color w:val="auto"/>
              </w:rPr>
            </w:pPr>
          </w:p>
        </w:tc>
      </w:tr>
      <w:tr>
        <w:trPr>
          <w:trHeight w:val="221"/>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Non-qualified deferred compensation plan liability</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highlight w:val="white"/>
                <w:w w:val="98"/>
              </w:rPr>
              <w:t>1,348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3757295</wp:posOffset>
            </wp:positionH>
            <wp:positionV relativeFrom="paragraph">
              <wp:posOffset>-440690</wp:posOffset>
            </wp:positionV>
            <wp:extent cx="3033395"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033395" cy="3746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-297180</wp:posOffset>
            </wp:positionV>
            <wp:extent cx="6875780" cy="3105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75780" cy="310515"/>
                    </a:xfrm>
                    <a:prstGeom prst="rect">
                      <a:avLst/>
                    </a:prstGeom>
                    <a:noFill/>
                  </pic:spPr>
                </pic:pic>
              </a:graphicData>
            </a:graphic>
          </wp:anchor>
        </w:drawing>
      </w:r>
    </w:p>
    <w:p>
      <w:pPr>
        <w:spacing w:after="0" w:line="190" w:lineRule="exact"/>
        <w:rPr>
          <w:sz w:val="20"/>
          <w:szCs w:val="20"/>
          <w:color w:val="auto"/>
        </w:rPr>
      </w:pPr>
    </w:p>
    <w:p>
      <w:pPr>
        <w:ind w:right="180"/>
        <w:spacing w:after="0" w:line="239" w:lineRule="auto"/>
        <w:tabs>
          <w:tab w:leader="none" w:pos="285"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corporate-owned life insurance contracts are recorded at cash surrender value, which is provided by a third party and reflects the net asset value of the underlying publicly traded mutual funds and are categorized as Level 2.</w:t>
      </w:r>
    </w:p>
    <w:p>
      <w:pPr>
        <w:ind w:right="140"/>
        <w:spacing w:after="0" w:line="279" w:lineRule="auto"/>
        <w:tabs>
          <w:tab w:leader="none" w:pos="285"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Non-qualified deferred compensation plan liability is measured at fair value based on quoted prices of identical instruments to the investment vehicles selected by the participants.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Rabbi Trust</w:t>
      </w:r>
    </w:p>
    <w:p>
      <w:pPr>
        <w:spacing w:after="0" w:line="138" w:lineRule="exact"/>
        <w:rPr>
          <w:sz w:val="20"/>
          <w:szCs w:val="20"/>
          <w:color w:val="auto"/>
        </w:rPr>
      </w:pPr>
    </w:p>
    <w:p>
      <w:pPr>
        <w:ind w:firstLine="720"/>
        <w:spacing w:after="0" w:line="243" w:lineRule="auto"/>
        <w:rPr>
          <w:sz w:val="20"/>
          <w:szCs w:val="20"/>
          <w:color w:val="auto"/>
        </w:rPr>
      </w:pPr>
      <w:r>
        <w:rPr>
          <w:rFonts w:ascii="Times New Roman" w:cs="Times New Roman" w:eastAsia="Times New Roman" w:hAnsi="Times New Roman"/>
          <w:sz w:val="20"/>
          <w:szCs w:val="20"/>
          <w:color w:val="auto"/>
        </w:rPr>
        <w:t xml:space="preserve">During April 2022, we established a rabbi trust to hold the assets of the NQDC plan. The rabbi trust holds the COLI asset and the common stock from deferred RSU awards that have vested. The NQDC permits diversification of fully vested shares into other equity securities subject to a six month and one day holding period. In accordance with ASR 268, </w:t>
      </w:r>
      <w:r>
        <w:rPr>
          <w:rFonts w:ascii="Times New Roman" w:cs="Times New Roman" w:eastAsia="Times New Roman" w:hAnsi="Times New Roman"/>
          <w:sz w:val="20"/>
          <w:szCs w:val="20"/>
          <w:i w:val="1"/>
          <w:iCs w:val="1"/>
          <w:color w:val="auto"/>
        </w:rPr>
        <w:t>Redeemable Preferred Stock</w:t>
      </w:r>
      <w:r>
        <w:rPr>
          <w:rFonts w:ascii="Times New Roman" w:cs="Times New Roman" w:eastAsia="Times New Roman" w:hAnsi="Times New Roman"/>
          <w:sz w:val="20"/>
          <w:szCs w:val="20"/>
          <w:color w:val="auto"/>
        </w:rPr>
        <w:t xml:space="preserve">, and ASC 718, </w:t>
      </w:r>
      <w:r>
        <w:rPr>
          <w:rFonts w:ascii="Times New Roman" w:cs="Times New Roman" w:eastAsia="Times New Roman" w:hAnsi="Times New Roman"/>
          <w:sz w:val="20"/>
          <w:szCs w:val="20"/>
          <w:i w:val="1"/>
          <w:iCs w:val="1"/>
          <w:color w:val="auto"/>
        </w:rPr>
        <w:t>Compensation — Stock Compensation</w:t>
      </w:r>
      <w:r>
        <w:rPr>
          <w:rFonts w:ascii="Times New Roman" w:cs="Times New Roman" w:eastAsia="Times New Roman" w:hAnsi="Times New Roman"/>
          <w:sz w:val="20"/>
          <w:szCs w:val="20"/>
          <w:color w:val="auto"/>
        </w:rPr>
        <w:t>, prior to vesting, the deferred share awards are classified as an equity instrument and changes in fair value of the amount owed to the participant are not recognized. The redemption amounts of the deferred awards are based on the vested percentage and are recorded outside of permanent equity as Non-qualified deferred compensation share awards on the Consolidated Balance Sheets. As of December 31, 2022, a total of 253,048, shares awards have been deferred, and during the quarter-ended September 30, 2022, a total of 17,927 awards vested. Vested shares are converted to common stock and are reclassified to permanent equity. Common stock held in the rabbi trust is classified in a manner similar to treasury stock and presented separately on the Consolidated Balance Sheets as Common stock held by the NQDC plan. A total of 17,927 shares were vested at the redemption value of $127,000.</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F-34</w:t>
      </w:r>
    </w:p>
    <w:p>
      <w:pPr>
        <w:sectPr>
          <w:pgSz w:w="11880" w:h="15480" w:orient="portrait"/>
          <w:cols w:equalWidth="0" w:num="1">
            <w:col w:w="10800"/>
          </w:cols>
          <w:pgMar w:left="540" w:top="884" w:right="540" w:bottom="0" w:gutter="0" w:footer="0" w:header="0"/>
        </w:sectPr>
      </w:pPr>
    </w:p>
    <w:bookmarkStart w:id="100" w:name="page101"/>
    <w:bookmarkEnd w:id="100"/>
    <w:p>
      <w:pPr>
        <w:ind w:right="540" w:firstLine="720"/>
        <w:spacing w:after="0" w:line="279" w:lineRule="auto"/>
        <w:rPr>
          <w:sz w:val="20"/>
          <w:szCs w:val="20"/>
          <w:color w:val="auto"/>
        </w:rPr>
      </w:pPr>
      <w:r>
        <w:rPr>
          <w:rFonts w:ascii="Times New Roman" w:cs="Times New Roman" w:eastAsia="Times New Roman" w:hAnsi="Times New Roman"/>
          <w:sz w:val="20"/>
          <w:szCs w:val="20"/>
          <w:color w:val="auto"/>
        </w:rPr>
        <w:t>The following table summarizes the eligible share award activity as of December 31, 2022. There was no activity as of December 31, 2021 and June 30, 2021.</w:t>
      </w:r>
    </w:p>
    <w:p>
      <w:pPr>
        <w:spacing w:after="0" w:line="200" w:lineRule="exact"/>
        <w:rPr>
          <w:sz w:val="20"/>
          <w:szCs w:val="20"/>
          <w:color w:val="auto"/>
        </w:rPr>
      </w:pPr>
    </w:p>
    <w:p>
      <w:pPr>
        <w:spacing w:after="0" w:line="217"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20"/>
          <w:szCs w:val="20"/>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4486275</wp:posOffset>
            </wp:positionH>
            <wp:positionV relativeFrom="paragraph">
              <wp:posOffset>-142875</wp:posOffset>
            </wp:positionV>
            <wp:extent cx="2372995" cy="120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372995" cy="1206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2540</wp:posOffset>
            </wp:positionV>
            <wp:extent cx="6884670" cy="1148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84670" cy="1148715"/>
                    </a:xfrm>
                    <a:prstGeom prst="rect">
                      <a:avLst/>
                    </a:prstGeom>
                    <a:noFill/>
                  </pic:spPr>
                </pic:pic>
              </a:graphicData>
            </a:graphic>
          </wp:anchor>
        </w:drawing>
      </w:r>
    </w:p>
    <w:p>
      <w:pPr>
        <w:spacing w:after="0" w:line="221"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5"/>
          <w:szCs w:val="15"/>
          <w:color w:val="auto"/>
        </w:rPr>
        <w:t>-</w:t>
      </w:r>
      <w:r>
        <w:rPr>
          <w:sz w:val="1"/>
          <w:szCs w:val="1"/>
          <w:color w:val="auto"/>
        </w:rPr>
        <w:drawing>
          <wp:inline distT="0" distB="0" distL="0" distR="0">
            <wp:extent cx="259080" cy="15176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9080" cy="151765"/>
                    </a:xfrm>
                    <a:prstGeom prst="rect">
                      <a:avLst/>
                    </a:prstGeom>
                    <a:noFill/>
                    <a:ln>
                      <a:noFill/>
                    </a:ln>
                  </pic:spPr>
                </pic:pic>
              </a:graphicData>
            </a:graphic>
          </wp:inline>
        </w:drawing>
      </w:r>
    </w:p>
    <w:p>
      <w:pPr>
        <w:ind w:left="10080"/>
        <w:spacing w:after="0"/>
        <w:rPr>
          <w:sz w:val="20"/>
          <w:szCs w:val="20"/>
          <w:color w:val="auto"/>
        </w:rPr>
      </w:pPr>
      <w:r>
        <w:rPr>
          <w:rFonts w:ascii="Times New Roman" w:cs="Times New Roman" w:eastAsia="Times New Roman" w:hAnsi="Times New Roman"/>
          <w:sz w:val="19"/>
          <w:szCs w:val="19"/>
          <w:color w:val="auto"/>
        </w:rPr>
        <w:t>192</w:t>
      </w:r>
      <w:r>
        <w:rPr>
          <w:sz w:val="1"/>
          <w:szCs w:val="1"/>
          <w:color w:val="auto"/>
        </w:rPr>
        <w:drawing>
          <wp:inline distT="0" distB="0" distL="0" distR="0">
            <wp:extent cx="259080" cy="123825"/>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9080" cy="123825"/>
                    </a:xfrm>
                    <a:prstGeom prst="rect">
                      <a:avLst/>
                    </a:prstGeom>
                    <a:noFill/>
                    <a:ln>
                      <a:noFill/>
                    </a:ln>
                  </pic:spPr>
                </pic:pic>
              </a:graphicData>
            </a:graphic>
          </wp:inline>
        </w:drawing>
      </w:r>
    </w:p>
    <w:p>
      <w:pPr>
        <w:ind w:left="10080"/>
        <w:spacing w:after="0"/>
        <w:rPr>
          <w:sz w:val="20"/>
          <w:szCs w:val="20"/>
          <w:color w:val="auto"/>
        </w:rPr>
      </w:pPr>
      <w:r>
        <w:rPr>
          <w:rFonts w:ascii="Times New Roman" w:cs="Times New Roman" w:eastAsia="Times New Roman" w:hAnsi="Times New Roman"/>
          <w:sz w:val="19"/>
          <w:szCs w:val="19"/>
          <w:color w:val="auto"/>
        </w:rPr>
        <w:t>471</w:t>
      </w:r>
      <w:r>
        <w:rPr>
          <w:sz w:val="1"/>
          <w:szCs w:val="1"/>
          <w:color w:val="auto"/>
        </w:rPr>
        <w:drawing>
          <wp:inline distT="0" distB="0" distL="0" distR="0">
            <wp:extent cx="259080" cy="13335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9080" cy="133350"/>
                    </a:xfrm>
                    <a:prstGeom prst="rect">
                      <a:avLst/>
                    </a:prstGeom>
                    <a:noFill/>
                    <a:ln>
                      <a:noFill/>
                    </a:ln>
                  </pic:spPr>
                </pic:pic>
              </a:graphicData>
            </a:graphic>
          </wp:inline>
        </w:drawing>
      </w:r>
    </w:p>
    <w:p>
      <w:pPr>
        <w:ind w:left="10180"/>
        <w:spacing w:after="0"/>
        <w:rPr>
          <w:sz w:val="20"/>
          <w:szCs w:val="20"/>
          <w:color w:val="auto"/>
        </w:rPr>
      </w:pPr>
      <w:r>
        <w:rPr>
          <w:rFonts w:ascii="Times New Roman" w:cs="Times New Roman" w:eastAsia="Times New Roman" w:hAnsi="Times New Roman"/>
          <w:sz w:val="19"/>
          <w:szCs w:val="19"/>
          <w:color w:val="auto"/>
        </w:rPr>
        <w:t>21</w:t>
      </w:r>
      <w:r>
        <w:rPr>
          <w:sz w:val="1"/>
          <w:szCs w:val="1"/>
          <w:color w:val="auto"/>
        </w:rPr>
        <w:drawing>
          <wp:inline distT="0" distB="0" distL="0" distR="0">
            <wp:extent cx="259080" cy="12382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9080" cy="123825"/>
                    </a:xfrm>
                    <a:prstGeom prst="rect">
                      <a:avLst/>
                    </a:prstGeom>
                    <a:noFill/>
                    <a:ln>
                      <a:noFill/>
                    </a:ln>
                  </pic:spPr>
                </pic:pic>
              </a:graphicData>
            </a:graphic>
          </wp:inline>
        </w:drawing>
      </w:r>
    </w:p>
    <w:p>
      <w:pPr>
        <w:spacing w:after="0" w:line="14" w:lineRule="exact"/>
        <w:rPr>
          <w:sz w:val="20"/>
          <w:szCs w:val="20"/>
          <w:color w:val="auto"/>
        </w:rPr>
      </w:pPr>
    </w:p>
    <w:p>
      <w:pPr>
        <w:ind w:left="10020"/>
        <w:spacing w:after="0"/>
        <w:rPr>
          <w:sz w:val="20"/>
          <w:szCs w:val="20"/>
          <w:color w:val="auto"/>
        </w:rPr>
      </w:pPr>
      <w:r>
        <w:rPr>
          <w:rFonts w:ascii="Times New Roman" w:cs="Times New Roman" w:eastAsia="Times New Roman" w:hAnsi="Times New Roman"/>
          <w:sz w:val="20"/>
          <w:szCs w:val="20"/>
          <w:color w:val="auto"/>
        </w:rPr>
        <w:t>(127)</w:t>
      </w:r>
    </w:p>
    <w:p>
      <w:pPr>
        <w:jc w:val="right"/>
        <w:spacing w:after="0"/>
        <w:rPr>
          <w:sz w:val="20"/>
          <w:szCs w:val="20"/>
          <w:color w:val="auto"/>
        </w:rPr>
      </w:pPr>
      <w:r>
        <w:rPr>
          <w:rFonts w:ascii="Times New Roman" w:cs="Times New Roman" w:eastAsia="Times New Roman" w:hAnsi="Times New Roman"/>
          <w:sz w:val="20"/>
          <w:szCs w:val="20"/>
          <w:color w:val="auto"/>
        </w:rPr>
        <w:t>557</w:t>
      </w:r>
      <w:r>
        <w:rPr>
          <w:sz w:val="1"/>
          <w:szCs w:val="1"/>
          <w:color w:val="auto"/>
        </w:rPr>
        <w:drawing>
          <wp:inline distT="0" distB="0" distL="0" distR="0">
            <wp:extent cx="284480" cy="15240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4480" cy="152400"/>
                    </a:xfrm>
                    <a:prstGeom prst="rect">
                      <a:avLst/>
                    </a:prstGeom>
                    <a:noFill/>
                    <a:ln>
                      <a:noFill/>
                    </a:ln>
                  </pic:spPr>
                </pic:pic>
              </a:graphicData>
            </a:graphic>
          </wp:inline>
        </w:drawing>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19. Deed of Cross Guarantee</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Company (as the parent entity of the AVITA Group) is party to a deed of cross guarantee dated June 29, 2020 (“</w:t>
      </w:r>
      <w:r>
        <w:rPr>
          <w:rFonts w:ascii="Times New Roman" w:cs="Times New Roman" w:eastAsia="Times New Roman" w:hAnsi="Times New Roman"/>
          <w:sz w:val="20"/>
          <w:szCs w:val="20"/>
          <w:b w:val="1"/>
          <w:bCs w:val="1"/>
          <w:color w:val="auto"/>
        </w:rPr>
        <w:t>Deed</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each of its Australian wholly-owned subsidiaries, namely:</w:t>
      </w:r>
    </w:p>
    <w:p>
      <w:pPr>
        <w:spacing w:after="0" w:line="120" w:lineRule="exact"/>
        <w:rPr>
          <w:sz w:val="20"/>
          <w:szCs w:val="20"/>
          <w:color w:val="auto"/>
        </w:rPr>
      </w:pPr>
    </w:p>
    <w:p>
      <w:pPr>
        <w:ind w:left="980" w:hanging="490"/>
        <w:spacing w:after="0"/>
        <w:tabs>
          <w:tab w:leader="none" w:pos="9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AVITA Medical Pty Ltd (ACN 058 466 523);</w:t>
      </w:r>
    </w:p>
    <w:p>
      <w:pPr>
        <w:spacing w:after="0" w:line="120" w:lineRule="exact"/>
        <w:rPr>
          <w:rFonts w:ascii="Times New Roman" w:cs="Times New Roman" w:eastAsia="Times New Roman" w:hAnsi="Times New Roman"/>
          <w:sz w:val="20"/>
          <w:szCs w:val="20"/>
          <w:color w:val="auto"/>
        </w:rPr>
      </w:pPr>
    </w:p>
    <w:p>
      <w:pPr>
        <w:ind w:left="980" w:hanging="490"/>
        <w:spacing w:after="0"/>
        <w:tabs>
          <w:tab w:leader="none" w:pos="9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C3 Operations Pty Ltd (ACN 090 161 505);</w:t>
      </w:r>
    </w:p>
    <w:p>
      <w:pPr>
        <w:spacing w:after="0" w:line="120" w:lineRule="exact"/>
        <w:rPr>
          <w:rFonts w:ascii="Times New Roman" w:cs="Times New Roman" w:eastAsia="Times New Roman" w:hAnsi="Times New Roman"/>
          <w:sz w:val="20"/>
          <w:szCs w:val="20"/>
          <w:color w:val="auto"/>
        </w:rPr>
      </w:pPr>
    </w:p>
    <w:p>
      <w:pPr>
        <w:ind w:left="980" w:hanging="490"/>
        <w:spacing w:after="0"/>
        <w:tabs>
          <w:tab w:leader="none" w:pos="9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Visiomed Group Pty Ltd (ACN 003 010 580); and</w:t>
      </w:r>
    </w:p>
    <w:p>
      <w:pPr>
        <w:spacing w:after="0" w:line="120" w:lineRule="exact"/>
        <w:rPr>
          <w:rFonts w:ascii="Times New Roman" w:cs="Times New Roman" w:eastAsia="Times New Roman" w:hAnsi="Times New Roman"/>
          <w:sz w:val="20"/>
          <w:szCs w:val="20"/>
          <w:color w:val="auto"/>
        </w:rPr>
      </w:pPr>
    </w:p>
    <w:p>
      <w:pPr>
        <w:ind w:left="980" w:hanging="490"/>
        <w:spacing w:after="0"/>
        <w:tabs>
          <w:tab w:leader="none" w:pos="98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Infamed Pty Limited (ACN 084 800 653),</w:t>
      </w:r>
    </w:p>
    <w:p>
      <w:pPr>
        <w:spacing w:after="0" w:line="2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(together, the “</w:t>
      </w:r>
      <w:r>
        <w:rPr>
          <w:rFonts w:ascii="Times New Roman" w:cs="Times New Roman" w:eastAsia="Times New Roman" w:hAnsi="Times New Roman"/>
          <w:sz w:val="20"/>
          <w:szCs w:val="20"/>
          <w:b w:val="1"/>
          <w:bCs w:val="1"/>
          <w:color w:val="auto"/>
        </w:rPr>
        <w:t>Australian Subsidiaries</w:t>
      </w:r>
      <w:r>
        <w:rPr>
          <w:rFonts w:ascii="Times New Roman" w:cs="Times New Roman" w:eastAsia="Times New Roman" w:hAnsi="Times New Roman"/>
          <w:sz w:val="20"/>
          <w:szCs w:val="20"/>
          <w:color w:val="auto"/>
        </w:rPr>
        <w:t>”).</w:t>
      </w:r>
    </w:p>
    <w:p>
      <w:pPr>
        <w:spacing w:after="0" w:line="241" w:lineRule="exact"/>
        <w:rPr>
          <w:sz w:val="20"/>
          <w:szCs w:val="20"/>
          <w:color w:val="auto"/>
        </w:rPr>
      </w:pPr>
    </w:p>
    <w:p>
      <w:pPr>
        <w:ind w:right="80" w:firstLine="490"/>
        <w:spacing w:after="0" w:line="253" w:lineRule="auto"/>
        <w:rPr>
          <w:sz w:val="20"/>
          <w:szCs w:val="20"/>
          <w:color w:val="auto"/>
        </w:rPr>
      </w:pPr>
      <w:r>
        <w:rPr>
          <w:rFonts w:ascii="Times New Roman" w:cs="Times New Roman" w:eastAsia="Times New Roman" w:hAnsi="Times New Roman"/>
          <w:sz w:val="20"/>
          <w:szCs w:val="20"/>
          <w:color w:val="auto"/>
        </w:rPr>
        <w:t>The Company and the Australian Subsidiaries were the only parties to the Deed at December 31, 2022 and comprise the “closed group” for the purposes of the Deed (and also the “extended closed group”). No parties were added to or removed from the Deed, or subject to a notice of disposal, during or since the financial year-ended December 31, 2022. Since December 31, 2022, there has been no change in ownership of any of the Australian Subsidiaries.</w:t>
      </w:r>
    </w:p>
    <w:p>
      <w:pPr>
        <w:spacing w:after="0" w:line="1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By entering into the Deed, the Company and the Australian Subsidiaries have guaranteed the debts of each other.</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Relief under ASIC Corporations (Wholly-owned Companies) Instrument 2016/785</w:t>
      </w:r>
    </w:p>
    <w:p>
      <w:pPr>
        <w:spacing w:after="0" w:line="116" w:lineRule="exact"/>
        <w:rPr>
          <w:sz w:val="20"/>
          <w:szCs w:val="20"/>
          <w:color w:val="auto"/>
        </w:rPr>
      </w:pPr>
    </w:p>
    <w:p>
      <w:pPr>
        <w:ind w:right="100" w:firstLine="490"/>
        <w:spacing w:after="0" w:line="260" w:lineRule="auto"/>
        <w:rPr>
          <w:sz w:val="20"/>
          <w:szCs w:val="20"/>
          <w:color w:val="auto"/>
        </w:rPr>
      </w:pPr>
      <w:r>
        <w:rPr>
          <w:rFonts w:ascii="Times New Roman" w:cs="Times New Roman" w:eastAsia="Times New Roman" w:hAnsi="Times New Roman"/>
          <w:sz w:val="20"/>
          <w:szCs w:val="20"/>
          <w:color w:val="auto"/>
        </w:rPr>
        <w:t xml:space="preserve">By entering into the Deed, the Australian Subsidiaries have been relieved from the requirement to prepare a financial report and directors’ report for the financial year-ended December 31, 2022 under </w:t>
      </w:r>
      <w:r>
        <w:rPr>
          <w:rFonts w:ascii="Times New Roman" w:cs="Times New Roman" w:eastAsia="Times New Roman" w:hAnsi="Times New Roman"/>
          <w:sz w:val="20"/>
          <w:szCs w:val="20"/>
          <w:i w:val="1"/>
          <w:iCs w:val="1"/>
          <w:color w:val="auto"/>
        </w:rPr>
        <w:t>ASIC Corporations (Wholly-owned Companies) Instrument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2‰16/785</w:t>
      </w:r>
      <w:r>
        <w:rPr>
          <w:rFonts w:ascii="Times New Roman" w:cs="Times New Roman" w:eastAsia="Times New Roman" w:hAnsi="Times New Roman"/>
          <w:sz w:val="20"/>
          <w:szCs w:val="20"/>
          <w:color w:val="auto"/>
        </w:rPr>
        <w:t>.</w:t>
      </w:r>
    </w:p>
    <w:p>
      <w:pPr>
        <w:sectPr>
          <w:pgSz w:w="11880" w:h="15480" w:orient="portrait"/>
          <w:cols w:equalWidth="0" w:num="1">
            <w:col w:w="10820"/>
          </w:cols>
          <w:pgMar w:left="540" w:top="1163" w:right="520" w:bottom="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F-35</w:t>
      </w:r>
    </w:p>
    <w:p>
      <w:pPr>
        <w:sectPr>
          <w:pgSz w:w="11880" w:h="15480" w:orient="portrait"/>
          <w:cols w:equalWidth="0" w:num="1">
            <w:col w:w="10820"/>
          </w:cols>
          <w:pgMar w:left="540" w:top="1163" w:right="520" w:bottom="5"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b w:val="1"/>
          <w:bCs w:val="1"/>
          <w:i w:val="1"/>
          <w:iCs w:val="1"/>
          <w:color w:val="auto"/>
        </w:rPr>
        <w:t>Consolidated financial information of parties to the Deed</w:t>
      </w:r>
    </w:p>
    <w:p>
      <w:pPr>
        <w:spacing w:after="0" w:line="119"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auto"/>
        </w:rPr>
        <w:t>The financial statements below are additional disclosure items specifically required by the Australian Securities and Investments Commission and represent the consolidated financial statements of the entities that are party to the Deed only (being the ‘closed group’ and also the ‘extended closed group’ under the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4980940</wp:posOffset>
            </wp:positionH>
            <wp:positionV relativeFrom="paragraph">
              <wp:posOffset>237490</wp:posOffset>
            </wp:positionV>
            <wp:extent cx="1548130"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48130" cy="37465"/>
                    </a:xfrm>
                    <a:prstGeom prst="rect">
                      <a:avLst/>
                    </a:prstGeom>
                    <a:noFill/>
                  </pic:spPr>
                </pic:pic>
              </a:graphicData>
            </a:graphic>
          </wp:anchor>
        </w:drawing>
      </w:r>
    </w:p>
    <w:p>
      <w:pPr>
        <w:spacing w:after="0" w:line="354" w:lineRule="exact"/>
        <w:rPr>
          <w:sz w:val="20"/>
          <w:szCs w:val="20"/>
          <w:color w:val="auto"/>
        </w:rPr>
      </w:pPr>
    </w:p>
    <w:tbl>
      <w:tblPr>
        <w:tblLayout w:type="fixed"/>
        <w:tblInd w:w="540" w:type="dxa"/>
        <w:tblCellMar>
          <w:top w:w="0" w:type="dxa"/>
          <w:left w:w="0" w:type="dxa"/>
          <w:bottom w:w="0" w:type="dxa"/>
          <w:right w:w="0" w:type="dxa"/>
        </w:tblCellMar>
      </w:tblPr>
      <w:tr>
        <w:trPr>
          <w:trHeight w:val="224"/>
        </w:trPr>
        <w:tc>
          <w:tcPr>
            <w:tcW w:w="461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80" w:type="dxa"/>
            <w:vAlign w:val="bottom"/>
            <w:tcBorders>
              <w:bottom w:val="single" w:sz="8" w:color="D5EEEE"/>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180" w:type="dxa"/>
            <w:vAlign w:val="bottom"/>
            <w:tcBorders>
              <w:top w:val="single" w:sz="8" w:color="auto"/>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610" w:type="dxa"/>
            <w:vAlign w:val="bottom"/>
            <w:tcBorders>
              <w:top w:val="single" w:sz="8" w:color="D5EEEE"/>
            </w:tcBorders>
            <w:shd w:val="clear" w:color="auto" w:fill="D5EEEE"/>
          </w:tcPr>
          <w:p>
            <w:pPr>
              <w:spacing w:after="0" w:line="212" w:lineRule="exact"/>
              <w:rPr>
                <w:sz w:val="20"/>
                <w:szCs w:val="20"/>
                <w:color w:val="auto"/>
              </w:rPr>
            </w:pPr>
            <w:r>
              <w:rPr>
                <w:rFonts w:ascii="Times New Roman" w:cs="Times New Roman" w:eastAsia="Times New Roman" w:hAnsi="Times New Roman"/>
                <w:sz w:val="20"/>
                <w:szCs w:val="20"/>
                <w:color w:val="auto"/>
              </w:rPr>
              <w:t>Revenues</w:t>
            </w:r>
          </w:p>
        </w:tc>
        <w:tc>
          <w:tcPr>
            <w:tcW w:w="190" w:type="dxa"/>
            <w:vAlign w:val="bottom"/>
            <w:tcBorders>
              <w:top w:val="single" w:sz="8" w:color="D5EEEE"/>
            </w:tcBorders>
            <w:shd w:val="clear" w:color="auto" w:fill="D5EEEE"/>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Borders>
              <w:top w:val="single" w:sz="8" w:color="D5EEEE"/>
            </w:tcBorders>
          </w:tcPr>
          <w:p>
            <w:pPr>
              <w:spacing w:after="0"/>
              <w:rPr>
                <w:sz w:val="18"/>
                <w:szCs w:val="18"/>
                <w:color w:val="auto"/>
              </w:rPr>
            </w:pPr>
          </w:p>
        </w:tc>
        <w:tc>
          <w:tcPr>
            <w:tcW w:w="100" w:type="dxa"/>
            <w:vAlign w:val="bottom"/>
            <w:tcBorders>
              <w:top w:val="single" w:sz="8" w:color="D5EEEE"/>
            </w:tcBorders>
            <w:shd w:val="clear" w:color="auto" w:fill="D5EEEE"/>
          </w:tcPr>
          <w:p>
            <w:pPr>
              <w:jc w:val="right"/>
              <w:spacing w:after="0" w:line="212" w:lineRule="exact"/>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20" w:type="dxa"/>
            <w:vAlign w:val="bottom"/>
            <w:tcBorders>
              <w:top w:val="single" w:sz="8" w:color="D5EEEE"/>
            </w:tcBorders>
          </w:tcPr>
          <w:p>
            <w:pPr>
              <w:spacing w:after="0"/>
              <w:rPr>
                <w:sz w:val="18"/>
                <w:szCs w:val="18"/>
                <w:color w:val="auto"/>
              </w:rPr>
            </w:pPr>
          </w:p>
        </w:tc>
        <w:tc>
          <w:tcPr>
            <w:tcW w:w="2180" w:type="dxa"/>
            <w:vAlign w:val="bottom"/>
            <w:tcBorders>
              <w:top w:val="single" w:sz="8" w:color="D5EEEE"/>
            </w:tcBorders>
            <w:shd w:val="clear" w:color="auto" w:fill="D5EEEE"/>
          </w:tcPr>
          <w:p>
            <w:pPr>
              <w:jc w:val="right"/>
              <w:spacing w:after="0" w:line="212" w:lineRule="exact"/>
              <w:rPr>
                <w:sz w:val="20"/>
                <w:szCs w:val="20"/>
                <w:color w:val="auto"/>
              </w:rPr>
            </w:pPr>
            <w:r>
              <w:rPr>
                <w:rFonts w:ascii="Times New Roman" w:cs="Times New Roman" w:eastAsia="Times New Roman" w:hAnsi="Times New Roman"/>
                <w:sz w:val="20"/>
                <w:szCs w:val="20"/>
                <w:color w:val="auto"/>
              </w:rPr>
              <w:t>568</w:t>
            </w:r>
          </w:p>
        </w:tc>
        <w:tc>
          <w:tcPr>
            <w:tcW w:w="40" w:type="dxa"/>
            <w:vAlign w:val="bottom"/>
            <w:tcBorders>
              <w:left w:val="single" w:sz="8" w:color="D5EEEE"/>
            </w:tcBorders>
          </w:tcPr>
          <w:p>
            <w:pPr>
              <w:spacing w:after="0"/>
              <w:rPr>
                <w:sz w:val="18"/>
                <w:szCs w:val="18"/>
                <w:color w:val="auto"/>
              </w:rPr>
            </w:pPr>
          </w:p>
        </w:tc>
        <w:tc>
          <w:tcPr>
            <w:tcW w:w="60" w:type="dxa"/>
            <w:vAlign w:val="bottom"/>
            <w:tcBorders>
              <w:top w:val="single" w:sz="8" w:color="D5EEEE"/>
            </w:tcBorders>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61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Cost of sales</w:t>
            </w:r>
          </w:p>
        </w:tc>
        <w:tc>
          <w:tcPr>
            <w:tcW w:w="190" w:type="dxa"/>
            <w:vAlign w:val="bottom"/>
            <w:tcBorders>
              <w:bottom w:val="single" w:sz="8" w:color="D5EEEE"/>
            </w:tcBorders>
          </w:tcPr>
          <w:p>
            <w:pPr>
              <w:spacing w:after="0"/>
              <w:rPr>
                <w:sz w:val="21"/>
                <w:szCs w:val="21"/>
                <w:color w:val="auto"/>
              </w:rPr>
            </w:pPr>
          </w:p>
        </w:tc>
        <w:tc>
          <w:tcPr>
            <w:tcW w:w="2340" w:type="dxa"/>
            <w:vAlign w:val="bottom"/>
          </w:tcPr>
          <w:p>
            <w:pPr>
              <w:spacing w:after="0"/>
              <w:rPr>
                <w:sz w:val="21"/>
                <w:szCs w:val="21"/>
                <w:color w:val="auto"/>
              </w:rPr>
            </w:pPr>
          </w:p>
        </w:tc>
        <w:tc>
          <w:tcPr>
            <w:tcW w:w="180" w:type="dxa"/>
            <w:vAlign w:val="bottom"/>
            <w:tcBorders>
              <w:bottom w:val="single" w:sz="8" w:color="D5EEEE"/>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(243</w:t>
            </w:r>
          </w:p>
        </w:tc>
        <w:tc>
          <w:tcPr>
            <w:tcW w:w="40" w:type="dxa"/>
            <w:vAlign w:val="bottom"/>
          </w:tcPr>
          <w:p>
            <w:pPr>
              <w:spacing w:after="0"/>
              <w:rPr>
                <w:sz w:val="21"/>
                <w:szCs w:val="21"/>
                <w:color w:val="auto"/>
              </w:rPr>
            </w:pPr>
          </w:p>
        </w:tc>
        <w:tc>
          <w:tcPr>
            <w:tcW w:w="6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0" w:type="dxa"/>
            <w:vAlign w:val="bottom"/>
          </w:tcPr>
          <w:p>
            <w:pPr>
              <w:spacing w:after="0"/>
              <w:rPr>
                <w:sz w:val="1"/>
                <w:szCs w:val="1"/>
                <w:color w:val="auto"/>
              </w:rPr>
            </w:pPr>
          </w:p>
        </w:tc>
      </w:tr>
      <w:tr>
        <w:trPr>
          <w:trHeight w:val="230"/>
        </w:trPr>
        <w:tc>
          <w:tcPr>
            <w:tcW w:w="4610" w:type="dxa"/>
            <w:vAlign w:val="bottom"/>
            <w:shd w:val="clear" w:color="auto" w:fill="D5EEEE"/>
          </w:tcPr>
          <w:p>
            <w:pPr>
              <w:spacing w:after="0"/>
              <w:rPr>
                <w:sz w:val="19"/>
                <w:szCs w:val="19"/>
                <w:color w:val="auto"/>
              </w:rPr>
            </w:pPr>
          </w:p>
        </w:tc>
        <w:tc>
          <w:tcPr>
            <w:tcW w:w="190" w:type="dxa"/>
            <w:vAlign w:val="bottom"/>
            <w:shd w:val="clear" w:color="auto" w:fill="D5EEEE"/>
          </w:tcPr>
          <w:p>
            <w:pPr>
              <w:spacing w:after="0"/>
              <w:rPr>
                <w:sz w:val="19"/>
                <w:szCs w:val="19"/>
                <w:color w:val="auto"/>
              </w:rPr>
            </w:pPr>
          </w:p>
        </w:tc>
        <w:tc>
          <w:tcPr>
            <w:tcW w:w="2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325</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1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2520" w:type="dxa"/>
            <w:vAlign w:val="bottom"/>
            <w:gridSpan w:val="2"/>
            <w:vMerge w:val="restart"/>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218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10" w:type="dxa"/>
            <w:vAlign w:val="bottom"/>
            <w:vMerge w:val="restart"/>
            <w:shd w:val="clear" w:color="auto" w:fill="D5EEEE"/>
          </w:tcPr>
          <w:p>
            <w:pPr>
              <w:spacing w:after="0"/>
              <w:rPr>
                <w:sz w:val="20"/>
                <w:szCs w:val="20"/>
                <w:color w:val="auto"/>
              </w:rPr>
            </w:pPr>
            <w:r>
              <w:rPr>
                <w:rFonts w:ascii="Times New Roman" w:cs="Times New Roman" w:eastAsia="Times New Roman" w:hAnsi="Times New Roman"/>
                <w:sz w:val="20"/>
                <w:szCs w:val="20"/>
                <w:color w:val="auto"/>
              </w:rPr>
              <w:t>Sales and marketing expenses</w:t>
            </w:r>
          </w:p>
        </w:tc>
        <w:tc>
          <w:tcPr>
            <w:tcW w:w="190" w:type="dxa"/>
            <w:vAlign w:val="bottom"/>
            <w:vMerge w:val="restart"/>
            <w:shd w:val="clear" w:color="auto" w:fill="D5EEEE"/>
          </w:tcPr>
          <w:p>
            <w:pPr>
              <w:spacing w:after="0" w:line="20" w:lineRule="exact"/>
              <w:rPr>
                <w:sz w:val="1"/>
                <w:szCs w:val="1"/>
                <w:color w:val="auto"/>
              </w:rPr>
            </w:pPr>
          </w:p>
        </w:tc>
        <w:tc>
          <w:tcPr>
            <w:tcW w:w="25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1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60" w:type="dxa"/>
            <w:vAlign w:val="bottom"/>
            <w:vMerge w:val="restart"/>
            <w:shd w:val="clear" w:color="auto" w:fill="D5EEEE"/>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D5EEEE"/>
              </w:rPr>
              <w:t>)</w:t>
            </w:r>
          </w:p>
        </w:tc>
        <w:tc>
          <w:tcPr>
            <w:tcW w:w="0" w:type="dxa"/>
            <w:vAlign w:val="bottom"/>
          </w:tcPr>
          <w:p>
            <w:pPr>
              <w:spacing w:after="0" w:line="20" w:lineRule="exact"/>
              <w:rPr>
                <w:sz w:val="1"/>
                <w:szCs w:val="1"/>
                <w:color w:val="auto"/>
              </w:rPr>
            </w:pPr>
          </w:p>
        </w:tc>
      </w:tr>
      <w:tr>
        <w:trPr>
          <w:trHeight w:val="225"/>
        </w:trPr>
        <w:tc>
          <w:tcPr>
            <w:tcW w:w="4610" w:type="dxa"/>
            <w:vAlign w:val="bottom"/>
            <w:vMerge w:val="continue"/>
            <w:shd w:val="clear" w:color="auto" w:fill="D5EEEE"/>
          </w:tcPr>
          <w:p>
            <w:pPr>
              <w:spacing w:after="0"/>
              <w:rPr>
                <w:sz w:val="19"/>
                <w:szCs w:val="19"/>
                <w:color w:val="auto"/>
              </w:rPr>
            </w:pPr>
          </w:p>
        </w:tc>
        <w:tc>
          <w:tcPr>
            <w:tcW w:w="190" w:type="dxa"/>
            <w:vAlign w:val="bottom"/>
            <w:vMerge w:val="continue"/>
            <w:shd w:val="clear" w:color="auto" w:fill="D5EEEE"/>
          </w:tcPr>
          <w:p>
            <w:pPr>
              <w:spacing w:after="0"/>
              <w:rPr>
                <w:sz w:val="19"/>
                <w:szCs w:val="19"/>
                <w:color w:val="auto"/>
              </w:rPr>
            </w:pPr>
          </w:p>
        </w:tc>
        <w:tc>
          <w:tcPr>
            <w:tcW w:w="2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218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(231</w:t>
            </w:r>
          </w:p>
        </w:tc>
        <w:tc>
          <w:tcPr>
            <w:tcW w:w="40" w:type="dxa"/>
            <w:vAlign w:val="bottom"/>
            <w:vMerge w:val="continue"/>
          </w:tcPr>
          <w:p>
            <w:pPr>
              <w:spacing w:after="0"/>
              <w:rPr>
                <w:sz w:val="19"/>
                <w:szCs w:val="19"/>
                <w:color w:val="auto"/>
              </w:rPr>
            </w:pPr>
          </w:p>
        </w:tc>
        <w:tc>
          <w:tcPr>
            <w:tcW w:w="60" w:type="dxa"/>
            <w:vAlign w:val="bottom"/>
            <w:vMerge w:val="continue"/>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61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 expenses</w:t>
            </w:r>
          </w:p>
        </w:tc>
        <w:tc>
          <w:tcPr>
            <w:tcW w:w="19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4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0" w:type="dxa"/>
            <w:vAlign w:val="bottom"/>
          </w:tcPr>
          <w:p>
            <w:pPr>
              <w:spacing w:after="0"/>
              <w:rPr>
                <w:sz w:val="1"/>
                <w:szCs w:val="1"/>
                <w:color w:val="auto"/>
              </w:rPr>
            </w:pPr>
          </w:p>
        </w:tc>
      </w:tr>
      <w:tr>
        <w:trPr>
          <w:trHeight w:val="245"/>
        </w:trPr>
        <w:tc>
          <w:tcPr>
            <w:tcW w:w="461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Product development expense</w:t>
            </w:r>
          </w:p>
        </w:tc>
        <w:tc>
          <w:tcPr>
            <w:tcW w:w="190" w:type="dxa"/>
            <w:vAlign w:val="bottom"/>
            <w:shd w:val="clear" w:color="auto" w:fill="D5EEEE"/>
          </w:tcPr>
          <w:p>
            <w:pPr>
              <w:spacing w:after="0"/>
              <w:rPr>
                <w:sz w:val="21"/>
                <w:szCs w:val="21"/>
                <w:color w:val="auto"/>
              </w:rPr>
            </w:pPr>
          </w:p>
        </w:tc>
        <w:tc>
          <w:tcPr>
            <w:tcW w:w="2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31"/>
        </w:trPr>
        <w:tc>
          <w:tcPr>
            <w:tcW w:w="4610" w:type="dxa"/>
            <w:vAlign w:val="bottom"/>
            <w:tcBorders>
              <w:top w:val="single" w:sz="8" w:color="D5EEEE"/>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Total operating expenses</w:t>
            </w:r>
          </w:p>
        </w:tc>
        <w:tc>
          <w:tcPr>
            <w:tcW w:w="190" w:type="dxa"/>
            <w:vAlign w:val="bottom"/>
            <w:tcBorders>
              <w:top w:val="single" w:sz="8" w:color="D5EEEE"/>
              <w:bottom w:val="single" w:sz="8" w:color="D5EEEE"/>
            </w:tcBorders>
          </w:tcPr>
          <w:p>
            <w:pPr>
              <w:spacing w:after="0"/>
              <w:rPr>
                <w:sz w:val="20"/>
                <w:szCs w:val="20"/>
                <w:color w:val="auto"/>
              </w:rPr>
            </w:pPr>
          </w:p>
        </w:tc>
        <w:tc>
          <w:tcPr>
            <w:tcW w:w="2340" w:type="dxa"/>
            <w:vAlign w:val="bottom"/>
          </w:tcPr>
          <w:p>
            <w:pPr>
              <w:spacing w:after="0"/>
              <w:rPr>
                <w:sz w:val="20"/>
                <w:szCs w:val="20"/>
                <w:color w:val="auto"/>
              </w:rPr>
            </w:pPr>
          </w:p>
        </w:tc>
        <w:tc>
          <w:tcPr>
            <w:tcW w:w="180" w:type="dxa"/>
            <w:vAlign w:val="bottom"/>
            <w:tcBorders>
              <w:bottom w:val="single" w:sz="8" w:color="D5EEEE"/>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(254</w:t>
            </w:r>
          </w:p>
        </w:tc>
        <w:tc>
          <w:tcPr>
            <w:tcW w:w="40" w:type="dxa"/>
            <w:vAlign w:val="bottom"/>
          </w:tcPr>
          <w:p>
            <w:pPr>
              <w:spacing w:after="0"/>
              <w:rPr>
                <w:sz w:val="20"/>
                <w:szCs w:val="20"/>
                <w:color w:val="auto"/>
              </w:rPr>
            </w:pPr>
          </w:p>
        </w:tc>
        <w:tc>
          <w:tcPr>
            <w:tcW w:w="6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0" w:type="dxa"/>
            <w:vAlign w:val="bottom"/>
          </w:tcPr>
          <w:p>
            <w:pPr>
              <w:spacing w:after="0"/>
              <w:rPr>
                <w:sz w:val="1"/>
                <w:szCs w:val="1"/>
                <w:color w:val="auto"/>
              </w:rPr>
            </w:pPr>
          </w:p>
        </w:tc>
      </w:tr>
      <w:tr>
        <w:trPr>
          <w:trHeight w:val="228"/>
        </w:trPr>
        <w:tc>
          <w:tcPr>
            <w:tcW w:w="4610" w:type="dxa"/>
            <w:vAlign w:val="bottom"/>
            <w:shd w:val="clear" w:color="auto" w:fill="D5EEEE"/>
          </w:tcPr>
          <w:p>
            <w:pPr>
              <w:spacing w:after="0"/>
              <w:rPr>
                <w:sz w:val="19"/>
                <w:szCs w:val="19"/>
                <w:color w:val="auto"/>
              </w:rPr>
            </w:pPr>
          </w:p>
        </w:tc>
        <w:tc>
          <w:tcPr>
            <w:tcW w:w="190" w:type="dxa"/>
            <w:vAlign w:val="bottom"/>
            <w:shd w:val="clear" w:color="auto" w:fill="D5EEEE"/>
          </w:tcPr>
          <w:p>
            <w:pPr>
              <w:spacing w:after="0"/>
              <w:rPr>
                <w:sz w:val="19"/>
                <w:szCs w:val="19"/>
                <w:color w:val="auto"/>
              </w:rPr>
            </w:pPr>
          </w:p>
        </w:tc>
        <w:tc>
          <w:tcPr>
            <w:tcW w:w="2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shd w:val="clear" w:color="auto" w:fill="D5EEEE"/>
          </w:tcPr>
          <w:p>
            <w:pPr>
              <w:jc w:val="right"/>
              <w:spacing w:after="0" w:line="228" w:lineRule="exact"/>
              <w:rPr>
                <w:sz w:val="20"/>
                <w:szCs w:val="20"/>
                <w:color w:val="auto"/>
              </w:rPr>
            </w:pPr>
            <w:r>
              <w:rPr>
                <w:rFonts w:ascii="Times New Roman" w:cs="Times New Roman" w:eastAsia="Times New Roman" w:hAnsi="Times New Roman"/>
                <w:sz w:val="20"/>
                <w:szCs w:val="20"/>
                <w:color w:val="auto"/>
              </w:rPr>
              <w:t>1</w:t>
            </w:r>
          </w:p>
        </w:tc>
        <w:tc>
          <w:tcPr>
            <w:tcW w:w="40" w:type="dxa"/>
            <w:vAlign w:val="bottom"/>
          </w:tcPr>
          <w:p>
            <w:pPr>
              <w:spacing w:after="0"/>
              <w:rPr>
                <w:sz w:val="19"/>
                <w:szCs w:val="19"/>
                <w:color w:val="auto"/>
              </w:rPr>
            </w:pPr>
          </w:p>
        </w:tc>
        <w:tc>
          <w:tcPr>
            <w:tcW w:w="6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610" w:type="dxa"/>
            <w:vAlign w:val="bottom"/>
          </w:tcPr>
          <w:p>
            <w:pPr>
              <w:spacing w:after="0"/>
              <w:rPr>
                <w:sz w:val="20"/>
                <w:szCs w:val="20"/>
                <w:color w:val="auto"/>
              </w:rPr>
            </w:pPr>
          </w:p>
        </w:tc>
        <w:tc>
          <w:tcPr>
            <w:tcW w:w="19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2"/>
        </w:trPr>
        <w:tc>
          <w:tcPr>
            <w:tcW w:w="4610" w:type="dxa"/>
            <w:vAlign w:val="bottom"/>
          </w:tcPr>
          <w:p>
            <w:pPr>
              <w:spacing w:after="0"/>
              <w:rPr>
                <w:sz w:val="24"/>
                <w:szCs w:val="24"/>
                <w:color w:val="auto"/>
              </w:rPr>
            </w:pPr>
          </w:p>
        </w:tc>
        <w:tc>
          <w:tcPr>
            <w:tcW w:w="19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3"/>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230"/>
        </w:trPr>
        <w:tc>
          <w:tcPr>
            <w:tcW w:w="4610" w:type="dxa"/>
            <w:vAlign w:val="bottom"/>
            <w:tcBorders>
              <w:top w:val="single" w:sz="8" w:color="D5EEEE"/>
            </w:tcBorders>
            <w:shd w:val="clear" w:color="auto" w:fill="D5EEEE"/>
          </w:tcPr>
          <w:p>
            <w:pPr>
              <w:spacing w:after="0"/>
              <w:rPr>
                <w:sz w:val="19"/>
                <w:szCs w:val="19"/>
                <w:color w:val="auto"/>
              </w:rPr>
            </w:pPr>
          </w:p>
        </w:tc>
        <w:tc>
          <w:tcPr>
            <w:tcW w:w="190" w:type="dxa"/>
            <w:vAlign w:val="bottom"/>
            <w:tcBorders>
              <w:top w:val="single" w:sz="8" w:color="D5EEEE"/>
            </w:tcBorders>
            <w:shd w:val="clear" w:color="auto" w:fill="D5EEEE"/>
          </w:tcPr>
          <w:p>
            <w:pPr>
              <w:spacing w:after="0"/>
              <w:rPr>
                <w:sz w:val="19"/>
                <w:szCs w:val="19"/>
                <w:color w:val="auto"/>
              </w:rPr>
            </w:pPr>
          </w:p>
        </w:tc>
        <w:tc>
          <w:tcPr>
            <w:tcW w:w="2340" w:type="dxa"/>
            <w:vAlign w:val="bottom"/>
          </w:tcPr>
          <w:p>
            <w:pPr>
              <w:spacing w:after="0"/>
              <w:rPr>
                <w:sz w:val="19"/>
                <w:szCs w:val="19"/>
                <w:color w:val="auto"/>
              </w:rPr>
            </w:pPr>
          </w:p>
        </w:tc>
        <w:tc>
          <w:tcPr>
            <w:tcW w:w="180" w:type="dxa"/>
            <w:vAlign w:val="bottom"/>
            <w:tcBorders>
              <w:top w:val="single" w:sz="8" w:color="D5EEEE"/>
            </w:tcBorders>
          </w:tcPr>
          <w:p>
            <w:pPr>
              <w:spacing w:after="0"/>
              <w:rPr>
                <w:sz w:val="19"/>
                <w:szCs w:val="19"/>
                <w:color w:val="auto"/>
              </w:rPr>
            </w:pPr>
          </w:p>
        </w:tc>
        <w:tc>
          <w:tcPr>
            <w:tcW w:w="100" w:type="dxa"/>
            <w:vAlign w:val="bottom"/>
            <w:tcBorders>
              <w:top w:val="single" w:sz="8" w:color="auto"/>
            </w:tcBorders>
            <w:vMerge w:val="restart"/>
          </w:tcPr>
          <w:p>
            <w:pPr>
              <w:spacing w:after="0"/>
              <w:rPr>
                <w:sz w:val="19"/>
                <w:szCs w:val="19"/>
                <w:color w:val="auto"/>
              </w:rPr>
            </w:pPr>
          </w:p>
        </w:tc>
        <w:tc>
          <w:tcPr>
            <w:tcW w:w="20" w:type="dxa"/>
            <w:vAlign w:val="bottom"/>
            <w:tcBorders>
              <w:top w:val="single" w:sz="8" w:color="auto"/>
            </w:tcBorders>
            <w:vMerge w:val="restart"/>
          </w:tcPr>
          <w:p>
            <w:pPr>
              <w:spacing w:after="0"/>
              <w:rPr>
                <w:sz w:val="19"/>
                <w:szCs w:val="19"/>
                <w:color w:val="auto"/>
              </w:rPr>
            </w:pPr>
          </w:p>
        </w:tc>
        <w:tc>
          <w:tcPr>
            <w:tcW w:w="21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10" w:type="dxa"/>
            <w:vAlign w:val="bottom"/>
          </w:tcPr>
          <w:p>
            <w:pPr>
              <w:spacing w:after="0" w:line="20" w:lineRule="exact"/>
              <w:rPr>
                <w:sz w:val="1"/>
                <w:szCs w:val="1"/>
                <w:color w:val="auto"/>
              </w:rPr>
            </w:pPr>
          </w:p>
        </w:tc>
        <w:tc>
          <w:tcPr>
            <w:tcW w:w="19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337</w:t>
            </w: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610" w:type="dxa"/>
            <w:vAlign w:val="bottom"/>
            <w:tcBorders>
              <w:bottom w:val="single" w:sz="8" w:color="D5EEEE"/>
            </w:tcBorders>
          </w:tcPr>
          <w:p>
            <w:pPr>
              <w:spacing w:after="0"/>
              <w:rPr>
                <w:sz w:val="19"/>
                <w:szCs w:val="19"/>
                <w:color w:val="auto"/>
              </w:rPr>
            </w:pPr>
          </w:p>
        </w:tc>
        <w:tc>
          <w:tcPr>
            <w:tcW w:w="190" w:type="dxa"/>
            <w:vAlign w:val="bottom"/>
            <w:tcBorders>
              <w:bottom w:val="single" w:sz="8" w:color="D5EEEE"/>
            </w:tcBorders>
          </w:tcPr>
          <w:p>
            <w:pPr>
              <w:spacing w:after="0"/>
              <w:rPr>
                <w:sz w:val="19"/>
                <w:szCs w:val="19"/>
                <w:color w:val="auto"/>
              </w:rPr>
            </w:pPr>
          </w:p>
        </w:tc>
        <w:tc>
          <w:tcPr>
            <w:tcW w:w="2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vMerge w:val="continue"/>
          </w:tcPr>
          <w:p>
            <w:pPr>
              <w:spacing w:after="0"/>
              <w:rPr>
                <w:sz w:val="19"/>
                <w:szCs w:val="19"/>
                <w:color w:val="auto"/>
              </w:rPr>
            </w:pPr>
          </w:p>
        </w:tc>
        <w:tc>
          <w:tcPr>
            <w:tcW w:w="21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610" w:type="dxa"/>
            <w:vAlign w:val="bottom"/>
            <w:shd w:val="clear" w:color="auto" w:fill="D5EEEE"/>
          </w:tcPr>
          <w:p>
            <w:pPr>
              <w:spacing w:after="0"/>
              <w:rPr>
                <w:sz w:val="21"/>
                <w:szCs w:val="21"/>
                <w:color w:val="auto"/>
              </w:rPr>
            </w:pPr>
          </w:p>
        </w:tc>
        <w:tc>
          <w:tcPr>
            <w:tcW w:w="190" w:type="dxa"/>
            <w:vAlign w:val="bottom"/>
            <w:shd w:val="clear" w:color="auto" w:fill="D5EEEE"/>
          </w:tcPr>
          <w:p>
            <w:pPr>
              <w:spacing w:after="0"/>
              <w:rPr>
                <w:sz w:val="21"/>
                <w:szCs w:val="21"/>
                <w:color w:val="auto"/>
              </w:rPr>
            </w:pPr>
          </w:p>
        </w:tc>
        <w:tc>
          <w:tcPr>
            <w:tcW w:w="2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40" w:type="dxa"/>
            <w:vAlign w:val="bottom"/>
          </w:tcPr>
          <w:p>
            <w:pPr>
              <w:spacing w:after="0"/>
              <w:rPr>
                <w:sz w:val="21"/>
                <w:szCs w:val="21"/>
                <w:color w:val="auto"/>
              </w:rPr>
            </w:pPr>
          </w:p>
        </w:tc>
        <w:tc>
          <w:tcPr>
            <w:tcW w:w="6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61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1,440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610" w:type="dxa"/>
            <w:vAlign w:val="bottom"/>
            <w:shd w:val="clear" w:color="auto" w:fill="D5EEEE"/>
          </w:tcPr>
          <w:p>
            <w:pPr>
              <w:spacing w:after="0"/>
              <w:rPr>
                <w:sz w:val="21"/>
                <w:szCs w:val="21"/>
                <w:color w:val="auto"/>
              </w:rPr>
            </w:pPr>
          </w:p>
        </w:tc>
        <w:tc>
          <w:tcPr>
            <w:tcW w:w="190" w:type="dxa"/>
            <w:vAlign w:val="bottom"/>
            <w:shd w:val="clear" w:color="auto" w:fill="D5EEEE"/>
          </w:tcPr>
          <w:p>
            <w:pPr>
              <w:spacing w:after="0"/>
              <w:rPr>
                <w:sz w:val="21"/>
                <w:szCs w:val="21"/>
                <w:color w:val="auto"/>
              </w:rPr>
            </w:pPr>
          </w:p>
        </w:tc>
        <w:tc>
          <w:tcPr>
            <w:tcW w:w="2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40" w:type="dxa"/>
            <w:vAlign w:val="bottom"/>
          </w:tcPr>
          <w:p>
            <w:pPr>
              <w:spacing w:after="0"/>
              <w:rPr>
                <w:sz w:val="21"/>
                <w:szCs w:val="21"/>
                <w:color w:val="auto"/>
              </w:rPr>
            </w:pPr>
          </w:p>
        </w:tc>
        <w:tc>
          <w:tcPr>
            <w:tcW w:w="6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610" w:type="dxa"/>
            <w:vAlign w:val="bottom"/>
            <w:tcBorders>
              <w:bottom w:val="single" w:sz="8" w:color="D5EEEE"/>
            </w:tcBorders>
          </w:tcPr>
          <w:p>
            <w:pPr>
              <w:spacing w:after="0"/>
              <w:rPr>
                <w:sz w:val="20"/>
                <w:szCs w:val="20"/>
                <w:color w:val="auto"/>
              </w:rPr>
            </w:pPr>
          </w:p>
        </w:tc>
        <w:tc>
          <w:tcPr>
            <w:tcW w:w="190" w:type="dxa"/>
            <w:vAlign w:val="bottom"/>
            <w:tcBorders>
              <w:bottom w:val="single" w:sz="8" w:color="D5EEEE"/>
            </w:tcBorders>
          </w:tcPr>
          <w:p>
            <w:pPr>
              <w:spacing w:after="0"/>
              <w:rPr>
                <w:sz w:val="20"/>
                <w:szCs w:val="20"/>
                <w:color w:val="auto"/>
              </w:rPr>
            </w:pPr>
          </w:p>
        </w:tc>
        <w:tc>
          <w:tcPr>
            <w:tcW w:w="2340" w:type="dxa"/>
            <w:vAlign w:val="bottom"/>
          </w:tcPr>
          <w:p>
            <w:pPr>
              <w:spacing w:after="0"/>
              <w:rPr>
                <w:sz w:val="20"/>
                <w:szCs w:val="20"/>
                <w:color w:val="auto"/>
              </w:rPr>
            </w:pPr>
          </w:p>
        </w:tc>
        <w:tc>
          <w:tcPr>
            <w:tcW w:w="180" w:type="dxa"/>
            <w:vAlign w:val="bottom"/>
            <w:tcBorders>
              <w:bottom w:val="single" w:sz="8" w:color="D5EEEE"/>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10" w:type="dxa"/>
            <w:vAlign w:val="bottom"/>
            <w:shd w:val="clear" w:color="auto" w:fill="D5EEEE"/>
          </w:tcPr>
          <w:p>
            <w:pPr>
              <w:spacing w:after="0"/>
              <w:rPr>
                <w:sz w:val="19"/>
                <w:szCs w:val="19"/>
                <w:color w:val="auto"/>
              </w:rPr>
            </w:pPr>
          </w:p>
        </w:tc>
        <w:tc>
          <w:tcPr>
            <w:tcW w:w="190" w:type="dxa"/>
            <w:vAlign w:val="bottom"/>
            <w:shd w:val="clear" w:color="auto" w:fill="D5EEEE"/>
          </w:tcPr>
          <w:p>
            <w:pPr>
              <w:spacing w:after="0"/>
              <w:rPr>
                <w:sz w:val="19"/>
                <w:szCs w:val="19"/>
                <w:color w:val="auto"/>
              </w:rPr>
            </w:pPr>
          </w:p>
        </w:tc>
        <w:tc>
          <w:tcPr>
            <w:tcW w:w="2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2180" w:type="dxa"/>
            <w:vAlign w:val="bottom"/>
            <w:vMerge w:val="restart"/>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10" w:type="dxa"/>
            <w:vAlign w:val="bottom"/>
          </w:tcPr>
          <w:p>
            <w:pPr>
              <w:spacing w:after="0" w:line="20" w:lineRule="exact"/>
              <w:rPr>
                <w:sz w:val="1"/>
                <w:szCs w:val="1"/>
                <w:color w:val="auto"/>
              </w:rPr>
            </w:pPr>
          </w:p>
        </w:tc>
        <w:tc>
          <w:tcPr>
            <w:tcW w:w="19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61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218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4610" w:type="dxa"/>
            <w:vAlign w:val="bottom"/>
            <w:shd w:val="clear" w:color="auto" w:fill="D5EEEE"/>
          </w:tcPr>
          <w:p>
            <w:pPr>
              <w:spacing w:after="0"/>
              <w:rPr>
                <w:sz w:val="22"/>
                <w:szCs w:val="22"/>
                <w:color w:val="auto"/>
              </w:rPr>
            </w:pPr>
          </w:p>
        </w:tc>
        <w:tc>
          <w:tcPr>
            <w:tcW w:w="190" w:type="dxa"/>
            <w:vAlign w:val="bottom"/>
            <w:shd w:val="clear" w:color="auto" w:fill="D5EEEE"/>
          </w:tcPr>
          <w:p>
            <w:pPr>
              <w:spacing w:after="0"/>
              <w:rPr>
                <w:sz w:val="22"/>
                <w:szCs w:val="22"/>
                <w:color w:val="auto"/>
              </w:rPr>
            </w:pPr>
          </w:p>
        </w:tc>
        <w:tc>
          <w:tcPr>
            <w:tcW w:w="2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40" w:type="dxa"/>
            <w:vAlign w:val="bottom"/>
          </w:tcPr>
          <w:p>
            <w:pPr>
              <w:spacing w:after="0"/>
              <w:rPr>
                <w:sz w:val="22"/>
                <w:szCs w:val="22"/>
                <w:color w:val="auto"/>
              </w:rPr>
            </w:pPr>
          </w:p>
        </w:tc>
        <w:tc>
          <w:tcPr>
            <w:tcW w:w="60" w:type="dxa"/>
            <w:vAlign w:val="bottom"/>
            <w:shd w:val="clear" w:color="auto" w:fill="D5EEE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610" w:type="dxa"/>
            <w:vAlign w:val="bottom"/>
            <w:tcBorders>
              <w:bottom w:val="single" w:sz="8" w:color="D5EEEE"/>
            </w:tcBorders>
          </w:tcPr>
          <w:p>
            <w:pPr>
              <w:spacing w:after="0"/>
              <w:rPr>
                <w:sz w:val="20"/>
                <w:szCs w:val="20"/>
                <w:color w:val="auto"/>
              </w:rPr>
            </w:pPr>
          </w:p>
        </w:tc>
        <w:tc>
          <w:tcPr>
            <w:tcW w:w="190" w:type="dxa"/>
            <w:vAlign w:val="bottom"/>
            <w:tcBorders>
              <w:bottom w:val="single" w:sz="8" w:color="D5EEEE"/>
            </w:tcBorders>
          </w:tcPr>
          <w:p>
            <w:pPr>
              <w:spacing w:after="0"/>
              <w:rPr>
                <w:sz w:val="20"/>
                <w:szCs w:val="20"/>
                <w:color w:val="auto"/>
              </w:rPr>
            </w:pPr>
          </w:p>
        </w:tc>
        <w:tc>
          <w:tcPr>
            <w:tcW w:w="2340" w:type="dxa"/>
            <w:vAlign w:val="bottom"/>
          </w:tcPr>
          <w:p>
            <w:pPr>
              <w:spacing w:after="0"/>
              <w:rPr>
                <w:sz w:val="20"/>
                <w:szCs w:val="20"/>
                <w:color w:val="auto"/>
              </w:rPr>
            </w:pPr>
          </w:p>
        </w:tc>
        <w:tc>
          <w:tcPr>
            <w:tcW w:w="180" w:type="dxa"/>
            <w:vAlign w:val="bottom"/>
            <w:tcBorders>
              <w:bottom w:val="single" w:sz="8" w:color="D5EEEE"/>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1,728</w:t>
            </w:r>
          </w:p>
        </w:tc>
        <w:tc>
          <w:tcPr>
            <w:tcW w:w="40" w:type="dxa"/>
            <w:vAlign w:val="bottom"/>
          </w:tcPr>
          <w:p>
            <w:pPr>
              <w:spacing w:after="0"/>
              <w:rPr>
                <w:sz w:val="20"/>
                <w:szCs w:val="20"/>
                <w:color w:val="auto"/>
              </w:rPr>
            </w:pPr>
          </w:p>
        </w:tc>
        <w:tc>
          <w:tcPr>
            <w:tcW w:w="60" w:type="dxa"/>
            <w:vAlign w:val="bottom"/>
            <w:tcBorders>
              <w:bottom w:val="single" w:sz="8" w:color="D5EEEE"/>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10" w:type="dxa"/>
            <w:vAlign w:val="bottom"/>
            <w:shd w:val="clear" w:color="auto" w:fill="D5EEEE"/>
          </w:tcPr>
          <w:p>
            <w:pPr>
              <w:spacing w:after="0"/>
              <w:rPr>
                <w:sz w:val="19"/>
                <w:szCs w:val="19"/>
                <w:color w:val="auto"/>
              </w:rPr>
            </w:pPr>
          </w:p>
        </w:tc>
        <w:tc>
          <w:tcPr>
            <w:tcW w:w="190" w:type="dxa"/>
            <w:vAlign w:val="bottom"/>
            <w:shd w:val="clear" w:color="auto" w:fill="D5EEEE"/>
          </w:tcPr>
          <w:p>
            <w:pPr>
              <w:spacing w:after="0"/>
              <w:rPr>
                <w:sz w:val="19"/>
                <w:szCs w:val="19"/>
                <w:color w:val="auto"/>
              </w:rPr>
            </w:pPr>
          </w:p>
        </w:tc>
        <w:tc>
          <w:tcPr>
            <w:tcW w:w="2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1,810</w:t>
            </w:r>
          </w:p>
        </w:tc>
        <w:tc>
          <w:tcPr>
            <w:tcW w:w="40" w:type="dxa"/>
            <w:vAlign w:val="bottom"/>
          </w:tcPr>
          <w:p>
            <w:pPr>
              <w:spacing w:after="0"/>
              <w:rPr>
                <w:sz w:val="19"/>
                <w:szCs w:val="19"/>
                <w:color w:val="auto"/>
              </w:rPr>
            </w:pPr>
          </w:p>
        </w:tc>
        <w:tc>
          <w:tcPr>
            <w:tcW w:w="6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1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232,747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610" w:type="dxa"/>
            <w:vAlign w:val="bottom"/>
            <w:shd w:val="clear" w:color="auto" w:fill="D5EEEE"/>
          </w:tcPr>
          <w:p>
            <w:pPr>
              <w:spacing w:after="0"/>
              <w:rPr>
                <w:sz w:val="21"/>
                <w:szCs w:val="21"/>
                <w:color w:val="auto"/>
              </w:rPr>
            </w:pPr>
          </w:p>
        </w:tc>
        <w:tc>
          <w:tcPr>
            <w:tcW w:w="190" w:type="dxa"/>
            <w:vAlign w:val="bottom"/>
            <w:shd w:val="clear" w:color="auto" w:fill="D5EEEE"/>
          </w:tcPr>
          <w:p>
            <w:pPr>
              <w:spacing w:after="0"/>
              <w:rPr>
                <w:sz w:val="21"/>
                <w:szCs w:val="21"/>
                <w:color w:val="auto"/>
              </w:rPr>
            </w:pPr>
          </w:p>
        </w:tc>
        <w:tc>
          <w:tcPr>
            <w:tcW w:w="2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31,476</w:t>
            </w:r>
          </w:p>
        </w:tc>
        <w:tc>
          <w:tcPr>
            <w:tcW w:w="40" w:type="dxa"/>
            <w:vAlign w:val="bottom"/>
          </w:tcPr>
          <w:p>
            <w:pPr>
              <w:spacing w:after="0"/>
              <w:rPr>
                <w:sz w:val="21"/>
                <w:szCs w:val="21"/>
                <w:color w:val="auto"/>
              </w:rPr>
            </w:pPr>
          </w:p>
        </w:tc>
        <w:tc>
          <w:tcPr>
            <w:tcW w:w="6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61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Accumulated deficit</w:t>
            </w:r>
          </w:p>
        </w:tc>
        <w:tc>
          <w:tcPr>
            <w:tcW w:w="190" w:type="dxa"/>
            <w:vAlign w:val="bottom"/>
            <w:tcBorders>
              <w:bottom w:val="single" w:sz="8" w:color="D5EEEE"/>
            </w:tcBorders>
          </w:tcPr>
          <w:p>
            <w:pPr>
              <w:spacing w:after="0"/>
              <w:rPr>
                <w:sz w:val="21"/>
                <w:szCs w:val="21"/>
                <w:color w:val="auto"/>
              </w:rPr>
            </w:pPr>
          </w:p>
        </w:tc>
        <w:tc>
          <w:tcPr>
            <w:tcW w:w="2340" w:type="dxa"/>
            <w:vAlign w:val="bottom"/>
          </w:tcPr>
          <w:p>
            <w:pPr>
              <w:spacing w:after="0"/>
              <w:rPr>
                <w:sz w:val="21"/>
                <w:szCs w:val="21"/>
                <w:color w:val="auto"/>
              </w:rPr>
            </w:pPr>
          </w:p>
        </w:tc>
        <w:tc>
          <w:tcPr>
            <w:tcW w:w="180" w:type="dxa"/>
            <w:vAlign w:val="bottom"/>
            <w:tcBorders>
              <w:bottom w:val="single" w:sz="8" w:color="D5EEEE"/>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(264,208</w:t>
            </w:r>
          </w:p>
        </w:tc>
        <w:tc>
          <w:tcPr>
            <w:tcW w:w="40" w:type="dxa"/>
            <w:vAlign w:val="bottom"/>
          </w:tcPr>
          <w:p>
            <w:pPr>
              <w:spacing w:after="0"/>
              <w:rPr>
                <w:sz w:val="21"/>
                <w:szCs w:val="21"/>
                <w:color w:val="auto"/>
              </w:rPr>
            </w:pPr>
          </w:p>
        </w:tc>
        <w:tc>
          <w:tcPr>
            <w:tcW w:w="6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8"/>
                <w:szCs w:val="8"/>
                <w:color w:val="auto"/>
                <w:highlight w:val="white"/>
                <w:w w:val="73"/>
              </w:rPr>
              <w:t>)</w:t>
            </w:r>
          </w:p>
        </w:tc>
        <w:tc>
          <w:tcPr>
            <w:tcW w:w="0" w:type="dxa"/>
            <w:vAlign w:val="bottom"/>
          </w:tcPr>
          <w:p>
            <w:pPr>
              <w:spacing w:after="0"/>
              <w:rPr>
                <w:sz w:val="1"/>
                <w:szCs w:val="1"/>
                <w:color w:val="auto"/>
              </w:rPr>
            </w:pPr>
          </w:p>
        </w:tc>
      </w:tr>
      <w:tr>
        <w:trPr>
          <w:trHeight w:val="232"/>
        </w:trPr>
        <w:tc>
          <w:tcPr>
            <w:tcW w:w="4610" w:type="dxa"/>
            <w:vAlign w:val="bottom"/>
            <w:shd w:val="clear" w:color="auto" w:fill="D5EEEE"/>
          </w:tcPr>
          <w:p>
            <w:pPr>
              <w:spacing w:after="0"/>
              <w:rPr>
                <w:sz w:val="20"/>
                <w:szCs w:val="20"/>
                <w:color w:val="auto"/>
              </w:rPr>
            </w:pPr>
          </w:p>
        </w:tc>
        <w:tc>
          <w:tcPr>
            <w:tcW w:w="190" w:type="dxa"/>
            <w:vAlign w:val="bottom"/>
            <w:shd w:val="clear" w:color="auto" w:fill="D5EEEE"/>
          </w:tcPr>
          <w:p>
            <w:pPr>
              <w:spacing w:after="0"/>
              <w:rPr>
                <w:sz w:val="20"/>
                <w:szCs w:val="20"/>
                <w:color w:val="auto"/>
              </w:rPr>
            </w:pPr>
          </w:p>
        </w:tc>
        <w:tc>
          <w:tcPr>
            <w:tcW w:w="2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40" w:type="dxa"/>
            <w:vAlign w:val="bottom"/>
          </w:tcPr>
          <w:p>
            <w:pPr>
              <w:spacing w:after="0"/>
              <w:rPr>
                <w:sz w:val="20"/>
                <w:szCs w:val="20"/>
                <w:color w:val="auto"/>
              </w:rPr>
            </w:pPr>
          </w:p>
        </w:tc>
        <w:tc>
          <w:tcPr>
            <w:tcW w:w="6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10" w:type="dxa"/>
            <w:vAlign w:val="bottom"/>
          </w:tcPr>
          <w:p>
            <w:pPr>
              <w:spacing w:after="0"/>
              <w:rPr>
                <w:sz w:val="19"/>
                <w:szCs w:val="19"/>
                <w:color w:val="auto"/>
              </w:rPr>
            </w:pPr>
          </w:p>
        </w:tc>
        <w:tc>
          <w:tcPr>
            <w:tcW w:w="19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-4526915</wp:posOffset>
            </wp:positionV>
            <wp:extent cx="6198870" cy="45688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198870" cy="456882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 Subsequent Events</w:t>
      </w:r>
    </w:p>
    <w:p>
      <w:pPr>
        <w:spacing w:after="0" w:line="124" w:lineRule="exact"/>
        <w:rPr>
          <w:sz w:val="20"/>
          <w:szCs w:val="20"/>
          <w:color w:val="auto"/>
        </w:rPr>
      </w:pPr>
    </w:p>
    <w:p>
      <w:pPr>
        <w:ind w:right="460" w:firstLine="490"/>
        <w:spacing w:after="0" w:line="279" w:lineRule="auto"/>
        <w:rPr>
          <w:sz w:val="20"/>
          <w:szCs w:val="20"/>
          <w:color w:val="auto"/>
        </w:rPr>
      </w:pPr>
      <w:r>
        <w:rPr>
          <w:rFonts w:ascii="Times New Roman" w:cs="Times New Roman" w:eastAsia="Times New Roman" w:hAnsi="Times New Roman"/>
          <w:sz w:val="20"/>
          <w:szCs w:val="20"/>
          <w:color w:val="auto"/>
        </w:rPr>
        <w:t>The Company has considered all events occurring subsequent to December 31, 2022, and has concluded that all significant events have been disclosed in the financial statements and accompanying notes.</w:t>
      </w:r>
    </w:p>
    <w:p>
      <w:pPr>
        <w:sectPr>
          <w:pgSz w:w="11880" w:h="15480" w:orient="portrait"/>
          <w:cols w:equalWidth="0" w:num="1">
            <w:col w:w="10780"/>
          </w:cols>
          <w:pgMar w:left="540" w:top="888" w:right="560" w:bottom="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F-36</w:t>
      </w:r>
    </w:p>
    <w:p>
      <w:pPr>
        <w:sectPr>
          <w:pgSz w:w="11880" w:h="15480" w:orient="portrait"/>
          <w:cols w:equalWidth="0" w:num="1">
            <w:col w:w="10780"/>
          </w:cols>
          <w:pgMar w:left="540" w:top="888" w:right="560" w:bottom="5" w:gutter="0" w:footer="0" w:header="0"/>
          <w:type w:val="continuous"/>
        </w:sectPr>
      </w:pPr>
    </w:p>
    <w:bookmarkStart w:id="102" w:name="page103"/>
    <w:bookmarkEnd w:id="102"/>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03" w:name="page104"/>
    <w:bookmarkEnd w:id="103"/>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1E3" w:usb1="1200FFEF" w:usb2="00040000" w:usb3="04000000" w:csb0="00000001" w:csb1="4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1."/>
      <w:numFmt w:val="decimal"/>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1)"/>
      <w:numFmt w:val="lowerLetter"/>
      <w:start w:val="1"/>
    </w:lvl>
  </w:abstractNum>
  <w:abstractNum w:abstractNumId="19">
    <w:nsid w:val="5C482A97"/>
    <w:multiLevelType w:val="hybridMultilevel"/>
    <w:lvl w:ilvl="0">
      <w:lvlJc w:val="left"/>
      <w:lvlText w:val="(%1)"/>
      <w:numFmt w:val="lowerLetter"/>
      <w:start w:val="2"/>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1)"/>
      <w:numFmt w:val="decimal"/>
      <w:start w:val="4"/>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1)"/>
      <w:numFmt w:val="decimal"/>
      <w:start w:val="2"/>
    </w:lvl>
  </w:abstractNum>
  <w:abstractNum w:abstractNumId="26">
    <w:nsid w:val="3855585C"/>
    <w:multiLevelType w:val="hybridMultilevel"/>
    <w:lvl w:ilvl="0">
      <w:lvlJc w:val="left"/>
      <w:lvlText w:val="(%1)"/>
      <w:numFmt w:val="decimal"/>
      <w:start w:val="1"/>
    </w:lvl>
  </w:abstractNum>
  <w:abstractNum w:abstractNumId="27">
    <w:nsid w:val="70A64E2A"/>
    <w:multiLevelType w:val="hybridMultilevel"/>
    <w:lvl w:ilvl="0">
      <w:lvlJc w:val="left"/>
      <w:lvlText w:val="*"/>
      <w:numFmt w:val="bullet"/>
      <w:start w:val="1"/>
    </w:lvl>
    <w:lvl w:ilvl="1">
      <w:lvlJc w:val="left"/>
      <w:lvlText w:val="(%2)"/>
      <w:numFmt w:val="decimal"/>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1)"/>
      <w:numFmt w:val="decimal"/>
      <w:start w:val="1"/>
    </w:lvl>
  </w:abstractNum>
  <w:abstractNum w:abstractNumId="31">
    <w:nsid w:val="725A06FB"/>
    <w:multiLevelType w:val="hybridMultilevel"/>
    <w:lvl w:ilvl="0">
      <w:lvlJc w:val="left"/>
      <w:lvlText w:val="(%1)"/>
      <w:numFmt w:val="decimal"/>
      <w:start w:val="10"/>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lvl w:ilvl="1">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1)"/>
      <w:numFmt w:val="decimal"/>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1)"/>
      <w:numFmt w:val="lowerLetter"/>
      <w:start w:val="1"/>
    </w:lvl>
    <w:lvl w:ilvl="1">
      <w:lvlJc w:val="left"/>
      <w:lvlText w:val="(%2)"/>
      <w:numFmt w:val="decimal"/>
      <w:start w:val="1"/>
    </w:lvl>
  </w:abstractNum>
  <w:abstractNum w:abstractNumId="39">
    <w:nsid w:val="7644A45C"/>
    <w:multiLevelType w:val="hybridMultilevel"/>
    <w:lvl w:ilvl="0">
      <w:lvlJc w:val="left"/>
      <w:lvlText w:val="†"/>
      <w:numFmt w:val="bullet"/>
      <w:start w:val="1"/>
    </w:lvl>
    <w:lvl w:ilvl="1">
      <w:lvlJc w:val="left"/>
      <w:lvlText w:val="%2"/>
      <w:numFmt w:val="decimal"/>
      <w:start w:val="104"/>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1."/>
      <w:numFmt w:val="decimal"/>
      <w:start w:val="10"/>
    </w:lvl>
  </w:abstractNum>
  <w:abstractNum w:abstractNumId="48">
    <w:nsid w:val="12E685FB"/>
    <w:multiLevelType w:val="hybridMultilevel"/>
    <w:lvl w:ilvl="0">
      <w:lvlJc w:val="left"/>
      <w:lvlText w:val="(%1)"/>
      <w:numFmt w:val="lowerLetter"/>
      <w:start w:val="3"/>
    </w:lvl>
  </w:abstractNum>
  <w:abstractNum w:abstractNumId="49">
    <w:nsid w:val="70C6A529"/>
    <w:multiLevelType w:val="hybridMultilevel"/>
    <w:lvl w:ilvl="0">
      <w:lvlJc w:val="left"/>
      <w:lvlText w:val="%1)"/>
      <w:numFmt w:val="lowerLetter"/>
      <w:start w:val="1"/>
    </w:lvl>
  </w:abstractNum>
  <w:abstractNum w:abstractNumId="50">
    <w:nsid w:val="520EEDD1"/>
    <w:multiLevelType w:val="hybridMultilevel"/>
    <w:lvl w:ilvl="0">
      <w:lvlJc w:val="left"/>
      <w:lvlText w:val="•"/>
      <w:numFmt w:val="bullet"/>
      <w:start w:val="1"/>
    </w:lvl>
    <w:lvl w:ilvl="1">
      <w:lvlJc w:val="left"/>
      <w:lvlText w:val="•"/>
      <w:numFmt w:val="bullet"/>
      <w:start w:val="1"/>
    </w:lvl>
  </w:abstractNum>
  <w:abstractNum w:abstractNumId="51">
    <w:nsid w:val="374A3FE6"/>
    <w:multiLevelType w:val="hybridMultilevel"/>
    <w:lvl w:ilvl="0">
      <w:lvlJc w:val="left"/>
      <w:lvlText w:val="•"/>
      <w:numFmt w:val="bullet"/>
      <w:start w:val="1"/>
    </w:lvl>
    <w:lvl w:ilvl="1">
      <w:lvlJc w:val="left"/>
      <w:lvlText w:val="•"/>
      <w:numFmt w:val="bullet"/>
      <w:start w:val="1"/>
    </w:lvl>
  </w:abstractNum>
  <w:abstractNum w:abstractNumId="52">
    <w:nsid w:val="4F4EF005"/>
    <w:multiLevelType w:val="hybridMultilevel"/>
    <w:lvl w:ilvl="0">
      <w:lvlJc w:val="left"/>
      <w:lvlText w:val="•"/>
      <w:numFmt w:val="bullet"/>
      <w:start w:val="1"/>
    </w:lvl>
  </w:abstractNum>
  <w:abstractNum w:abstractNumId="53">
    <w:nsid w:val="23F9C13C"/>
    <w:multiLevelType w:val="hybridMultilevel"/>
    <w:lvl w:ilvl="0">
      <w:lvlJc w:val="left"/>
      <w:lvlText w:val="•"/>
      <w:numFmt w:val="bullet"/>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2023-05-30T15:00:19Z</dcterms:created>
  <dcterms:modified xsi:type="dcterms:W3CDTF">2023-05-30T15:00:19Z</dcterms:modified>
</cp:coreProperties>
</file>