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98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1800" w:type="dxa"/>
            <w:vAlign w:val="bottom"/>
          </w:tcPr>
          <w:p>
            <w:pPr>
              <w:ind w:left="20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398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8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980" w:type="dxa"/>
            <w:vAlign w:val="bottom"/>
          </w:tcPr>
          <w:p>
            <w:pPr>
              <w:jc w:val="center"/>
              <w:ind w:right="2239"/>
              <w:spacing w:after="0"/>
              <w:rPr>
                <w:sz w:val="20"/>
                <w:szCs w:val="20"/>
                <w:color w:val="auto"/>
              </w:rPr>
            </w:pPr>
            <w:r>
              <w:rPr>
                <w:rFonts w:ascii="Arial" w:cs="Arial" w:eastAsia="Arial" w:hAnsi="Arial"/>
                <w:sz w:val="14"/>
                <w:szCs w:val="14"/>
                <w:b w:val="1"/>
                <w:bCs w:val="1"/>
                <w:color w:val="auto"/>
                <w:w w:val="94"/>
              </w:rPr>
              <w:t>of incorporation)</w:t>
            </w:r>
          </w:p>
        </w:tc>
        <w:tc>
          <w:tcPr>
            <w:tcW w:w="18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980" w:type="dxa"/>
            <w:vAlign w:val="bottom"/>
          </w:tcPr>
          <w:p>
            <w:pPr>
              <w:jc w:val="center"/>
              <w:ind w:left="1239"/>
              <w:spacing w:after="0"/>
              <w:rPr>
                <w:sz w:val="20"/>
                <w:szCs w:val="20"/>
                <w:color w:val="auto"/>
              </w:rPr>
            </w:pPr>
            <w:r>
              <w:rPr>
                <w:rFonts w:ascii="Arial" w:cs="Arial" w:eastAsia="Arial" w:hAnsi="Arial"/>
                <w:sz w:val="18"/>
                <w:szCs w:val="18"/>
                <w:b w:val="1"/>
                <w:bCs w:val="1"/>
                <w:color w:val="auto"/>
                <w:w w:val="89"/>
              </w:rPr>
              <w:t>28159 Avenue Stanford,</w:t>
            </w:r>
          </w:p>
        </w:tc>
        <w:tc>
          <w:tcPr>
            <w:tcW w:w="18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5"/>
        </w:trPr>
        <w:tc>
          <w:tcPr>
            <w:tcW w:w="398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Suite 220, Valencia, CA 91355</w:t>
            </w:r>
          </w:p>
        </w:tc>
        <w:tc>
          <w:tcPr>
            <w:tcW w:w="1800" w:type="dxa"/>
            <w:vAlign w:val="bottom"/>
          </w:tcPr>
          <w:p>
            <w:pPr>
              <w:spacing w:after="0"/>
              <w:rPr>
                <w:sz w:val="19"/>
                <w:szCs w:val="19"/>
                <w:color w:val="auto"/>
              </w:rPr>
            </w:pP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RCEL The Nasdaq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On August 26, 2020, Avita Therapeutics, Inc. (the “Company”), lodged the Company’s update on corporate development activities with the Australian Securities Exchange. The aforementioned update included a copy of the Company’s revised corporate presentation. A copy of the Company’s update is attached hereto as Exhibit 99.1.</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Additionally, on August 26, 2020, the Company issued a press release detailing identical information as the above-referenced Company update. A copy of the Company’s press release is attached hereto as Exhibit 99.2.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8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40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56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Company Update and Revised Corporate Presentation</w:t>
              </w:r>
            </w:hyperlink>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6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Press Release – Company Update and Revised Corporate Presentation</w:t>
              </w:r>
            </w:hyperlink>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171450</wp:posOffset>
            </wp:positionV>
            <wp:extent cx="131127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Therapeutics Provides Company Update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Revised Corporate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Valencia, Calif., USA, and Melbourne, Australia, August 26, 2020 </w:t>
      </w:r>
      <w:r>
        <w:rPr>
          <w:rFonts w:ascii="Arial" w:cs="Arial" w:eastAsia="Arial" w:hAnsi="Arial"/>
          <w:sz w:val="18"/>
          <w:szCs w:val="18"/>
          <w:color w:val="auto"/>
        </w:rPr>
        <w:t>— AVITA Therapeutics, Inc. (NASDAQ: RCEL, ASX:AVH), a regenerative</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 company that is developing and commercializing a technology platform that enables point-of-care autologous skin restoration for multiple unmet needs, today provided an update on corporate developments.</w:t>
      </w:r>
    </w:p>
    <w:p>
      <w:pPr>
        <w:spacing w:after="0" w:line="85"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RECELL</w:t>
      </w:r>
      <w:r>
        <w:rPr>
          <w:rFonts w:ascii="Arial" w:cs="Arial" w:eastAsia="Arial" w:hAnsi="Arial"/>
          <w:sz w:val="15"/>
          <w:szCs w:val="15"/>
          <w:color w:val="auto"/>
        </w:rPr>
        <w:t>®</w:t>
      </w:r>
      <w:r>
        <w:rPr>
          <w:rFonts w:ascii="Arial" w:cs="Arial" w:eastAsia="Arial" w:hAnsi="Arial"/>
          <w:sz w:val="18"/>
          <w:szCs w:val="18"/>
          <w:color w:val="auto"/>
        </w:rPr>
        <w:t xml:space="preserve"> System Sales:</w:t>
      </w:r>
    </w:p>
    <w:p>
      <w:pPr>
        <w:spacing w:after="0" w:line="23" w:lineRule="exact"/>
        <w:rPr>
          <w:rFonts w:ascii="Arial" w:cs="Arial" w:eastAsia="Arial" w:hAnsi="Arial"/>
          <w:sz w:val="18"/>
          <w:szCs w:val="18"/>
          <w:color w:val="auto"/>
        </w:rPr>
      </w:pPr>
    </w:p>
    <w:p>
      <w:pPr>
        <w:ind w:left="960" w:hanging="532"/>
        <w:spacing w:after="0"/>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July represented the highest monthly sales for RECELL Systems in the United States since launch in January 2019.</w:t>
      </w:r>
    </w:p>
    <w:p>
      <w:pPr>
        <w:spacing w:after="0" w:line="116" w:lineRule="exact"/>
        <w:rPr>
          <w:rFonts w:ascii="Arial" w:cs="Arial" w:eastAsia="Arial" w:hAnsi="Arial"/>
          <w:sz w:val="15"/>
          <w:szCs w:val="15"/>
          <w:color w:val="auto"/>
        </w:rPr>
      </w:pPr>
    </w:p>
    <w:p>
      <w:pPr>
        <w:ind w:left="960" w:hanging="532"/>
        <w:spacing w:after="0"/>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Unaudited sales for the RECELL System in July were U.S.$1.83 million.</w:t>
      </w:r>
    </w:p>
    <w:p>
      <w:pPr>
        <w:spacing w:after="0" w:line="130" w:lineRule="exact"/>
        <w:rPr>
          <w:rFonts w:ascii="Arial" w:cs="Arial" w:eastAsia="Arial" w:hAnsi="Arial"/>
          <w:sz w:val="15"/>
          <w:szCs w:val="15"/>
          <w:color w:val="auto"/>
        </w:rPr>
      </w:pPr>
    </w:p>
    <w:p>
      <w:pPr>
        <w:ind w:left="960" w:right="240" w:hanging="532"/>
        <w:spacing w:after="0" w:line="277" w:lineRule="auto"/>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July also witnessed very broad utilization of the RECELL System with 57 unique account orders, and more than 90 physicians using the RECELL System.</w:t>
      </w:r>
    </w:p>
    <w:p>
      <w:pPr>
        <w:spacing w:after="0" w:line="75" w:lineRule="exact"/>
        <w:rPr>
          <w:rFonts w:ascii="Arial" w:cs="Arial" w:eastAsia="Arial" w:hAnsi="Arial"/>
          <w:sz w:val="15"/>
          <w:szCs w:val="15"/>
          <w:color w:val="auto"/>
        </w:rPr>
      </w:pPr>
    </w:p>
    <w:p>
      <w:pPr>
        <w:ind w:left="960" w:right="480" w:hanging="532"/>
        <w:spacing w:after="0" w:line="277" w:lineRule="auto"/>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AVITA expects quarterly revenue in the September quarter to resume growth, and for sales to exceed the U.S.$3.9 million previously reported for the three (3) months ended June 30, 2020.</w:t>
      </w:r>
    </w:p>
    <w:p>
      <w:pPr>
        <w:spacing w:after="0" w:line="75" w:lineRule="exact"/>
        <w:rPr>
          <w:rFonts w:ascii="Arial" w:cs="Arial" w:eastAsia="Arial" w:hAnsi="Arial"/>
          <w:sz w:val="15"/>
          <w:szCs w:val="15"/>
          <w:color w:val="auto"/>
        </w:rPr>
      </w:pPr>
    </w:p>
    <w:p>
      <w:pPr>
        <w:ind w:left="1420" w:right="120" w:hanging="439"/>
        <w:spacing w:after="0" w:line="277" w:lineRule="auto"/>
        <w:tabs>
          <w:tab w:leader="none" w:pos="1420" w:val="left"/>
        </w:tabs>
        <w:numPr>
          <w:ilvl w:val="2"/>
          <w:numId w:val="2"/>
        </w:numPr>
        <w:rPr>
          <w:rFonts w:ascii="MS PGothic" w:cs="MS PGothic" w:eastAsia="MS PGothic" w:hAnsi="MS PGothic"/>
          <w:sz w:val="18"/>
          <w:szCs w:val="18"/>
          <w:color w:val="auto"/>
        </w:rPr>
      </w:pPr>
      <w:r>
        <w:rPr>
          <w:rFonts w:ascii="Arial" w:cs="Arial" w:eastAsia="Arial" w:hAnsi="Arial"/>
          <w:sz w:val="18"/>
          <w:szCs w:val="18"/>
          <w:color w:val="auto"/>
        </w:rPr>
        <w:t>Recall that in the quarter ended June 30, 2020 revenue was deeply impacted by COVID in the United States with sales in the month of April down approximately 25% (versus the previous month).</w:t>
      </w:r>
    </w:p>
    <w:p>
      <w:pPr>
        <w:spacing w:after="0" w:line="75" w:lineRule="exact"/>
        <w:rPr>
          <w:rFonts w:ascii="MS PGothic" w:cs="MS PGothic" w:eastAsia="MS PGothic" w:hAnsi="MS PGothic"/>
          <w:sz w:val="18"/>
          <w:szCs w:val="18"/>
          <w:color w:val="auto"/>
        </w:rPr>
      </w:pPr>
    </w:p>
    <w:p>
      <w:pPr>
        <w:ind w:left="1420" w:right="40" w:hanging="439"/>
        <w:spacing w:after="0" w:line="277" w:lineRule="auto"/>
        <w:tabs>
          <w:tab w:leader="none" w:pos="1420" w:val="left"/>
        </w:tabs>
        <w:numPr>
          <w:ilvl w:val="2"/>
          <w:numId w:val="2"/>
        </w:numPr>
        <w:rPr>
          <w:rFonts w:ascii="MS PGothic" w:cs="MS PGothic" w:eastAsia="MS PGothic" w:hAnsi="MS PGothic"/>
          <w:sz w:val="18"/>
          <w:szCs w:val="18"/>
          <w:color w:val="auto"/>
        </w:rPr>
      </w:pPr>
      <w:r>
        <w:rPr>
          <w:rFonts w:ascii="Arial" w:cs="Arial" w:eastAsia="Arial" w:hAnsi="Arial"/>
          <w:sz w:val="18"/>
          <w:szCs w:val="18"/>
          <w:color w:val="auto"/>
        </w:rPr>
        <w:t>Revenue then recovered in both May and June to deliver a flat sequential quarterly revenue result from the March quarter to the June quarter.</w:t>
      </w:r>
    </w:p>
    <w:p>
      <w:pPr>
        <w:spacing w:after="0" w:line="75" w:lineRule="exact"/>
        <w:rPr>
          <w:rFonts w:ascii="MS PGothic" w:cs="MS PGothic" w:eastAsia="MS PGothic" w:hAnsi="MS PGothic"/>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Studies:</w:t>
      </w:r>
    </w:p>
    <w:p>
      <w:pPr>
        <w:spacing w:after="0" w:line="130" w:lineRule="exact"/>
        <w:rPr>
          <w:rFonts w:ascii="Arial" w:cs="Arial" w:eastAsia="Arial" w:hAnsi="Arial"/>
          <w:sz w:val="18"/>
          <w:szCs w:val="18"/>
          <w:color w:val="auto"/>
        </w:rPr>
      </w:pPr>
    </w:p>
    <w:p>
      <w:pPr>
        <w:ind w:left="960" w:right="520" w:hanging="532"/>
        <w:spacing w:after="0" w:line="277" w:lineRule="auto"/>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As previously advised, the U.S. Food &amp; Drug Administration (FDA) granted an investigational device exemption (IDE) to support a vitiligo pivotal study on July 2</w:t>
      </w:r>
      <w:r>
        <w:rPr>
          <w:rFonts w:ascii="Arial" w:cs="Arial" w:eastAsia="Arial" w:hAnsi="Arial"/>
          <w:sz w:val="15"/>
          <w:szCs w:val="15"/>
          <w:color w:val="auto"/>
        </w:rPr>
        <w:t>nd</w:t>
      </w:r>
      <w:r>
        <w:rPr>
          <w:rFonts w:ascii="Arial" w:cs="Arial" w:eastAsia="Arial" w:hAnsi="Arial"/>
          <w:sz w:val="18"/>
          <w:szCs w:val="18"/>
          <w:color w:val="auto"/>
        </w:rPr>
        <w:t>, 2020.</w:t>
      </w:r>
    </w:p>
    <w:p>
      <w:pPr>
        <w:spacing w:after="0" w:line="75" w:lineRule="exact"/>
        <w:rPr>
          <w:rFonts w:ascii="Arial" w:cs="Arial" w:eastAsia="Arial" w:hAnsi="Arial"/>
          <w:sz w:val="15"/>
          <w:szCs w:val="15"/>
          <w:color w:val="auto"/>
        </w:rPr>
      </w:pPr>
    </w:p>
    <w:p>
      <w:pPr>
        <w:ind w:left="960" w:right="60" w:hanging="532"/>
        <w:spacing w:after="0" w:line="277" w:lineRule="auto"/>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Since receipt of the IDE, the Company has worked aggressively to obtain investigational review board approval (IRB) to support initiation of this study, together with commencing contracting discussions with potential clinical sites.</w:t>
      </w:r>
    </w:p>
    <w:p>
      <w:pPr>
        <w:spacing w:after="0" w:line="75" w:lineRule="exact"/>
        <w:rPr>
          <w:rFonts w:ascii="Arial" w:cs="Arial" w:eastAsia="Arial" w:hAnsi="Arial"/>
          <w:sz w:val="15"/>
          <w:szCs w:val="15"/>
          <w:color w:val="auto"/>
        </w:rPr>
      </w:pPr>
    </w:p>
    <w:p>
      <w:pPr>
        <w:ind w:left="960" w:hanging="532"/>
        <w:spacing w:after="0"/>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AVITA expects to treat our first vitiligo patient during September 2020.</w:t>
      </w:r>
    </w:p>
    <w:p>
      <w:pPr>
        <w:spacing w:after="0" w:line="130" w:lineRule="exact"/>
        <w:rPr>
          <w:rFonts w:ascii="Arial" w:cs="Arial" w:eastAsia="Arial" w:hAnsi="Arial"/>
          <w:sz w:val="15"/>
          <w:szCs w:val="15"/>
          <w:color w:val="auto"/>
        </w:rPr>
      </w:pPr>
    </w:p>
    <w:p>
      <w:pPr>
        <w:ind w:left="960" w:right="160" w:hanging="532"/>
        <w:spacing w:after="0" w:line="259" w:lineRule="auto"/>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There is a very high degree of both patient and clinical site enthusiasm in participating in our vitiligo pivotal study. Further, the Company continues to believe that the RECELL System is uniquely positioned to offer vitiligo patients a single curative therapy given that the RECELL System has been used to treat over 1,000 vitiligo patients internationally, and has been shown to provide patient benefits to vitiligo patients in eight (8) per-reviewed publications.</w:t>
      </w:r>
    </w:p>
    <w:p>
      <w:pPr>
        <w:spacing w:after="0" w:line="92" w:lineRule="exact"/>
        <w:rPr>
          <w:rFonts w:ascii="Arial" w:cs="Arial" w:eastAsia="Arial" w:hAnsi="Arial"/>
          <w:sz w:val="15"/>
          <w:szCs w:val="15"/>
          <w:color w:val="auto"/>
        </w:rPr>
      </w:pPr>
    </w:p>
    <w:p>
      <w:pPr>
        <w:ind w:left="960" w:right="40" w:hanging="532"/>
        <w:spacing w:after="0" w:line="263" w:lineRule="auto"/>
        <w:tabs>
          <w:tab w:leader="none" w:pos="960" w:val="left"/>
        </w:tabs>
        <w:numPr>
          <w:ilvl w:val="1"/>
          <w:numId w:val="2"/>
        </w:numPr>
        <w:rPr>
          <w:rFonts w:ascii="Arial" w:cs="Arial" w:eastAsia="Arial" w:hAnsi="Arial"/>
          <w:sz w:val="15"/>
          <w:szCs w:val="15"/>
          <w:color w:val="auto"/>
        </w:rPr>
      </w:pPr>
      <w:r>
        <w:rPr>
          <w:rFonts w:ascii="Arial" w:cs="Arial" w:eastAsia="Arial" w:hAnsi="Arial"/>
          <w:sz w:val="18"/>
          <w:szCs w:val="18"/>
          <w:color w:val="auto"/>
        </w:rPr>
        <w:t>AVITA is also actively endeavoring to increase the number of clinical studies participating in each of our clinical studies. Additional clinical study sites have recently been added to both the pediatric scald and the soft tissue pivotal studies, and more sites are expected to be onboarded over the next few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ind w:right="1580"/>
        <w:spacing w:after="0" w:line="277" w:lineRule="auto"/>
        <w:rPr>
          <w:sz w:val="20"/>
          <w:szCs w:val="20"/>
          <w:color w:val="auto"/>
        </w:rPr>
      </w:pPr>
      <w:r>
        <w:rPr>
          <w:rFonts w:ascii="Arial" w:cs="Arial" w:eastAsia="Arial" w:hAnsi="Arial"/>
          <w:sz w:val="18"/>
          <w:szCs w:val="18"/>
          <w:color w:val="auto"/>
        </w:rPr>
        <w:t>Avita Therapeutics, Inc. (ARBN 641 288 155) c-Mertons Corporate Services P/L Level 7, 330 Collins Street, Melbourne, Vic 3000 Page 1</w:t>
      </w:r>
    </w:p>
    <w:p>
      <w:pPr>
        <w:sectPr>
          <w:pgSz w:w="11900" w:h="16838" w:orient="portrait"/>
          <w:cols w:equalWidth="0" w:num="1">
            <w:col w:w="11020"/>
          </w:cols>
          <w:pgMar w:left="440" w:top="121" w:right="439" w:bottom="1440" w:gutter="0" w:footer="0" w:header="0"/>
        </w:sectPr>
      </w:pPr>
    </w:p>
    <w:bookmarkStart w:id="4" w:name="page5"/>
    <w:bookmarkEnd w:id="4"/>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The Company expects to release its Annual Report for the twelve (12) months ended June 30, 2020 on August 28</w:t>
      </w:r>
      <w:r>
        <w:rPr>
          <w:rFonts w:ascii="Arial" w:cs="Arial" w:eastAsia="Arial" w:hAnsi="Arial"/>
          <w:sz w:val="15"/>
          <w:szCs w:val="15"/>
          <w:color w:val="auto"/>
        </w:rPr>
        <w:t>th</w:t>
      </w:r>
      <w:r>
        <w:rPr>
          <w:rFonts w:ascii="Arial" w:cs="Arial" w:eastAsia="Arial" w:hAnsi="Arial"/>
          <w:sz w:val="18"/>
          <w:szCs w:val="18"/>
          <w:color w:val="auto"/>
        </w:rPr>
        <w:t>.</w:t>
      </w:r>
    </w:p>
    <w:p>
      <w:pPr>
        <w:spacing w:after="0" w:line="130" w:lineRule="exact"/>
        <w:rPr>
          <w:rFonts w:ascii="Arial" w:cs="Arial" w:eastAsia="Arial" w:hAnsi="Arial"/>
          <w:sz w:val="15"/>
          <w:szCs w:val="15"/>
          <w:color w:val="auto"/>
        </w:rPr>
      </w:pPr>
    </w:p>
    <w:p>
      <w:pPr>
        <w:ind w:left="960" w:right="500" w:hanging="532"/>
        <w:spacing w:after="0" w:line="277" w:lineRule="auto"/>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The Company will participate both in the Morgan Stanley Virtual 18th Annual Global Healthcare Conference and the Cantor Global Healthcare Conference which are both scheduled to take place in September.</w:t>
      </w:r>
    </w:p>
    <w:p>
      <w:pPr>
        <w:spacing w:after="0" w:line="75" w:lineRule="exact"/>
        <w:rPr>
          <w:rFonts w:ascii="Arial" w:cs="Arial" w:eastAsia="Arial" w:hAnsi="Arial"/>
          <w:sz w:val="15"/>
          <w:szCs w:val="15"/>
          <w:color w:val="auto"/>
        </w:rPr>
      </w:pPr>
    </w:p>
    <w:p>
      <w:pPr>
        <w:ind w:left="960" w:hanging="532"/>
        <w:spacing w:after="0"/>
        <w:tabs>
          <w:tab w:leader="none" w:pos="960" w:val="left"/>
        </w:tabs>
        <w:numPr>
          <w:ilvl w:val="1"/>
          <w:numId w:val="3"/>
        </w:numPr>
        <w:rPr>
          <w:rFonts w:ascii="Arial" w:cs="Arial" w:eastAsia="Arial" w:hAnsi="Arial"/>
          <w:sz w:val="14"/>
          <w:szCs w:val="14"/>
          <w:color w:val="auto"/>
        </w:rPr>
      </w:pPr>
      <w:r>
        <w:rPr>
          <w:rFonts w:ascii="Arial" w:cs="Arial" w:eastAsia="Arial" w:hAnsi="Arial"/>
          <w:sz w:val="17"/>
          <w:szCs w:val="17"/>
          <w:color w:val="auto"/>
        </w:rPr>
        <w:t>A copy of the Company’s revised corporate presentation is available on the Company’s website and is attached to this presentation.</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more detailed information on the Company’s recent developments, please see our press release dated July 10, 2020 (which is available on both the Company’s and ASX’s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Therapeutics, Inc.</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THERAPEUTICS, INC.</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AVITA Therapeutics’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This letter includes forward-looking statements. These forward-looking statements generally can be identified by the use of words such as “anticipate,” “expect,” “intend,” “could,” “may,” “will,”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right="1540"/>
        <w:spacing w:after="0" w:line="277" w:lineRule="auto"/>
        <w:rPr>
          <w:sz w:val="20"/>
          <w:szCs w:val="20"/>
          <w:color w:val="auto"/>
        </w:rPr>
      </w:pPr>
      <w:r>
        <w:rPr>
          <w:rFonts w:ascii="Arial" w:cs="Arial" w:eastAsia="Arial" w:hAnsi="Arial"/>
          <w:sz w:val="18"/>
          <w:szCs w:val="18"/>
          <w:color w:val="auto"/>
        </w:rPr>
        <w:t>Avita Therapeutics, Inc. (ARBN 641 288 155) c-Mertons Corporate Services P/L Level 7, 330 Collins Street, Melbourne, Vic 3000 Page 2</w:t>
      </w:r>
    </w:p>
    <w:p>
      <w:pPr>
        <w:sectPr>
          <w:pgSz w:w="11900" w:h="16838" w:orient="portrait"/>
          <w:cols w:equalWidth="0" w:num="1">
            <w:col w:w="10980"/>
          </w:cols>
          <w:pgMar w:left="440" w:top="274" w:right="479" w:bottom="1440" w:gutter="0" w:footer="0" w:header="0"/>
        </w:sectPr>
      </w:pPr>
    </w:p>
    <w:bookmarkStart w:id="5" w:name="page6"/>
    <w:bookmarkEnd w:id="5"/>
    <w:p>
      <w:pPr>
        <w:ind w:right="8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535"/>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O.U.S Media</w:t>
            </w: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AVITA Therapeutics, Inc.</w:t>
            </w:r>
          </w:p>
        </w:tc>
      </w:tr>
      <w:tr>
        <w:trPr>
          <w:trHeight w:val="220"/>
        </w:trPr>
        <w:tc>
          <w:tcPr>
            <w:tcW w:w="5740" w:type="dxa"/>
            <w:vAlign w:val="bottom"/>
          </w:tcPr>
          <w:p>
            <w:pPr>
              <w:spacing w:after="0"/>
              <w:rPr>
                <w:sz w:val="20"/>
                <w:szCs w:val="20"/>
                <w:color w:val="auto"/>
              </w:rPr>
            </w:pPr>
            <w:r>
              <w:rPr>
                <w:rFonts w:ascii="Arial" w:cs="Arial" w:eastAsia="Arial" w:hAnsi="Arial"/>
                <w:sz w:val="18"/>
                <w:szCs w:val="18"/>
                <w:b w:val="1"/>
                <w:bCs w:val="1"/>
                <w:color w:val="auto"/>
              </w:rPr>
              <w:t>Monsoon Communications</w:t>
            </w:r>
          </w:p>
        </w:tc>
        <w:tc>
          <w:tcPr>
            <w:tcW w:w="3440" w:type="dxa"/>
            <w:vAlign w:val="bottom"/>
            <w:gridSpan w:val="2"/>
          </w:tcPr>
          <w:p>
            <w:pPr>
              <w:spacing w:after="0"/>
              <w:rPr>
                <w:sz w:val="20"/>
                <w:szCs w:val="20"/>
                <w:color w:val="auto"/>
              </w:rPr>
            </w:pPr>
            <w:r>
              <w:rPr>
                <w:rFonts w:ascii="Arial" w:cs="Arial" w:eastAsia="Arial" w:hAnsi="Arial"/>
                <w:sz w:val="18"/>
                <w:szCs w:val="18"/>
                <w:color w:val="auto"/>
              </w:rPr>
              <w:t>David McIntyre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Rudi Michelson</w:t>
            </w:r>
          </w:p>
        </w:tc>
        <w:tc>
          <w:tcPr>
            <w:tcW w:w="3440" w:type="dxa"/>
            <w:vAlign w:val="bottom"/>
            <w:gridSpan w:val="2"/>
          </w:tcPr>
          <w:p>
            <w:pPr>
              <w:spacing w:after="0"/>
              <w:rPr>
                <w:sz w:val="20"/>
                <w:szCs w:val="20"/>
                <w:color w:val="auto"/>
              </w:rPr>
            </w:pPr>
            <w:r>
              <w:rPr>
                <w:rFonts w:ascii="Arial" w:cs="Arial" w:eastAsia="Arial" w:hAnsi="Arial"/>
                <w:sz w:val="18"/>
                <w:szCs w:val="18"/>
                <w:color w:val="auto"/>
                <w:w w:val="91"/>
              </w:rPr>
              <w:t>Chief Financial Officer Phone +1 661 367 9178</w:t>
            </w:r>
          </w:p>
        </w:tc>
      </w:tr>
      <w:tr>
        <w:trPr>
          <w:trHeight w:val="190"/>
        </w:trPr>
        <w:tc>
          <w:tcPr>
            <w:tcW w:w="5740" w:type="dxa"/>
            <w:vAlign w:val="bottom"/>
          </w:tcPr>
          <w:p>
            <w:pPr>
              <w:spacing w:after="0" w:line="190" w:lineRule="exact"/>
              <w:rPr>
                <w:sz w:val="20"/>
                <w:szCs w:val="20"/>
                <w:color w:val="auto"/>
              </w:rPr>
            </w:pPr>
            <w:r>
              <w:rPr>
                <w:rFonts w:ascii="Arial" w:cs="Arial" w:eastAsia="Arial" w:hAnsi="Arial"/>
                <w:sz w:val="18"/>
                <w:szCs w:val="18"/>
                <w:color w:val="auto"/>
              </w:rPr>
              <w:t>Phone +61 (0)3 9620 3333</w:t>
            </w:r>
          </w:p>
        </w:tc>
        <w:tc>
          <w:tcPr>
            <w:tcW w:w="3440" w:type="dxa"/>
            <w:vAlign w:val="bottom"/>
            <w:gridSpan w:val="2"/>
          </w:tcPr>
          <w:p>
            <w:pPr>
              <w:spacing w:after="0" w:line="190" w:lineRule="exact"/>
              <w:rPr>
                <w:sz w:val="20"/>
                <w:szCs w:val="20"/>
                <w:color w:val="auto"/>
              </w:rPr>
            </w:pPr>
            <w:r>
              <w:rPr>
                <w:rFonts w:ascii="Arial" w:cs="Arial" w:eastAsia="Arial" w:hAnsi="Arial"/>
                <w:sz w:val="18"/>
                <w:szCs w:val="18"/>
                <w:color w:val="auto"/>
              </w:rPr>
              <w:t>dmcintyre@avitamedical.com</w:t>
            </w:r>
          </w:p>
        </w:tc>
      </w:tr>
      <w:tr>
        <w:trPr>
          <w:trHeight w:val="20"/>
        </w:trPr>
        <w:tc>
          <w:tcPr>
            <w:tcW w:w="57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rudim@monsoon.com.au</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PR20200826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ind w:right="1580"/>
        <w:spacing w:after="0" w:line="277" w:lineRule="auto"/>
        <w:rPr>
          <w:sz w:val="20"/>
          <w:szCs w:val="20"/>
          <w:color w:val="auto"/>
        </w:rPr>
      </w:pPr>
      <w:r>
        <w:rPr>
          <w:rFonts w:ascii="Arial" w:cs="Arial" w:eastAsia="Arial" w:hAnsi="Arial"/>
          <w:sz w:val="18"/>
          <w:szCs w:val="18"/>
          <w:color w:val="auto"/>
        </w:rPr>
        <w:t>Avita Therapeutics, Inc. (ARBN 641 288 155) c-Mertons Corporate Services P/L Level 7, 330 Collins Street, Melbourne, Vic 3000 Page 3</w:t>
      </w:r>
    </w:p>
    <w:p>
      <w:pPr>
        <w:sectPr>
          <w:pgSz w:w="11900" w:h="16838" w:orient="portrait"/>
          <w:cols w:equalWidth="0" w:num="1">
            <w:col w:w="11020"/>
          </w:cols>
          <w:pgMar w:left="440" w:top="274" w:right="439" w:bottom="1440" w:gutter="0" w:footer="0" w:header="0"/>
        </w:sectPr>
      </w:pPr>
    </w:p>
    <w:bookmarkStart w:id="6" w:name="page7"/>
    <w:bookmarkEnd w:id="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446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3446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37310" cy="488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731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Provides Company Update and Revised Corporate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26, 2020</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VALENCIA, Calif. &amp; MELBOURNE, Australia—(BUSINESS WIRE)— Aug. 26, 2020— AVITA Therapeutics, Inc. (NASDAQ: RCEL, ASX: AVH), a regenerative medicine company that is developing and commercializing a technology platform that enables point-of-care autologous skin restoration for multiple unmet needs, today provided an update on corporate developments.</w:t>
      </w:r>
    </w:p>
    <w:p>
      <w:pPr>
        <w:spacing w:after="0" w:line="89"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RECELL</w:t>
      </w:r>
      <w:r>
        <w:rPr>
          <w:rFonts w:ascii="Arial" w:cs="Arial" w:eastAsia="Arial" w:hAnsi="Arial"/>
          <w:sz w:val="15"/>
          <w:szCs w:val="15"/>
          <w:color w:val="auto"/>
        </w:rPr>
        <w:t>®</w:t>
      </w:r>
      <w:r>
        <w:rPr>
          <w:rFonts w:ascii="Arial" w:cs="Arial" w:eastAsia="Arial" w:hAnsi="Arial"/>
          <w:sz w:val="18"/>
          <w:szCs w:val="18"/>
          <w:color w:val="auto"/>
        </w:rPr>
        <w:t xml:space="preserve"> System Sales: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July represented the highest monthly sales for RECELL Systems in the United States since launch in January 2019.</w:t>
      </w:r>
    </w:p>
    <w:p>
      <w:pPr>
        <w:spacing w:after="0" w:line="130" w:lineRule="exact"/>
        <w:rPr>
          <w:rFonts w:ascii="Arial" w:cs="Arial" w:eastAsia="Arial" w:hAnsi="Arial"/>
          <w:sz w:val="15"/>
          <w:szCs w:val="15"/>
          <w:color w:val="auto"/>
        </w:rPr>
      </w:pPr>
    </w:p>
    <w:p>
      <w:pPr>
        <w:ind w:left="1420" w:hanging="439"/>
        <w:spacing w:after="0"/>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Unaudited sales for the RECELL System in July were U.S.$1.83 million.</w:t>
      </w:r>
    </w:p>
    <w:p>
      <w:pPr>
        <w:spacing w:after="0" w:line="130" w:lineRule="exact"/>
        <w:rPr>
          <w:rFonts w:ascii="Arial" w:cs="Arial" w:eastAsia="Arial" w:hAnsi="Arial"/>
          <w:sz w:val="15"/>
          <w:szCs w:val="15"/>
          <w:color w:val="auto"/>
        </w:rPr>
      </w:pPr>
    </w:p>
    <w:p>
      <w:pPr>
        <w:ind w:left="1420" w:right="60" w:hanging="439"/>
        <w:spacing w:after="0" w:line="277" w:lineRule="auto"/>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July also witnessed very broad utilization of the RECELL System with 57 unique account orders, and more than 90 physicians using the RECELL System.</w:t>
      </w:r>
    </w:p>
    <w:p>
      <w:pPr>
        <w:spacing w:after="0" w:line="75" w:lineRule="exact"/>
        <w:rPr>
          <w:rFonts w:ascii="Arial" w:cs="Arial" w:eastAsia="Arial" w:hAnsi="Arial"/>
          <w:sz w:val="15"/>
          <w:szCs w:val="15"/>
          <w:color w:val="auto"/>
        </w:rPr>
      </w:pPr>
    </w:p>
    <w:p>
      <w:pPr>
        <w:ind w:left="1420" w:right="20" w:hanging="439"/>
        <w:spacing w:after="0" w:line="277" w:lineRule="auto"/>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AVITA expects quarterly revenue in the September quarter to resume growth, and for sales to exceed the U.S.$3.9 million previously reported for the three (3) months ended June 30, 2020.</w:t>
      </w:r>
    </w:p>
    <w:p>
      <w:pPr>
        <w:spacing w:after="0" w:line="75" w:lineRule="exact"/>
        <w:rPr>
          <w:rFonts w:ascii="Arial" w:cs="Arial" w:eastAsia="Arial" w:hAnsi="Arial"/>
          <w:sz w:val="15"/>
          <w:szCs w:val="15"/>
          <w:color w:val="auto"/>
        </w:rPr>
      </w:pPr>
    </w:p>
    <w:p>
      <w:pPr>
        <w:ind w:left="1960" w:right="80" w:hanging="533"/>
        <w:spacing w:after="0" w:line="277" w:lineRule="auto"/>
        <w:tabs>
          <w:tab w:leader="none" w:pos="1960" w:val="left"/>
        </w:tabs>
        <w:numPr>
          <w:ilvl w:val="2"/>
          <w:numId w:val="4"/>
        </w:numPr>
        <w:rPr>
          <w:rFonts w:ascii="MS PGothic" w:cs="MS PGothic" w:eastAsia="MS PGothic" w:hAnsi="MS PGothic"/>
          <w:sz w:val="18"/>
          <w:szCs w:val="18"/>
          <w:color w:val="auto"/>
        </w:rPr>
      </w:pPr>
      <w:r>
        <w:rPr>
          <w:rFonts w:ascii="Arial" w:cs="Arial" w:eastAsia="Arial" w:hAnsi="Arial"/>
          <w:sz w:val="18"/>
          <w:szCs w:val="18"/>
          <w:color w:val="auto"/>
        </w:rPr>
        <w:t>Recall that in the quarter ended June 30, 2020 revenue was deeply impacted by COVID in the United States with sales in the month of April down approximately 25% (versus the previous month).</w:t>
      </w:r>
    </w:p>
    <w:p>
      <w:pPr>
        <w:spacing w:after="0" w:line="75" w:lineRule="exact"/>
        <w:rPr>
          <w:rFonts w:ascii="MS PGothic" w:cs="MS PGothic" w:eastAsia="MS PGothic" w:hAnsi="MS PGothic"/>
          <w:sz w:val="18"/>
          <w:szCs w:val="18"/>
          <w:color w:val="auto"/>
        </w:rPr>
      </w:pPr>
    </w:p>
    <w:p>
      <w:pPr>
        <w:ind w:left="1960" w:right="120" w:hanging="533"/>
        <w:spacing w:after="0" w:line="277" w:lineRule="auto"/>
        <w:tabs>
          <w:tab w:leader="none" w:pos="1960" w:val="left"/>
        </w:tabs>
        <w:numPr>
          <w:ilvl w:val="2"/>
          <w:numId w:val="4"/>
        </w:numPr>
        <w:rPr>
          <w:rFonts w:ascii="MS PGothic" w:cs="MS PGothic" w:eastAsia="MS PGothic" w:hAnsi="MS PGothic"/>
          <w:sz w:val="18"/>
          <w:szCs w:val="18"/>
          <w:color w:val="auto"/>
        </w:rPr>
      </w:pPr>
      <w:r>
        <w:rPr>
          <w:rFonts w:ascii="Arial" w:cs="Arial" w:eastAsia="Arial" w:hAnsi="Arial"/>
          <w:sz w:val="18"/>
          <w:szCs w:val="18"/>
          <w:color w:val="auto"/>
        </w:rPr>
        <w:t>Revenue then recovered in both May and June to deliver a flat sequential quarterly revenue result from the March quarter to the June quarter.</w:t>
      </w:r>
    </w:p>
    <w:p>
      <w:pPr>
        <w:spacing w:after="0" w:line="75" w:lineRule="exact"/>
        <w:rPr>
          <w:rFonts w:ascii="MS PGothic" w:cs="MS PGothic" w:eastAsia="MS PGothic" w:hAnsi="MS PGothic"/>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Studies:</w:t>
      </w:r>
    </w:p>
    <w:p>
      <w:pPr>
        <w:spacing w:after="0" w:line="130" w:lineRule="exact"/>
        <w:rPr>
          <w:rFonts w:ascii="Arial" w:cs="Arial" w:eastAsia="Arial" w:hAnsi="Arial"/>
          <w:sz w:val="18"/>
          <w:szCs w:val="18"/>
          <w:color w:val="auto"/>
        </w:rPr>
      </w:pPr>
    </w:p>
    <w:p>
      <w:pPr>
        <w:ind w:left="1420" w:right="80" w:hanging="439"/>
        <w:spacing w:after="0" w:line="277" w:lineRule="auto"/>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As previously advised, the U.S. Food &amp; Drug Administration (FDA) granted an investigational device exemption (IDE) to support a vitiligo pivotal study on July 2nd, 2020.</w:t>
      </w:r>
    </w:p>
    <w:p>
      <w:pPr>
        <w:spacing w:after="0" w:line="75" w:lineRule="exact"/>
        <w:rPr>
          <w:rFonts w:ascii="Arial" w:cs="Arial" w:eastAsia="Arial" w:hAnsi="Arial"/>
          <w:sz w:val="15"/>
          <w:szCs w:val="15"/>
          <w:color w:val="auto"/>
        </w:rPr>
      </w:pPr>
    </w:p>
    <w:p>
      <w:pPr>
        <w:ind w:left="1420" w:right="320" w:hanging="439"/>
        <w:spacing w:after="0" w:line="277" w:lineRule="auto"/>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Since receipt of the IDE, the Company has worked aggressively to obtain investigational review board approval (IRB) to support initiation of this study, together with commencing contracting discussions with potential clinical sites.</w:t>
      </w:r>
    </w:p>
    <w:p>
      <w:pPr>
        <w:spacing w:after="0" w:line="75" w:lineRule="exact"/>
        <w:rPr>
          <w:rFonts w:ascii="Arial" w:cs="Arial" w:eastAsia="Arial" w:hAnsi="Arial"/>
          <w:sz w:val="15"/>
          <w:szCs w:val="15"/>
          <w:color w:val="auto"/>
        </w:rPr>
      </w:pPr>
    </w:p>
    <w:p>
      <w:pPr>
        <w:ind w:left="1420" w:hanging="439"/>
        <w:spacing w:after="0"/>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AVITA expects to treat our first vitiligo patient during September 2020.</w:t>
      </w:r>
    </w:p>
    <w:p>
      <w:pPr>
        <w:spacing w:after="0" w:line="130" w:lineRule="exact"/>
        <w:rPr>
          <w:rFonts w:ascii="Arial" w:cs="Arial" w:eastAsia="Arial" w:hAnsi="Arial"/>
          <w:sz w:val="15"/>
          <w:szCs w:val="15"/>
          <w:color w:val="auto"/>
        </w:rPr>
      </w:pPr>
    </w:p>
    <w:p>
      <w:pPr>
        <w:ind w:left="1420" w:right="360" w:hanging="439"/>
        <w:spacing w:after="0" w:line="279" w:lineRule="auto"/>
        <w:tabs>
          <w:tab w:leader="none" w:pos="1420" w:val="left"/>
        </w:tabs>
        <w:numPr>
          <w:ilvl w:val="1"/>
          <w:numId w:val="4"/>
        </w:numPr>
        <w:rPr>
          <w:rFonts w:ascii="Arial" w:cs="Arial" w:eastAsia="Arial" w:hAnsi="Arial"/>
          <w:sz w:val="14"/>
          <w:szCs w:val="14"/>
          <w:color w:val="auto"/>
        </w:rPr>
      </w:pPr>
      <w:r>
        <w:rPr>
          <w:rFonts w:ascii="Arial" w:cs="Arial" w:eastAsia="Arial" w:hAnsi="Arial"/>
          <w:sz w:val="17"/>
          <w:szCs w:val="17"/>
          <w:color w:val="auto"/>
        </w:rPr>
        <w:t>There is a very high degree of both patient and clinical site enthusiasm in participating in our vitiligo pivotal study. Further, the Company continues to believe that the RECELL System is uniquely positioned to offer vitiligo patients a single curative therapy given that the RECELL System has been used to treat over 1,000 vitiligo patients internationally, and has been shown to provide patient benefits to vitiligo patients in eight (8) peer-reviewed publications.</w:t>
      </w:r>
    </w:p>
    <w:p>
      <w:pPr>
        <w:spacing w:after="0" w:line="76" w:lineRule="exact"/>
        <w:rPr>
          <w:rFonts w:ascii="Arial" w:cs="Arial" w:eastAsia="Arial" w:hAnsi="Arial"/>
          <w:sz w:val="14"/>
          <w:szCs w:val="14"/>
          <w:color w:val="auto"/>
        </w:rPr>
      </w:pPr>
    </w:p>
    <w:p>
      <w:pPr>
        <w:ind w:left="1420" w:right="80" w:hanging="439"/>
        <w:spacing w:after="0" w:line="263" w:lineRule="auto"/>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AVITA is also actively endeavoring to increase the number of clinical studies participating in each of our clinical studies. Additional clinical study sites have recently been added to both the pediatric scald and the soft tissue pivotal studies, and more sites are expected to be onboarded over the next few months.</w:t>
      </w:r>
    </w:p>
    <w:p>
      <w:pPr>
        <w:spacing w:after="0" w:line="89" w:lineRule="exact"/>
        <w:rPr>
          <w:rFonts w:ascii="Arial" w:cs="Arial" w:eastAsia="Arial" w:hAnsi="Arial"/>
          <w:sz w:val="15"/>
          <w:szCs w:val="15"/>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The Company expects to release its Annual Report for the twelve (12) months ended June 30, 2020 on August 28</w:t>
      </w:r>
      <w:r>
        <w:rPr>
          <w:rFonts w:ascii="Arial" w:cs="Arial" w:eastAsia="Arial" w:hAnsi="Arial"/>
          <w:sz w:val="15"/>
          <w:szCs w:val="15"/>
          <w:color w:val="auto"/>
        </w:rPr>
        <w:t>th</w:t>
      </w:r>
      <w:r>
        <w:rPr>
          <w:rFonts w:ascii="Arial" w:cs="Arial" w:eastAsia="Arial" w:hAnsi="Arial"/>
          <w:sz w:val="18"/>
          <w:szCs w:val="18"/>
          <w:color w:val="auto"/>
        </w:rPr>
        <w:t>.</w:t>
      </w:r>
    </w:p>
    <w:p>
      <w:pPr>
        <w:spacing w:after="0" w:line="130" w:lineRule="exact"/>
        <w:rPr>
          <w:rFonts w:ascii="Arial" w:cs="Arial" w:eastAsia="Arial" w:hAnsi="Arial"/>
          <w:sz w:val="15"/>
          <w:szCs w:val="15"/>
          <w:color w:val="auto"/>
        </w:rPr>
      </w:pPr>
    </w:p>
    <w:p>
      <w:pPr>
        <w:ind w:left="1420" w:right="80" w:hanging="439"/>
        <w:spacing w:after="0" w:line="277" w:lineRule="auto"/>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The Company will participate both in the Morgan Stanley Virtual 18th Annual Global Healthcare Conference and the Cantor Global Healthcare Conference, which are both scheduled to take place in September.</w:t>
      </w:r>
    </w:p>
    <w:p>
      <w:pPr>
        <w:spacing w:after="0" w:line="75" w:lineRule="exact"/>
        <w:rPr>
          <w:rFonts w:ascii="Arial" w:cs="Arial" w:eastAsia="Arial" w:hAnsi="Arial"/>
          <w:sz w:val="15"/>
          <w:szCs w:val="15"/>
          <w:color w:val="auto"/>
        </w:rPr>
      </w:pPr>
    </w:p>
    <w:p>
      <w:pPr>
        <w:ind w:left="1420" w:hanging="439"/>
        <w:spacing w:after="0"/>
        <w:tabs>
          <w:tab w:leader="none" w:pos="1420" w:val="left"/>
        </w:tabs>
        <w:numPr>
          <w:ilvl w:val="1"/>
          <w:numId w:val="4"/>
        </w:numPr>
        <w:rPr>
          <w:rFonts w:ascii="Arial" w:cs="Arial" w:eastAsia="Arial" w:hAnsi="Arial"/>
          <w:sz w:val="15"/>
          <w:szCs w:val="15"/>
          <w:color w:val="auto"/>
        </w:rPr>
      </w:pPr>
      <w:r>
        <w:rPr>
          <w:rFonts w:ascii="Arial" w:cs="Arial" w:eastAsia="Arial" w:hAnsi="Arial"/>
          <w:sz w:val="18"/>
          <w:szCs w:val="18"/>
          <w:color w:val="auto"/>
        </w:rPr>
        <w:t>A copy of the Company’s revised corporate presentation is available on the Company’s website.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detailed information on the Company’s recent developments, please see our press release dated July 10, 2020 (which is available on both the Company’s and ASX’s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THERAPEUTICS, INC.</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 </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AVITA Therapeutics’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RECELL System is indicated for use in the treatment of acute thermal burns in patients 18 years and older. The RECELL System is used to prepare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Spray-On Skin</w:t>
      </w:r>
      <w:r>
        <w:rPr>
          <w:rFonts w:ascii="Arial" w:cs="Arial" w:eastAsia="Arial" w:hAnsi="Arial"/>
          <w:sz w:val="15"/>
          <w:szCs w:val="15"/>
          <w:color w:val="auto"/>
        </w:rPr>
        <w:t>™</w:t>
      </w:r>
      <w:r>
        <w:rPr>
          <w:rFonts w:ascii="Arial" w:cs="Arial" w:eastAsia="Arial" w:hAnsi="Arial"/>
          <w:sz w:val="18"/>
          <w:szCs w:val="18"/>
          <w:color w:val="auto"/>
        </w:rPr>
        <w:t xml:space="preserve"> Cells using a small amount of a patient’s own skin, providing a new way to treat severe burns, while significantly reducing</w:t>
      </w:r>
    </w:p>
    <w:p>
      <w:pPr>
        <w:sectPr>
          <w:pgSz w:w="11900" w:h="16838" w:orient="portrait"/>
          <w:cols w:equalWidth="0" w:num="1">
            <w:col w:w="11020"/>
          </w:cols>
          <w:pgMar w:left="440" w:top="121" w:right="439" w:bottom="1440" w:gutter="0" w:footer="0" w:header="0"/>
        </w:sectPr>
      </w:pPr>
    </w:p>
    <w:bookmarkStart w:id="41" w:name="page42"/>
    <w:bookmarkEnd w:id="41"/>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w:t>
      </w:r>
      <w:r>
        <w:rPr>
          <w:rFonts w:ascii="Arial" w:cs="Arial" w:eastAsia="Arial" w:hAnsi="Arial"/>
          <w:sz w:val="18"/>
          <w:szCs w:val="18"/>
          <w:u w:val="single" w:color="auto"/>
          <w:color w:val="auto"/>
        </w:rPr>
        <w:t>https://recellsystem.com/</w:t>
      </w:r>
      <w:r>
        <w:rPr>
          <w:rFonts w:ascii="Arial" w:cs="Arial" w:eastAsia="Arial" w:hAnsi="Arial"/>
          <w:sz w:val="18"/>
          <w:szCs w:val="18"/>
          <w:color w:val="auto"/>
        </w:rPr>
        <w:t>) for a full description of indications for use and important safety information including contraindications, warnings and precautions.</w:t>
      </w:r>
    </w:p>
    <w:p>
      <w:pPr>
        <w:spacing w:after="0" w:line="19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View source version on </w:t>
      </w:r>
      <w:r>
        <w:rPr>
          <w:rFonts w:ascii="Arial" w:cs="Arial" w:eastAsia="Arial" w:hAnsi="Arial"/>
          <w:sz w:val="18"/>
          <w:szCs w:val="18"/>
          <w:u w:val="single" w:color="auto"/>
          <w:color w:val="auto"/>
        </w:rPr>
        <w:t>businesswire.com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https://www.businesswire.com/news/home/20200826005296/en</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+1 615 414 8668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christycurran@sambrown.com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Monsoon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rudim@monsoon.com.au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+1 415 202 5678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caroline.corner@westwicke.com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McIntyre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+1 661 367 9178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dmcintyre@avitamedical.com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AVITA Therapeutics, Inc.</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2020-08-28T10:53:26Z</dcterms:created>
  <dcterms:modified xsi:type="dcterms:W3CDTF">2020-08-28T10:53:26Z</dcterms:modified>
</cp:coreProperties>
</file>