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8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8" w:lineRule="exact"/>
        <w:rPr>
          <w:sz w:val="24"/>
          <w:szCs w:val="24"/>
          <w:color w:val="auto"/>
        </w:rPr>
      </w:pPr>
    </w:p>
    <w:p>
      <w:pPr>
        <w:ind w:left="362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3653790</wp:posOffset>
            </wp:positionH>
            <wp:positionV relativeFrom="paragraph">
              <wp:posOffset>-3175</wp:posOffset>
            </wp:positionV>
            <wp:extent cx="514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1363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3633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AVITA MEDICAL, INC.</w:t>
      </w:r>
    </w:p>
    <w:p>
      <w:pPr>
        <w:spacing w:after="0" w:line="64" w:lineRule="exact"/>
        <w:rPr>
          <w:sz w:val="24"/>
          <w:szCs w:val="24"/>
          <w:color w:val="auto"/>
        </w:rPr>
      </w:pPr>
    </w:p>
    <w:tbl>
      <w:tblPr>
        <w:tblLayout w:type="fixed"/>
        <w:tblInd w:w="200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5200" w:type="dxa"/>
            <w:vAlign w:val="bottom"/>
            <w:gridSpan w:val="3"/>
          </w:tcPr>
          <w:p>
            <w:pPr>
              <w:jc w:val="center"/>
              <w:ind w:right="135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94"/>
        </w:trPr>
        <w:tc>
          <w:tcPr>
            <w:tcW w:w="1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r>
      <w:tr>
        <w:trPr>
          <w:trHeight w:val="257"/>
        </w:trPr>
        <w:tc>
          <w:tcPr>
            <w:tcW w:w="172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200" w:type="dxa"/>
            <w:vAlign w:val="bottom"/>
            <w:gridSpan w:val="3"/>
          </w:tcPr>
          <w:p>
            <w:pPr>
              <w:jc w:val="center"/>
              <w:ind w:left="4145"/>
              <w:spacing w:after="0"/>
              <w:rPr>
                <w:sz w:val="20"/>
                <w:szCs w:val="20"/>
                <w:color w:val="auto"/>
              </w:rPr>
            </w:pPr>
            <w:r>
              <w:rPr>
                <w:rFonts w:ascii="Times New Roman" w:cs="Times New Roman" w:eastAsia="Times New Roman" w:hAnsi="Times New Roman"/>
                <w:sz w:val="16"/>
                <w:szCs w:val="16"/>
                <w:b w:val="1"/>
                <w:bCs w:val="1"/>
                <w:color w:val="auto"/>
              </w:rPr>
              <w:t>85-1021707</w:t>
            </w:r>
          </w:p>
        </w:tc>
      </w:tr>
      <w:tr>
        <w:trPr>
          <w:trHeight w:val="135"/>
        </w:trPr>
        <w:tc>
          <w:tcPr>
            <w:tcW w:w="172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7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80" w:type="dxa"/>
            <w:vAlign w:val="bottom"/>
          </w:tcPr>
          <w:p>
            <w:pPr>
              <w:jc w:val="center"/>
              <w:ind w:left="1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72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80" w:type="dxa"/>
            <w:vAlign w:val="bottom"/>
          </w:tcPr>
          <w:p>
            <w:pPr>
              <w:jc w:val="center"/>
              <w:ind w:left="113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7"/>
        </w:trPr>
        <w:tc>
          <w:tcPr>
            <w:tcW w:w="1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20" w:type="dxa"/>
            <w:vAlign w:val="bottom"/>
            <w:gridSpan w:val="2"/>
          </w:tcPr>
          <w:p>
            <w:pPr>
              <w:jc w:val="center"/>
              <w:ind w:right="2137"/>
              <w:spacing w:after="0"/>
              <w:rPr>
                <w:sz w:val="20"/>
                <w:szCs w:val="20"/>
                <w:color w:val="auto"/>
              </w:rPr>
            </w:pPr>
            <w:r>
              <w:rPr>
                <w:rFonts w:ascii="Times New Roman" w:cs="Times New Roman" w:eastAsia="Times New Roman" w:hAnsi="Times New Roman"/>
                <w:sz w:val="16"/>
                <w:szCs w:val="16"/>
                <w:b w:val="1"/>
                <w:bCs w:val="1"/>
                <w:color w:val="auto"/>
              </w:rPr>
              <w:t>28159 Avenue Stanford</w:t>
            </w:r>
          </w:p>
        </w:tc>
      </w:tr>
      <w:tr>
        <w:trPr>
          <w:trHeight w:val="203"/>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20" w:type="dxa"/>
            <w:vAlign w:val="bottom"/>
            <w:gridSpan w:val="2"/>
          </w:tcPr>
          <w:p>
            <w:pPr>
              <w:jc w:val="center"/>
              <w:ind w:right="2157"/>
              <w:spacing w:after="0"/>
              <w:rPr>
                <w:sz w:val="20"/>
                <w:szCs w:val="20"/>
                <w:color w:val="auto"/>
              </w:rPr>
            </w:pPr>
            <w:r>
              <w:rPr>
                <w:rFonts w:ascii="Times New Roman" w:cs="Times New Roman" w:eastAsia="Times New Roman" w:hAnsi="Times New Roman"/>
                <w:sz w:val="16"/>
                <w:szCs w:val="16"/>
                <w:b w:val="1"/>
                <w:bCs w:val="1"/>
                <w:color w:val="auto"/>
              </w:rPr>
              <w:t>Suite 220</w:t>
            </w:r>
          </w:p>
        </w:tc>
      </w:tr>
      <w:tr>
        <w:trPr>
          <w:trHeight w:val="198"/>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20" w:type="dxa"/>
            <w:vAlign w:val="bottom"/>
            <w:gridSpan w:val="2"/>
          </w:tcPr>
          <w:p>
            <w:pPr>
              <w:jc w:val="center"/>
              <w:ind w:right="2157"/>
              <w:spacing w:after="0"/>
              <w:rPr>
                <w:sz w:val="20"/>
                <w:szCs w:val="20"/>
                <w:color w:val="auto"/>
              </w:rPr>
            </w:pPr>
            <w:r>
              <w:rPr>
                <w:rFonts w:ascii="Times New Roman" w:cs="Times New Roman" w:eastAsia="Times New Roman" w:hAnsi="Times New Roman"/>
                <w:sz w:val="16"/>
                <w:szCs w:val="16"/>
                <w:b w:val="1"/>
                <w:bCs w:val="1"/>
                <w:color w:val="auto"/>
              </w:rPr>
              <w:t>Valencia, CA 91355</w:t>
            </w:r>
          </w:p>
        </w:tc>
      </w:tr>
      <w:tr>
        <w:trPr>
          <w:trHeight w:val="166"/>
        </w:trPr>
        <w:tc>
          <w:tcPr>
            <w:tcW w:w="1720" w:type="dxa"/>
            <w:vAlign w:val="bottom"/>
          </w:tcPr>
          <w:p>
            <w:pPr>
              <w:spacing w:after="0"/>
              <w:rPr>
                <w:sz w:val="14"/>
                <w:szCs w:val="14"/>
                <w:color w:val="auto"/>
              </w:rPr>
            </w:pPr>
          </w:p>
        </w:tc>
        <w:tc>
          <w:tcPr>
            <w:tcW w:w="5200" w:type="dxa"/>
            <w:vAlign w:val="bottom"/>
            <w:gridSpan w:val="3"/>
          </w:tcPr>
          <w:p>
            <w:pPr>
              <w:jc w:val="center"/>
              <w:ind w:right="135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 and Zip Code)</w:t>
            </w:r>
          </w:p>
        </w:tc>
      </w:tr>
    </w:tbl>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438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r>
      <w:tr>
        <w:trPr>
          <w:trHeight w:val="15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2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3"/>
                <w:szCs w:val="13"/>
                <w:color w:val="auto"/>
              </w:rPr>
            </w:pPr>
          </w:p>
        </w:tc>
        <w:tc>
          <w:tcPr>
            <w:tcW w:w="438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06"/>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RCEL</w:t>
            </w:r>
          </w:p>
        </w:tc>
        <w:tc>
          <w:tcPr>
            <w:tcW w:w="100" w:type="dxa"/>
            <w:vAlign w:val="bottom"/>
          </w:tcPr>
          <w:p>
            <w:pPr>
              <w:spacing w:after="0"/>
              <w:rPr>
                <w:sz w:val="17"/>
                <w:szCs w:val="17"/>
                <w:color w:val="auto"/>
              </w:rPr>
            </w:pPr>
          </w:p>
        </w:tc>
        <w:tc>
          <w:tcPr>
            <w:tcW w:w="438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4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74" w:right="339" w:bottom="1440" w:gutter="0" w:footer="0" w:header="0"/>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Accelerated filer</w:t>
            </w: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Smaller reporting company</w:t>
            </w:r>
          </w:p>
        </w:tc>
      </w:tr>
      <w:tr>
        <w:trPr>
          <w:trHeight w:val="27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spacing w:after="0"/>
              <w:rPr>
                <w:sz w:val="23"/>
                <w:szCs w:val="23"/>
                <w:color w:val="auto"/>
              </w:rPr>
            </w:pPr>
          </w:p>
        </w:tc>
      </w:tr>
    </w:tbl>
    <w:p>
      <w:pPr>
        <w:spacing w:after="0" w:line="20"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14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par value $0.0001, outstanding as of May 11, 2026 was 30,776,689.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740" w:space="280"/>
            <w:col w:w="220"/>
          </w:cols>
          <w:pgMar w:left="320" w:top="97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9"/>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418"/>
        </w:trPr>
        <w:tc>
          <w:tcPr>
            <w:tcW w:w="4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NOTE REGARDING FORWARD-LOOKING STATEMENTS</w:t>
            </w:r>
          </w:p>
        </w:tc>
        <w:tc>
          <w:tcPr>
            <w:tcW w:w="40" w:type="dxa"/>
            <w:vAlign w:val="bottom"/>
            <w:tcBorders>
              <w:bottom w:val="single" w:sz="8" w:color="0000EE"/>
            </w:tcBorders>
          </w:tcPr>
          <w:p>
            <w:pPr>
              <w:spacing w:after="0"/>
              <w:rPr>
                <w:sz w:val="24"/>
                <w:szCs w:val="24"/>
                <w:color w:val="auto"/>
              </w:rPr>
            </w:pPr>
          </w:p>
        </w:tc>
        <w:tc>
          <w:tcPr>
            <w:tcW w:w="506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3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800" w:type="dxa"/>
            <w:vAlign w:val="bottom"/>
            <w:gridSpan w:val="10"/>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 As of March 31, 2026 (unaudited) and December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26"/>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three-months ended March 31, 2026 and 2025 (unaudited)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25"/>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three-months ended March 31, 2026 and 2025 (unaudited)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26"/>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 for the three-months ended March 31, 2026 and 2025 (unaudited)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26"/>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three-months ended March 31, 2026 and 2025 (unaudited)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31"/>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31"/>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40" w:type="dxa"/>
            <w:vAlign w:val="bottom"/>
            <w:tcBorders>
              <w:left w:val="single" w:sz="8" w:color="0000FF"/>
            </w:tcBorders>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31"/>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1040" w:type="dxa"/>
            <w:vAlign w:val="bottom"/>
            <w:tcBorders>
              <w:top w:val="single" w:sz="8" w:color="0000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7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20" w:type="dxa"/>
            <w:vAlign w:val="bottom"/>
            <w:gridSpan w:val="11"/>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66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20" w:type="dxa"/>
            <w:vAlign w:val="bottom"/>
            <w:gridSpan w:val="11"/>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660" w:type="dxa"/>
            <w:vAlign w:val="bottom"/>
            <w:gridSpan w:val="1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380" w:type="dxa"/>
            <w:vAlign w:val="bottom"/>
            <w:gridSpan w:val="1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95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229"/>
        </w:trPr>
        <w:tc>
          <w:tcPr>
            <w:tcW w:w="46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7"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uncertainties associated with our expectations regarding future revenue; or future growth in revenue, profit, or gross and/or operating margins; or the ability to achieve or sustain profitability are forward-looking statements. Forward-looking statements in this Quarterly Report may refer to a variety of topics including, but not limited to industry market conditions; increased competition; changes in our production capacity; ability to obtain, maintain and enforce our intellectual property rights, including our expectations regarding the future scope of such rights; ability to obtain and/or maintain regulatory approvals and comply with applicable regulations; the conduct or outcome of pre-clinical or clinical (human) studies; operational and management restructuring activities; our ability to find and maintain partnerships relating to collaborations, strategic arrangements, and licensing arrangements; mergers and acquisitions (and related integration activities); performance by third parties of their contractual duties or expected deadlines; our ability to obtain and maintain favorable coverage and reimbursement determinations from third party payors; market reaction to growth or product initiatives; our ability to expand our sales and marketing organizations to address existing and new markets that we intend to target; market penetration of our products; the ability to continue to scale our manufacturing operations to meet the demand for our products; our ability to attract and retain qualified personnel, including management; solvency; non-compliance with debt covenants, which may result in the acceleration of our debt obligations or the need for renegotiations with our lenders; taxes, interest rates, and inflationary pressures, and future working capital costs; changes in the legal or regulatory environments; productivity, business process, consulting, operational, financial, and capital projects and/or initiatives. These statements involve known and unknown risks, uncertainties, and other important factors that may cause our actual results, performance, or achievements to be materially different from any future results, performance or achievements expressed or implied by such forward-looking statements.</w:t>
      </w:r>
    </w:p>
    <w:p>
      <w:pPr>
        <w:spacing w:after="0" w:line="191" w:lineRule="exact"/>
        <w:rPr>
          <w:sz w:val="20"/>
          <w:szCs w:val="20"/>
          <w:color w:val="auto"/>
        </w:rPr>
      </w:pPr>
    </w:p>
    <w:p>
      <w:pPr>
        <w:jc w:val="both"/>
        <w:ind w:right="4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terms such as “aim,” “believe,” “continue,” “could,” “estimate,” “expect," “intend,” “may,” “plan,” “potential,” “predict,” “project,” “seek,” “should,” “target,” “will,” or “would” or the negative of these terms or other similar expressions.</w:t>
      </w:r>
    </w:p>
    <w:p>
      <w:pPr>
        <w:spacing w:after="0" w:line="17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 Item 1A, “Risk Factors,” in the Company’s Annual Report on Form 10-K for the year-ended December 31, 2025 filed with the SEC on February 12, 2026 and lodged with the Australian Securities Exchange (“ASX”) on February 13, 2026 and as updated from time to time in the Company’s subsequent Quarterly Reports on Form 10-Q.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Quarterly Report on Form 10-Q. There have been no material changes to the risk factors described in Part I, Item 1A, “Risk Factors,” included in the Company’s Annual Report on Form 10-K for the year-ended December 31, 2025.</w:t>
      </w:r>
    </w:p>
    <w:p>
      <w:pPr>
        <w:spacing w:after="0" w:line="185" w:lineRule="exact"/>
        <w:rPr>
          <w:sz w:val="20"/>
          <w:szCs w:val="20"/>
          <w:color w:val="auto"/>
        </w:rPr>
      </w:pPr>
    </w:p>
    <w:p>
      <w:pPr>
        <w:ind w:right="2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Moreover, we operate in an evolving environment. New risk factors and uncertainties may emerge from time to time, and it is not possible for our management to predict all risk factors and uncertainties.</w:t>
      </w:r>
    </w:p>
    <w:p>
      <w:pPr>
        <w:spacing w:after="0" w:line="15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180" w:type="dxa"/>
            <w:vAlign w:val="bottom"/>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w w:val="99"/>
              </w:rPr>
              <w:t>AVITA MEDICAL, INC.</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80" w:type="dxa"/>
            <w:vAlign w:val="bottom"/>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180" w:type="dxa"/>
            <w:vAlign w:val="bottom"/>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8"/>
                <w:szCs w:val="18"/>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8"/>
                <w:szCs w:val="18"/>
                <w:color w:val="auto"/>
              </w:rPr>
            </w:pP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tcPr>
          <w:p>
            <w:pPr>
              <w:spacing w:after="0"/>
              <w:rPr>
                <w:sz w:val="18"/>
                <w:szCs w:val="18"/>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r>
      <w:tr>
        <w:trPr>
          <w:trHeight w:val="2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100" w:type="dxa"/>
            <w:vAlign w:val="bottom"/>
            <w:shd w:val="clear" w:color="auto" w:fill="CFF0FC"/>
          </w:tcPr>
          <w:p>
            <w:pPr>
              <w:spacing w:after="0"/>
              <w:rPr>
                <w:sz w:val="21"/>
                <w:szCs w:val="21"/>
                <w:color w:val="auto"/>
              </w:rPr>
            </w:pPr>
          </w:p>
        </w:tc>
      </w:tr>
      <w:tr>
        <w:trPr>
          <w:trHeight w:val="197"/>
        </w:trPr>
        <w:tc>
          <w:tcPr>
            <w:tcW w:w="71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 (DEFICIT)</w:t>
            </w: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 facility</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liability</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8"/>
                <w:szCs w:val="18"/>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62,677</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liability, long-term</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8"/>
                <w:szCs w:val="18"/>
                <w:color w:val="auto"/>
              </w:rPr>
            </w:pPr>
          </w:p>
        </w:tc>
      </w:tr>
      <w:tr>
        <w:trPr>
          <w:trHeight w:val="210"/>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1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200,000,000 shares authorized, 30,776,689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30,571,662, shares issued and outstanding at March 31, 2026 and December 31, 2025,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1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at March 31, 2026 and December 31, 2025</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(1,293)</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395,830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394,408</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(419,012)</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(408,401)</w:t>
            </w:r>
          </w:p>
        </w:tc>
      </w:tr>
      <w:tr>
        <w:trPr>
          <w:trHeight w:val="20"/>
        </w:trPr>
        <w:tc>
          <w:tcPr>
            <w:tcW w:w="7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(23,166)</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(16,650)</w:t>
            </w:r>
          </w:p>
        </w:tc>
      </w:tr>
      <w:tr>
        <w:trPr>
          <w:trHeight w:val="20"/>
        </w:trPr>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100" w:type="dxa"/>
            <w:vAlign w:val="bottom"/>
            <w:shd w:val="clear" w:color="auto" w:fill="CFF0FC"/>
          </w:tcPr>
          <w:p>
            <w:pPr>
              <w:spacing w:after="0"/>
              <w:rPr>
                <w:sz w:val="19"/>
                <w:szCs w:val="19"/>
                <w:color w:val="auto"/>
              </w:rPr>
            </w:pPr>
          </w:p>
        </w:tc>
      </w:tr>
      <w:tr>
        <w:trPr>
          <w:trHeight w:val="20"/>
        </w:trPr>
        <w:tc>
          <w:tcPr>
            <w:tcW w:w="7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-3796665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-3779520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-1833880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-316865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r>
      <w:tr>
        <w:trPr>
          <w:trHeight w:val="209"/>
        </w:trPr>
        <w:tc>
          <w:tcPr>
            <w:tcW w:w="4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Sales revenue</w:t>
            </w:r>
          </w:p>
        </w:tc>
        <w:tc>
          <w:tcPr>
            <w:tcW w:w="1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19,064</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18,325</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revenue</w:t>
            </w:r>
          </w:p>
        </w:tc>
        <w:tc>
          <w:tcPr>
            <w:tcW w:w="1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r>
      <w:tr>
        <w:trPr>
          <w:trHeight w:val="20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(3,523)</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(2,833)</w:t>
            </w:r>
          </w:p>
        </w:tc>
      </w:tr>
      <w:tr>
        <w:trPr>
          <w:trHeight w:val="210"/>
        </w:trPr>
        <w:tc>
          <w:tcPr>
            <w:tcW w:w="4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(12,841)</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(14,834)</w:t>
            </w: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(6,061)</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(6,390)</w:t>
            </w:r>
          </w:p>
        </w:tc>
      </w:tr>
      <w:tr>
        <w:trPr>
          <w:trHeight w:val="216"/>
        </w:trPr>
        <w:tc>
          <w:tcPr>
            <w:tcW w:w="4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(5,629)</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(6,284)</w:t>
            </w:r>
          </w:p>
        </w:tc>
      </w:tr>
      <w:tr>
        <w:trPr>
          <w:trHeight w:val="20"/>
        </w:trPr>
        <w:tc>
          <w:tcPr>
            <w:tcW w:w="414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(24,531)</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(27,508)</w:t>
            </w:r>
          </w:p>
        </w:tc>
      </w:tr>
      <w:tr>
        <w:trPr>
          <w:trHeight w:val="20"/>
        </w:trPr>
        <w:tc>
          <w:tcPr>
            <w:tcW w:w="4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(8,803)</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(11,827)</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(1,424)</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(1,233)</w:t>
            </w: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r>
      <w:tr>
        <w:trPr>
          <w:trHeight w:val="20"/>
        </w:trPr>
        <w:tc>
          <w:tcPr>
            <w:tcW w:w="414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(10,622)</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(13,851)</w:t>
            </w: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14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(10,611)</w:t>
            </w: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(13,859)</w:t>
            </w:r>
          </w:p>
        </w:tc>
      </w:tr>
      <w:tr>
        <w:trPr>
          <w:trHeight w:val="20"/>
        </w:trPr>
        <w:tc>
          <w:tcPr>
            <w:tcW w:w="4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30,540,872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26,253,565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-2136775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-2136775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-1579880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-1014095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-1014095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-730885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Three-Months Ended</w:t>
            </w:r>
          </w:p>
        </w:tc>
      </w:tr>
      <w:tr>
        <w:trPr>
          <w:trHeight w:val="202"/>
        </w:trPr>
        <w:tc>
          <w:tcPr>
            <w:tcW w:w="8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r>
      <w:tr>
        <w:trPr>
          <w:trHeight w:val="209"/>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(10,611)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(13,859)</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due to credit risk on loan facility</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8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(12,333)</w:t>
            </w:r>
          </w:p>
        </w:tc>
      </w:tr>
      <w:tr>
        <w:trPr>
          <w:trHeight w:val="20"/>
        </w:trPr>
        <w:tc>
          <w:tcPr>
            <w:tcW w:w="8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Company common</w:t>
            </w:r>
          </w:p>
        </w:tc>
        <w:tc>
          <w:tcPr>
            <w:tcW w:w="40" w:type="dxa"/>
            <w:vAlign w:val="bottom"/>
          </w:tcPr>
          <w:p>
            <w:pPr>
              <w:spacing w:after="0"/>
              <w:rPr>
                <w:sz w:val="5"/>
                <w:szCs w:val="5"/>
                <w:color w:val="auto"/>
              </w:rPr>
            </w:pPr>
          </w:p>
        </w:tc>
        <w:tc>
          <w:tcPr>
            <w:tcW w:w="90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40" w:type="dxa"/>
            <w:vAlign w:val="bottom"/>
          </w:tcPr>
          <w:p>
            <w:pPr>
              <w:spacing w:after="0"/>
              <w:rPr>
                <w:sz w:val="5"/>
                <w:szCs w:val="5"/>
                <w:color w:val="auto"/>
              </w:rPr>
            </w:pPr>
          </w:p>
        </w:tc>
        <w:tc>
          <w:tcPr>
            <w:tcW w:w="860" w:type="dxa"/>
            <w:vAlign w:val="bottom"/>
            <w:gridSpan w:val="3"/>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860" w:type="dxa"/>
            <w:vAlign w:val="bottom"/>
            <w:vMerge w:val="restart"/>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6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NQDC Plan</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16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30,571,662</w:t>
            </w:r>
          </w:p>
        </w:tc>
        <w:tc>
          <w:tcPr>
            <w:tcW w:w="500" w:type="dxa"/>
            <w:vAlign w:val="bottom"/>
            <w:gridSpan w:val="2"/>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(1,293)</w:t>
            </w:r>
          </w:p>
        </w:tc>
        <w:tc>
          <w:tcPr>
            <w:tcW w:w="1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394,408</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(1,367)</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(408,401)</w:t>
            </w:r>
          </w:p>
        </w:tc>
        <w:tc>
          <w:tcPr>
            <w:tcW w:w="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(16,650)</w:t>
            </w:r>
          </w:p>
        </w:tc>
        <w:tc>
          <w:tcPr>
            <w:tcW w:w="0" w:type="dxa"/>
            <w:vAlign w:val="bottom"/>
          </w:tcPr>
          <w:p>
            <w:pPr>
              <w:spacing w:after="0"/>
              <w:rPr>
                <w:sz w:val="1"/>
                <w:szCs w:val="1"/>
                <w:color w:val="auto"/>
              </w:rPr>
            </w:pPr>
          </w:p>
        </w:tc>
      </w:tr>
      <w:tr>
        <w:trPr>
          <w:trHeight w:val="149"/>
        </w:trPr>
        <w:tc>
          <w:tcPr>
            <w:tcW w:w="4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(10,611)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(10,611)</w:t>
            </w:r>
          </w:p>
        </w:tc>
        <w:tc>
          <w:tcPr>
            <w:tcW w:w="0" w:type="dxa"/>
            <w:vAlign w:val="bottom"/>
          </w:tcPr>
          <w:p>
            <w:pPr>
              <w:spacing w:after="0"/>
              <w:rPr>
                <w:sz w:val="1"/>
                <w:szCs w:val="1"/>
                <w:color w:val="auto"/>
              </w:rPr>
            </w:pPr>
          </w:p>
        </w:tc>
      </w:tr>
      <w:tr>
        <w:trPr>
          <w:trHeight w:val="148"/>
        </w:trPr>
        <w:tc>
          <w:tcPr>
            <w:tcW w:w="41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due to exercise of penny warrants</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144,895</w:t>
            </w:r>
          </w:p>
        </w:tc>
        <w:tc>
          <w:tcPr>
            <w:tcW w:w="120" w:type="dxa"/>
            <w:vAlign w:val="bottom"/>
            <w:tcBorders>
              <w:right w:val="single" w:sz="8" w:color="CFF0FC"/>
            </w:tcBorders>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60,132</w:t>
            </w:r>
          </w:p>
        </w:tc>
        <w:tc>
          <w:tcPr>
            <w:tcW w:w="120" w:type="dxa"/>
            <w:vAlign w:val="bottom"/>
            <w:tcBorders>
              <w:right w:val="single" w:sz="8" w:color="CFF0FC"/>
            </w:tcBorders>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 of Company common stock held by the NQDC Plan</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4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due to credit risk on loan facility</w:t>
            </w: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6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2026</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30,776,689</w:t>
            </w:r>
          </w:p>
        </w:tc>
        <w:tc>
          <w:tcPr>
            <w:tcW w:w="500" w:type="dxa"/>
            <w:vAlign w:val="bottom"/>
            <w:gridSpan w:val="2"/>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(635)</w:t>
            </w:r>
          </w:p>
        </w:tc>
        <w:tc>
          <w:tcPr>
            <w:tcW w:w="1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395,830</w:t>
            </w: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648</w:t>
            </w:r>
          </w:p>
        </w:tc>
        <w:tc>
          <w:tcPr>
            <w:tcW w:w="1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(419,012) $</w:t>
            </w:r>
          </w:p>
        </w:tc>
        <w:tc>
          <w:tcPr>
            <w:tcW w:w="7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(23,166)</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160" w:type="dxa"/>
            <w:vAlign w:val="bottom"/>
          </w:tcPr>
          <w:p>
            <w:pPr>
              <w:spacing w:after="0"/>
              <w:rPr>
                <w:sz w:val="24"/>
                <w:szCs w:val="24"/>
                <w:color w:val="auto"/>
              </w:rPr>
            </w:pPr>
          </w:p>
        </w:tc>
        <w:tc>
          <w:tcPr>
            <w:tcW w:w="136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 common</w:t>
            </w:r>
          </w:p>
        </w:tc>
        <w:tc>
          <w:tcPr>
            <w:tcW w:w="40" w:type="dxa"/>
            <w:vAlign w:val="bottom"/>
          </w:tcPr>
          <w:p>
            <w:pPr>
              <w:spacing w:after="0"/>
              <w:rPr>
                <w:sz w:val="5"/>
                <w:szCs w:val="5"/>
                <w:color w:val="auto"/>
              </w:rPr>
            </w:pPr>
          </w:p>
        </w:tc>
        <w:tc>
          <w:tcPr>
            <w:tcW w:w="90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40" w:type="dxa"/>
            <w:vAlign w:val="bottom"/>
          </w:tcPr>
          <w:p>
            <w:pPr>
              <w:spacing w:after="0"/>
              <w:rPr>
                <w:sz w:val="5"/>
                <w:szCs w:val="5"/>
                <w:color w:val="auto"/>
              </w:rPr>
            </w:pPr>
          </w:p>
        </w:tc>
        <w:tc>
          <w:tcPr>
            <w:tcW w:w="86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860" w:type="dxa"/>
            <w:vAlign w:val="bottom"/>
            <w:vMerge w:val="restart"/>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600" w:type="dxa"/>
            <w:vAlign w:val="bottom"/>
            <w:gridSpan w:val="2"/>
            <w:vMerge w:val="restart"/>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NQDC Plan</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16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26,354,042</w:t>
            </w:r>
          </w:p>
        </w:tc>
        <w:tc>
          <w:tcPr>
            <w:tcW w:w="500" w:type="dxa"/>
            <w:vAlign w:val="bottom"/>
            <w:gridSpan w:val="2"/>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(1,319)</w:t>
            </w:r>
          </w:p>
        </w:tc>
        <w:tc>
          <w:tcPr>
            <w:tcW w:w="1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367,568</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right w:val="single" w:sz="8" w:color="CFF0FC"/>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(1,939)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(359,814)</w:t>
            </w:r>
          </w:p>
        </w:tc>
        <w:tc>
          <w:tcPr>
            <w:tcW w:w="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(13,859)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(13,859)</w:t>
            </w:r>
          </w:p>
        </w:tc>
        <w:tc>
          <w:tcPr>
            <w:tcW w:w="0" w:type="dxa"/>
            <w:vAlign w:val="bottom"/>
          </w:tcPr>
          <w:p>
            <w:pPr>
              <w:spacing w:after="0"/>
              <w:rPr>
                <w:sz w:val="1"/>
                <w:szCs w:val="1"/>
                <w:color w:val="auto"/>
              </w:rPr>
            </w:pPr>
          </w:p>
        </w:tc>
      </w:tr>
      <w:tr>
        <w:trPr>
          <w:trHeight w:val="148"/>
        </w:trPr>
        <w:tc>
          <w:tcPr>
            <w:tcW w:w="41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2,675</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66,008</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Distribution of Company common stock held by the NQDC Plan</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Company common stock held by the NQDC Plan</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14,608</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4160" w:type="dxa"/>
            <w:vAlign w:val="bottom"/>
            <w:tcBorders>
              <w:bottom w:val="single" w:sz="8" w:color="CFF0FC"/>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due to credit risk on loan facility</w:t>
            </w: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right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26,434,658</w:t>
            </w:r>
          </w:p>
        </w:tc>
        <w:tc>
          <w:tcPr>
            <w:tcW w:w="500" w:type="dxa"/>
            <w:vAlign w:val="bottom"/>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(1,308)</w:t>
            </w: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370,820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(413)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(373,673) $</w:t>
            </w:r>
          </w:p>
        </w:tc>
        <w:tc>
          <w:tcPr>
            <w:tcW w:w="7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(4,571)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-1859280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-1842770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-1859280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-1842770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-1859280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-1842770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-1859280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-1842770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-1859280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-1842770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-1859280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-1842770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-1859280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-1842770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-128270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-128270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-128270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-128270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-128270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-128270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gridSpan w:val="6"/>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Three-Months Ended</w:t>
            </w:r>
          </w:p>
        </w:tc>
      </w:tr>
      <w:tr>
        <w:trPr>
          <w:trHeight w:val="196"/>
        </w:trPr>
        <w:tc>
          <w:tcPr>
            <w:tcW w:w="5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r>
      <w:tr>
        <w:trPr>
          <w:trHeight w:val="19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14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(10,611)</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(13,859)</w:t>
            </w:r>
          </w:p>
        </w:tc>
      </w:tr>
      <w:tr>
        <w:trPr>
          <w:trHeight w:val="20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loan facility</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(198)</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(378)</w:t>
            </w: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fixed asset disposal</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 on patent disposal</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2"/>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Remeasurement and foreign currency transaction loss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Excess and obsolete inventory related charges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premium of marketable securities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changes in the fair value of NQDC plan</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(695)</w:t>
            </w:r>
          </w:p>
        </w:tc>
      </w:tr>
      <w:tr>
        <w:trPr>
          <w:trHeight w:val="20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(253)</w:t>
            </w: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Prepaids and other current assets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(1,439)</w:t>
            </w: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(154)</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(231)</w:t>
            </w: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Corporate-owned life insurance ("COLI") asset</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wages and fringe benefits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(2,105)</w:t>
            </w:r>
          </w:p>
        </w:tc>
      </w:tr>
      <w:tr>
        <w:trPr>
          <w:trHeight w:val="202"/>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non-qualified deferred compensation liability</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(1,567)</w:t>
            </w: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(481)</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Non-qualified deferred compensation plan liability</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596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(10,072)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(10,309)</w:t>
            </w:r>
          </w:p>
        </w:tc>
      </w:tr>
      <w:tr>
        <w:trPr>
          <w:trHeight w:val="20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plant and equipment</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w:t>
            </w: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Patent filing fees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196"/>
        </w:trPr>
        <w:tc>
          <w:tcPr>
            <w:tcW w:w="59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4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8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10,766</w:t>
            </w:r>
          </w:p>
        </w:tc>
        <w:tc>
          <w:tcPr>
            <w:tcW w:w="100" w:type="dxa"/>
            <w:vAlign w:val="bottom"/>
            <w:tcBorders>
              <w:top w:val="single" w:sz="8" w:color="CFF0FC"/>
            </w:tcBorders>
          </w:tcPr>
          <w:p>
            <w:pPr>
              <w:spacing w:after="0"/>
              <w:rPr>
                <w:sz w:val="17"/>
                <w:szCs w:val="17"/>
                <w:color w:val="auto"/>
              </w:rPr>
            </w:pPr>
          </w:p>
        </w:tc>
      </w:tr>
      <w:tr>
        <w:trPr>
          <w:trHeight w:val="20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loan facility, net of issuance costs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Previous Credit Agreement</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(42,984)</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7"/>
                <w:szCs w:val="17"/>
                <w:color w:val="auto"/>
              </w:rPr>
            </w:pPr>
          </w:p>
        </w:tc>
      </w:tr>
      <w:tr>
        <w:trPr>
          <w:trHeight w:val="196"/>
        </w:trPr>
        <w:tc>
          <w:tcPr>
            <w:tcW w:w="5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6,097</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increase/(decrease) in cash and cash equivalents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(1,934)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7"/>
                <w:szCs w:val="17"/>
                <w:color w:val="auto"/>
              </w:rPr>
            </w:pPr>
          </w:p>
        </w:tc>
      </w:tr>
      <w:tr>
        <w:trPr>
          <w:trHeight w:val="19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4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8,309</w:t>
            </w: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14,870</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 during the period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2"/>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1,421</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 not yet paid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penny warrants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718</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 recognized upon issuance of loan facility</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tcPr>
          <w:p>
            <w:pPr>
              <w:spacing w:after="0"/>
              <w:rPr>
                <w:sz w:val="18"/>
                <w:szCs w:val="18"/>
                <w:color w:val="auto"/>
              </w:rPr>
            </w:pPr>
          </w:p>
        </w:tc>
        <w:tc>
          <w:tcPr>
            <w:tcW w:w="3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-3167380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-3167380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-2387600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-2387600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-1332865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-1332865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229"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AVITA Medical, Inc. and its subsidiaries (collectively, “AVITA Medical” or the “Company”) is a leading therapeutic acute wound care company delivering transformative solutions. The Company’s technologies are designed to optimize wound healing, effectively accelerating the time to patient recovery. The Company’s solutions improve the healing outcomes for patients with traumatic injuries and surgical repairs, addressing critical healing needs that arise from unpredictable and life-changing events. At the forefront of the Company’s portfolio is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(“RECELL”), approved by the U.S. Food and Drug Administration (the “FDA”) for the treatment of thermal burn wounds and full-thickness skin defects. RECELL harnesses the healing properties of a patient’s own skin to create an autologous skin cell suspension, Spray-On Skin™, offering an innovative solution for improved clinical outcomes at the point-of-care.</w:t>
      </w:r>
    </w:p>
    <w:p>
      <w:pPr>
        <w:spacing w:after="0" w:line="198"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7"/>
          <w:szCs w:val="17"/>
          <w:color w:val="auto"/>
        </w:rPr>
        <w:t>The single-use RECELL Autologous Cell Harvesting Device (“RECELL Ease-of-Use” or “RECELL EOU”) is approved by the FDA for the treatment of thermal burn wounds and full-thickness skin defects. The Company’s next-generation device, RECELL 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Autologous Cell Harvesting Device (“RECELL GO”), was approved by the FDA in May of 2024 to treat thermal burn wounds and full-thickness skin defects. RECELL GO introduces enhanced features that improve consistency and standardization across clinical settings. It consists of two components: a multi-use, AC-powered RECELL GO Processing Device (the “RPD”) and a RECELL GO Preparation Kit (the “RPK”). The RPK contains the single-use RECELL GO Cartridge, disaggregation head, RECELL Enzyme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and other components. The RPD provides the control for the RPK, manages the pressure applied to disaggregate the donor skin cells, and precisely regulates the incubation times of the RECELL Enzyme and solutions to optimize cell yield and promote cell viability.</w:t>
      </w:r>
    </w:p>
    <w:p>
      <w:pPr>
        <w:spacing w:after="0" w:line="199" w:lineRule="exact"/>
        <w:rPr>
          <w:sz w:val="20"/>
          <w:szCs w:val="20"/>
          <w:color w:val="auto"/>
        </w:rPr>
      </w:pPr>
    </w:p>
    <w:p>
      <w:pPr>
        <w:ind w:firstLine="749"/>
        <w:spacing w:after="0" w:line="224" w:lineRule="auto"/>
        <w:rPr>
          <w:sz w:val="20"/>
          <w:szCs w:val="20"/>
          <w:color w:val="auto"/>
        </w:rPr>
      </w:pPr>
      <w:r>
        <w:rPr>
          <w:rFonts w:ascii="Times New Roman" w:cs="Times New Roman" w:eastAsia="Times New Roman" w:hAnsi="Times New Roman"/>
          <w:sz w:val="18"/>
          <w:szCs w:val="18"/>
          <w:color w:val="auto"/>
        </w:rPr>
        <w:t>RECELL GO mini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mini”), which was approved by the FDA in December of 2024, is a line extension of RECELL GO, designed specifically to treat smaller wounds up to 480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It utilizes the same RPD but features a RECELL GO mini Preparation Kit (the “mini RPK”), which includes a single-use RECELL GO mini Cartridge optimized for smaller skin samples. These modifications are intended to address the needs of clinicians treating smaller wounds, and to support broader adoption of the RECELL GO platform in trauma centers.</w:t>
      </w:r>
    </w:p>
    <w:p>
      <w:pPr>
        <w:spacing w:after="0" w:line="205"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18"/>
          <w:szCs w:val="18"/>
          <w:color w:val="auto"/>
        </w:rPr>
        <w:t>The Company holds the rights to market, sell, and distribute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unique collagen-based dermal matrix, under the terms of an exclusive multi-year development and distribution agreement (the “Regenity Agreement”) with Collagen Matrix, Inc. dba Regenity Biosciences (“Regenity”). Under the terms of the Regenity Agreement, Regenity manufactures and supplies Cohealyx and the Company markets, sells, and distributes rights to this product under its private label in the U.S., and potentially in countries in the European Union, as well as in Australia and Japan. The Company also holds the rights to manufacture,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in the United States under the terms of an exclusive multi-year distribution agreement (the “Distribution Agreement”) and a contract manufacturing agreement (the “Manufacturing Agreement”) with Stedical Scientific, Inc. (“Stedical”). See Note 11 to the Consolidated Financial Statements for additional information regarding the Company’s commitments with each of Regenity and Stedical.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Going Concern</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the Company continuing as a going concern for the next twelve months. The Company has incurred operating losses and negative cash flows from operations since its inception and has an accumulated deficit of $419.0 million as of March 31, 2026. For the three months ended March 31, 2026 and 2025, the Company used $10.1 million and $10.3 million, respectively, of cash in its operating activities. For the years ended December 31, 2025 and 2024, the Company used $31.2 million and $48.9 million, respectively, of cash in its operating activities. As of March 31, 2026, the Company had cash, cash equivalents, and marketable securities of $14.3 million. To date, the Company has funded its operations principally through the sales of its products, issuance of equity securities, and debt financing.</w:t>
      </w:r>
    </w:p>
    <w:p>
      <w:pPr>
        <w:spacing w:after="0" w:line="187"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auto"/>
        </w:rPr>
        <w:t>On January 13, 2026, the Company entered into the Credit Agreement, as defined in Note 6 to the Consolidated Financial Statements, which provides for a five-year senior secured credit facility in an aggregate principal amount of up to $60.0 million, of which (i) $50.0 million was funded at issuance and (ii) $10.0 million will be made available, at the Company’s discretion, on or before March 31, 2027, subject to satisfaction of a certain net revenue requirement.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9" w:name="page10"/>
    <w:bookmarkEnd w:id="9"/>
    <w:p>
      <w:pPr>
        <w:ind w:right="320" w:firstLine="749"/>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Commitment Amount (as defined in Note 6 to the Consolidated Financial Statements), the Company repaid in full and terminated all of its obligations and commitments (the “Refinancing Transaction”) under the Previous Credit Agreement as defined in Note 6 to the Consolidated Financial Statements. As a result, the Company and the guarantors under the Previous Credit Agreement have no further obligations under the Previous Credit Agreement or the related guarantees other than with respect to the warrants previously issued under the Previous Credit Agreement, some of which remain outstanding. The Company received total net proceeds after the Refinancing Transaction of approximately $6.0 million.</w:t>
      </w:r>
    </w:p>
    <w:p>
      <w:pPr>
        <w:spacing w:after="0" w:line="187" w:lineRule="exact"/>
        <w:rPr>
          <w:sz w:val="20"/>
          <w:szCs w:val="20"/>
          <w:color w:val="auto"/>
        </w:rPr>
      </w:pPr>
    </w:p>
    <w:p>
      <w:pPr>
        <w:ind w:firstLine="794"/>
        <w:spacing w:after="0" w:line="266" w:lineRule="auto"/>
        <w:rPr>
          <w:sz w:val="20"/>
          <w:szCs w:val="20"/>
          <w:color w:val="auto"/>
        </w:rPr>
      </w:pPr>
      <w:r>
        <w:rPr>
          <w:rFonts w:ascii="Times New Roman" w:cs="Times New Roman" w:eastAsia="Times New Roman" w:hAnsi="Times New Roman"/>
          <w:sz w:val="18"/>
          <w:szCs w:val="18"/>
          <w:color w:val="auto"/>
        </w:rPr>
        <w:t>Pursuant to the terms of the Credit Agreement, the Company’s minimum cash balance covenant was lowered to $5.0 million. In addition, there is no right to accelerate repayment of the outstanding debt due to the Company’s Quarterly Reports on Form 10-Q containing any qualification or statement which is of a “going concern” or similar nature during the year ending December 31, 2026.</w:t>
      </w:r>
    </w:p>
    <w:p>
      <w:pPr>
        <w:spacing w:after="0" w:line="176"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Based on the Company’s liquidity position and the Company’s current forecast of operating results and cash flows, management determined there is substantial doubt about the Company’s ability to continue as a going concern over the next twelve months following the date of issuance of these Consolidated Financial Statements due to the Company’s debt repayment obligations, recurring losses, and historical negative cash flows. As a result, the Company may require additional liquidity to continue its operations over the next twelve months.</w:t>
      </w:r>
    </w:p>
    <w:p>
      <w:pPr>
        <w:spacing w:after="0" w:line="180"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As a result of this conclusion, and due to the Company’s current debt servicing obligations, the long-term portion of the credit facility has been classified as a current liability in the accompanying Consolidated Financial Statements as of March 31, 2026 and December 31, 2025.</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continues to evaluate strategies to obtain additional funding for future operations. These strategies include, but are not limited to, requesting the Additional Commitment Amount as defined in Note 6 to the Consolidated Financial Statements, or obtaining additional equity financing. However, there can be no assurance that such funding will be available to the Company when needed, either on favorable terms or at all. The Company’s Consolidated Financial Statements do not include any adjustments to the carrying amount of assets, liabilities, and reported expenses that may be necessary if the Company were unable to continue as a going concern.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have been prepared in accordance with generally accepted accounting principles in the United States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In the opinion of management, the Consolidated Financial Statements reflect all adjustments of a normal and recurring nature that are considered necessary for a fair presentation of the results for the interim periods presented. The information included in this Quarterly Report on Form 10-Q should be read in conjunction with the audited Consolidated Financial Statements and notes thereto included in the Company’s Annual Report on Form 10-K for the year-ended December 31, 2025 filed with the SEC on February 12, 2026 and lodged with the Australian Securities Exchange (“ASX”) on February 13, 2026 (the “2025 Annual Report”).</w:t>
      </w:r>
    </w:p>
    <w:p>
      <w:pPr>
        <w:spacing w:after="0" w:line="19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the 2025 Annual Report that have had a material impact on the Company’s Consolidated Financial Statements. See the summary of the Company’s significant accounting policies set forth in the notes to its Consolidated Financial Statements included in the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000" w:firstLine="74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transactions and balances have been eliminated upon consolidation.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(Topic 220):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which requires disaggregated disclosures of certain costs and expenses in the notes to financial statements. This guidance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 for annual reporting periods beginning after December 15, 2026, and for interim reporting periods beginning after December 15, 2027. Early adoption is permitted. The Company is currently evaluating the impact of adopting this ASU No. 2024-03 on its Consolidated Financial Statements and disclosures.</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addresses changes in software development methods and increases the operability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for improved financial reporting. This guidance is effective for annual reporting periods beginning after December 15, 2027, and for interim reporting periods within those annual reporting periods. Early adoption is permitted. The Company is currently evaluating the impact of adopting this ASU No. 2025-06 on its Consolidated Financial Statements and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GAAP requires management to make estimates and assumptions that affect the reported amounts (including the stand-alone selling price (“SSP”) for the RPD, allowance for credit losses, reserves for inventory excess and obsolescence, carrying value of long-lived assets, useful lives of long-lived assets, accounting for marketable securities, income taxes, fair value of loan facility, fair value of warrants and stock-based compensation) and related disclosures. Estimates have been prepared based on the current and available information. However, actual results could differ from estimated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held at deposit institutions and cash equivalents. Cash equivalents consist primarily of money market funds. Cash equivalents also include short-term, highly liquid investments with original maturities of three months or less from the date of purchase. The Company held cash at deposit institutions in the amount of $2.2 million and $1.8 million as of March 31, 2026 and December 31, 2025, respectively. The Company does not have cash on deposit denominated in foreign currency in foreign institutions as of March 31, 2026 and December 31, 2025. As of March 31, 2026 and December 31, 2025, the Company held cash equivalents in the amounts of $6.1 million and $8.4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marketable securities, trade receivables, and debt and other liabilities. As of March 31, 2026 and December 31, 2025, substantially all the Company’s cash and cash equivalents were deposited in accounts at financial institutions, and those deposited amounts exceed federally insured limits and are, therefore, subject to the risk of bank failure.</w:t>
      </w:r>
    </w:p>
    <w:p>
      <w:pPr>
        <w:spacing w:after="0" w:line="180"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no customer accounted for more than 10% of net accounts receivable. For the three-months ended March 31, 2026 and 2025, no single customer accounted for more than 10% of total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generates revenues primarily from:</w:t>
      </w:r>
    </w:p>
    <w:p>
      <w:pPr>
        <w:spacing w:after="0" w:line="117" w:lineRule="exact"/>
        <w:rPr>
          <w:sz w:val="20"/>
          <w:szCs w:val="20"/>
          <w:color w:val="auto"/>
        </w:rPr>
      </w:pPr>
    </w:p>
    <w:p>
      <w:pPr>
        <w:ind w:left="1020" w:right="7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RECELL EOU, RPK and mini RPK (collectively, the “RPKs”), Cohealyx, and PermeaDerm products to hospitals, other treatment centers, and distributors.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for the RPD.</w:t>
      </w:r>
    </w:p>
    <w:p>
      <w:pPr>
        <w:spacing w:after="0" w:line="223"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8"/>
          <w:szCs w:val="18"/>
          <w:color w:val="auto"/>
        </w:rPr>
        <w:t xml:space="preserve">The Company’s sale of the RECELL EOU, Cohealyx, and PermeaDerm products are accounted for under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Revenue for RECELL GO is disaggregated between two accounting standards: (1) ASC 606 for the RPKs and (2) ASC 842,</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(“ASC 842”) for the RPD.</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determine revenue recognition for contracts that are within the scope of ASC 606, the Company performs the following five steps:</w:t>
      </w:r>
    </w:p>
    <w:p>
      <w:pPr>
        <w:spacing w:after="0" w:line="225"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when/as a performance obligation(s) is(are) satisfied</w:t>
      </w:r>
    </w:p>
    <w:p>
      <w:pPr>
        <w:spacing w:after="0" w:line="20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order for an arrangement to be considered a contract, it must be probable that the Company will collect the consideration to which it is entitled for goods or services to be transferred. The Company then assesses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w:t>
      </w:r>
    </w:p>
    <w:p>
      <w:pPr>
        <w:spacing w:after="0" w:line="183"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determines the transaction price based on the amount of consideration the Company expects to receive for providing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When accounting for a contract that contains multiple performance obligations, the Company must develop judgmental assumptions to determine the estimated SSP for each performance obligation identified in the contract. The Company utilizes the observable SSP when available, which represents the price charged for the promised product or service when sold separately. When the SSP for the Company’s products or services are not directly observable, the Company determines the SSP using relevant information available and applies suitable estimation methods including, but not limited to, the cost-plus margin approach. The Company then allocates the transaction price to each performance obligation based on the relative SSP and recognizes as revenue the amount of the transaction price that is allocated to the respective performance obligation when (or as) control is transferred to the customer and the performance obligation is satisfied.</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its customers obtain control of promised goods or services, in an amount that reflects the consideration which the Company expects to be entitled in exchange for those goods or services. Revenue is recognized net of volume discounts (variable consideration). For the Company’s contracts that have an original duration of one year or less, since contract inception and customer payment occur within the same period, the Company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for contracts that are within the scope of ASC 606 and ASC 842</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customers where it receives consideration for the RPKs and does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including any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determining whether the lease components are related to a sales-type lease or an operating lease, the Company evaluates if the lease transfers ownership at the end of the lease term, the existence of purchase options, the lease term in relation to the economic life of the asset, if the lease payments exceed the fair value of the asset, and if the asset is of a specialized nature. The Company also evaluates if the lease results in a loss at the lease commencement date. As the lease term for the RPD is for a major part of the economic life of the asset, the lease meets the classification criteria for a sales-type lease. However, to determine if the contract results in a loss at the lease commencement date, the Company evaluated the consideration in the contract. The consideration at lease commencement does not contain fixed payments, purchase options, penalty payments or residual value guarantees. The variable consideration is related to the sale of the RPKs. As the variable lease payments are not dependent on an index or rate, the variable lease payments are excluded from consideration at contract inception resulting in a loss at lease commencement. As such, the Company classifies the lease as an operating lease.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 w:name="page13"/>
    <w:bookmarkEnd w:id="12"/>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contracts contain an operating lease component, the RPD, and non-lease components, the RPKs. The lease component will be accounted for under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RPKs occurs and control has transferred to the customer. Consideration will be allocated to the RPD and the RPKs based on the SSP. Consideration related to the RPD will be recognized as Lease revenue and consideration related to the RPKs will be recognized as Sales revenues in accordance with guidance in ASC 606, as described above, upon transfer of control of the RPKs, which generally occurs at the time the product is shipped or delivered, depending on the customer's shipping terms.</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Assets in the Company’s lease program are reported in Plant and equipment, net on the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RPKs sold. Based on customer usage, each purchase of an RPK results in a 1/200 depreciation to the RPD.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amortized cost and estimated fair values of securities available-for-sale: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left="26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center"/>
              <w:ind w:left="20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28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left="20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289"/>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left="229"/>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6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80" w:type="dxa"/>
            <w:vAlign w:val="bottom"/>
          </w:tcPr>
          <w:p>
            <w:pPr>
              <w:spacing w:after="0"/>
              <w:rPr>
                <w:sz w:val="18"/>
                <w:szCs w:val="18"/>
                <w:color w:val="auto"/>
              </w:rPr>
            </w:pPr>
          </w:p>
        </w:tc>
        <w:tc>
          <w:tcPr>
            <w:tcW w:w="1300" w:type="dxa"/>
            <w:vAlign w:val="bottom"/>
            <w:gridSpan w:val="2"/>
          </w:tcPr>
          <w:p>
            <w:pPr>
              <w:jc w:val="right"/>
              <w:ind w:right="102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3"/>
          </w:tcPr>
          <w:p>
            <w:pPr>
              <w:jc w:val="right"/>
              <w:ind w:right="102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6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80" w:type="dxa"/>
            <w:vAlign w:val="bottom"/>
          </w:tcPr>
          <w:p>
            <w:pPr>
              <w:spacing w:after="0"/>
              <w:rPr>
                <w:sz w:val="18"/>
                <w:szCs w:val="18"/>
                <w:color w:val="auto"/>
              </w:rPr>
            </w:pPr>
          </w:p>
        </w:tc>
        <w:tc>
          <w:tcPr>
            <w:tcW w:w="1300" w:type="dxa"/>
            <w:vAlign w:val="bottom"/>
            <w:gridSpan w:val="2"/>
          </w:tcPr>
          <w:p>
            <w:pPr>
              <w:jc w:val="right"/>
              <w:ind w:right="102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3"/>
          </w:tcPr>
          <w:p>
            <w:pPr>
              <w:jc w:val="right"/>
              <w:ind w:right="102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Current marketable securities:</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80" w:type="dxa"/>
            <w:vAlign w:val="bottom"/>
          </w:tcPr>
          <w:p>
            <w:pPr>
              <w:spacing w:after="0"/>
              <w:rPr>
                <w:sz w:val="18"/>
                <w:szCs w:val="18"/>
                <w:color w:val="auto"/>
              </w:rPr>
            </w:pPr>
          </w:p>
        </w:tc>
        <w:tc>
          <w:tcPr>
            <w:tcW w:w="1300" w:type="dxa"/>
            <w:vAlign w:val="bottom"/>
            <w:gridSpan w:val="2"/>
          </w:tcPr>
          <w:p>
            <w:pPr>
              <w:jc w:val="right"/>
              <w:ind w:right="102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3"/>
          </w:tcPr>
          <w:p>
            <w:pPr>
              <w:jc w:val="right"/>
              <w:ind w:right="102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2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3"/>
            <w:shd w:val="clear" w:color="auto" w:fill="CFF0FC"/>
          </w:tcPr>
          <w:p>
            <w:pPr>
              <w:jc w:val="right"/>
              <w:ind w:right="102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Cost</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8,448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8,448</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Current marketable securities:</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7,938</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7,938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-2305050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-2305050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-2305050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-1713865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-1696720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-1713865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-1696720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-1713865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-1696720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-471170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-454025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-471170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-454025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-471170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-454025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-170815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The maturities of the Company’s available-for-sale securities are summarized in the following table using contractual maturities. Actual maturities may differ from contractual maturities due to obligations that are called or prepaid.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17"/>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6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5,953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5,952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7,938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7,942</w:t>
            </w:r>
          </w:p>
        </w:tc>
        <w:tc>
          <w:tcPr>
            <w:tcW w:w="0" w:type="dxa"/>
            <w:vAlign w:val="bottom"/>
          </w:tcPr>
          <w:p>
            <w:pPr>
              <w:spacing w:after="0"/>
              <w:rPr>
                <w:sz w:val="1"/>
                <w:szCs w:val="1"/>
                <w:color w:val="auto"/>
              </w:rPr>
            </w:pPr>
          </w:p>
        </w:tc>
      </w:tr>
      <w:tr>
        <w:trPr>
          <w:trHeight w:val="648"/>
        </w:trPr>
        <w:tc>
          <w:tcPr>
            <w:tcW w:w="3600" w:type="dxa"/>
            <w:vAlign w:val="bottom"/>
          </w:tcPr>
          <w:p>
            <w:pPr>
              <w:spacing w:after="0"/>
              <w:rPr>
                <w:sz w:val="24"/>
                <w:szCs w:val="24"/>
                <w:color w:val="auto"/>
              </w:rPr>
            </w:pP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 w:name="page14"/>
    <w:bookmarkEnd w:id="13"/>
    <w:p>
      <w:pPr>
        <w:ind w:right="240" w:firstLine="749"/>
        <w:spacing w:after="0" w:line="255" w:lineRule="auto"/>
        <w:rPr>
          <w:sz w:val="20"/>
          <w:szCs w:val="20"/>
          <w:color w:val="auto"/>
        </w:rPr>
      </w:pPr>
      <w:r>
        <w:rPr>
          <w:rFonts w:ascii="Times New Roman" w:cs="Times New Roman" w:eastAsia="Times New Roman" w:hAnsi="Times New Roman"/>
          <w:sz w:val="18"/>
          <w:szCs w:val="18"/>
          <w:color w:val="auto"/>
        </w:rPr>
        <w:t>Unrealized gains and losses, net of any related tax effects for available-for-sale securities are excluded from earnings and are included in other comprehensive loss and reported as a separate component of stockholders' equity until realized. Realized gains and losses on marketable securities are included in Other expense, net, in the accompanying Consolidated Statements of Operations. The Company had a net unrealized loss of $1,000 and net unrealized gain of $4,000 as of March 31, 2026 and December 31, 2025, respectively. The Company did not have sales of investments during the three-months ended March 31, 2026 and 2025 that resulted in realized gains or losses. As of March 31, 2026 and December 31, 2025, the Company did not recognize credit losses. The Company has accrued interest income receivable of $12,000 and $21,000 as of March 31, 2026 and December 31, 2025, respectively, recorded in Prepaids and other current assets in the Consolidated Balance Sheets.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ectPr>
          <w:pgSz w:w="11900" w:h="16838" w:orient="portrait"/>
          <w:cols w:equalWidth="0" w:num="1">
            <w:col w:w="11240"/>
          </w:cols>
          <w:pgMar w:left="320" w:top="1255" w:right="339" w:bottom="1440" w:gutter="0" w:footer="0" w:header="0"/>
        </w:sectPr>
      </w:pPr>
    </w:p>
    <w:p>
      <w:pPr>
        <w:spacing w:after="0" w:line="18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reporting entity can measurement date.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access at the</w:t>
      </w:r>
    </w:p>
    <w:p>
      <w:pPr>
        <w:spacing w:after="0" w:line="452" w:lineRule="exact"/>
        <w:rPr>
          <w:sz w:val="20"/>
          <w:szCs w:val="20"/>
          <w:color w:val="auto"/>
        </w:rPr>
      </w:pPr>
    </w:p>
    <w:p>
      <w:pPr>
        <w:sectPr>
          <w:pgSz w:w="11900" w:h="16838" w:orient="portrait"/>
          <w:cols w:equalWidth="0" w:num="2">
            <w:col w:w="9660" w:space="460"/>
            <w:col w:w="1120"/>
          </w:cols>
          <w:pgMar w:left="320" w:top="1255" w:right="339" w:bottom="1440" w:gutter="0" w:footer="0" w:header="0"/>
          <w:type w:val="continuous"/>
        </w:sectPr>
      </w:pPr>
    </w:p>
    <w:p>
      <w:pPr>
        <w:jc w:val="center"/>
        <w:ind w:left="760"/>
        <w:spacing w:after="0"/>
        <w:rPr>
          <w:sz w:val="20"/>
          <w:szCs w:val="20"/>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directly or</w:t>
      </w:r>
    </w:p>
    <w:p>
      <w:pPr>
        <w:spacing w:after="0" w:line="38" w:lineRule="exact"/>
        <w:rPr>
          <w:sz w:val="20"/>
          <w:szCs w:val="20"/>
          <w:color w:val="auto"/>
        </w:rPr>
      </w:pPr>
    </w:p>
    <w:p>
      <w:pPr>
        <w:sectPr>
          <w:pgSz w:w="11900" w:h="16838" w:orient="portrait"/>
          <w:cols w:equalWidth="0" w:num="2">
            <w:col w:w="9760" w:space="720"/>
            <w:col w:w="760"/>
          </w:cols>
          <w:pgMar w:left="320" w:top="125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indirectly.</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Level 3: Inputs are unobservable inputs for the asset or liability.</w:t>
      </w:r>
    </w:p>
    <w:p>
      <w:pPr>
        <w:sectPr>
          <w:pgSz w:w="11900" w:h="16838" w:orient="portrait"/>
          <w:cols w:equalWidth="0" w:num="1">
            <w:col w:w="11240"/>
          </w:cols>
          <w:pgMar w:left="320" w:top="1255" w:right="339" w:bottom="1440" w:gutter="0" w:footer="0" w:header="0"/>
          <w:type w:val="continuous"/>
        </w:sectPr>
      </w:pPr>
    </w:p>
    <w:p>
      <w:pPr>
        <w:spacing w:after="0" w:line="23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three-tier fair value hierarchy: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shd w:val="clear" w:color="auto" w:fill="CFF0FC"/>
          </w:tcPr>
          <w:p>
            <w:pPr>
              <w:spacing w:after="0"/>
              <w:rPr>
                <w:sz w:val="18"/>
                <w:szCs w:val="18"/>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Financial liabilities:</w:t>
            </w:r>
          </w:p>
        </w:tc>
        <w:tc>
          <w:tcPr>
            <w:tcW w:w="3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Loan Facility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46,139</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52,192</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Corporate-owned life insurance policies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20" w:type="dxa"/>
            <w:vAlign w:val="bottom"/>
            <w:shd w:val="clear" w:color="auto" w:fill="CFF0FC"/>
          </w:tcPr>
          <w:p>
            <w:pPr>
              <w:spacing w:after="0"/>
              <w:rPr>
                <w:sz w:val="18"/>
                <w:szCs w:val="18"/>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2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20" w:type="dxa"/>
            <w:vAlign w:val="bottom"/>
          </w:tcPr>
          <w:p>
            <w:pPr>
              <w:spacing w:after="0"/>
              <w:rPr>
                <w:sz w:val="19"/>
                <w:szCs w:val="19"/>
                <w:color w:val="auto"/>
              </w:rPr>
            </w:pPr>
          </w:p>
        </w:tc>
      </w:tr>
      <w:tr>
        <w:trPr>
          <w:trHeight w:val="630"/>
        </w:trPr>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-2759710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-2759710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-2759710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-2759710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-2193925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-2193925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-2193925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-2193925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-1053465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-1053465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-1053465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20" w:type="dxa"/>
            <w:vAlign w:val="bottom"/>
            <w:shd w:val="clear" w:color="auto" w:fill="CFF0FC"/>
          </w:tcPr>
          <w:p>
            <w:pPr>
              <w:spacing w:after="0"/>
              <w:rPr>
                <w:sz w:val="18"/>
                <w:szCs w:val="18"/>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120" w:type="dxa"/>
            <w:vAlign w:val="bottom"/>
            <w:shd w:val="clear" w:color="auto" w:fill="CFF0FC"/>
          </w:tcPr>
          <w:p>
            <w:pPr>
              <w:spacing w:after="0"/>
              <w:rPr>
                <w:sz w:val="21"/>
                <w:szCs w:val="21"/>
                <w:color w:val="auto"/>
              </w:rPr>
            </w:pPr>
          </w:p>
        </w:tc>
      </w:tr>
      <w:tr>
        <w:trPr>
          <w:trHeight w:val="197"/>
        </w:trPr>
        <w:tc>
          <w:tcPr>
            <w:tcW w:w="50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Financial liabilities:</w:t>
            </w:r>
          </w:p>
        </w:tc>
        <w:tc>
          <w:tcPr>
            <w:tcW w:w="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Facility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48,200</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Corporate-owned life insurance policies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-1431290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-1431290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-1431290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-1431290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-1139825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-1122045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-1139825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-1122045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-1139825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-1122045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-1139825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-1122045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-565150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-565150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-565150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summary of changes in the fair value of the Company’s Level 3 financial instruments: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0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Extinguishment of Previous Credit</w:t>
            </w: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340" w:type="dxa"/>
            <w:vAlign w:val="bottom"/>
          </w:tcPr>
          <w:p>
            <w:pPr>
              <w:spacing w:after="0"/>
              <w:rPr>
                <w:sz w:val="20"/>
                <w:szCs w:val="20"/>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(42,984)</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Facility fair value, at issuance</w:t>
            </w:r>
          </w:p>
        </w:tc>
        <w:tc>
          <w:tcPr>
            <w:tcW w:w="3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in earnings</w:t>
            </w:r>
          </w:p>
        </w:tc>
        <w:tc>
          <w:tcPr>
            <w:tcW w:w="34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198"/>
        </w:trPr>
        <w:tc>
          <w:tcPr>
            <w:tcW w:w="3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in other</w:t>
            </w:r>
          </w:p>
        </w:tc>
        <w:tc>
          <w:tcPr>
            <w:tcW w:w="340" w:type="dxa"/>
            <w:vAlign w:val="bottom"/>
            <w:shd w:val="clear" w:color="auto" w:fill="CFF0FC"/>
          </w:tcPr>
          <w:p>
            <w:pPr>
              <w:spacing w:after="0"/>
              <w:rPr>
                <w:sz w:val="17"/>
                <w:szCs w:val="17"/>
                <w:color w:val="auto"/>
              </w:rPr>
            </w:pPr>
          </w:p>
        </w:tc>
        <w:tc>
          <w:tcPr>
            <w:tcW w:w="19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FF0FC"/>
          </w:tcPr>
          <w:p>
            <w:pPr>
              <w:spacing w:after="0"/>
              <w:rPr>
                <w:sz w:val="17"/>
                <w:szCs w:val="17"/>
                <w:color w:val="auto"/>
              </w:rPr>
            </w:pP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shd w:val="clear" w:color="auto" w:fill="CFF0FC"/>
          </w:tcPr>
          <w:p>
            <w:pPr>
              <w:spacing w:after="0"/>
              <w:rPr>
                <w:sz w:val="17"/>
                <w:szCs w:val="17"/>
                <w:color w:val="auto"/>
              </w:rPr>
            </w:pPr>
          </w:p>
        </w:tc>
        <w:tc>
          <w:tcPr>
            <w:tcW w:w="1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shd w:val="clear" w:color="auto" w:fill="CFF0FC"/>
          </w:tcPr>
          <w:p>
            <w:pPr>
              <w:spacing w:after="0"/>
              <w:rPr>
                <w:sz w:val="19"/>
                <w:szCs w:val="19"/>
                <w:color w:val="auto"/>
              </w:rPr>
            </w:pPr>
          </w:p>
        </w:tc>
        <w:tc>
          <w:tcPr>
            <w:tcW w:w="192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tcBorders>
              <w:right w:val="single" w:sz="8" w:color="CFF0FC"/>
            </w:tcBorders>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 at fair value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Company’s Level 1 assets include money market instruments and are valued based upon observable market prices. The Company’s Level 1 liabilities included the Penny Warrants (as defined below) which were valued based upon observable market prices. Level 2 assets consist of U.S Treasury securities. Level 2 securities are valued based upon observable inputs that include reported trades, broker/dealer quotes, bids and offers. The corporate-owned life insurance contracts are recorded at cash surrender value, which approximates the fair value and is categorized as Level 2. Non-qualified deferred compensation plan liability is measured at fair value based on quoted prices of identical instruments to the investment vehicles selected by the participants, and is recorded as Level 2. There were no transfers between fair value measurement levels during the periods ended March 31, 2026 and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Facility</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fair value of the loan facility was determined using a discounted cash flow method to value the initial term loan using a risk-free interest rate of 3.90% as of March 31, 2026. The valuation was performed based on significant inputs not observable in the market, which represents a Level 3 measurement within the fair value hierarchy. The fair value of the loan facility is recorded in the Consolidated Balance Sheets. The fair value is estimated by the Company each reporting period and the change in the fair value is recorded in both earnings and other comprehensive income, depending on both the instrument's inherent credit risk and the market risk related to the debt valuation.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On the Closing Date, as defined in Note 6 to the Consolidated Financial Statements, the Company agreed to issue, subject to shareholder approval, warrants to purchase up to 650,000 shares of Common Stock, par value $0.0001 per share, at an exercise price set at the lower of two 10-day VWAPs: (i) the 10-day VWAP ending on the business day immediately prior to the Closing Date (i.e., 12 January 2026), which VWAP is $3.4019; or (ii) the 10-day VWAP ending on the business day immediately prior to the issuance date of the warrants (the “Perceptive Warrants”). The fair value of the Perceptive Warrants liability was determined based on significant inputs not observable in the market, which represents a Level 3 measurement within the fair value hierarchy. The fair value of the Perceptive Warrants liability, which is reported within Warrant liabilities on the Consolidated Balance Sheets, is estimated by the Company based on the Black-Scholes option pricing model with the following key inputs: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2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As of March 31, 2026</w:t>
            </w: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Price of common stock</w:t>
            </w:r>
          </w:p>
        </w:tc>
        <w:tc>
          <w:tcPr>
            <w:tcW w:w="680" w:type="dxa"/>
            <w:vAlign w:val="bottom"/>
            <w:tcBorders>
              <w:top w:val="single" w:sz="8" w:color="auto"/>
            </w:tcBorders>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3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680" w:type="dxa"/>
            <w:vAlign w:val="bottom"/>
          </w:tcPr>
          <w:p>
            <w:pPr>
              <w:spacing w:after="0"/>
              <w:rPr>
                <w:sz w:val="18"/>
                <w:szCs w:val="18"/>
                <w:color w:val="auto"/>
              </w:rPr>
            </w:pPr>
          </w:p>
        </w:tc>
        <w:tc>
          <w:tcPr>
            <w:tcW w:w="3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 years</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shd w:val="clear" w:color="auto" w:fill="CFF0FC"/>
          </w:tcPr>
          <w:p>
            <w:pPr>
              <w:spacing w:after="0"/>
              <w:rPr>
                <w:sz w:val="18"/>
                <w:szCs w:val="18"/>
                <w:color w:val="auto"/>
              </w:rPr>
            </w:pPr>
          </w:p>
        </w:tc>
        <w:tc>
          <w:tcPr>
            <w:tcW w:w="3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48.15%</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3.4019</w:t>
            </w:r>
          </w:p>
        </w:tc>
        <w:tc>
          <w:tcPr>
            <w:tcW w:w="18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shd w:val="clear" w:color="auto" w:fill="CFF0FC"/>
          </w:tcPr>
          <w:p>
            <w:pPr>
              <w:spacing w:after="0"/>
              <w:rPr>
                <w:sz w:val="18"/>
                <w:szCs w:val="18"/>
                <w:color w:val="auto"/>
              </w:rPr>
            </w:pPr>
          </w:p>
        </w:tc>
        <w:tc>
          <w:tcPr>
            <w:tcW w:w="3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680" w:type="dxa"/>
            <w:vAlign w:val="bottom"/>
          </w:tcPr>
          <w:p>
            <w:pPr>
              <w:spacing w:after="0"/>
              <w:rPr>
                <w:sz w:val="20"/>
                <w:szCs w:val="20"/>
                <w:color w:val="auto"/>
              </w:rPr>
            </w:pPr>
          </w:p>
        </w:tc>
        <w:tc>
          <w:tcPr>
            <w:tcW w:w="3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On February 13, 2025, the Company issued 145,180 warrants with an exercise price of $0.01 per share (the “Penny Warrants”). The Penny Warrants were issued in connection with the Previous Credit Agreement as defined in Note 6 of the Consolidated Financial Statements. On March 4, 2026, the Penny Warrants were exercised and 144,895 shares of the Company’s common stock (“Common Stock”) were issued.</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fair value of the Penny Warrants liability was determined based on quoted prices in active markets, which represents a Level 1 measurement within the fair value hierarchy. The fair value of the Penny Warrants liability, which was reported within Warrant liabilities on the Consolidated Balance Sheets, was estimated by the Company based on the closing price of the Common Stock as quoted on the Nasdaq Capital Market (“Nasdaq”) under the ticker code, “RCEL.”</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October 18, 2023, the Company issued 409,661 warrants with an exercise price of $10.9847 per share as consideration for the Previous Credit Agreement as defined in Note 6 to the Consolidated Financial Statements. As a result of the issuance of Common Stock via a private placement on the ASX on August 12, 2025, the exercise price of these warrants was adjusted to $10.218 (the “$10.218 Warrants”). The fair value of the $10.218 Warrants liability was determined based on significant inputs not observable in the market, which represents a Level 3 measurement within the fair value hierarchy. The fair value of the $10.218 Warrants liability, which is reported within Warrant liabilities on the Consolidated Balance Sheets, is estimated by the Company based on the Black-Scholes option pricing model with the following key inputs: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512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18"/>
                <w:szCs w:val="18"/>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Price of common stock</w:t>
            </w:r>
          </w:p>
        </w:tc>
        <w:tc>
          <w:tcPr>
            <w:tcW w:w="2180" w:type="dxa"/>
            <w:vAlign w:val="bottom"/>
            <w:shd w:val="clear" w:color="auto" w:fill="CFF0FC"/>
          </w:tcPr>
          <w:p>
            <w:pPr>
              <w:jc w:val="right"/>
              <w:ind w:right="20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7.56 years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7.80 years</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79.78%</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68.94%</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180" w:type="dxa"/>
            <w:vAlign w:val="bottom"/>
          </w:tcPr>
          <w:p>
            <w:pPr>
              <w:jc w:val="right"/>
              <w:ind w:right="20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10.2180</w:t>
            </w:r>
          </w:p>
        </w:tc>
        <w:tc>
          <w:tcPr>
            <w:tcW w:w="160" w:type="dxa"/>
            <w:vAlign w:val="bottom"/>
          </w:tcPr>
          <w:p>
            <w:pPr>
              <w:spacing w:after="0"/>
              <w:rPr>
                <w:sz w:val="18"/>
                <w:szCs w:val="18"/>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10.2180</w:t>
            </w:r>
          </w:p>
        </w:tc>
        <w:tc>
          <w:tcPr>
            <w:tcW w:w="18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generates revenues primarily from:</w:t>
      </w:r>
    </w:p>
    <w:p>
      <w:pPr>
        <w:spacing w:after="0" w:line="117" w:lineRule="exact"/>
        <w:rPr>
          <w:sz w:val="20"/>
          <w:szCs w:val="20"/>
          <w:color w:val="auto"/>
        </w:rPr>
      </w:pPr>
    </w:p>
    <w:p>
      <w:pPr>
        <w:ind w:left="1020" w:right="2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EOU, RECELL GO RPK, RECELL GO mini RPK, Cohealyx, and PermeaDerm products to hospitals, other treatment centers, and distributors.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for the RECELL GO RPD.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EOU, Cohealyx, and PermeaDerm Sales</w:t>
      </w:r>
    </w:p>
    <w:p>
      <w:pPr>
        <w:spacing w:after="0" w:line="229" w:lineRule="exact"/>
        <w:rPr>
          <w:sz w:val="20"/>
          <w:szCs w:val="20"/>
          <w:color w:val="auto"/>
        </w:rPr>
      </w:pPr>
    </w:p>
    <w:p>
      <w:pPr>
        <w:ind w:right="700" w:firstLine="749"/>
        <w:spacing w:after="0" w:line="266" w:lineRule="auto"/>
        <w:rPr>
          <w:sz w:val="20"/>
          <w:szCs w:val="20"/>
          <w:color w:val="auto"/>
        </w:rPr>
      </w:pPr>
      <w:r>
        <w:rPr>
          <w:rFonts w:ascii="Times New Roman" w:cs="Times New Roman" w:eastAsia="Times New Roman" w:hAnsi="Times New Roman"/>
          <w:sz w:val="18"/>
          <w:szCs w:val="18"/>
          <w:color w:val="auto"/>
        </w:rPr>
        <w:t>The Company’s sale of the EOU, Cohealyx, and PermeaDerm products are accounted for under ASC 606, as discussed in Note 2 to the Consolidated Financial Statements. See Note 11 to the Consolidated Financial Statements for additional information regarding the Company’s commitments with Regenity and Stedical.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RECELL GO and RECELL GO mini Sales</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Revenue for the RECELL GO device is disaggregated between two accounting standards: (1) ASC 606 for the RPK, and (2) ASC 842 for the RPD. The RECELL GO and RECELL GO mini devices consist of single-use RPKs and a durable AC powered device, the RPD. The Company enters into contracts with customers where it receives consideration for the single-use RPKs and does not receive additional consideration for the RPD. The consideration in the contract is allocated based on the SSP. Upon sale of the RPKs, the consideration is allocated to the lease (RPD) and non-lease (RPK) components. Consideration received for the RPK is recorded in Sales revenue in the Consolidated Statement of Operations; and consideration for the lease is recorded in Lease revenue in the Consolidated Statement of Operations. During the three-months ended March 31, 2026, the Company recorded approximately $9.4 million in Sales revenue related to the RPKs, and $187,000 in Lease revenue related to the RPD in the Consolidated Statement of Operations. During the three-months ended March 31, 2025, the Company recorded approximately $9.5 million in Sales revenue related to the RPKs, and $189,000 in Lease revenue related to the RPD in the Consolidated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Distributor Transactions</w:t>
      </w:r>
    </w:p>
    <w:p>
      <w:pPr>
        <w:spacing w:after="0" w:line="22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For international markets, the Company exclusively partners with third-party distributors (currently, Aleamed in Benelux, Asclepios GmbH in Germany, COSMOTEC in Japan, Joint Operations Ltd in the United Kingdom, medicalsol in Switzerland, Revolution Surgical Pty Ltd in Australia and New Zealand, and Sorbion in Austria).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to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229"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w:t>
      </w:r>
    </w:p>
    <w:p>
      <w:pPr>
        <w:spacing w:after="0" w:line="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Volume Discounts </w:t>
      </w:r>
      <w:r>
        <w:rPr>
          <w:rFonts w:ascii="Times New Roman" w:cs="Times New Roman" w:eastAsia="Times New Roman" w:hAnsi="Times New Roman"/>
          <w:sz w:val="18"/>
          <w:szCs w:val="18"/>
          <w:color w:val="auto"/>
        </w:rPr>
        <w:t>— The Company generally provides contracted customers with volume discounts that are explicitly stated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contracts. RECELL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Accounts receivable are recorded net of customer allowances for expected credit losses. Accounts receivable, net as of March 31, 2026, December 31, 2025, and December 31, 2024 were $9.9 million, $9.1 million, and $11.8 million, respectively.</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Contract assets include amounts related to the Company’s contractual right to consideration for both completed and partially completed performance for which the Company does not have the right to payment. As of March 31, 2026 and December 31, 2025, the Company does not have any contract assets.</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Contract liabilities are recorded when the Company receives payment prior to satisfying its obligation to transfer goods to a customer. The Company had unsatisfied performance obligations of $315,000 and $323,000 as of March 31, 2026 and December 31, 2025, respectively. These balances are classified between current and long-term. As of March 31, 2026 and December 31, 2025, a total of $33,000 was included in Other current liabilities and $282,000 and $290,000, respectively, in Contract liabilities in the Consolidated Balance Sheets. As of December 31, 2024, the Company had an unsatisfied performance obligation of $357,000.</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For the three-months ended March 31, 2026 and 2025, the Company recognized revenue of approximately $8,000 and $64,000, respectively, for amounts included in the beginning balance of Contract liabilities.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Company’s remaining performance obligations are calculated as the dollar value of the remaining unsatisfied performance obligations on executed contracts. The estimated revenue expected to be recognized in the future once the performance obligations are satisfied under the Company’s existing customer agreements was $315,000 and $323,000, as of March 31, 2026 and December 31, 2025, respectively. These amounts are classified between current and long-term in Other current liabilities and Contract liabilities in the Consolidated Balance Sheets. The Company expects to recognize approximately $33,000 as revenue in the next twelve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to Obtain and Fulfill a Contract</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geographical regions, by customer type and by product. As noted in the segment footnote (Note 10 to the Consolidated Financial Statements), the Company’s business consists of one reporting segment. A reconciliation of revenue by geographical region, customer type, and product is provided in Note 10.</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 Facility</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January 13, 2026 (the “Closing Date”), the Company entered into a Credit Agreement and Guaranty (the “Credit Agreement”), and Security Agreement (the “Security Agreement”), by and between the Company, as borrower, and Perceptive Advisors LLC (the “Lender”). The Credit Agreement provides for a five-year senior secured credit facility in an aggregate principal amount of up to $60.0 million (the “Loan Facility”), of which $50.0 million was borrowed on the Closing Date (the “Initial Commitment Amount”). In addition, an aggregate of $10.0 million will be made available, at the Company’s discretion, on or before March 31, 2027, subject to a net revenue requirement (the “Additional Commitment Amount”).</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the Closing Date, the Company closed on the Initial Commitment Amount, less certain fees and expenses payable to or on behalf of the Lender. Also on the Closing Date, and in connection with the entry into the Credit Agreement, the Company repaid in full and terminated all of its obligations and commitments under the Previous Credit Agreement (as defined below). The Company received net proceeds of approximately $6.0 million upon closing after repaying in full the Previous Credit Agreement and deducting the Lender’s transaction costs in connection with the Loan Facility.</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indebtedness under the Credit Agreement is secured by substantially all of the Company’s assets and will accrue interest at a rate equal to the greater of (a) forward-looking one-month term SOFR rate and (b) four percent (4%) per annum, plus seven and a half percent (7.5%). As of March 31, 2026, the interest rate was 11.5%. During an event of default, any outstanding amount will bear interest at a rate of 4% in excess of the otherwise applicable rate of interest. The Company paid certain fees with respect to the Loan Facility, including an upfront fee and certain other fees and expenses of the Lender.</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the Closing Date, the Company agreed to issue to the Lender, subject to shareholder approval, warrants to purchase up to 650,000 shares of Common Stock, par value $0.0001 per share, at an exercise price set at the lower of two 10-day VWAPs: (i) the 10-day VWAP ending on the business day immediately prior to the Closing Date (i.e., 12 January 2026), which VWAP is $3.4019; or (ii) the 10-day VWAP ending on the business day immediately prior to the issuance date of the warrants, with a term of 10 years from the issuance date. The Perceptive Warrants (as defined in Note 4) contains customary share adjustment provisions, as well as weighted average price protection in certain circumstances.</w:t>
      </w:r>
    </w:p>
    <w:p>
      <w:pPr>
        <w:spacing w:after="0" w:line="183" w:lineRule="exact"/>
        <w:rPr>
          <w:sz w:val="20"/>
          <w:szCs w:val="20"/>
          <w:color w:val="auto"/>
        </w:rPr>
      </w:pPr>
    </w:p>
    <w:p>
      <w:pPr>
        <w:ind w:right="140" w:firstLine="749"/>
        <w:spacing w:after="0" w:line="277" w:lineRule="auto"/>
        <w:rPr>
          <w:sz w:val="20"/>
          <w:szCs w:val="20"/>
          <w:color w:val="auto"/>
        </w:rPr>
      </w:pPr>
      <w:r>
        <w:rPr>
          <w:rFonts w:ascii="Times New Roman" w:cs="Times New Roman" w:eastAsia="Times New Roman" w:hAnsi="Times New Roman"/>
          <w:sz w:val="17"/>
          <w:szCs w:val="17"/>
          <w:color w:val="auto"/>
        </w:rPr>
        <w:t>Under the terms of the Credit Agreement, and as set forth in a fee letter between us and the Lender (the “Fee Letter”), the Company will pay certain fees with respect to the Loan Facility, including (a) an exit fee equal to 5% of the aggregate principal amount borrowed by us under the Credit Agreement in the event that the Company fails to secure shareholder approval of the issuance of the Perceptive Warrants (the “Warrant Shareholder Approval”) on or prior to September 30, 2026, and (b) a prepayment premium ranging from 1% to 10% of the amount of the Loan Facility that is prepaid upon any voluntary or mandatory prepayment (including as a result of an acceleration), together with certain other fees and expenses of the Lender.</w:t>
      </w: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18" w:name="page19"/>
    <w:bookmarkEnd w:id="18"/>
    <w:p>
      <w:pPr>
        <w:ind w:right="80" w:firstLine="749"/>
        <w:spacing w:after="0" w:line="281" w:lineRule="auto"/>
        <w:rPr>
          <w:sz w:val="20"/>
          <w:szCs w:val="20"/>
          <w:color w:val="auto"/>
        </w:rPr>
      </w:pPr>
      <w:r>
        <w:rPr>
          <w:rFonts w:ascii="Times New Roman" w:cs="Times New Roman" w:eastAsia="Times New Roman" w:hAnsi="Times New Roman"/>
          <w:sz w:val="17"/>
          <w:szCs w:val="17"/>
          <w:color w:val="auto"/>
        </w:rPr>
        <w:t>The Credit Agreement contains certain customary events of default, including with respect to nonpayment of principal, interest, fees or other amounts; material inaccuracy of a representation or warranty; failure to perform or observe covenants; material defaults on other indebtedness; insolvency; loss of certain key permits, persons and contracts; material adverse effects; certain regulatory matters; and change of control. Additionally, the Company’s failure to obtain the Warrant Shareholder Approval on or prior to November 30, 2026 shall constitute an event of default under the Credit Agreement.</w:t>
      </w:r>
    </w:p>
    <w:p>
      <w:pPr>
        <w:spacing w:after="0" w:line="16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Credit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redeem or repurchase certain debt; engage in certain transactions with affiliates; and enter into certain restrictive agreements. Among such covenants, the Credit Agreement includes a financial maintenance test, beginning at the end of the fiscal quarter ending March 31, 2026, that requires the Obligors to maintain a specified minimum net revenue for each trailing twelve-month period ending on the last day of a fiscal quarter occurring prior to the maturity date of the Loan Facility. In addition, the Credit Agreement requires the Company to ensure that the Obligors maintain in the aggregate at least $5 million of unrestricted cash at all times.</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permitted under ASC 825, the Company elected the fair value option to account for the Credit Agreement, and recorded the Loan Facility and the Perceptive Warrants at fair value with changes in fair value recorded in the Consolidated Statements of Operations in Other expense, net. Changes related to instrument specific credit risk are recorded in other comprehensive income in the Consolidated Balance Sheets. The Company incurred debt issuance costs of approximately $0.4 million, which were expensed as incurred and recorded in Other expense, net. The difference between the fair value of the Loan Facility and the unpaid principal balance of $50.0 million is a reduced liability of $3.9 million as of March 31, 2026. The difference between the fair value of the Previous Credit Agreement and the unpaid principal balance of $40.0 million is an additional liability of $3.0 million as of December 31, 2025. For changes in fair value refer to Note 4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Credit Agreement</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Refinancing Transaction, the Company repaid all outstanding indebtedness under its credit agreement with an affiliate of OrbiMed Advisors, LLC (the “Previous Credit Agreement”) and terminated all obligations and commitments thereunder. As a result, the Company and the guarantors under the Previous Credit Agreement have no further obligations under the Previous Credit Agreement or the related guarantees other than with respect to the $10.218 Warrants previously issued under the Previous Credit Agreement, which remain outstanding. For further details, refer to Note 4 to the Consolidated Financial Statements.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composition of the inventory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2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8"/>
                <w:szCs w:val="18"/>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380" w:type="dxa"/>
            <w:vAlign w:val="bottom"/>
            <w:shd w:val="clear" w:color="auto" w:fill="CFF0FC"/>
          </w:tcPr>
          <w:p>
            <w:pPr>
              <w:jc w:val="right"/>
              <w:ind w:right="22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380" w:type="dxa"/>
            <w:vAlign w:val="bottom"/>
          </w:tcPr>
          <w:p>
            <w:pPr>
              <w:jc w:val="right"/>
              <w:ind w:right="22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6,926</w:t>
            </w:r>
          </w:p>
        </w:tc>
      </w:tr>
      <w:tr>
        <w:trPr>
          <w:trHeight w:val="20"/>
        </w:trPr>
        <w:tc>
          <w:tcPr>
            <w:tcW w:w="520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Company values its inventories to reflect the lower of cost or net realizable value. Charges for estimated excess and obsolescence are recorded in Cost of sales in the Consolidated Statements of Operations, and were $57,000 and $313,000 for the three-months ended March 31, 2026 and 2025,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composition of intangible assets, net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6"/>
                <w:szCs w:val="16"/>
                <w:color w:val="auto"/>
              </w:rPr>
            </w:pPr>
          </w:p>
        </w:tc>
      </w:tr>
      <w:tr>
        <w:trPr>
          <w:trHeight w:val="203"/>
        </w:trPr>
        <w:tc>
          <w:tcPr>
            <w:tcW w:w="174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Useful</w:t>
            </w:r>
          </w:p>
        </w:tc>
        <w:tc>
          <w:tcPr>
            <w:tcW w:w="200" w:type="dxa"/>
            <w:vAlign w:val="bottom"/>
          </w:tcPr>
          <w:p>
            <w:pPr>
              <w:spacing w:after="0"/>
              <w:rPr>
                <w:sz w:val="17"/>
                <w:szCs w:val="17"/>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Carry</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Carry</w:t>
            </w:r>
          </w:p>
        </w:tc>
      </w:tr>
      <w:tr>
        <w:trPr>
          <w:trHeight w:val="215"/>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Life</w:t>
            </w: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9"/>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1</w:t>
            </w:r>
          </w:p>
        </w:tc>
        <w:tc>
          <w:tcPr>
            <w:tcW w:w="1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19"/>
                <w:szCs w:val="19"/>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Patent 2</w:t>
            </w:r>
          </w:p>
        </w:tc>
        <w:tc>
          <w:tcPr>
            <w:tcW w:w="1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r>
      <w:tr>
        <w:trPr>
          <w:trHeight w:val="216"/>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3</w:t>
            </w:r>
          </w:p>
        </w:tc>
        <w:tc>
          <w:tcPr>
            <w:tcW w:w="1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Patent 4</w:t>
            </w:r>
          </w:p>
        </w:tc>
        <w:tc>
          <w:tcPr>
            <w:tcW w:w="1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r>
      <w:tr>
        <w:trPr>
          <w:trHeight w:val="216"/>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5</w:t>
            </w:r>
          </w:p>
        </w:tc>
        <w:tc>
          <w:tcPr>
            <w:tcW w:w="1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Patent 6</w:t>
            </w:r>
          </w:p>
        </w:tc>
        <w:tc>
          <w:tcPr>
            <w:tcW w:w="1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16"/>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Regenity License</w:t>
            </w:r>
          </w:p>
        </w:tc>
        <w:tc>
          <w:tcPr>
            <w:tcW w:w="1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FF0FC"/>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8"/>
                <w:szCs w:val="18"/>
                <w:color w:val="auto"/>
              </w:rPr>
            </w:pPr>
          </w:p>
        </w:tc>
      </w:tr>
      <w:tr>
        <w:trPr>
          <w:trHeight w:val="216"/>
        </w:trPr>
        <w:tc>
          <w:tcPr>
            <w:tcW w:w="1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Indefinite</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For the three-months ended March 31, 2026 and 2025, the Company did not identify any events or changes in circumstances that indicated that the carrying value of its intangibles may not be recoverable. As such, there was no impairment of intangible assets recognized for the three-months ended March 31, 2026 and 2025. Amortization expense of intangibles included in the Consolidated Statements of Operations was $204,000 and $135,000 for the three-months ended March 31, 2026 and 2025, respectively. Due to Regenity receiving 510(k) clearance for Cohealyx in December 2024, the Company recorded a license (the “Regenity License”) of $5.0 million. For further details refer to Note 11 to the Consolidated Financial Statements.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expects the future amortization of amortizable intangible assets held at March 31, 2026 to be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Estimated Amortization Expense</w:t>
            </w:r>
          </w:p>
        </w:tc>
        <w:tc>
          <w:tcPr>
            <w:tcW w:w="0" w:type="dxa"/>
            <w:vAlign w:val="bottom"/>
          </w:tcPr>
          <w:p>
            <w:pPr>
              <w:spacing w:after="0"/>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42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3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22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Plant and Equipment</w:t>
            </w:r>
          </w:p>
        </w:tc>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composition of plant and equipment, net is as follows (in thousands):</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3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18"/>
                <w:szCs w:val="18"/>
                <w:color w:val="auto"/>
              </w:rPr>
            </w:pPr>
          </w:p>
        </w:tc>
        <w:tc>
          <w:tcPr>
            <w:tcW w:w="1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7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3 - 5 years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 (“CIP”)</w:t>
            </w:r>
          </w:p>
        </w:tc>
        <w:tc>
          <w:tcPr>
            <w:tcW w:w="2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3 - 5 years</w:t>
            </w:r>
          </w:p>
        </w:tc>
        <w:tc>
          <w:tcPr>
            <w:tcW w:w="3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life or lease term</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 molds</w:t>
            </w: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3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RECELL GO RPD CIP</w:t>
            </w: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 GO RPD</w:t>
            </w:r>
          </w:p>
        </w:tc>
        <w:tc>
          <w:tcPr>
            <w:tcW w:w="2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 RPD</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uses</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2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(5,523)</w:t>
            </w:r>
          </w:p>
        </w:tc>
        <w:tc>
          <w:tcPr>
            <w:tcW w:w="26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r>
        <w:trPr>
          <w:trHeight w:val="209"/>
        </w:trPr>
        <w:tc>
          <w:tcPr>
            <w:tcW w:w="3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plant and equipment, net</w:t>
            </w:r>
          </w:p>
        </w:tc>
        <w:tc>
          <w:tcPr>
            <w:tcW w:w="27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-170815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RECELL GO RPD CIP consists of materials for the manufacture of the RPDs. RPDs have a useful life of 200 uses and are being amortized based on customer usage as determined by orders placed for the sales of the RPKs. RECELL GO RPD represents assets available to be leased by customers and are not depreciated until leased.</w:t>
      </w:r>
    </w:p>
    <w:p>
      <w:pPr>
        <w:spacing w:after="0" w:line="243" w:lineRule="exact"/>
        <w:rPr>
          <w:sz w:val="20"/>
          <w:szCs w:val="20"/>
          <w:color w:val="auto"/>
        </w:rPr>
      </w:pPr>
    </w:p>
    <w:p>
      <w:pPr>
        <w:ind w:right="700" w:firstLine="749"/>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plant and equipment was $400,000 and $385,000 for the three-months ended March 31, 2026 and 2025, respectively. No impairment was recorded for the three-months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27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the contracts for the RECELL GO device include an operating lease for the customer’s right to use the RPD. The lease arrangement does not contain fixed consideration. Variable lease payments are not included in the calculation of consideration at lease inception. The variable consideration related to the lease is allocated based on the SSP and is recognized when control of the RPKs is transferred to the customer.</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Lease revenue as presented in the Consolidated Statement of Operations for the three-months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2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6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r>
      <w:tr>
        <w:trPr>
          <w:trHeight w:val="20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revenue</w:t>
            </w:r>
          </w:p>
        </w:tc>
        <w:tc>
          <w:tcPr>
            <w:tcW w:w="3840" w:type="dxa"/>
            <w:vAlign w:val="bottom"/>
            <w:gridSpan w:val="2"/>
            <w:shd w:val="clear" w:color="auto" w:fill="CFF0FC"/>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187  $</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Assets held for lease and included in Plant and equipment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2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RPD assets</w:t>
            </w:r>
          </w:p>
        </w:tc>
        <w:tc>
          <w:tcPr>
            <w:tcW w:w="2360" w:type="dxa"/>
            <w:vAlign w:val="bottom"/>
            <w:shd w:val="clear" w:color="auto" w:fill="CFF0FC"/>
          </w:tcPr>
          <w:p>
            <w:pPr>
              <w:jc w:val="right"/>
              <w:ind w:right="2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460" w:type="dxa"/>
            <w:vAlign w:val="bottom"/>
          </w:tcPr>
          <w:p>
            <w:pPr>
              <w:spacing w:after="0"/>
              <w:rPr>
                <w:sz w:val="18"/>
                <w:szCs w:val="18"/>
                <w:color w:val="auto"/>
              </w:rPr>
            </w:pPr>
          </w:p>
        </w:tc>
        <w:tc>
          <w:tcPr>
            <w:tcW w:w="2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r>
      <w:tr>
        <w:trPr>
          <w:trHeight w:val="249"/>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rental RPD assets</w:t>
            </w:r>
          </w:p>
        </w:tc>
        <w:tc>
          <w:tcPr>
            <w:tcW w:w="2360" w:type="dxa"/>
            <w:vAlign w:val="bottom"/>
            <w:tcBorders>
              <w:top w:val="single" w:sz="8" w:color="auto"/>
              <w:bottom w:val="single" w:sz="8" w:color="auto"/>
            </w:tcBorders>
            <w:shd w:val="clear" w:color="auto" w:fill="CFF0FC"/>
          </w:tcPr>
          <w:p>
            <w:pPr>
              <w:jc w:val="right"/>
              <w:ind w:right="2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845"/>
        </w:trPr>
        <w:tc>
          <w:tcPr>
            <w:tcW w:w="4940" w:type="dxa"/>
            <w:vAlign w:val="bottom"/>
          </w:tcPr>
          <w:p>
            <w:pPr>
              <w:spacing w:after="0"/>
              <w:rPr>
                <w:sz w:val="24"/>
                <w:szCs w:val="24"/>
                <w:color w:val="auto"/>
              </w:rPr>
            </w:pPr>
          </w:p>
        </w:tc>
        <w:tc>
          <w:tcPr>
            <w:tcW w:w="236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-1071245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-1053465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10. Reporting Segment and Geographic Information</w:t>
      </w:r>
    </w:p>
    <w:p>
      <w:pPr>
        <w:spacing w:after="0" w:line="175"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reporting segment. Long-lived assets are primarily located in the United States as of March 31, 2026 and December 31, 2025.</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by region for the three-months ended March 31, 2026 and 2025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2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r>
      <w:tr>
        <w:trPr>
          <w:trHeight w:val="209"/>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region:</w:t>
            </w:r>
          </w:p>
        </w:tc>
        <w:tc>
          <w:tcPr>
            <w:tcW w:w="178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96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17,756</w:t>
            </w:r>
          </w:p>
        </w:tc>
        <w:tc>
          <w:tcPr>
            <w:tcW w:w="100" w:type="dxa"/>
            <w:vAlign w:val="bottom"/>
          </w:tcPr>
          <w:p>
            <w:pPr>
              <w:spacing w:after="0"/>
              <w:rPr>
                <w:sz w:val="18"/>
                <w:szCs w:val="18"/>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European Union</w:t>
            </w:r>
          </w:p>
        </w:tc>
        <w:tc>
          <w:tcPr>
            <w:tcW w:w="1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78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780" w:type="dxa"/>
            <w:vAlign w:val="bottom"/>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r>
      <w:tr>
        <w:trPr>
          <w:trHeight w:val="249"/>
        </w:trPr>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FF0FC"/>
            </w:tcBorders>
            <w:shd w:val="clear" w:color="auto" w:fill="CFF0FC"/>
          </w:tcPr>
          <w:p>
            <w:pPr>
              <w:spacing w:after="0"/>
              <w:rPr>
                <w:sz w:val="21"/>
                <w:szCs w:val="21"/>
                <w:color w:val="auto"/>
              </w:rPr>
            </w:pPr>
          </w:p>
        </w:tc>
        <w:tc>
          <w:tcPr>
            <w:tcW w:w="2180" w:type="dxa"/>
            <w:vAlign w:val="bottom"/>
            <w:tcBorders>
              <w:bottom w:val="single" w:sz="8" w:color="auto"/>
            </w:tcBorders>
            <w:shd w:val="clear" w:color="auto" w:fill="CFF0FC"/>
          </w:tcPr>
          <w:p>
            <w:pPr>
              <w:jc w:val="right"/>
              <w:ind w:right="19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by customer type for the three-months ended March 31, 2026 and 2025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1433"/>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customer type:</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sales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commercial revenue recognized</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BARDA revenue for right of first access</w:t>
            </w: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380" w:type="dxa"/>
            <w:vAlign w:val="bottom"/>
            <w:gridSpan w:val="7"/>
          </w:tcPr>
          <w:p>
            <w:pPr>
              <w:jc w:val="center"/>
              <w:ind w:right="273"/>
              <w:spacing w:after="0"/>
              <w:rPr>
                <w:sz w:val="20"/>
                <w:szCs w:val="20"/>
                <w:color w:val="auto"/>
              </w:rPr>
            </w:pPr>
            <w:r>
              <w:rPr>
                <w:rFonts w:ascii="Times New Roman" w:cs="Times New Roman" w:eastAsia="Times New Roman" w:hAnsi="Times New Roman"/>
                <w:sz w:val="18"/>
                <w:szCs w:val="18"/>
                <w:color w:val="auto"/>
                <w:w w:val="99"/>
              </w:rPr>
              <w:t>Commercial revenue by product for the three-months ended March 31, 2026 and 2025 were as follows (in thousands):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1433"/>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revenue by product:</w:t>
            </w: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wound care products</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16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commercial sales</w:t>
            </w: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38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Consolidated net loss by segment for the three-months ended March 31, 2026 and 2025 were as follows (in thousands):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1413"/>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0" w:type="dxa"/>
            <w:vAlign w:val="bottom"/>
            <w:gridSpan w:val="2"/>
            <w:shd w:val="clear" w:color="auto" w:fill="CFF0FC"/>
          </w:tcPr>
          <w:p>
            <w:pPr>
              <w:jc w:val="right"/>
              <w:ind w:right="18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19,251</w:t>
            </w:r>
          </w:p>
        </w:tc>
        <w:tc>
          <w:tcPr>
            <w:tcW w:w="2260" w:type="dxa"/>
            <w:vAlign w:val="bottom"/>
            <w:gridSpan w:val="2"/>
            <w:shd w:val="clear" w:color="auto" w:fill="CFF0FC"/>
          </w:tcPr>
          <w:p>
            <w:pPr>
              <w:jc w:val="right"/>
              <w:ind w:right="197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inventory</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16"/>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cost of sales</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CFF0FC"/>
            </w:tcBorders>
          </w:tcPr>
          <w:p>
            <w:pPr>
              <w:spacing w:after="0"/>
              <w:rPr>
                <w:sz w:val="18"/>
                <w:szCs w:val="18"/>
                <w:color w:val="auto"/>
              </w:rPr>
            </w:pPr>
          </w:p>
        </w:tc>
        <w:tc>
          <w:tcPr>
            <w:tcW w:w="20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15,728</w:t>
            </w:r>
          </w:p>
        </w:tc>
        <w:tc>
          <w:tcPr>
            <w:tcW w:w="100" w:type="dxa"/>
            <w:vAlign w:val="bottom"/>
            <w:tcBorders>
              <w:top w:val="single" w:sz="8" w:color="CFF0FC"/>
            </w:tcBorders>
          </w:tcPr>
          <w:p>
            <w:pPr>
              <w:spacing w:after="0"/>
              <w:rPr>
                <w:sz w:val="18"/>
                <w:szCs w:val="18"/>
                <w:color w:val="auto"/>
              </w:rPr>
            </w:pPr>
          </w:p>
        </w:tc>
        <w:tc>
          <w:tcPr>
            <w:tcW w:w="2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2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(14,834)</w:t>
            </w:r>
          </w:p>
        </w:tc>
        <w:tc>
          <w:tcPr>
            <w:tcW w:w="0" w:type="dxa"/>
            <w:vAlign w:val="bottom"/>
          </w:tcPr>
          <w:p>
            <w:pPr>
              <w:spacing w:after="0"/>
              <w:rPr>
                <w:sz w:val="1"/>
                <w:szCs w:val="1"/>
                <w:color w:val="auto"/>
              </w:rPr>
            </w:pPr>
          </w:p>
        </w:tc>
      </w:tr>
      <w:tr>
        <w:trPr>
          <w:trHeight w:val="216"/>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2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2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2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(27,508)</w:t>
            </w:r>
          </w:p>
        </w:tc>
        <w:tc>
          <w:tcPr>
            <w:tcW w:w="0" w:type="dxa"/>
            <w:vAlign w:val="bottom"/>
          </w:tcPr>
          <w:p>
            <w:pPr>
              <w:spacing w:after="0"/>
              <w:rPr>
                <w:sz w:val="1"/>
                <w:szCs w:val="1"/>
                <w:color w:val="auto"/>
              </w:rPr>
            </w:pPr>
          </w:p>
        </w:tc>
      </w:tr>
      <w:tr>
        <w:trPr>
          <w:trHeight w:val="20"/>
        </w:trPr>
        <w:tc>
          <w:tcPr>
            <w:tcW w:w="49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2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(11,827)</w:t>
            </w:r>
          </w:p>
        </w:tc>
        <w:tc>
          <w:tcPr>
            <w:tcW w:w="0" w:type="dxa"/>
            <w:vAlign w:val="bottom"/>
          </w:tcPr>
          <w:p>
            <w:pPr>
              <w:spacing w:after="0"/>
              <w:rPr>
                <w:sz w:val="1"/>
                <w:szCs w:val="1"/>
                <w:color w:val="auto"/>
              </w:rPr>
            </w:pPr>
          </w:p>
        </w:tc>
      </w:tr>
      <w:tr>
        <w:trPr>
          <w:trHeight w:val="216"/>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2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(13,851)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gridSpan w:val="2"/>
            <w:shd w:val="clear" w:color="auto" w:fill="CFF0FC"/>
          </w:tcPr>
          <w:p>
            <w:pPr>
              <w:jc w:val="right"/>
              <w:ind w:right="1872"/>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gridSpan w:val="4"/>
            <w:shd w:val="clear" w:color="auto" w:fill="CFF0FC"/>
          </w:tcPr>
          <w:p>
            <w:pPr>
              <w:jc w:val="right"/>
              <w:ind w:right="1973"/>
              <w:spacing w:after="0"/>
              <w:rPr>
                <w:sz w:val="20"/>
                <w:szCs w:val="20"/>
                <w:color w:val="auto"/>
              </w:rPr>
            </w:pPr>
            <w:r>
              <w:rPr>
                <w:rFonts w:ascii="Times New Roman" w:cs="Times New Roman" w:eastAsia="Times New Roman" w:hAnsi="Times New Roman"/>
                <w:sz w:val="18"/>
                <w:szCs w:val="18"/>
                <w:color w:val="auto"/>
              </w:rPr>
              <w:t>(10,611) $</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(13,859)</w:t>
            </w:r>
          </w:p>
        </w:tc>
        <w:tc>
          <w:tcPr>
            <w:tcW w:w="0" w:type="dxa"/>
            <w:vAlign w:val="bottom"/>
          </w:tcPr>
          <w:p>
            <w:pPr>
              <w:spacing w:after="0"/>
              <w:rPr>
                <w:sz w:val="1"/>
                <w:szCs w:val="1"/>
                <w:color w:val="auto"/>
              </w:rPr>
            </w:pPr>
          </w:p>
        </w:tc>
      </w:tr>
      <w:tr>
        <w:trPr>
          <w:trHeight w:val="629"/>
        </w:trPr>
        <w:tc>
          <w:tcPr>
            <w:tcW w:w="49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40" w:type="dxa"/>
            <w:vAlign w:val="bottom"/>
            <w:tcBorders>
              <w:top w:val="single" w:sz="8" w:color="auto"/>
            </w:tcBorders>
          </w:tcPr>
          <w:p>
            <w:pPr>
              <w:jc w:val="right"/>
              <w:ind w:right="1372"/>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-4971415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-4954270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-4971415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-4954270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-3796665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-2630805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-1782445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-933450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-916305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more likely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March 31, 2026 and December 31, 2025, the Company did not have any outstanding or threatened litigation that would have a material impact on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Distribution Agreement with Regenity</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On July 31, 2024, the Company entered into the Regenity Agreement to market, sell, and distribute Cohealyx, a unique collagen-based dermal matrix under the Company's private label in the U.S., with the potential to commercialize the product in countries in the European Union, as well as in Japan and Australia. The initial term of the Regenity Agreement is five years, with an automatic extension of an additional five years, contingent upon meeting certain criteria. The Regenity Agreement also requires the Company to meet certain revenue targets, which may be reduced by the amount of product purchased during a given year, in order to maintain its exclusive distribution rights. In the event the Company fails to meet those revenue targets, Regenity may end the Company’s exclusivity under the Regenity Agreement unless the Company makes a cash payment to Regenity equal to the difference between what Regenity would have received if the revenue target were met and the amount of payments that were made to Regenity during the year.</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Under the terms of the Regenity Agreement, the Company made a $2.0 million payment upon receipt of 510(k) clearance by Regenity in December 2024. Depending on the results of certain clinical studies related to Cohealyx, the Company has an additional obligation to pay $3.0 million on or before January 4, 2026, to guarantee development and manufacturing capacity (and related resources). As such, upon Regenity receiving 510(k) clearance in December 2024, the Company recorded $5.0 million in Intangible assets, net on the Consolidated Balance Sheets.</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2025, the Company entered into Amendment One to the Regenity Agreement (the “Regenity Amendment”). Under the terms of the Regenity Amendment, the Company’s obligation to pay $3.0 million was amended to on or before January 4, 2027 to guarantee development and manufacturing capacity (and related resources). The Regenity Amendment also extended the 50/50 revenue split between the Company and Regenity through 2027, after which it will convert to 60/40. As of March 31, 2026 and December 31, 2025, the Company recorded this $3.0 million obligation in Contingent liability and Contingent liability, long-term, respectively, on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with Stedical</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the Distribution Agreement with Stedical. Under the terms of the Distribution Agreement, the Company holds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March 17, 2025, the Company and Stedical entered into an Amendment Two (the “Amendment”) of the Distribution Agreement. Under the terms of the Amendment, the Company’s share of revenue from PermeaDerm sales increased from 50% to 60% and Stedical becomes eligible for certain milestone payments conditioned upon AVITA Medical’s achievement of specified sales targets. In addition, Stedical’s share from the sale of PermeaDerm is reduced by the Company’s actual cost to manufacture PermeaDerm. For 2025, the Company was required to reach $6.0 million in gross sales of PermeaDerm. For every year thereafter, the Company must achieve a minimum 20% increase in revenue from sales of PermeaDerm. In the event the Company fails to achieve the specified growth rate for two subsequent years, the Company has the option to make a cash payment to Stedical equal to the difference between what Stedical would have received if those two growth targets had been met for those two consecutive years and the amount of payments that were made to Stedical over that two year period. The Amendment revises the initial term of the Distribution Agreement to ten years from the date of the Amendment.</w:t>
      </w:r>
    </w:p>
    <w:p>
      <w:pPr>
        <w:spacing w:after="0" w:line="18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Simultaneously to entering into the Amendment, on March 17, 2025, the Company entered into the Manufacturing Agreement with Stedical to manufacture PermeaDerm in the United States for the purposes of (i) sale in the United States under the terms of the Distribution Agreement and (ii) sale to Stedical for sale or distribution outside of the United States. The initial term of the Manufacturing Agreement is ten years.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12. Common and Preferred Stock</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Company’s CHESS Depositary Interests (“CDIs”) are quoted on the ASX under the ticker code, “AVH.” Shares of Common Stock are quoted on Nasdaq under the ticker code, “RCEL.” Every five CDIs on ASX represents one share of Common Stock.</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March 31, 2026 and December 31, 2025, 30,776,689 and 30,571,662 shares of Common Stock, respectively, were issued and outstanding and no shares of Preferred stock were issued and outstanding during any period.</w:t>
      </w:r>
    </w:p>
    <w:p>
      <w:pPr>
        <w:spacing w:after="0" w:line="180"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Common Stock held in the rabbi trust is classified in a manner similar to treasury stock and presented separately on the Consolidated Balance Sheets as Common Stock held by the NQDC Plan. As of March 31, 2026 and December 31, 2025, a total of 76,621 and 135,493 shares underlying awards have been deferred, respectively. Vested shares are converted to Common Stock and are reclassified to permanent equity.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Payment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Payment Expenses</w:t>
      </w:r>
    </w:p>
    <w:p>
      <w:pPr>
        <w:spacing w:after="0" w:line="229"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w:t>
      </w:r>
      <w:r>
        <w:rPr>
          <w:rFonts w:ascii="Times New Roman" w:cs="Times New Roman" w:eastAsia="Times New Roman" w:hAnsi="Times New Roman"/>
          <w:sz w:val="18"/>
          <w:szCs w:val="18"/>
          <w:i w:val="1"/>
          <w:iCs w:val="1"/>
          <w:color w:val="auto"/>
        </w:rPr>
        <w:t>, Simplifying the Accounting for Share-Based Payment.</w:t>
      </w:r>
      <w:r>
        <w:rPr>
          <w:rFonts w:ascii="Times New Roman" w:cs="Times New Roman" w:eastAsia="Times New Roman" w:hAnsi="Times New Roman"/>
          <w:sz w:val="18"/>
          <w:szCs w:val="18"/>
          <w:color w:val="auto"/>
        </w:rPr>
        <w:t xml:space="preserve"> No income tax benefit was recognized in the Consolidated Statements of Operations for stock-based payment arrangements for the three-months ended March 31, 2026 and 2025.</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In June 2023, the stockholders approved the Company’s Employee Stock Purchase Plan (the “ESPP”), which became effective on July 1, 2023. On June 30, 2023, the Company filed a Registration Statement on Form S-8 to register 1,000,000 shares of Common Stock under the ESPP, as a result of the Company’s stockholders approving the ESPP at the 2023 annual meeting of stockholders. The ESPP features two six-month offering periods per year, running from June 1 to November 30 and December 1 to May 31.</w:t>
      </w:r>
    </w:p>
    <w:p>
      <w:pPr>
        <w:spacing w:after="0" w:line="180" w:lineRule="exact"/>
        <w:rPr>
          <w:sz w:val="20"/>
          <w:szCs w:val="20"/>
          <w:color w:val="auto"/>
        </w:rPr>
      </w:pPr>
    </w:p>
    <w:p>
      <w:pPr>
        <w:ind w:right="80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included stock-based compensation expense for all equity awards and the ESPP as part of operating expenses in the accompanying Consolidated Statements of Operations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2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180" w:type="dxa"/>
            <w:vAlign w:val="bottom"/>
            <w:shd w:val="clear" w:color="auto" w:fill="CFF0FC"/>
          </w:tcPr>
          <w:p>
            <w:pPr>
              <w:jc w:val="right"/>
              <w:ind w:right="19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94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share option activity as of March 31, 2026, and changes during the period ended,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Service Only Share Options</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2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 Share Options</w:t>
            </w:r>
          </w:p>
        </w:tc>
        <w:tc>
          <w:tcPr>
            <w:tcW w:w="0" w:type="dxa"/>
            <w:vAlign w:val="bottom"/>
          </w:tcPr>
          <w:p>
            <w:pPr>
              <w:spacing w:after="0"/>
              <w:rPr>
                <w:sz w:val="1"/>
                <w:szCs w:val="1"/>
                <w:color w:val="auto"/>
              </w:rPr>
            </w:pPr>
          </w:p>
        </w:tc>
      </w:tr>
      <w:tr>
        <w:trPr>
          <w:trHeight w:val="130"/>
        </w:trPr>
        <w:tc>
          <w:tcPr>
            <w:tcW w:w="494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Options</w:t>
            </w:r>
          </w:p>
        </w:tc>
        <w:tc>
          <w:tcPr>
            <w:tcW w:w="120" w:type="dxa"/>
            <w:vAlign w:val="bottom"/>
            <w:vMerge w:val="restart"/>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shares at December 31, 2025</w:t>
            </w:r>
          </w:p>
        </w:tc>
        <w:tc>
          <w:tcPr>
            <w:tcW w:w="2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4,365,603</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171,301</w:t>
            </w: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4,536,904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727,470</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727,470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2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(179,629)</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(27,112)</w:t>
            </w:r>
          </w:p>
        </w:tc>
        <w:tc>
          <w:tcPr>
            <w:tcW w:w="2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(206,741)</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(32,206)</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(32,206)</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at March 31, 2026</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4,881,238</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144,189</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5,025,427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23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2,592,805</w:t>
            </w:r>
          </w:p>
        </w:tc>
        <w:tc>
          <w:tcPr>
            <w:tcW w:w="19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134,595</w:t>
            </w:r>
          </w:p>
        </w:tc>
        <w:tc>
          <w:tcPr>
            <w:tcW w:w="20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2,727,400</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 March 31, 2026</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4,881,238</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144,189</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5,025,427</w:t>
            </w:r>
          </w:p>
        </w:tc>
        <w:tc>
          <w:tcPr>
            <w:tcW w:w="0" w:type="dxa"/>
            <w:vAlign w:val="bottom"/>
          </w:tcPr>
          <w:p>
            <w:pPr>
              <w:spacing w:after="0"/>
              <w:rPr>
                <w:sz w:val="1"/>
                <w:szCs w:val="1"/>
                <w:color w:val="auto"/>
              </w:rPr>
            </w:pPr>
          </w:p>
        </w:tc>
      </w:tr>
      <w:tr>
        <w:trPr>
          <w:trHeight w:val="630"/>
        </w:trPr>
        <w:tc>
          <w:tcPr>
            <w:tcW w:w="4940" w:type="dxa"/>
            <w:vAlign w:val="bottom"/>
          </w:tcPr>
          <w:p>
            <w:pPr>
              <w:spacing w:after="0"/>
              <w:rPr>
                <w:sz w:val="24"/>
                <w:szCs w:val="24"/>
                <w:color w:val="auto"/>
              </w:rPr>
            </w:pPr>
          </w:p>
        </w:tc>
        <w:tc>
          <w:tcPr>
            <w:tcW w:w="218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-1353820</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-1353820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8"/>
          <w:szCs w:val="18"/>
          <w:color w:val="auto"/>
        </w:rPr>
        <w:t>A summary of the status of the Company’s unvested RSUs as of March 31, 2026, and changes that occurred during the period, is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5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Tenure-Based RSUs</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at December 31, 2025</w:t>
            </w:r>
          </w:p>
        </w:tc>
        <w:tc>
          <w:tcPr>
            <w:tcW w:w="3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738,140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3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(60,132)</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(13,560)</w:t>
            </w: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at March 31, 2026</w:t>
            </w:r>
          </w:p>
        </w:tc>
        <w:tc>
          <w:tcPr>
            <w:tcW w:w="3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Tax benefit (expense) for the three-months ended March 31, 2026 and 2025 was a tax benefit of $11,000 and tax expense of $8,000,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2026, these amounts are related to federal income taxes offset by state minimum taxes. For 2025, these amounts are related to state minimum taxes.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reconciliation of the basic and diluted loss per share computations: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2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40" w:type="dxa"/>
            <w:vAlign w:val="bottom"/>
          </w:tcPr>
          <w:p>
            <w:pPr>
              <w:spacing w:after="0"/>
              <w:rPr>
                <w:sz w:val="18"/>
                <w:szCs w:val="18"/>
                <w:color w:val="auto"/>
              </w:rPr>
            </w:pPr>
          </w:p>
        </w:tc>
        <w:tc>
          <w:tcPr>
            <w:tcW w:w="2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40" w:type="dxa"/>
            <w:vAlign w:val="bottom"/>
            <w:gridSpan w:val="2"/>
            <w:shd w:val="clear" w:color="auto" w:fill="CFF0FC"/>
          </w:tcPr>
          <w:p>
            <w:pPr>
              <w:jc w:val="right"/>
              <w:ind w:right="2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(10,611)</w:t>
            </w:r>
          </w:p>
        </w:tc>
        <w:tc>
          <w:tcPr>
            <w:tcW w:w="9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(13,859)</w:t>
            </w:r>
          </w:p>
        </w:tc>
        <w:tc>
          <w:tcPr>
            <w:tcW w:w="0" w:type="dxa"/>
            <w:vAlign w:val="bottom"/>
          </w:tcPr>
          <w:p>
            <w:pPr>
              <w:spacing w:after="0"/>
              <w:rPr>
                <w:sz w:val="1"/>
                <w:szCs w:val="1"/>
                <w:color w:val="auto"/>
              </w:rPr>
            </w:pPr>
          </w:p>
        </w:tc>
      </w:tr>
      <w:tr>
        <w:trPr>
          <w:trHeight w:val="198"/>
        </w:trPr>
        <w:tc>
          <w:tcPr>
            <w:tcW w:w="4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shares—outstanding, basic and</w:t>
            </w:r>
          </w:p>
        </w:tc>
        <w:tc>
          <w:tcPr>
            <w:tcW w:w="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30,540,872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26,253,565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440" w:type="dxa"/>
            <w:vAlign w:val="bottom"/>
            <w:gridSpan w:val="2"/>
            <w:shd w:val="clear" w:color="auto" w:fill="CFF0FC"/>
          </w:tcPr>
          <w:p>
            <w:pPr>
              <w:jc w:val="right"/>
              <w:ind w:right="2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9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Three-Months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2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r>
      <w:tr>
        <w:trPr>
          <w:trHeight w:val="191"/>
        </w:trPr>
        <w:tc>
          <w:tcPr>
            <w:tcW w:w="718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Anti-dilutive shares excluded from diluted net loss per common</w:t>
            </w: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5,025,427</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4,518,622</w:t>
            </w:r>
          </w:p>
        </w:tc>
        <w:tc>
          <w:tcPr>
            <w:tcW w:w="100" w:type="dxa"/>
            <w:vAlign w:val="bottom"/>
          </w:tcPr>
          <w:p>
            <w:pPr>
              <w:spacing w:after="0"/>
              <w:rPr>
                <w:sz w:val="18"/>
                <w:szCs w:val="18"/>
                <w:color w:val="auto"/>
              </w:rPr>
            </w:pPr>
          </w:p>
        </w:tc>
      </w:tr>
      <w:tr>
        <w:trPr>
          <w:trHeight w:val="216"/>
        </w:trPr>
        <w:tc>
          <w:tcPr>
            <w:tcW w:w="7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731,496</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101,988</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ESPP</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134,489</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79,735</w:t>
            </w:r>
          </w:p>
        </w:tc>
        <w:tc>
          <w:tcPr>
            <w:tcW w:w="100" w:type="dxa"/>
            <w:vAlign w:val="bottom"/>
          </w:tcPr>
          <w:p>
            <w:pPr>
              <w:spacing w:after="0"/>
              <w:rPr>
                <w:sz w:val="18"/>
                <w:szCs w:val="18"/>
                <w:color w:val="auto"/>
              </w:rPr>
            </w:pPr>
          </w:p>
        </w:tc>
      </w:tr>
      <w:tr>
        <w:trPr>
          <w:trHeight w:val="216"/>
        </w:trPr>
        <w:tc>
          <w:tcPr>
            <w:tcW w:w="7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409,661</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554,841</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Company’s basic net loss per share is calculated by dividing the net loss by the weighted-average number of shares of Common Stock outstanding for the relevant period. In accordance with ASC 710, shares of Common Stock held by the rabbi trust are excluded from the denominator in both the basic and the diluted net loss per common share calculations. As of March 31, 2026 and 2025, a total of 76,621 and 126,506 shares of Common Stock were excluded, respectively.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three-months ended March 31, 2026 and 2025, diluted net loss per common share is the same as the basic net loss per share for those periods.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5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filing of this Quarterly Report on Form 10-Q and determined that except as disclosed below, no events have occurred that would require adjustment to, or disclosures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BARDA Agreement</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On April 8, 2026, the Company announced it entered into a ten-year agreement with the Biomedical Advanced Research and Development Authority (“BARDA”), part of the Administration for Strategic Preparedness and Response within the U.S. Department of Health and Human Services. Under the agreement, the Company will maintain an inventory of RECELL products available for immediate deployment upon notice from BARDA, support surge procurement of additional product to ensure scalable emergency response capacity, and provide logistics, quality assurance, and deployment readiness to meet BARDA’s mission for preparedness.</w:t>
      </w:r>
    </w:p>
    <w:p>
      <w:pPr>
        <w:spacing w:after="0" w:line="18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agreement carries a total potential value of up to $25.5 million over ten years, including procurement options. Of this amount, approximately $3.97 million, paid over ten years, is expected revenue to the Company in the form of annual access-maintenance fees and readiness support, while the balance reflects procurement options that BARDA may exercise over the contract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Appointments of President and Chief Executive Officer and Chair of the Board</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Effective April 30, 2026, the Company’s Board of Directors (the “Board”) appointed Cary Vance, the Company’s Interim Chief Executive Officer, as the Company’s President and Chief Executive Officer. Simultaneously with Mr. Vance’s appointment, the Board appointed Jan Stern Reed as Chair of the Board and discontinued her previous position as Lead Independent Director. Mr. Vance will continue to serve on the Board of Directors as an executive director.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AVITA Medical, Inc.’s (“AVITA Medical”, the “Company”), “we”, “our”, or “us”) financial condition and results of operations should be read in conjunction with our unaudited Consolidated Financial Statements and related notes appearing elsewhere in this Quarterly Report on Form 10-Q as well as the “Note Regarding Forward-Looking Statements” on page 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749"/>
        <w:spacing w:after="0" w:line="228" w:lineRule="auto"/>
        <w:rPr>
          <w:sz w:val="20"/>
          <w:szCs w:val="20"/>
          <w:color w:val="auto"/>
        </w:rPr>
      </w:pPr>
      <w:r>
        <w:rPr>
          <w:rFonts w:ascii="Times New Roman" w:cs="Times New Roman" w:eastAsia="Times New Roman" w:hAnsi="Times New Roman"/>
          <w:sz w:val="18"/>
          <w:szCs w:val="18"/>
          <w:color w:val="auto"/>
        </w:rPr>
        <w:t>We are a leading therapeutic acute wound care company delivering transformative solutions. Our solutions improve the healing outcomes for patients with traumatic injuries and surgical repairs, addressing critical healing needs that arise from unpredictable and life-changing events. At the forefront of our portfolio is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(“RECELL”), approved by the U.S. Food &amp; Drug Administration (the “FDA”) for the treatment of thermal burn wounds and full-thickness skin defects. RECELL harnesses the healing properties of a patient’s own skin to create an autologous skin cell suspension,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offering an innovative solution for improved clinical outcomes at the point of care. We entered into an exclusive multi-year development and distribution agreement with Collagen Matrix, Inc. dba Regenity Biosciences (“Regenity”). Regenity manufactures and supplies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AVITA Medical-branded, FDA-cleared, collagen-based dermal matrix. Under the agreement with Regenity, we hold the exclusive rights to market, sell, and distribute Cohealyx in the U.S., with the potential to expand such commercialization into the European Union, Australia, and Japan. In addition, in the United States, we hold the rights to manufacture and exclusively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under the terms of exclusive multi-year distribution and contract manufacturing agreements with Stedical Scientific, Inc. (“Stedical”).</w:t>
      </w:r>
    </w:p>
    <w:p>
      <w:pPr>
        <w:spacing w:after="0" w:line="201" w:lineRule="exact"/>
        <w:rPr>
          <w:sz w:val="20"/>
          <w:szCs w:val="20"/>
          <w:color w:val="auto"/>
        </w:rPr>
      </w:pPr>
    </w:p>
    <w:p>
      <w:pPr>
        <w:ind w:firstLine="749"/>
        <w:spacing w:after="0" w:line="230" w:lineRule="auto"/>
        <w:rPr>
          <w:sz w:val="20"/>
          <w:szCs w:val="20"/>
          <w:color w:val="auto"/>
        </w:rPr>
      </w:pPr>
      <w:r>
        <w:rPr>
          <w:rFonts w:ascii="Times New Roman" w:cs="Times New Roman" w:eastAsia="Times New Roman" w:hAnsi="Times New Roman"/>
          <w:sz w:val="18"/>
          <w:szCs w:val="18"/>
          <w:color w:val="auto"/>
        </w:rPr>
        <w:t>The single-use RECELL Autologous Cell Harvesting Device (“RECELL Ease-of-Use” or “RECELL EOU”) is approved by the FDA for the treatment of thermal burn wounds and full-thickness skin defects. Our next-generation device, 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is FDA-approved to treat thermal burn wounds and full-thickness skin defects. RECELL GO introduces enhanced features that improve consistency and standardization across clinical settings. It consists of two components: the RECELL GO Processing Device (the “RPD”) and the RECELL GO Preparation Kit (the “RPK”). The RPD is a multi-use, AC-powered device that controls the RPK. The RPK contains a single-use cartridge and the RECELL Enzyme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RPD regulates the pressure applied to disaggregate the cells and precisely controls the incubation time of the RECELL Enzyme to optimize cell yield and promote cell viability. RECELL GO mini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mini”), which was approved by the FDA in December 2024, is a line extension of RECELL GO, designed specifically to treat smaller wounds up to 480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It utilizes the same RPD but features a RECELL GO mini Preparation Kit, which includes a single-use RECELL GO mini cartridge optimized for smaller skin samples. These modifications are intended to align with the needs of clinicians treating smaller wounds, and to support broader adoption of the RECELL GO platform in trauma centers.</w:t>
      </w:r>
    </w:p>
    <w:p>
      <w:pPr>
        <w:spacing w:after="0" w:line="20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are executing a focused commercial strategy centered on approximately 200 U.S. burn and trauma centers that represent the highest value and procedural volume within the acute wound care market. These institutions are core to our commercialization efforts due to their high concentration of complex inpatient cases and consistent procedural throughput. By prioritizing burn and trauma centers, we are targeting the most critical segments of acute wound care to maximize clinical impact and drive adoption across our portfolio.</w:t>
      </w:r>
    </w:p>
    <w:p>
      <w:pPr>
        <w:spacing w:after="0" w:line="11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To further our mission of improving clinical outcomes and establishing new standards of acute wound care, we have outlined the following strategic objectives:</w:t>
      </w:r>
    </w:p>
    <w:p>
      <w:pPr>
        <w:spacing w:after="0" w:line="81"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market penetration in U.S. burn centers, positioning RECELL as the standard of care in burn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adoption of RECELL for the treatment of traumatic and surgical wounds throughout the U.S.;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and expanding adoption of Cohealyx as a dermal matrix that supports wound bed preparation and meaningfully reduces mean time to skin grafting;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adoption of RECELL GO mini in burn and trauma centers treating smaller wounds;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post-market clinical studies for Cohealyx and PermeaDerm to generate additional clinical and health economic evidence supporting adoption;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internationally through distributor-led commercialization upon receipt of regulatory approvals;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commercial revenue growth, improving operating leverage, generating positive cash flow, and achieving long-term operating profitability;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additional business development opportunities complementary to our target wound care markets.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Business Environment and Current Trends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reimbursement rates and coverage policy by third party payors may place additional financial pressure on</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hospitals and the broader healthcare system. These changes could reduce demand for our products, particularly if healthcare providers face lower margins or additional administrative burdens. For example, in 2025 the Centers for Medicare &amp; Medicaid Services (“CMS”) designated pricing responsibility for the Current Procedural Terminology (“CPT”) code used with RECELL to the seven regional Medicare Administrative Contractors (“MACs”). Delay by the MACs in establishing and publishing reimbursement rates temporarily slowed clinician use of RECELL. As of March 2026, all seven MACs have published rates, restoring reimbursement clarity and supporting a return toward normalized utilization.</w:t>
      </w:r>
    </w:p>
    <w:p>
      <w:pPr>
        <w:spacing w:after="0" w:line="187" w:lineRule="exact"/>
        <w:rPr>
          <w:sz w:val="20"/>
          <w:szCs w:val="20"/>
          <w:color w:val="auto"/>
        </w:rPr>
      </w:pPr>
    </w:p>
    <w:p>
      <w:pPr>
        <w:ind w:right="460" w:firstLine="749"/>
        <w:spacing w:after="0" w:line="261" w:lineRule="auto"/>
        <w:rPr>
          <w:sz w:val="20"/>
          <w:szCs w:val="20"/>
          <w:color w:val="auto"/>
        </w:rPr>
      </w:pPr>
      <w:r>
        <w:rPr>
          <w:rFonts w:ascii="Times New Roman" w:cs="Times New Roman" w:eastAsia="Times New Roman" w:hAnsi="Times New Roman"/>
          <w:sz w:val="18"/>
          <w:szCs w:val="18"/>
          <w:color w:val="auto"/>
        </w:rPr>
        <w:t>The macroeconomic environment may have unexpected adverse effects on businesses and healthcare institutions globally that may, in turn, negatively impact our consolidated operating results. There remains significant uncertainty in the current macroeconomic environment due to factors including supply chain shortages, increased cost of healthcare, changes to inflation rates, a competitive labor market, tariffs, and other related global economic and geopolitical conditions. If these conditions continue or worsen, they could adversely impact our future operating results.</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Geopolitical conditions may also impact our operations. Although we do not have operations in Russia, Ukraine, the Middle East, or Asia, the continuation or threat of military conflicts in these regions or any escalation of conflicts beyond their current scope may further weaken the global economy resulting in additional inflationary pressures or supply chain constraints.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 xml:space="preserve">On January 13, 2026, we entered into a five-year credit facility with Perceptive Advisors LLC providing up to $60 million in total borrowings. At closing, we drew $50 million and used a portion of the proceeds to repay our existing debt, resulting in net proceeds of approximately $6.0 million after repayment of our prior debt and certain related transaction fees. This credit facility includes an option to access an additional $10.0 million through the first quarter of 2027, subject to the achievement of a certain revenue milestone. This facility also establishes trailing twelve-month (“TTM”) revenue covenants aligned with our current operating trajectory, including $68.5 million for the quarter ended March 31, 2026, $69.0 million for the quarter ending June 30, 2026, and $73.0 million for the year ending December 31, 2026. The TTM revenue covenant is $69.0 million for the second quarter ending June 30, 2026, and $73 million for the full year 2026. As of March 31, 2026, we were in compliance with these covenants. For additional information, see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below.</w:t>
      </w:r>
    </w:p>
    <w:p>
      <w:pPr>
        <w:spacing w:after="0" w:line="19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On April 8, 2026, we entered into a ten-year agreement with the Biomedical Advanced Research and Development Authority (“BARDA”), part of the U.S. Department of Health and Human Services, with a total potential value of up to $25.5 million. Under the agreement, we will maintain a supply of RECELL for deployment in burn mass casualty incidents and provide associated readiness and support services. The agreement includes approximately $4.0 million in expected revenue from access and maintenance fees over the ten-year term, with additional potential revenue tied to procurement options exercised by BARDA.</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April 2026, we announced positive interim results from our Cohealyx I post-market clinical study, demonstrating a statistically significant reduction in mean time to autografting readiness of approximately 20 days compared to a literature-derived benchmark (13.6 days versus 33.2 days; p&lt;0.001). These findings support the potential of Cohealyx to improve clinical outcomes and enhance efficiency in the treatment of full-thickness wounds.</w:t>
      </w:r>
    </w:p>
    <w:p>
      <w:pPr>
        <w:spacing w:after="0" w:line="176"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We participated in the American Burn Association 2026 Annual Meeting in April, where independent investigators and clinical partners presented data and case studies reflecting real-world use of RECELL, Cohealyx, and PermeaDerm across a range of wound care applications. These presentations highlighted evolving clinical experience with our products and their use across different stages of wound management.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three-months ended March 31, 2026 compared to the three-months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table below summarizes the results of our operations for each of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5"/>
          </w:tcPr>
          <w:p>
            <w:pPr>
              <w:jc w:val="right"/>
              <w:ind w:right="158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18"/>
                <w:szCs w:val="18"/>
                <w:color w:val="auto"/>
              </w:rPr>
            </w:pPr>
          </w:p>
        </w:tc>
        <w:tc>
          <w:tcPr>
            <w:tcW w:w="1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Sales revenue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18,325</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revenue</w:t>
            </w: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(3,523)</w:t>
            </w:r>
          </w:p>
        </w:tc>
        <w:tc>
          <w:tcPr>
            <w:tcW w:w="2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(2,833)</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(690)</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(12,841)</w:t>
            </w:r>
          </w:p>
        </w:tc>
        <w:tc>
          <w:tcPr>
            <w:tcW w:w="2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(14,834)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(6,061)</w:t>
            </w:r>
          </w:p>
        </w:tc>
        <w:tc>
          <w:tcPr>
            <w:tcW w:w="2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(6,390)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(5,629)</w:t>
            </w:r>
          </w:p>
        </w:tc>
        <w:tc>
          <w:tcPr>
            <w:tcW w:w="2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(6,284)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(24,531)</w:t>
            </w:r>
          </w:p>
        </w:tc>
        <w:tc>
          <w:tcPr>
            <w:tcW w:w="2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(27,508)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(8,803)</w:t>
            </w:r>
          </w:p>
        </w:tc>
        <w:tc>
          <w:tcPr>
            <w:tcW w:w="2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(11,827)</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c>
          <w:tcPr>
            <w:tcW w:w="2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(1,233)</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(791)</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(10,622)</w:t>
            </w:r>
          </w:p>
        </w:tc>
        <w:tc>
          <w:tcPr>
            <w:tcW w:w="2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(13,851)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(10,611)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(13,859)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-1713865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-1713865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-1156970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-1156970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-591185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-591185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-307975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-307975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Total revenues increased by 4%, or $0.7 million, to approximately $19.3 million, compared to $18.5 million in the same period in the prior year. Our commercial revenue was approximately $19.3 million in the three-months ended March 31, 2026, an increase of $0.7 million, or 4%, compared to $18.5 million in the corresponding period in the prior year. The growth in commercial revenues was largely driven by increased contributions from Cohealyx, RECELL GO mini in trauma and smaller wounds, and continued normalization in RECELL utilization following the resolution of MAC-related reimbursement headwinds.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Gross profit margin was 81.7% compared to 84.7% in the corresponding period in the prior year. Note that the gross margin for RECELL products only was 85.0% for the quarter, which we believe will remain in this range for future quarters. The decrease in the overall gross margin percentage from the prior year was primarily caused by certain inventory adjustments and product mix. The Company shares the average sales price for Cohealyx at 50% and for PermeaDerm at 60%. Although these arrangements are highly beneficial, they inevitably result in an overall decrease in gross margin percentage. Therefore, the product mix is expected to continue to impact the overall gross margin percentage while increasing the gross profit and, given that expenses associated with this revenue do not increase significantly, the operating profit on a quarterly basis.</w:t>
      </w:r>
    </w:p>
    <w:p>
      <w:pPr>
        <w:spacing w:after="0" w:line="18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Total operating expenses decreased by 11% or $3.0 million to $24.5 million, compared with $27.5 million in the corresponding period in the prior year.</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by 13%, or $2.0 million, to $12.8 million, compared to $14.8 million in the corresponding period in the prior year. Lower costs in the current year are due to decreases in salaries and benefits of approximately $0.9 million, selling expenses of $0.6 million, and professional fees of $0.5 million. The decrease in salaries and benefits is due to the reduction of our sales force as part of cost savings initiatives which began in the second quarter of the prior year. The decrease in selling expenses is due to lower commissions. The decrease in professional fees is due to lower consulting costs.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General and administrative expenses decreased by 5%, or $0.3 million, to $6.1 million, compared to $6.4 million in the same period in the prior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10%, or $0.7 million, to $5.6 million, compared to $6.3 million in the same period in the prior year. Lower costs in the current year are due to decreases in salaries and benefits of approximately $0.3 million, stock-based compensation expense of $0.2 million, and $0.2 million in lower research and development expenses. The decreases in salaries and benefits and stock-based compensation expense are due to lower headcount. The decrease in research and development expenses is due to lower product testing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9" w:name="page30"/>
    <w:bookmarkEnd w:id="29"/>
    <w:p>
      <w:pPr>
        <w:ind w:firstLine="749"/>
        <w:spacing w:after="0" w:line="258" w:lineRule="auto"/>
        <w:rPr>
          <w:sz w:val="20"/>
          <w:szCs w:val="20"/>
          <w:color w:val="auto"/>
        </w:rPr>
      </w:pPr>
      <w:r>
        <w:rPr>
          <w:rFonts w:ascii="Times New Roman" w:cs="Times New Roman" w:eastAsia="Times New Roman" w:hAnsi="Times New Roman"/>
          <w:sz w:val="18"/>
          <w:szCs w:val="18"/>
          <w:color w:val="auto"/>
        </w:rPr>
        <w:t>Other expense, net decreased by $0.4 million to $0.4 million from $0.8 million in the prior period. In the current period, other expense, net consists of a non-cash charge of $0.3 million related to the change in fair value of the loan facility, offset by a non-cash charge of $0.6 million related to the change in fair value of warrants and $0.1 million in other expense, net. The prior period expense consisted of a non-cash charge of $0.8 million related to the change in fair value of debt and $0.8 million in debt issuance costs, offset by a non-cash gain of $0.4 million related to the change in fair value of the warrants and $0.3 million in income related to our investments and $0.1 million in other gains, net.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on the basis that we will continue as a going concern for the next 12 months. We had approximately $8.3 million in cash and cash equivalents and $6.0 million in marketable securities as of March 31, 2026. We have funded our research and development activities, and more recently our substantial investment in sales and marketing activities, through the sale of our products, the issuance of equity securities, and debt financing. If capital is not available to us when amounts are needed, we could be required to delay, scale back or abandon commercial activities and development programs and other operations, which could adversely impact our business, financial condition, and operating results.</w:t>
      </w:r>
    </w:p>
    <w:p>
      <w:pPr>
        <w:spacing w:after="0" w:line="18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Based on our liquidity position and current forecast of operating results and cash flows, management determined there is substantial doubt about our ability to continue as a going concern over the next twelve months following the date of issuance of these Consolidated Financial Statements, due to our debt repayment obligations, historical negative cash flows, and recurring losses. As a result, we may require additional liquidity to continue our operations over the next twelve months.</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January 13, 2026 (the “Closing Date”), we entered into a Credit Agreement and Guaranty (the “Credit Agreement”), and Security Agreement (the “Security Agreement”), by and among us, as borrower, Avita Medical Americas, LLC, a wholly-owned subsidiary of the Company, as guarantor (the “Guarantor,” taken together with the Company, the “Obligors”) and Perceptive Credit Holdings V, LP as a lender and the administrative agent (the “Lender,” and the “Administrative Agent,” as applicable). The Credit Agreement provides for a five-year senior secured credit facility in an aggregate principal amount of up to $60 million (the “Loan Facility”), of which (i) $50 million was funded on the Closing Date (the “Initial Commitment Amount”) and (ii) $10 million will be made available, at our discretion by notice to the Administrative Agent on or before March 31, 2027, subject to satisfaction of a certain net revenue requirement (the “Additional Commitment Amount”). On the Closing Date, we closed on the Initial Commitment Amount, less certain fees and expenses payable to or on behalf of the Lender. Simultaneously with the closing of the Initial Commitment Amount, we repaid in full and terminated all of our obligations and commitments under our previous credit agreement (the “Refinancing Transaction”).</w:t>
      </w:r>
    </w:p>
    <w:p>
      <w:pPr>
        <w:spacing w:after="0" w:line="1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During the term of the Loan Facility, interest payable in cash shall accrue on any outstanding amounts under the Loan Facility at a rate per annum equal to the greater of (x) the SOFR rate for such period, and (y) 4.00% plus, in either case, 7.50%. Upon the occurrence and during the continuance of an event of default, any outstanding amount under the Loan Facility will bear interest at a rate of 4% in excess of the otherwise applicable rate of interest.</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On the Closing Date, we agreed to issue, subject to shareholder approval, warrants to purchase up to 650,000 shares of Common Stock, par value $0.0001 per share, at an exercise price set at the lower of two 10-day VWAPs: (i) the 10-day VWAP ending on the business day immediately prior to the Closing Date (i.e., 12 January 2026), which VWAP is $3.4019; or (ii) the 10-day VWAP ending on the business day immediately prior to the issuance date of the warrants (the “Perceptive Warrants”).</w:t>
      </w:r>
    </w:p>
    <w:p>
      <w:pPr>
        <w:spacing w:after="0" w:line="18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Credit Agreement, and as set forth in a fee letter between us, and the Lender and the Administrative Agent (the “Fee Letter”), we will pay certain fees with respect to the Loan Facility, including (a) an exit fee equal to 5% of the aggregate principal amount borrowed by us under the Credit Agreement in the event that we fail to secure shareholder approval of the issuance of the Perceptive Warrants in accordance with the rules of the ASX (the “Warrant Shareholder Approval”) on or prior to September 30, 2026, and (b) a prepayment premium ranging from 1% to 10% of the amount of the Loan Facility that is prepaid upon any voluntary or mandatory prepayment (including as a result of an acceleration), together with certain other fees and expenses of the Lender.</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customary events of default, including with respect to nonpayment of principal, interest, fees or other amounts; material inaccuracy of a representation or warranty; failure to perform or observe covenants; material defaults on other indebtedness; insolvency; loss of certain key permits, persons and contracts; material adverse effects; certain regulatory matters; and change of control. Additionally, our failure to obtain Warrant Shareholder Approval on or prior to November 30, 2026 shall constitute an event of default under the Credit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0" w:name="page31"/>
    <w:bookmarkEnd w:id="30"/>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The Credit Agreement contains a number of customary representations, warranties and covenants that, among other things, will limit or restrict our ability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redeem or repurchase certain debt; engage in certain transactions with affiliates; and enter into certain restrictive agreements. Among such covenants, the Credit Agreement includes a financial maintenance test that requires us to maintain a specified minimum net revenue for each trailing twelve-month period ending on the last day of a fiscal quarter occurring prior to the maturity date of the Loan Facility with the first such test occurring as of the fiscal quarter ended March 31, 2026. In addition, the Credit Agreement requires us to maintain in the aggregate at least $5 million of unrestricted cash at all times. Pursuant to the Security Agreement, all obligations under the Credit Agreement are guaranteed and secured by substantially all of our assets.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5"/>
          </w:tcPr>
          <w:p>
            <w:pPr>
              <w:jc w:val="right"/>
              <w:ind w:right="1240"/>
              <w:spacing w:after="0"/>
              <w:rPr>
                <w:sz w:val="20"/>
                <w:szCs w:val="20"/>
                <w:color w:val="auto"/>
              </w:rPr>
            </w:pPr>
            <w:r>
              <w:rPr>
                <w:rFonts w:ascii="Times New Roman" w:cs="Times New Roman" w:eastAsia="Times New Roman" w:hAnsi="Times New Roman"/>
                <w:sz w:val="16"/>
                <w:szCs w:val="16"/>
                <w:b w:val="1"/>
                <w:bCs w:val="1"/>
                <w:color w:val="auto"/>
              </w:rPr>
              <w:t>Three-Months Ended</w:t>
            </w: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0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r>
      <w:tr>
        <w:trPr>
          <w:trHeight w:val="19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(10,072)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(10,309)</w:t>
            </w: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10,766</w:t>
            </w:r>
          </w:p>
        </w:tc>
        <w:tc>
          <w:tcPr>
            <w:tcW w:w="100" w:type="dxa"/>
            <w:vAlign w:val="bottom"/>
          </w:tcPr>
          <w:p>
            <w:pPr>
              <w:spacing w:after="0"/>
              <w:rPr>
                <w:sz w:val="17"/>
                <w:szCs w:val="17"/>
                <w:color w:val="auto"/>
              </w:rPr>
            </w:pPr>
          </w:p>
        </w:tc>
      </w:tr>
      <w:tr>
        <w:trPr>
          <w:trHeight w:val="20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6,097</w:t>
            </w: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increase/(decrease) in cash and cash equivalents</w:t>
            </w: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(1,934)</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7"/>
                <w:szCs w:val="17"/>
                <w:color w:val="auto"/>
              </w:rPr>
            </w:pPr>
          </w:p>
        </w:tc>
      </w:tr>
      <w:tr>
        <w:trPr>
          <w:trHeight w:val="20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2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100" w:type="dxa"/>
            <w:vAlign w:val="bottom"/>
            <w:shd w:val="clear" w:color="auto" w:fill="CFF0FC"/>
          </w:tcPr>
          <w:p>
            <w:pPr>
              <w:spacing w:after="0"/>
              <w:rPr>
                <w:sz w:val="17"/>
                <w:szCs w:val="17"/>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14,870</w:t>
            </w:r>
          </w:p>
        </w:tc>
        <w:tc>
          <w:tcPr>
            <w:tcW w:w="100" w:type="dxa"/>
            <w:vAlign w:val="bottom"/>
          </w:tcPr>
          <w:p>
            <w:pPr>
              <w:spacing w:after="0"/>
              <w:rPr>
                <w:sz w:val="18"/>
                <w:szCs w:val="18"/>
                <w:color w:val="auto"/>
              </w:rPr>
            </w:pPr>
          </w:p>
        </w:tc>
      </w:tr>
    </w:tbl>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used in operating activities was $10.1 million and $10.3 million during the three-months ended March 31, 2026 and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cash used in operations was primarily due to decreased operating expenses offset by the timing of working capital outlays.</w:t>
      </w:r>
    </w:p>
    <w:p>
      <w:pPr>
        <w:spacing w:after="0" w:line="207"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$2.0 million and $10.8 million during the three-months ended March 31, 2026 and 2025, respectively. The decrease in cash provided by investing activities is primarily attributable to lower cash inflows from maturities of marketable securities and higher cash outflows from purchases of marketable securities in the current year.</w:t>
      </w:r>
    </w:p>
    <w:p>
      <w:pPr>
        <w:spacing w:after="0" w:line="176" w:lineRule="exact"/>
        <w:rPr>
          <w:sz w:val="20"/>
          <w:szCs w:val="20"/>
          <w:color w:val="auto"/>
        </w:rPr>
      </w:pPr>
    </w:p>
    <w:p>
      <w:pPr>
        <w:ind w:right="86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$6.1 million and $0.4 million during the three-months ended March 31, 2026 and 2025, respectively. The increase in cash provided by financing activities is primarily due to the Loan Facility entered into on January 13,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Management and Material Cash Requirements</w:t>
      </w:r>
    </w:p>
    <w:p>
      <w:pPr>
        <w:spacing w:after="0" w:line="225"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We aim to manage capital so that we can continue as a going concern while also maintaining optimal returns to stockholders, as well as other benefits for our stakeholders. We also aim to maintain a capital structure that ensures the lowest cost of capital available to us. We regularly review our capital structure and seek to take advantage of available opportunities to improve outcomes for us and our stockholders.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three-months ended March 31, 2026, there were no dividends paid and we have no plans to commence the payment of dividends.</w:t>
      </w:r>
    </w:p>
    <w:p>
      <w:pPr>
        <w:spacing w:after="0" w:line="225"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Under the terms of the Regenity Agreement, we have an obligation to make an additional $3.0 million payment on or before January 4, 2027 to guarantee development and manufacturing capacity (and related resources), contingent on positive results of certain clinical studies. With the exception of the milestone payments related to our exclusive development and distribution agreement with Regenity, we do not have any other purchase commitments or long-term contractual obligations, except for lease obligations as of March 31, 2026.</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addition, we have no material off-balance sheet arrangements (as defined in the applicable rules and regulations established by the SEC) that have or are reasonably likely to have a current or future effect on our financial condition, changes in financial condition, revenues or expenses, results of operations, liquidity, capital expenditures or capital resources. While we have no committed plans to issue further shares on the market, we will continue to assess market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Except as disclosed in Note 2 to our Consolidated Financial Statements, </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ere have been no material changes to our critical accounting policies and estimates from the information provided in Item 7, “Management’s Discussion and Analysis of Financial Condition and Results of Operations,” included in the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March 31, 2026, our Chief Executive Officer and our Chief Financial Officer concluded that our disclosure controls and procedures, as defined in Rules 13a-15(e) and 15d-15(e) of the Securities Exchange Act of 1934, as amended (the “Securities Exchange Act”), were effective.</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have been formulated to ensure that (i) information that we are required to disclose in reports that we file or submit under the Securities Exchange Act was recorded, processed, summarized, and reported within the time periods specified in the SEC’s rules and forms and (ii) information required to be disclosed by us is accumulated and communicated to our management, including our Chief Executive Officer and our Chief Financial Officer, as appropriate, to allow timely decisions regarding required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and 15d-15(f) under the Securities Exchange Act) during the period covered by this Quarterly Report on Form 10-Q that have materially affected, or are reasonably likely to materially affect, our internal controls over financial reporting.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not currently a party to any legal proceedings that we believe will have a material adverse effect on our business or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however, be subject to various claims or legal actions arising in the ordinary course of business from time to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under Part I, Item 1A, “Risk Factors,” in the 2025 Annual Report and as updated from time to time in the Company’s subsequent Quarterly Reports on Form 10-Q.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Quarterly Report on Form 10-Q. There have been no material changes to the risk factors described in Part I, Item 1A, “Risk Factors,” included in the 2025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8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as part of the Quarterly Report on Form 10-Q:</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400"/>
        <w:spacing w:after="0"/>
        <w:tabs>
          <w:tab w:leader="none" w:pos="126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ind w:left="460"/>
        <w:spacing w:after="0"/>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09">
        <w:r>
          <w:rPr>
            <w:rFonts w:ascii="Times New Roman" w:cs="Times New Roman" w:eastAsia="Times New Roman" w:hAnsi="Times New Roman"/>
            <w:sz w:val="18"/>
            <w:szCs w:val="18"/>
            <w:u w:val="single" w:color="auto"/>
            <w:color w:val="0000FF"/>
          </w:rPr>
          <w:t>Certificate of Incorporation (incorporated by reference to Exhibit 3.1 to the registrant’s Form 8-K12B filed on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365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5736590" cy="8890"/>
                    </a:xfrm>
                    <a:prstGeom prst="rect">
                      <a:avLst/>
                    </a:prstGeom>
                    <a:noFill/>
                  </pic:spPr>
                </pic:pic>
              </a:graphicData>
            </a:graphic>
          </wp:anchor>
        </w:drawing>
      </w:r>
    </w:p>
    <w:p>
      <w:pPr>
        <w:spacing w:after="0" w:line="111" w:lineRule="exact"/>
        <w:rPr>
          <w:sz w:val="20"/>
          <w:szCs w:val="20"/>
          <w:color w:val="auto"/>
        </w:rPr>
      </w:pPr>
    </w:p>
    <w:p>
      <w:pPr>
        <w:ind w:left="1140" w:right="100" w:hanging="674"/>
        <w:spacing w:after="0" w:line="28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211">
        <w:r>
          <w:rPr>
            <w:rFonts w:ascii="Times New Roman" w:cs="Times New Roman" w:eastAsia="Times New Roman" w:hAnsi="Times New Roman"/>
            <w:sz w:val="18"/>
            <w:szCs w:val="18"/>
            <w:u w:val="single" w:color="auto"/>
            <w:color w:val="0000FF"/>
          </w:rPr>
          <w:t>Certificate of Amendment of Certificate of Incorporation (incorporated by reference to Exhibit 3.2 of the registrant’s Form 10-KT filed on</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February 28,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-185420</wp:posOffset>
            </wp:positionV>
            <wp:extent cx="63550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35508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-48260</wp:posOffset>
            </wp:positionV>
            <wp:extent cx="8788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878840" cy="8890"/>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29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1"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10.2</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10.3</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31.1*</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31.2*</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32**</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101.INS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Amended and Restated Bylaws (incorporated by reference to Exhibit 3.1 of the registrant’s Form 8-K filed on May 15,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7270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5727065" cy="889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Form of Warrant Certificate (incorporated by reference to Exhibit 4.1 of the registrant's Form 8-K filed on January 13,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7092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57" w:lineRule="exact"/>
        <w:rPr>
          <w:sz w:val="20"/>
          <w:szCs w:val="20"/>
          <w:color w:val="auto"/>
        </w:rPr>
      </w:pPr>
    </w:p>
    <w:p>
      <w:pPr>
        <w:ind w:right="220"/>
        <w:spacing w:after="0" w:line="266"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Credit Agreement and Guaranty, dated January 13, 2026, by and between the Company, as Borrower, the Guarantors thereto, and</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Perceptive Credit Holdings V, LP, as a Lender and the administrative agent for the Lenders (incorporated by reference to Exhibit 10.1 of</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the registrant's Form 8-K filed on January 13, 2026)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59486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594868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62788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627888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23780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right="540"/>
        <w:spacing w:after="0" w:line="282"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Security Agreement, dated January 13, 2026, by and among the Company and its subsidiaries and Perceptive Credit Holdings V, LP</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(incorporated by reference to Exhibit 10.2 of the registrant's Form 8-K filed on January 13,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0731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607314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453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4453255" cy="8255"/>
                    </a:xfrm>
                    <a:prstGeom prst="rect">
                      <a:avLst/>
                    </a:prstGeom>
                    <a:noFill/>
                  </pic:spPr>
                </pic:pic>
              </a:graphicData>
            </a:graphic>
          </wp:anchor>
        </w:drawing>
      </w:r>
    </w:p>
    <w:p>
      <w:pPr>
        <w:spacing w:after="0" w:line="282"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Fee Letter, dated January 13, 2026, by and between the Company, as Borrower, and the Lender and the Administrative Agent (incorporated</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by reference to Exhibit 10.3 of the registrant's Form 8-K filed on January 13,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4122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8087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38087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5730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5412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254127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18 U.S.C. 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7583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175831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p>
      <w:pPr>
        <w:spacing w:after="0" w:line="131" w:lineRule="exact"/>
        <w:rPr>
          <w:sz w:val="20"/>
          <w:szCs w:val="20"/>
          <w:color w:val="auto"/>
        </w:rPr>
      </w:pPr>
    </w:p>
    <w:p>
      <w:pPr>
        <w:sectPr>
          <w:pgSz w:w="11900" w:h="16838" w:orient="portrait"/>
          <w:cols w:equalWidth="0" w:num="2">
            <w:col w:w="920" w:space="220"/>
            <w:col w:w="10060"/>
          </w:cols>
          <w:pgMar w:left="320" w:top="1008" w:right="379" w:bottom="1440" w:gutter="0" w:footer="0" w:header="0"/>
          <w:type w:val="continuous"/>
        </w:sectPr>
      </w:pPr>
    </w:p>
    <w:p>
      <w:pPr>
        <w:ind w:left="1140" w:hanging="696"/>
        <w:spacing w:after="0"/>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540" w:val="left"/>
          <w:tab w:leader="none" w:pos="5960" w:val="left"/>
        </w:tabs>
        <w:rPr>
          <w:sz w:val="20"/>
          <w:szCs w:val="20"/>
          <w:color w:val="auto"/>
        </w:rPr>
      </w:pPr>
      <w:r>
        <w:rPr>
          <w:rFonts w:ascii="Times New Roman" w:cs="Times New Roman" w:eastAsia="Times New Roman" w:hAnsi="Times New Roman"/>
          <w:sz w:val="18"/>
          <w:szCs w:val="18"/>
          <w:color w:val="auto"/>
        </w:rPr>
        <w:t>Date:</w:t>
        <w:tab/>
        <w:t>May 14, 2026</w:t>
      </w:r>
      <w:r>
        <w:rPr>
          <w:sz w:val="20"/>
          <w:szCs w:val="20"/>
          <w:color w:val="auto"/>
        </w:rPr>
        <w:tab/>
      </w:r>
      <w:r>
        <w:rPr>
          <w:rFonts w:ascii="Times New Roman" w:cs="Times New Roman" w:eastAsia="Times New Roman" w:hAnsi="Times New Roman"/>
          <w:sz w:val="17"/>
          <w:szCs w:val="17"/>
          <w:color w:val="auto"/>
        </w:rPr>
        <w:t>AVITA MEDICAL, INC.</w:t>
      </w:r>
    </w:p>
    <w:p>
      <w:pPr>
        <w:spacing w:after="0" w:line="239" w:lineRule="exact"/>
        <w:rPr>
          <w:sz w:val="20"/>
          <w:szCs w:val="20"/>
          <w:color w:val="auto"/>
        </w:rPr>
      </w:pPr>
    </w:p>
    <w:p>
      <w:pPr>
        <w:jc w:val="right"/>
        <w:ind w:right="3680"/>
        <w:spacing w:after="0"/>
        <w:rPr>
          <w:sz w:val="20"/>
          <w:szCs w:val="20"/>
          <w:color w:val="auto"/>
        </w:rPr>
      </w:pPr>
      <w:r>
        <w:rPr>
          <w:rFonts w:ascii="Times New Roman" w:cs="Times New Roman" w:eastAsia="Times New Roman" w:hAnsi="Times New Roman"/>
          <w:sz w:val="18"/>
          <w:szCs w:val="18"/>
          <w:color w:val="auto"/>
        </w:rPr>
        <w:t>By: /s/ Cary 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jc w:val="right"/>
        <w:ind w:right="3660"/>
        <w:spacing w:after="0"/>
        <w:rPr>
          <w:sz w:val="20"/>
          <w:szCs w:val="20"/>
          <w:color w:val="auto"/>
        </w:rPr>
      </w:pPr>
      <w:r>
        <w:rPr>
          <w:rFonts w:ascii="Times New Roman" w:cs="Times New Roman" w:eastAsia="Times New Roman" w:hAnsi="Times New Roman"/>
          <w:sz w:val="18"/>
          <w:szCs w:val="18"/>
          <w:color w:val="auto"/>
        </w:rPr>
        <w:t>Cary G. Vance</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David O'Toole</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08" w:right="539" w:bottom="1440" w:gutter="0" w:footer="0" w:header="0"/>
        </w:sectPr>
      </w:pPr>
    </w:p>
    <w:bookmarkStart w:id="35" w:name="page36"/>
    <w:bookmarkEnd w:id="3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Cary Vance,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AVITA Medical,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60" w:right="520" w:hanging="514"/>
        <w:spacing w:after="0" w:line="266" w:lineRule="auto"/>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60" w:right="100" w:hanging="514"/>
        <w:spacing w:after="0" w:line="266" w:lineRule="auto"/>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60" w:right="160" w:hanging="514"/>
        <w:spacing w:after="0" w:line="266" w:lineRule="auto"/>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60" w:right="280" w:hanging="514"/>
        <w:spacing w:after="0" w:line="266" w:lineRule="auto"/>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60" w:right="160" w:hanging="514"/>
        <w:spacing w:after="0" w:line="282" w:lineRule="auto"/>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60" w:right="420" w:hanging="514"/>
        <w:spacing w:after="0" w:line="282" w:lineRule="auto"/>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Cary Vance</w:t>
            </w:r>
          </w:p>
        </w:tc>
      </w:tr>
      <w:tr>
        <w:trPr>
          <w:trHeight w:val="191"/>
        </w:trPr>
        <w:tc>
          <w:tcPr>
            <w:tcW w:w="564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Cary G. Vance</w:t>
            </w:r>
          </w:p>
        </w:tc>
      </w:tr>
      <w:tr>
        <w:trPr>
          <w:trHeight w:val="234"/>
        </w:trPr>
        <w:tc>
          <w:tcPr>
            <w:tcW w:w="56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ind w:left="6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6" w:name="page37"/>
    <w:bookmarkEnd w:id="3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O'Toole,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AVITA Medical,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60" w:right="560" w:hanging="514"/>
        <w:spacing w:after="0" w:line="266"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60" w:right="140" w:hanging="514"/>
        <w:spacing w:after="0" w:line="266"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60" w:right="160" w:hanging="514"/>
        <w:spacing w:after="0" w:line="266"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60" w:right="280" w:hanging="514"/>
        <w:spacing w:after="0" w:line="266"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60" w:right="160" w:hanging="514"/>
        <w:spacing w:after="0" w:line="282"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60" w:right="420" w:hanging="514"/>
        <w:spacing w:after="0" w:line="282"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O'Toole</w:t>
            </w:r>
          </w:p>
        </w:tc>
      </w:tr>
      <w:tr>
        <w:trPr>
          <w:trHeight w:val="191"/>
        </w:trPr>
        <w:tc>
          <w:tcPr>
            <w:tcW w:w="56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David O'Toole</w:t>
            </w:r>
          </w:p>
        </w:tc>
      </w:tr>
      <w:tr>
        <w:trPr>
          <w:trHeight w:val="216"/>
        </w:trPr>
        <w:tc>
          <w:tcPr>
            <w:tcW w:w="5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222"/>
        </w:trPr>
        <w:tc>
          <w:tcPr>
            <w:tcW w:w="5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period ended March 31, 2026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14, 2026</w:t>
      </w:r>
      <w:r>
        <w:rPr>
          <w:sz w:val="20"/>
          <w:szCs w:val="20"/>
          <w:color w:val="auto"/>
        </w:rPr>
        <w:tab/>
      </w:r>
      <w:r>
        <w:rPr>
          <w:rFonts w:ascii="Times New Roman" w:cs="Times New Roman" w:eastAsia="Times New Roman" w:hAnsi="Times New Roman"/>
          <w:sz w:val="17"/>
          <w:szCs w:val="17"/>
          <w:color w:val="auto"/>
        </w:rPr>
        <w:t>/s/ Cary 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Name:</w:t>
        <w:tab/>
        <w:t>Cary G. Vance</w:t>
      </w:r>
    </w:p>
    <w:p>
      <w:pPr>
        <w:spacing w:after="0" w:line="27"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14, 2026</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Name:</w:t>
        <w:tab/>
        <w:t>David O'Toole</w:t>
      </w:r>
    </w:p>
    <w:p>
      <w:pPr>
        <w:spacing w:after="0" w:line="27"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3"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2"/>
      <w:numFmt w:val="decimal"/>
      <w:start w:val="104"/>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0"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5" Type="http://schemas.openxmlformats.org/officeDocument/2006/relationships/image" Target="media/image205.png"/><Relationship Id="rId217"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09" Type="http://schemas.openxmlformats.org/officeDocument/2006/relationships/hyperlink" Target="https://www.sec.gov/Archives/edgar/data/1762303/000119312520183429/d75062dex31.htm" TargetMode="External"/><Relationship Id="rId211" Type="http://schemas.openxmlformats.org/officeDocument/2006/relationships/hyperlink" Target="https://www.sec.gov/Archives/edgar/data/1762303/000156459022007617/rcel-ex32_14.htm" TargetMode="External"/><Relationship Id="rId214" Type="http://schemas.openxmlformats.org/officeDocument/2006/relationships/hyperlink" Target="https://www.sec.gov/Archives/edgar/data/1762303/000095017025072746/rcel-ex3_1.htm" TargetMode="External"/><Relationship Id="rId216" Type="http://schemas.openxmlformats.org/officeDocument/2006/relationships/hyperlink" Target="https://www.sec.gov/Archives/edgar/data/1762303/000119312526011167/rcel-ex4_1.htm" TargetMode="External"/><Relationship Id="rId218" Type="http://schemas.openxmlformats.org/officeDocument/2006/relationships/hyperlink" Target="https://www.sec.gov/Archives/edgar/data/1762303/000119312526011167/rcel-ex10_1.htm" TargetMode="External"/><Relationship Id="rId222" Type="http://schemas.openxmlformats.org/officeDocument/2006/relationships/hyperlink" Target="https://www.sec.gov/Archives/edgar/data/1762303/000119312526011167/rcel-ex10_2.htm" TargetMode="External"/><Relationship Id="rId225" Type="http://schemas.openxmlformats.org/officeDocument/2006/relationships/hyperlink" Target="https://www.sec.gov/Archives/edgar/data/1762303/000119312526011167/rcel-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2026-05-14T15:38:36Z</dcterms:created>
  <dcterms:modified xsi:type="dcterms:W3CDTF">2026-05-14T15:38:36Z</dcterms:modified>
</cp:coreProperties>
</file>