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8"/>
          <w:szCs w:val="18"/>
          <w:b w:val="1"/>
          <w:bCs w:val="1"/>
          <w:color w:val="auto"/>
        </w:rPr>
        <w:t>As filed with the Securities and Exchange Commission on August 27. 2020</w:t>
      </w:r>
    </w:p>
    <w:p>
      <w:pPr>
        <w:spacing w:after="0" w:line="27" w:lineRule="exact"/>
        <w:rPr>
          <w:sz w:val="24"/>
          <w:szCs w:val="24"/>
          <w:color w:val="auto"/>
        </w:rPr>
      </w:pPr>
    </w:p>
    <w:p>
      <w:pPr>
        <w:ind w:left="8924"/>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REGISTRATION STATEMENT</w:t>
      </w:r>
    </w:p>
    <w:p>
      <w:pPr>
        <w:jc w:val="center"/>
        <w:ind w:right="-3"/>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44" w:type="dxa"/>
        <w:tblCellMar>
          <w:top w:w="0" w:type="dxa"/>
          <w:left w:w="0" w:type="dxa"/>
          <w:bottom w:w="0" w:type="dxa"/>
          <w:right w:w="0" w:type="dxa"/>
        </w:tblCellMar>
      </w:tblPr>
      <w:tr>
        <w:trPr>
          <w:trHeight w:val="212"/>
        </w:trPr>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720" w:type="dxa"/>
            <w:vAlign w:val="bottom"/>
          </w:tcPr>
          <w:p>
            <w:pPr>
              <w:jc w:val="center"/>
              <w:ind w:left="3557"/>
              <w:spacing w:after="0"/>
              <w:rPr>
                <w:sz w:val="20"/>
                <w:szCs w:val="20"/>
                <w:color w:val="auto"/>
              </w:rPr>
            </w:pPr>
            <w:r>
              <w:rPr>
                <w:rFonts w:ascii="Arial" w:cs="Arial" w:eastAsia="Arial" w:hAnsi="Arial"/>
                <w:sz w:val="18"/>
                <w:szCs w:val="18"/>
                <w:b w:val="1"/>
                <w:bCs w:val="1"/>
                <w:color w:val="auto"/>
                <w:w w:val="91"/>
              </w:rPr>
              <w:t>85-1021707</w:t>
            </w:r>
          </w:p>
        </w:tc>
      </w:tr>
      <w:tr>
        <w:trPr>
          <w:trHeight w:val="148"/>
        </w:trPr>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 incorporation</w:t>
            </w:r>
          </w:p>
        </w:tc>
        <w:tc>
          <w:tcPr>
            <w:tcW w:w="4720" w:type="dxa"/>
            <w:vAlign w:val="bottom"/>
          </w:tcPr>
          <w:p>
            <w:pPr>
              <w:jc w:val="center"/>
              <w:ind w:left="3557"/>
              <w:spacing w:after="0" w:line="149" w:lineRule="exact"/>
              <w:rPr>
                <w:sz w:val="20"/>
                <w:szCs w:val="20"/>
                <w:color w:val="auto"/>
              </w:rPr>
            </w:pPr>
            <w:r>
              <w:rPr>
                <w:rFonts w:ascii="Arial" w:cs="Arial" w:eastAsia="Arial" w:hAnsi="Arial"/>
                <w:sz w:val="14"/>
                <w:szCs w:val="14"/>
                <w:b w:val="1"/>
                <w:bCs w:val="1"/>
                <w:color w:val="auto"/>
                <w:w w:val="97"/>
              </w:rPr>
              <w:t>I.R.S. Employer</w:t>
            </w:r>
          </w:p>
        </w:tc>
      </w:tr>
      <w:tr>
        <w:trPr>
          <w:trHeight w:val="186"/>
        </w:trPr>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4"/>
              </w:rPr>
              <w:t>or organization)</w:t>
            </w:r>
          </w:p>
        </w:tc>
        <w:tc>
          <w:tcPr>
            <w:tcW w:w="4720" w:type="dxa"/>
            <w:vAlign w:val="bottom"/>
          </w:tcPr>
          <w:p>
            <w:pPr>
              <w:jc w:val="center"/>
              <w:ind w:left="3557"/>
              <w:spacing w:after="0"/>
              <w:rPr>
                <w:sz w:val="20"/>
                <w:szCs w:val="20"/>
                <w:color w:val="auto"/>
              </w:rPr>
            </w:pPr>
            <w:r>
              <w:rPr>
                <w:rFonts w:ascii="Arial" w:cs="Arial" w:eastAsia="Arial" w:hAnsi="Arial"/>
                <w:sz w:val="14"/>
                <w:szCs w:val="14"/>
                <w:b w:val="1"/>
                <w:bCs w:val="1"/>
                <w:color w:val="auto"/>
                <w:w w:val="95"/>
              </w:rPr>
              <w:t>Identification No.</w:t>
            </w:r>
          </w:p>
        </w:tc>
      </w:tr>
      <w:tr>
        <w:trPr>
          <w:trHeight w:val="412"/>
        </w:trPr>
        <w:tc>
          <w:tcPr>
            <w:tcW w:w="2720" w:type="dxa"/>
            <w:vAlign w:val="bottom"/>
          </w:tcPr>
          <w:p>
            <w:pPr>
              <w:spacing w:after="0"/>
              <w:rPr>
                <w:sz w:val="24"/>
                <w:szCs w:val="24"/>
                <w:color w:val="auto"/>
              </w:rPr>
            </w:pPr>
          </w:p>
        </w:tc>
        <w:tc>
          <w:tcPr>
            <w:tcW w:w="4720" w:type="dxa"/>
            <w:vAlign w:val="bottom"/>
          </w:tcPr>
          <w:p>
            <w:pPr>
              <w:jc w:val="center"/>
              <w:ind w:right="1937"/>
              <w:spacing w:after="0"/>
              <w:rPr>
                <w:sz w:val="20"/>
                <w:szCs w:val="20"/>
                <w:color w:val="auto"/>
              </w:rPr>
            </w:pPr>
            <w:r>
              <w:rPr>
                <w:rFonts w:ascii="Arial" w:cs="Arial" w:eastAsia="Arial" w:hAnsi="Arial"/>
                <w:sz w:val="18"/>
                <w:szCs w:val="18"/>
                <w:b w:val="1"/>
                <w:bCs w:val="1"/>
                <w:color w:val="auto"/>
                <w:w w:val="89"/>
              </w:rPr>
              <w:t>28159 Avenue Stanford, Suite 220</w:t>
            </w:r>
          </w:p>
        </w:tc>
      </w:tr>
      <w:tr>
        <w:trPr>
          <w:trHeight w:val="216"/>
        </w:trPr>
        <w:tc>
          <w:tcPr>
            <w:tcW w:w="2720" w:type="dxa"/>
            <w:vAlign w:val="bottom"/>
          </w:tcPr>
          <w:p>
            <w:pPr>
              <w:spacing w:after="0"/>
              <w:rPr>
                <w:sz w:val="18"/>
                <w:szCs w:val="18"/>
                <w:color w:val="auto"/>
              </w:rPr>
            </w:pPr>
          </w:p>
        </w:tc>
        <w:tc>
          <w:tcPr>
            <w:tcW w:w="4720" w:type="dxa"/>
            <w:vAlign w:val="bottom"/>
          </w:tcPr>
          <w:p>
            <w:pPr>
              <w:jc w:val="center"/>
              <w:ind w:right="1937"/>
              <w:spacing w:after="0"/>
              <w:rPr>
                <w:sz w:val="20"/>
                <w:szCs w:val="20"/>
                <w:color w:val="auto"/>
              </w:rPr>
            </w:pPr>
            <w:r>
              <w:rPr>
                <w:rFonts w:ascii="Arial" w:cs="Arial" w:eastAsia="Arial" w:hAnsi="Arial"/>
                <w:sz w:val="18"/>
                <w:szCs w:val="18"/>
                <w:b w:val="1"/>
                <w:bCs w:val="1"/>
                <w:color w:val="auto"/>
                <w:w w:val="91"/>
              </w:rPr>
              <w:t>Valencia, CA 91355</w:t>
            </w:r>
          </w:p>
        </w:tc>
      </w:tr>
      <w:tr>
        <w:trPr>
          <w:trHeight w:val="212"/>
        </w:trPr>
        <w:tc>
          <w:tcPr>
            <w:tcW w:w="2720" w:type="dxa"/>
            <w:vAlign w:val="bottom"/>
          </w:tcPr>
          <w:p>
            <w:pPr>
              <w:spacing w:after="0"/>
              <w:rPr>
                <w:sz w:val="18"/>
                <w:szCs w:val="18"/>
                <w:color w:val="auto"/>
              </w:rPr>
            </w:pPr>
          </w:p>
        </w:tc>
        <w:tc>
          <w:tcPr>
            <w:tcW w:w="4720" w:type="dxa"/>
            <w:vAlign w:val="bottom"/>
          </w:tcPr>
          <w:p>
            <w:pPr>
              <w:jc w:val="center"/>
              <w:ind w:right="1957"/>
              <w:spacing w:after="0"/>
              <w:rPr>
                <w:sz w:val="20"/>
                <w:szCs w:val="20"/>
                <w:color w:val="auto"/>
              </w:rPr>
            </w:pPr>
            <w:r>
              <w:rPr>
                <w:rFonts w:ascii="Arial" w:cs="Arial" w:eastAsia="Arial" w:hAnsi="Arial"/>
                <w:sz w:val="18"/>
                <w:szCs w:val="18"/>
                <w:b w:val="1"/>
                <w:bCs w:val="1"/>
                <w:color w:val="auto"/>
                <w:w w:val="90"/>
              </w:rPr>
              <w:t>661.367.9170</w:t>
            </w:r>
          </w:p>
        </w:tc>
      </w:tr>
      <w:tr>
        <w:trPr>
          <w:trHeight w:val="186"/>
        </w:trPr>
        <w:tc>
          <w:tcPr>
            <w:tcW w:w="2720" w:type="dxa"/>
            <w:vAlign w:val="bottom"/>
          </w:tcPr>
          <w:p>
            <w:pPr>
              <w:spacing w:after="0"/>
              <w:rPr>
                <w:sz w:val="16"/>
                <w:szCs w:val="16"/>
                <w:color w:val="auto"/>
              </w:rPr>
            </w:pPr>
          </w:p>
        </w:tc>
        <w:tc>
          <w:tcPr>
            <w:tcW w:w="4720" w:type="dxa"/>
            <w:vAlign w:val="bottom"/>
          </w:tcPr>
          <w:p>
            <w:pPr>
              <w:jc w:val="center"/>
              <w:ind w:right="1937"/>
              <w:spacing w:after="0"/>
              <w:rPr>
                <w:sz w:val="20"/>
                <w:szCs w:val="20"/>
                <w:color w:val="auto"/>
              </w:rPr>
            </w:pPr>
            <w:r>
              <w:rPr>
                <w:rFonts w:ascii="Arial" w:cs="Arial" w:eastAsia="Arial" w:hAnsi="Arial"/>
                <w:sz w:val="14"/>
                <w:szCs w:val="14"/>
                <w:b w:val="1"/>
                <w:bCs w:val="1"/>
                <w:color w:val="auto"/>
                <w:w w:val="92"/>
              </w:rPr>
              <w:t>(Address of Principal Executive Offices)</w:t>
            </w:r>
          </w:p>
        </w:tc>
      </w:tr>
      <w:tr>
        <w:trPr>
          <w:trHeight w:val="399"/>
        </w:trPr>
        <w:tc>
          <w:tcPr>
            <w:tcW w:w="2720" w:type="dxa"/>
            <w:vAlign w:val="bottom"/>
          </w:tcPr>
          <w:p>
            <w:pPr>
              <w:spacing w:after="0"/>
              <w:rPr>
                <w:sz w:val="24"/>
                <w:szCs w:val="24"/>
                <w:color w:val="auto"/>
              </w:rPr>
            </w:pPr>
          </w:p>
        </w:tc>
        <w:tc>
          <w:tcPr>
            <w:tcW w:w="4720" w:type="dxa"/>
            <w:vAlign w:val="bottom"/>
          </w:tcPr>
          <w:p>
            <w:pPr>
              <w:jc w:val="center"/>
              <w:ind w:right="1957"/>
              <w:spacing w:after="0"/>
              <w:rPr>
                <w:sz w:val="20"/>
                <w:szCs w:val="20"/>
                <w:color w:val="auto"/>
              </w:rPr>
            </w:pPr>
            <w:r>
              <w:rPr>
                <w:rFonts w:ascii="Arial" w:cs="Arial" w:eastAsia="Arial" w:hAnsi="Arial"/>
                <w:sz w:val="18"/>
                <w:szCs w:val="18"/>
                <w:b w:val="1"/>
                <w:bCs w:val="1"/>
                <w:color w:val="auto"/>
                <w:w w:val="89"/>
              </w:rPr>
              <w:t>Employee Share Plan</w:t>
            </w:r>
          </w:p>
        </w:tc>
      </w:tr>
      <w:tr>
        <w:trPr>
          <w:trHeight w:val="212"/>
        </w:trPr>
        <w:tc>
          <w:tcPr>
            <w:tcW w:w="2720" w:type="dxa"/>
            <w:vAlign w:val="bottom"/>
          </w:tcPr>
          <w:p>
            <w:pPr>
              <w:spacing w:after="0"/>
              <w:rPr>
                <w:sz w:val="18"/>
                <w:szCs w:val="18"/>
                <w:color w:val="auto"/>
              </w:rPr>
            </w:pPr>
          </w:p>
        </w:tc>
        <w:tc>
          <w:tcPr>
            <w:tcW w:w="4720" w:type="dxa"/>
            <w:vAlign w:val="bottom"/>
          </w:tcPr>
          <w:p>
            <w:pPr>
              <w:jc w:val="center"/>
              <w:ind w:right="1957"/>
              <w:spacing w:after="0"/>
              <w:rPr>
                <w:sz w:val="20"/>
                <w:szCs w:val="20"/>
                <w:color w:val="auto"/>
              </w:rPr>
            </w:pPr>
            <w:r>
              <w:rPr>
                <w:rFonts w:ascii="Arial" w:cs="Arial" w:eastAsia="Arial" w:hAnsi="Arial"/>
                <w:sz w:val="18"/>
                <w:szCs w:val="18"/>
                <w:b w:val="1"/>
                <w:bCs w:val="1"/>
                <w:color w:val="auto"/>
                <w:w w:val="90"/>
              </w:rPr>
              <w:t>Employee Share Incentive Plan</w:t>
            </w:r>
          </w:p>
        </w:tc>
      </w:tr>
      <w:tr>
        <w:trPr>
          <w:trHeight w:val="186"/>
        </w:trPr>
        <w:tc>
          <w:tcPr>
            <w:tcW w:w="2720" w:type="dxa"/>
            <w:vAlign w:val="bottom"/>
          </w:tcPr>
          <w:p>
            <w:pPr>
              <w:spacing w:after="0"/>
              <w:rPr>
                <w:sz w:val="16"/>
                <w:szCs w:val="16"/>
                <w:color w:val="auto"/>
              </w:rPr>
            </w:pPr>
          </w:p>
        </w:tc>
        <w:tc>
          <w:tcPr>
            <w:tcW w:w="4720" w:type="dxa"/>
            <w:vAlign w:val="bottom"/>
          </w:tcPr>
          <w:p>
            <w:pPr>
              <w:jc w:val="center"/>
              <w:ind w:right="1937"/>
              <w:spacing w:after="0"/>
              <w:rPr>
                <w:sz w:val="20"/>
                <w:szCs w:val="20"/>
                <w:color w:val="auto"/>
              </w:rPr>
            </w:pPr>
            <w:r>
              <w:rPr>
                <w:rFonts w:ascii="Arial" w:cs="Arial" w:eastAsia="Arial" w:hAnsi="Arial"/>
                <w:sz w:val="14"/>
                <w:szCs w:val="14"/>
                <w:b w:val="1"/>
                <w:bCs w:val="1"/>
                <w:color w:val="auto"/>
                <w:w w:val="94"/>
              </w:rPr>
              <w:t>(Full Title of the Plans)</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Corporate Creations Networks Inc.</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3411 Silverside Road, St. 104</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Wilmington, Delaware 19808</w:t>
      </w:r>
    </w:p>
    <w:p>
      <w:pPr>
        <w:spacing w:after="0" w:line="20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(561) 694-8107</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19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Copy to:</w:t>
      </w:r>
    </w:p>
    <w:p>
      <w:pPr>
        <w:spacing w:after="0" w:line="2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Christopher H. Cunningham</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Jonathan M. Miner</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K&amp;L Gates LLP</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925 Fourth Avenue, Suite 2900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Seattle, Washington 98104</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(206) 623-7580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left="4" w:right="40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488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rPr>
              <w:t>Proposed Maximum</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rPr>
              <w:t>Proposed 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ind w:left="94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right w:val="single" w:sz="8" w:color="auto"/>
            </w:tcBorders>
            <w:vMerge w:val="continue"/>
          </w:tcPr>
          <w:p>
            <w:pPr>
              <w:spacing w:after="0"/>
              <w:rPr>
                <w:sz w:val="15"/>
                <w:szCs w:val="15"/>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1,259,662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$21.24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$26,755,220.88</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9"/>
              </w:rPr>
              <w:t>$3,472.83</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p>
      <w:pPr>
        <w:sectPr>
          <w:pgSz w:w="11900" w:h="16838" w:orient="portrait"/>
          <w:cols w:equalWidth="0" w:num="1">
            <w:col w:w="11024"/>
          </w:cols>
          <w:pgMar w:left="436" w:top="229" w:right="439" w:bottom="0" w:gutter="0" w:footer="0" w:header="0"/>
        </w:sectPr>
      </w:pPr>
    </w:p>
    <w:p>
      <w:pPr>
        <w:ind w:left="424" w:right="160" w:hanging="424"/>
        <w:spacing w:after="0" w:line="263" w:lineRule="auto"/>
        <w:tabs>
          <w:tab w:leader="none" w:pos="424" w:val="left"/>
        </w:tabs>
        <w:numPr>
          <w:ilvl w:val="0"/>
          <w:numId w:val="1"/>
        </w:numPr>
        <w:rPr>
          <w:rFonts w:ascii="Arial" w:cs="Arial" w:eastAsia="Arial" w:hAnsi="Arial"/>
          <w:sz w:val="15"/>
          <w:szCs w:val="15"/>
          <w:color w:val="auto"/>
        </w:rPr>
      </w:pPr>
      <w:r>
        <w:rPr>
          <w:rFonts w:ascii="Arial" w:cs="Arial" w:eastAsia="Arial" w:hAnsi="Arial"/>
          <w:sz w:val="18"/>
          <w:szCs w:val="18"/>
          <w:color w:val="auto"/>
        </w:rPr>
        <w:t>Such shares are issuable upon the exercise of outstanding options with fixed exercise prices. Pursuant to Rule 457(h)(1), the aggregate offering price and the fee have been computed upon the basis of the price at which the options may be exercised. The offering price per share set forth for such shares is the exercise price per share at which such options are exercisable.</w:t>
      </w:r>
    </w:p>
    <w:p>
      <w:pPr>
        <w:sectPr>
          <w:pgSz w:w="11900" w:h="16838" w:orient="portrait"/>
          <w:cols w:equalWidth="0" w:num="1">
            <w:col w:w="11024"/>
          </w:cols>
          <w:pgMar w:left="436" w:top="229" w:right="439" w:bottom="0" w:gutter="0" w:footer="0" w:header="0"/>
          <w:type w:val="continuous"/>
        </w:sectPr>
      </w:pPr>
    </w:p>
    <w:bookmarkStart w:id="1" w:name="page2"/>
    <w:bookmarkEnd w:id="1"/>
    <w:p>
      <w:pPr>
        <w:jc w:val="both"/>
        <w:ind w:left="424" w:hanging="424"/>
        <w:spacing w:after="0" w:line="263" w:lineRule="auto"/>
        <w:tabs>
          <w:tab w:leader="none" w:pos="424" w:val="left"/>
        </w:tabs>
        <w:numPr>
          <w:ilvl w:val="0"/>
          <w:numId w:val="2"/>
        </w:numPr>
        <w:rPr>
          <w:rFonts w:ascii="Arial" w:cs="Arial" w:eastAsia="Arial" w:hAnsi="Arial"/>
          <w:sz w:val="15"/>
          <w:szCs w:val="15"/>
          <w:color w:val="auto"/>
        </w:rPr>
      </w:pPr>
      <w:r>
        <w:rPr>
          <w:rFonts w:ascii="Arial" w:cs="Arial" w:eastAsia="Arial" w:hAnsi="Arial"/>
          <w:sz w:val="18"/>
          <w:szCs w:val="18"/>
          <w:color w:val="auto"/>
        </w:rPr>
        <w:t>Estimated solely for the purpose of calculating the amount of the registration fee and calculated pursuant to Rule 457(h) under the Securities Act based on the average of the high ($21.75) and low ($20.73) reported sales prices of the Registrant’s common stock as reported on the NASDAQ Stock Market LLC on August 25, 2020.</w:t>
      </w:r>
    </w:p>
    <w:p>
      <w:pPr>
        <w:spacing w:after="0" w:line="72"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Proposed sales to take place as soon after the effective date of the registration statement as awards granted under the above-named plans are granted, exercised and/or distributed.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844"/>
          </w:cols>
          <w:pgMar w:left="436" w:top="139" w:right="6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jc w:val="both"/>
        <w:ind w:right="220" w:firstLine="440"/>
        <w:spacing w:after="0" w:line="311" w:lineRule="auto"/>
        <w:rPr>
          <w:sz w:val="20"/>
          <w:szCs w:val="20"/>
          <w:color w:val="auto"/>
        </w:rPr>
      </w:pPr>
      <w:r>
        <w:rPr>
          <w:rFonts w:ascii="Arial" w:cs="Arial" w:eastAsia="Arial" w:hAnsi="Arial"/>
          <w:sz w:val="16"/>
          <w:szCs w:val="16"/>
          <w:color w:val="auto"/>
        </w:rPr>
        <w:t>The documents containing the information specified in Part I of Form S-8 will be sent or given to participants as specified by Rule 428(b)(1) of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this registration statement, Avita Therapeutics, Inc. is sometimes referred to as “Registrant,” “we,” “us,” “our,” or “Avita.”</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Securities and Exchange Commission (“SEC”) allows us to “incorporate by reference” the information we file with them, which means that we can disclose important information to you by referring you to those documents. The information incorporated by reference is considered to be part of this registration statement, and later information filed with the SEC will update and supersede this information. Our predecessor entity, Avita Medical Limited (“Avita Australia”) initially listed its American Depositary Shares on the Nasdaq Stock Market LLC on September 27, 2019. On June 30, 2020, we completed a redomiciliation transaction from Australia to Delaware (the “Transaction”). We became a successor entity of Avita Australia pursuant to Rule 12g-3(a) under the Securities Exchange Act of 1934 as a result of the Transaction. We hereby incorporate by reference into this registration statement the following documents previously filed with the SEC:</w:t>
      </w:r>
    </w:p>
    <w:p>
      <w:pPr>
        <w:spacing w:after="0" w:line="83" w:lineRule="exact"/>
        <w:rPr>
          <w:sz w:val="20"/>
          <w:szCs w:val="20"/>
          <w:color w:val="auto"/>
        </w:rPr>
      </w:pPr>
    </w:p>
    <w:p>
      <w:pPr>
        <w:ind w:left="960" w:right="140" w:hanging="53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Annual Report of the Registrant on </w:t>
      </w:r>
      <w:hyperlink r:id="rId1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by the Registrant on August 27, 2020 which contains audited financial statements of the Registrant as of the year ended June 30, 2020;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set forth the </w:t>
      </w:r>
      <w:hyperlink r:id="rId19">
        <w:r>
          <w:rPr>
            <w:rFonts w:ascii="Arial" w:cs="Arial" w:eastAsia="Arial" w:hAnsi="Arial"/>
            <w:sz w:val="18"/>
            <w:szCs w:val="18"/>
            <w:u w:val="single" w:color="auto"/>
            <w:color w:val="0000EE"/>
          </w:rPr>
          <w:t>Form 8-K12B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June 30, 2020.</w:t>
      </w:r>
    </w:p>
    <w:p>
      <w:pPr>
        <w:spacing w:after="0" w:line="117" w:lineRule="exact"/>
        <w:rPr>
          <w:rFonts w:ascii="Arial" w:cs="Arial" w:eastAsia="Arial" w:hAnsi="Arial"/>
          <w:sz w:val="18"/>
          <w:szCs w:val="18"/>
          <w:color w:val="auto"/>
        </w:rPr>
      </w:pPr>
    </w:p>
    <w:p>
      <w:pPr>
        <w:ind w:right="40" w:firstLine="440"/>
        <w:spacing w:after="0" w:line="288" w:lineRule="auto"/>
        <w:rPr>
          <w:sz w:val="20"/>
          <w:szCs w:val="20"/>
          <w:color w:val="auto"/>
        </w:rPr>
      </w:pPr>
      <w:r>
        <w:rPr>
          <w:rFonts w:ascii="Arial" w:cs="Arial" w:eastAsia="Arial" w:hAnsi="Arial"/>
          <w:sz w:val="16"/>
          <w:szCs w:val="16"/>
          <w:color w:val="auto"/>
        </w:rPr>
        <w:t>In addition, 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statements as set forth therein.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statement contained herein shall be deemed to be modified or superseded for purposes of this registration statement to the extent that a statement contained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313" w:lineRule="exact"/>
        <w:rPr>
          <w:rFonts w:ascii="Arial" w:cs="Arial" w:eastAsia="Arial" w:hAnsi="Arial"/>
          <w:sz w:val="18"/>
          <w:szCs w:val="18"/>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5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Our Constitution provides that, we may indemnify a person who is, or has been, an officer of our company, to the full extent permissible by law, out of our property against any liability incurred by such person as an officer in defending proceedings, whether civil or criminal, and whatever their outcome.</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In addition, our Constitution provides that to the extent permitted by law, we may pay, or agree to pay, a premium in respect of a contract insuring a person who is or has been an officer of our company or one of our subsidiaries against any liability:</w:t>
      </w:r>
    </w:p>
    <w:p>
      <w:pPr>
        <w:spacing w:after="0" w:line="76"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incurred by the person in his or her capacity as an officer of our company or a subsidiary of our company, and</w:t>
      </w:r>
    </w:p>
    <w:p>
      <w:pPr>
        <w:spacing w:after="0" w:line="130"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costs and expenses incurred by that person in defending proceedings relating to that person acting as an officer of Avita, whether civil or criminal, and whatever their outcome.</w:t>
      </w:r>
    </w:p>
    <w:p>
      <w:pPr>
        <w:spacing w:after="0" w:line="62"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We maintain a directors’ and officers’ liability insurance policy. We have established a policy for the indemnification of our directors and officers against certain liabilities incurred as a director or officer, including costs and expenses associated in successfully defending legal proceedings.</w:t>
      </w:r>
    </w:p>
    <w:p>
      <w:pPr>
        <w:spacing w:after="0" w:line="26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Exhibit Index on the page immediately preceding the signature page is incorporated herein by reference as the list of exhibits required as part of this registration statement.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0" w:right="5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9. Undertakings.</w:t>
      </w:r>
    </w:p>
    <w:p>
      <w:pPr>
        <w:spacing w:after="0" w:line="121" w:lineRule="exact"/>
        <w:rPr>
          <w:sz w:val="20"/>
          <w:szCs w:val="20"/>
          <w:color w:val="auto"/>
        </w:rPr>
      </w:pPr>
    </w:p>
    <w:p>
      <w:pPr>
        <w:ind w:left="680" w:hanging="24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1600" w:hanging="212"/>
        <w:spacing w:after="0"/>
        <w:tabs>
          <w:tab w:leader="none" w:pos="160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980" w:firstLine="408"/>
        <w:spacing w:after="0" w:line="272" w:lineRule="auto"/>
        <w:tabs>
          <w:tab w:leader="none" w:pos="1646" w:val="left"/>
        </w:tabs>
        <w:numPr>
          <w:ilvl w:val="2"/>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980" w:right="60" w:firstLine="408"/>
        <w:spacing w:after="0" w:line="277" w:lineRule="auto"/>
        <w:tabs>
          <w:tab w:leader="none" w:pos="1696"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and (a)(1)(ii) do not apply if this registration statement is on Form S-8 and the information required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a post-effective amendment by those paragraphs is contained in reports filed with or furnished to the SEC by the Registrant pursuant to Section 13 or Section 15(d) of the Exchange Act that are incorporated by reference in this registration statement.</w:t>
      </w:r>
    </w:p>
    <w:p>
      <w:pPr>
        <w:spacing w:after="0" w:line="165" w:lineRule="exact"/>
        <w:rPr>
          <w:sz w:val="20"/>
          <w:szCs w:val="20"/>
          <w:color w:val="auto"/>
        </w:rPr>
      </w:pPr>
    </w:p>
    <w:p>
      <w:pPr>
        <w:ind w:firstLine="987"/>
        <w:spacing w:after="0" w:line="263" w:lineRule="auto"/>
        <w:tabs>
          <w:tab w:leader="none" w:pos="1246"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right="60" w:firstLine="987"/>
        <w:spacing w:after="0" w:line="277" w:lineRule="auto"/>
        <w:tabs>
          <w:tab w:leader="none" w:pos="1246"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40" w:firstLine="436"/>
        <w:spacing w:after="0" w:line="257"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right="100" w:firstLine="436"/>
        <w:spacing w:after="0" w:line="254" w:lineRule="auto"/>
        <w:tabs>
          <w:tab w:leader="none" w:pos="68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5" w:name="page6"/>
    <w:bookmarkEnd w:id="5"/>
    <w:p>
      <w:pPr>
        <w:ind w:left="4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w w:val="94"/>
              </w:rPr>
              <w:t>Exhibit</w:t>
            </w:r>
          </w:p>
        </w:tc>
        <w:tc>
          <w:tcPr>
            <w:tcW w:w="4420" w:type="dxa"/>
            <w:vAlign w:val="bottom"/>
            <w:vMerge w:val="restart"/>
          </w:tcPr>
          <w:p>
            <w:pPr>
              <w:ind w:left="2920"/>
              <w:spacing w:after="0"/>
              <w:rPr>
                <w:sz w:val="20"/>
                <w:szCs w:val="20"/>
                <w:color w:val="auto"/>
              </w:rPr>
            </w:pPr>
            <w:r>
              <w:rPr>
                <w:rFonts w:ascii="Arial" w:cs="Arial" w:eastAsia="Arial" w:hAnsi="Arial"/>
                <w:sz w:val="14"/>
                <w:szCs w:val="14"/>
                <w:b w:val="1"/>
                <w:bCs w:val="1"/>
                <w:color w:val="auto"/>
              </w:rPr>
              <w:t>Description</w:t>
            </w:r>
          </w:p>
        </w:tc>
        <w:tc>
          <w:tcPr>
            <w:tcW w:w="4580" w:type="dxa"/>
            <w:vAlign w:val="bottom"/>
            <w:gridSpan w:val="3"/>
            <w:vMerge w:val="restart"/>
          </w:tcPr>
          <w:p>
            <w:pPr>
              <w:jc w:val="center"/>
              <w:ind w:left="2117"/>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86"/>
        </w:trPr>
        <w:tc>
          <w:tcPr>
            <w:tcW w:w="680" w:type="dxa"/>
            <w:vAlign w:val="bottom"/>
          </w:tcPr>
          <w:p>
            <w:pPr>
              <w:jc w:val="right"/>
              <w:ind w:right="255"/>
              <w:spacing w:after="0"/>
              <w:rPr>
                <w:sz w:val="20"/>
                <w:szCs w:val="20"/>
                <w:color w:val="auto"/>
              </w:rPr>
            </w:pPr>
            <w:r>
              <w:rPr>
                <w:rFonts w:ascii="Arial" w:cs="Arial" w:eastAsia="Arial" w:hAnsi="Arial"/>
                <w:sz w:val="14"/>
                <w:szCs w:val="14"/>
                <w:b w:val="1"/>
                <w:bCs w:val="1"/>
                <w:color w:val="auto"/>
              </w:rPr>
              <w:t>No.</w:t>
            </w:r>
          </w:p>
        </w:tc>
        <w:tc>
          <w:tcPr>
            <w:tcW w:w="4420" w:type="dxa"/>
            <w:vAlign w:val="bottom"/>
            <w:vMerge w:val="continue"/>
          </w:tcPr>
          <w:p>
            <w:pPr>
              <w:spacing w:after="0"/>
              <w:rPr>
                <w:sz w:val="16"/>
                <w:szCs w:val="16"/>
                <w:color w:val="auto"/>
              </w:rPr>
            </w:pPr>
          </w:p>
        </w:tc>
        <w:tc>
          <w:tcPr>
            <w:tcW w:w="4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20" w:type="dxa"/>
            <w:vAlign w:val="bottom"/>
          </w:tcPr>
          <w:p>
            <w:pPr>
              <w:ind w:left="2240"/>
              <w:spacing w:after="0"/>
              <w:rPr>
                <w:sz w:val="20"/>
                <w:szCs w:val="20"/>
                <w:color w:val="auto"/>
              </w:rPr>
            </w:pPr>
            <w:r>
              <w:rPr>
                <w:rFonts w:ascii="Arial" w:cs="Arial" w:eastAsia="Arial" w:hAnsi="Arial"/>
                <w:sz w:val="14"/>
                <w:szCs w:val="14"/>
                <w:b w:val="1"/>
                <w:bCs w:val="1"/>
                <w:color w:val="auto"/>
              </w:rPr>
              <w:t>Form</w:t>
            </w:r>
          </w:p>
        </w:tc>
        <w:tc>
          <w:tcPr>
            <w:tcW w:w="1120" w:type="dxa"/>
            <w:vAlign w:val="bottom"/>
          </w:tcPr>
          <w:p>
            <w:pPr>
              <w:ind w:left="400"/>
              <w:spacing w:after="0"/>
              <w:rPr>
                <w:sz w:val="20"/>
                <w:szCs w:val="20"/>
                <w:color w:val="auto"/>
              </w:rPr>
            </w:pPr>
            <w:r>
              <w:rPr>
                <w:rFonts w:ascii="Arial" w:cs="Arial" w:eastAsia="Arial" w:hAnsi="Arial"/>
                <w:sz w:val="14"/>
                <w:szCs w:val="14"/>
                <w:b w:val="1"/>
                <w:bCs w:val="1"/>
                <w:color w:val="auto"/>
              </w:rPr>
              <w:t>Date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309"/>
        </w:trPr>
        <w:tc>
          <w:tcPr>
            <w:tcW w:w="680" w:type="dxa"/>
            <w:vAlign w:val="bottom"/>
          </w:tcPr>
          <w:p>
            <w:pPr>
              <w:jc w:val="right"/>
              <w:ind w:right="275"/>
              <w:spacing w:after="0"/>
              <w:rPr>
                <w:sz w:val="20"/>
                <w:szCs w:val="20"/>
                <w:color w:val="auto"/>
              </w:rPr>
            </w:pPr>
            <w:r>
              <w:rPr>
                <w:rFonts w:ascii="Arial" w:cs="Arial" w:eastAsia="Arial" w:hAnsi="Arial"/>
                <w:sz w:val="18"/>
                <w:szCs w:val="18"/>
                <w:color w:val="auto"/>
              </w:rPr>
              <w:t>4.1</w:t>
            </w:r>
          </w:p>
        </w:tc>
        <w:tc>
          <w:tcPr>
            <w:tcW w:w="4420" w:type="dxa"/>
            <w:vAlign w:val="bottom"/>
          </w:tcPr>
          <w:p>
            <w:pPr>
              <w:ind w:left="240"/>
              <w:spacing w:after="0"/>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Employee Incentive Option Plan</w:t>
              </w:r>
            </w:hyperlink>
          </w:p>
        </w:tc>
        <w:tc>
          <w:tcPr>
            <w:tcW w:w="2820" w:type="dxa"/>
            <w:vAlign w:val="bottom"/>
          </w:tcPr>
          <w:p>
            <w:pPr>
              <w:ind w:left="2280"/>
              <w:spacing w:after="0"/>
              <w:rPr>
                <w:sz w:val="20"/>
                <w:szCs w:val="20"/>
                <w:color w:val="auto"/>
              </w:rPr>
            </w:pPr>
            <w:r>
              <w:rPr>
                <w:rFonts w:ascii="Arial" w:cs="Arial" w:eastAsia="Arial" w:hAnsi="Arial"/>
                <w:sz w:val="18"/>
                <w:szCs w:val="18"/>
                <w:color w:val="auto"/>
              </w:rPr>
              <w:t>20-F</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9/19/2019</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24"/>
        </w:trPr>
        <w:tc>
          <w:tcPr>
            <w:tcW w:w="680" w:type="dxa"/>
            <w:vAlign w:val="bottom"/>
          </w:tcPr>
          <w:p>
            <w:pPr>
              <w:jc w:val="right"/>
              <w:ind w:right="275"/>
              <w:spacing w:after="0"/>
              <w:rPr>
                <w:sz w:val="20"/>
                <w:szCs w:val="20"/>
                <w:color w:val="auto"/>
              </w:rPr>
            </w:pPr>
            <w:r>
              <w:rPr>
                <w:rFonts w:ascii="Arial" w:cs="Arial" w:eastAsia="Arial" w:hAnsi="Arial"/>
                <w:sz w:val="18"/>
                <w:szCs w:val="18"/>
                <w:color w:val="auto"/>
              </w:rPr>
              <w:t>4.2</w:t>
            </w:r>
          </w:p>
        </w:tc>
        <w:tc>
          <w:tcPr>
            <w:tcW w:w="4420" w:type="dxa"/>
            <w:vAlign w:val="bottom"/>
          </w:tcPr>
          <w:p>
            <w:pPr>
              <w:ind w:left="240"/>
              <w:spacing w:after="0"/>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Employee Share Plan</w:t>
              </w:r>
            </w:hyperlink>
          </w:p>
        </w:tc>
        <w:tc>
          <w:tcPr>
            <w:tcW w:w="2820" w:type="dxa"/>
            <w:vAlign w:val="bottom"/>
          </w:tcPr>
          <w:p>
            <w:pPr>
              <w:ind w:left="2280"/>
              <w:spacing w:after="0"/>
              <w:rPr>
                <w:sz w:val="20"/>
                <w:szCs w:val="20"/>
                <w:color w:val="auto"/>
              </w:rPr>
            </w:pPr>
            <w:r>
              <w:rPr>
                <w:rFonts w:ascii="Arial" w:cs="Arial" w:eastAsia="Arial" w:hAnsi="Arial"/>
                <w:sz w:val="18"/>
                <w:szCs w:val="18"/>
                <w:color w:val="auto"/>
              </w:rPr>
              <w:t>20-F</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9/19/2019</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24"/>
        </w:trPr>
        <w:tc>
          <w:tcPr>
            <w:tcW w:w="680" w:type="dxa"/>
            <w:vAlign w:val="bottom"/>
          </w:tcPr>
          <w:p>
            <w:pPr>
              <w:jc w:val="right"/>
              <w:ind w:right="275"/>
              <w:spacing w:after="0"/>
              <w:rPr>
                <w:sz w:val="20"/>
                <w:szCs w:val="20"/>
                <w:color w:val="auto"/>
              </w:rPr>
            </w:pPr>
            <w:r>
              <w:rPr>
                <w:rFonts w:ascii="Arial" w:cs="Arial" w:eastAsia="Arial" w:hAnsi="Arial"/>
                <w:sz w:val="18"/>
                <w:szCs w:val="18"/>
                <w:color w:val="auto"/>
              </w:rPr>
              <w:t>5.1</w:t>
            </w:r>
          </w:p>
        </w:tc>
        <w:tc>
          <w:tcPr>
            <w:tcW w:w="4420" w:type="dxa"/>
            <w:vAlign w:val="bottom"/>
          </w:tcPr>
          <w:p>
            <w:pPr>
              <w:ind w:left="2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Opinion of K&amp;L Gates LLP</w:t>
              </w:r>
            </w:hyperlink>
          </w:p>
        </w:tc>
        <w:tc>
          <w:tcPr>
            <w:tcW w:w="2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 w:type="dxa"/>
            <w:vAlign w:val="bottom"/>
          </w:tcPr>
          <w:p>
            <w:pPr>
              <w:jc w:val="right"/>
              <w:ind w:right="275"/>
              <w:spacing w:after="0"/>
              <w:rPr>
                <w:sz w:val="20"/>
                <w:szCs w:val="20"/>
                <w:color w:val="auto"/>
              </w:rPr>
            </w:pPr>
            <w:r>
              <w:rPr>
                <w:rFonts w:ascii="Arial" w:cs="Arial" w:eastAsia="Arial" w:hAnsi="Arial"/>
                <w:sz w:val="18"/>
                <w:szCs w:val="18"/>
                <w:color w:val="auto"/>
                <w:w w:val="85"/>
              </w:rPr>
              <w:t>23.1</w:t>
            </w:r>
          </w:p>
        </w:tc>
        <w:tc>
          <w:tcPr>
            <w:tcW w:w="4420" w:type="dxa"/>
            <w:vAlign w:val="bottom"/>
          </w:tcPr>
          <w:p>
            <w:pPr>
              <w:ind w:left="2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Consent of Grant Thornton LLP</w:t>
              </w:r>
            </w:hyperlink>
          </w:p>
        </w:tc>
        <w:tc>
          <w:tcPr>
            <w:tcW w:w="2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 w:type="dxa"/>
            <w:vAlign w:val="bottom"/>
          </w:tcPr>
          <w:p>
            <w:pPr>
              <w:jc w:val="right"/>
              <w:ind w:right="275"/>
              <w:spacing w:after="0"/>
              <w:rPr>
                <w:sz w:val="20"/>
                <w:szCs w:val="20"/>
                <w:color w:val="auto"/>
              </w:rPr>
            </w:pPr>
            <w:r>
              <w:rPr>
                <w:rFonts w:ascii="Arial" w:cs="Arial" w:eastAsia="Arial" w:hAnsi="Arial"/>
                <w:sz w:val="18"/>
                <w:szCs w:val="18"/>
                <w:color w:val="auto"/>
                <w:w w:val="85"/>
              </w:rPr>
              <w:t>23.2</w:t>
            </w:r>
          </w:p>
        </w:tc>
        <w:tc>
          <w:tcPr>
            <w:tcW w:w="4420" w:type="dxa"/>
            <w:vAlign w:val="bottom"/>
          </w:tcPr>
          <w:p>
            <w:pPr>
              <w:ind w:left="2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Consent of K&amp;L Gates LLP (included in Exhibit 5.1)</w:t>
              </w:r>
            </w:hyperlink>
          </w:p>
        </w:tc>
        <w:tc>
          <w:tcPr>
            <w:tcW w:w="2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 w:type="dxa"/>
            <w:vAlign w:val="bottom"/>
          </w:tcPr>
          <w:p>
            <w:pPr>
              <w:jc w:val="right"/>
              <w:ind w:right="275"/>
              <w:spacing w:after="0"/>
              <w:rPr>
                <w:sz w:val="20"/>
                <w:szCs w:val="20"/>
                <w:color w:val="auto"/>
              </w:rPr>
            </w:pPr>
            <w:r>
              <w:rPr>
                <w:rFonts w:ascii="Arial" w:cs="Arial" w:eastAsia="Arial" w:hAnsi="Arial"/>
                <w:sz w:val="18"/>
                <w:szCs w:val="18"/>
                <w:color w:val="auto"/>
                <w:w w:val="85"/>
              </w:rPr>
              <w:t>24.1</w:t>
            </w:r>
          </w:p>
        </w:tc>
        <w:tc>
          <w:tcPr>
            <w:tcW w:w="4420" w:type="dxa"/>
            <w:vAlign w:val="bottom"/>
          </w:tcPr>
          <w:p>
            <w:pPr>
              <w:ind w:left="2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Power of Attorney (see Signature Page)</w:t>
              </w:r>
            </w:hyperlink>
          </w:p>
        </w:tc>
        <w:tc>
          <w:tcPr>
            <w:tcW w:w="2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20" w:type="dxa"/>
            <w:vAlign w:val="bottom"/>
          </w:tcPr>
          <w:p>
            <w:pPr>
              <w:jc w:val="right"/>
              <w:ind w:right="2297"/>
              <w:spacing w:after="0"/>
              <w:rPr>
                <w:sz w:val="20"/>
                <w:szCs w:val="20"/>
                <w:color w:val="auto"/>
              </w:rPr>
            </w:pPr>
            <w:r>
              <w:rPr>
                <w:rFonts w:ascii="Arial" w:cs="Arial" w:eastAsia="Arial" w:hAnsi="Arial"/>
                <w:sz w:val="18"/>
                <w:szCs w:val="18"/>
                <w:color w:val="auto"/>
              </w:rPr>
              <w:t>5</w:t>
            </w: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Herewith</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9680" w:space="360"/>
            <w:col w:w="920"/>
          </w:cols>
          <w:pgMar w:left="440" w:top="270" w:right="49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jc w:val="both"/>
        <w:ind w:right="580" w:firstLine="44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Valencia, California, on August 27, 2020.</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Dr. Michael Perry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Each person whose signature appears below hereby constitutes and appoints Dr. Michael Perry and David McIntyre, and each of them severally, his or her true and lawful attorney-in-fact with power of substitution and resubstitution to sign in his or her name, place and stead in any and all capacities the Registration Statement and any and all amendments thereto (including post-effective amendments) and any documents in connection therewith, and to file the same with the Securities and Exchange Commission, granting unto each of said attorneys full power to act with or without the other, and full power and authority to do and perform, in his or her name and on his or her behalf, every act whatsoever which such attorneys, or any one of them, may deem necessary or desirable to be done in connection therewith as fully and to all intents and purposes as he or she might or could do in person, hereby ratifying and confirming all that said attorney-in-fact, or any of them, or their substitute or substitutes, may lawfully do or cause to be done by virtue hereof.</w:t>
      </w:r>
    </w:p>
    <w:p>
      <w:pPr>
        <w:spacing w:after="0" w:line="192"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indicated on August 27, 2020.</w:t>
      </w:r>
    </w:p>
    <w:p>
      <w:pPr>
        <w:sectPr>
          <w:pgSz w:w="11900" w:h="16838" w:orient="portrait"/>
          <w:cols w:equalWidth="0" w:num="1">
            <w:col w:w="10940"/>
          </w:cols>
          <w:pgMar w:left="440" w:top="270" w:right="51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Dr. Michael Perry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McIntyre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Lou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Lou Panaccio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Jeremy Curnock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32918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Jeremy Curnock Cook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Louis Drapeau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Louis Drapeau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Damien McDonald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Suzanne Crowe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Suzanne Crowe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120" w:space="720"/>
            <w:col w:w="5100"/>
          </w:cols>
          <w:pgMar w:left="440" w:top="270" w:right="519" w:bottom="1440" w:gutter="0" w:footer="0" w:header="0"/>
          <w:type w:val="continuous"/>
        </w:sectPr>
      </w:pPr>
    </w:p>
    <w:bookmarkStart w:id="7" w:name="page8"/>
    <w:bookmarkEnd w:id="7"/>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1251585" cy="10883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51585" cy="10883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Exhibit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AVITA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28159 Avenue Stanford, Suite 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Valencia, CA 91355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27,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We have acted as your counsel in connection with the Registration Statement on Form S-8 (the “Registration Statement”) filed with the Securities and Exchange Commission under the Securities Act of 1933 (the “1933 Act”) for the registration of 1,259,662 shares (the “Shares”) of the common stock, par value $0.0001 per share, of AVITA Therapeutics, Inc., a Delaware corporation (the “Company”), issuable under the Company’s Employee Share Plan and the Employee Share Incentive Plan (the “Plans”).</w:t>
      </w:r>
    </w:p>
    <w:p>
      <w:pPr>
        <w:spacing w:after="0" w:line="187"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You have requested our opinion as to the matters set forth below in connection with the Registration Statement. For purposes of rendering that opinion, we have examined the Registration Statement, the Company’s Certificate of Incorporation, as amended, and Bylaws, the Plans, and the corporate action of the Company that provides for the issuance of the Shares, and we have made such other investigation as we have deemed appropriate. We have also relied on a certificate of an officer of the Company. In rendering our opinion, we also have made the assumptions that are customary in opinion letters of this kind. We have not verified any of those assumptions. We note that the Plans were originally issued under the laws of Australia but the obligations regarding outstanding options were assumed by the Company pursuant to its Scheme Implementation Agreement with AVITA Medical Limited dated April 20, 2020 which became effective June 29, 2020.</w:t>
      </w:r>
    </w:p>
    <w:p>
      <w:pPr>
        <w:spacing w:after="0" w:line="17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Our opinion set forth below is limited to the Delaware General Corporation Law, including the applicable provisions of the Delaware Constitution and reported judicial decisions interpreting those laws.</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Based upon and subject to the foregoing, it is our opinion that the Shares, when issued and paid for pursuant to and in accordance with the Plans included in the Registration Statement, will be validly issued, fully paid, and nonassessable.</w:t>
      </w:r>
    </w:p>
    <w:p>
      <w:pPr>
        <w:spacing w:after="0" w:line="170"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We hereby consent to the filing of this opinion as an exhibit to the Registration Statement. In giving our consent we do not thereby admit that we are in the category of persons whose consent is required under Section 7 of the 1933 Act or the rules and regulations thereunder.</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Yours truly,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K&amp;L Gates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K&amp;L Gates LLP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440"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have issued our report dated August 27, 2020, with respect to the consolidated financial statements of Avita Therapeutics, Inc. included in the Annual Report on Form 10-K for the year ended June 30, 2020, which are incorporated by reference in this Registration Statement. We consent to the incorporation by reference of the aforementioned report in this Registration Statement.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27, 2020</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2EB141F2"/>
    <w:multiLevelType w:val="hybridMultilevel"/>
    <w:lvl w:ilvl="0">
      <w:lvlJc w:val="left"/>
      <w:lvlText w:val="%1"/>
      <w:numFmt w:val="lowerLetter"/>
      <w:start w:val="1"/>
    </w:lvl>
    <w:lvl w:ilvl="1">
      <w:lvlJc w:val="left"/>
      <w:lvlText w:val="(%2)"/>
      <w:numFmt w:val="decimal"/>
      <w:start w:val="2"/>
    </w:lvl>
  </w:abstractNum>
  <w:abstractNum w:abstractNumId="6">
    <w:nsid w:val="41B71EF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jpeg"/><Relationship Id="rId18" Type="http://schemas.openxmlformats.org/officeDocument/2006/relationships/hyperlink" Target="http://www.sec.gov/Archives/edgar/data/1762303/000119312520233145/d80602d10k.htm" TargetMode="External"/><Relationship Id="rId19" Type="http://schemas.openxmlformats.org/officeDocument/2006/relationships/hyperlink" Target="http://www.sec.gov/Archives/edgar/data/1762303/000119312520183429/d75062d8k12b.htm" TargetMode="External"/><Relationship Id="rId23" Type="http://schemas.openxmlformats.org/officeDocument/2006/relationships/hyperlink" Target="http://www.sec.gov/Archives/edgar/data/1762303/000119312519249606/d757806dex41.htm" TargetMode="External"/><Relationship Id="rId24" Type="http://schemas.openxmlformats.org/officeDocument/2006/relationships/hyperlink" Target="http://www.sec.gov/Archives/edgar/data/1762303/000119312519249606/d757806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2020-08-27T16:48:24Z</dcterms:created>
  <dcterms:modified xsi:type="dcterms:W3CDTF">2020-08-27T16:48:24Z</dcterms:modified>
</cp:coreProperties>
</file>