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347345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276225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03,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AVITA Medical,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001-39059</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85-1021707</w:t>
            </w:r>
          </w:p>
        </w:tc>
      </w:tr>
      <w:tr>
        <w:trPr>
          <w:trHeight w:val="14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28159 Avenue Stanford</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Suite 220</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Valencia, California</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91355</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661 367-9170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RCEL</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AVITA Medical, Inc. (the “Company”) held its 2026 Annual Meeting of Stockholders (the “Annual Meeting”) solely by means of remote communication via live webcast on June 3, 2026 (being June 4, 2026 in Australia). At the close of business on April 9, 2026, the record date of the Annual Meeting, 30,776,689 shares of the Company’s common stock were outstanding and entitled to vote on the matters presented at the Annual Meeting. The holders of a total of 15,592,447 shares voted at the Annual Meeting, which total constituted a quorum, being not less than a majority of the outstanding shares entitled to vote.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Director and Officer Equity Awards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the Annual Meeting, the Company’s stockholders approved grants of options and restricted stock units to the Company’s non-executive directors in the form of annual and initial grants. The annual grants are summarized in paragraph 4 of Item 5.07 below, and also described in Proposals 4 -7, 9, and 11 in the Company’s definitive proxy statement filed on Schedule 14A filed with the Securities and Exchange Commission on April 22, 2026 (the “Proxy Statement”). The initial grants are described in paragraphs 5 and 6 of Item 5.07 below and also described in Proposals 8 and 10 in the Proxy Statement. The terms and conditions of these grants are provided in the Proxy Statement, which disclosure is incorporated by reference into this Item 5.02.</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Annual Meeting, the Company’s stockholders voted on all the proposals summarized in the Proxy Statement, as set forth below:</w:t>
      </w:r>
    </w:p>
    <w:p>
      <w:pPr>
        <w:spacing w:after="0" w:line="331" w:lineRule="exact"/>
        <w:rPr>
          <w:sz w:val="20"/>
          <w:szCs w:val="20"/>
          <w:color w:val="auto"/>
        </w:rPr>
      </w:pPr>
    </w:p>
    <w:p>
      <w:pPr>
        <w:ind w:left="660" w:hanging="502"/>
        <w:spacing w:after="0" w:line="284" w:lineRule="auto"/>
        <w:tabs>
          <w:tab w:leader="none" w:pos="66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Election of Directors </w:t>
      </w:r>
      <w:r>
        <w:rPr>
          <w:rFonts w:ascii="Times New Roman" w:cs="Times New Roman" w:eastAsia="Times New Roman" w:hAnsi="Times New Roman"/>
          <w:sz w:val="18"/>
          <w:szCs w:val="18"/>
          <w:i w:val="1"/>
          <w:iCs w:val="1"/>
          <w:u w:val="single" w:color="auto"/>
          <w:color w:val="auto"/>
        </w:rPr>
        <w:t>(Proposal 1)</w:t>
      </w:r>
      <w:r>
        <w:rPr>
          <w:rFonts w:ascii="Times New Roman" w:cs="Times New Roman" w:eastAsia="Times New Roman" w:hAnsi="Times New Roman"/>
          <w:sz w:val="18"/>
          <w:szCs w:val="18"/>
          <w:color w:val="auto"/>
        </w:rPr>
        <w:t>: All seven directors named in the Proxy Statement were elected to serve on the Company’s Board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following votes: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800" w:type="dxa"/>
            <w:vAlign w:val="bottom"/>
            <w:gridSpan w:val="3"/>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3160" w:type="dxa"/>
            <w:vAlign w:val="bottom"/>
            <w:gridSpan w:val="3"/>
          </w:tcPr>
          <w:p>
            <w:pPr>
              <w:jc w:val="right"/>
              <w:ind w:right="1560"/>
              <w:spacing w:after="0"/>
              <w:rPr>
                <w:sz w:val="20"/>
                <w:szCs w:val="20"/>
                <w:color w:val="auto"/>
              </w:rPr>
            </w:pPr>
            <w:r>
              <w:rPr>
                <w:rFonts w:ascii="Times New Roman" w:cs="Times New Roman" w:eastAsia="Times New Roman" w:hAnsi="Times New Roman"/>
                <w:sz w:val="18"/>
                <w:szCs w:val="18"/>
                <w:b w:val="1"/>
                <w:bCs w:val="1"/>
                <w:color w:val="auto"/>
              </w:rPr>
              <w:t>Votes Withheld</w:t>
            </w:r>
          </w:p>
        </w:tc>
        <w:tc>
          <w:tcPr>
            <w:tcW w:w="22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
        </w:trPr>
        <w:tc>
          <w:tcPr>
            <w:tcW w:w="460" w:type="dxa"/>
            <w:vAlign w:val="bottom"/>
            <w:tcBorders>
              <w:top w:val="single" w:sz="8" w:color="auto"/>
            </w:tcBorders>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0" w:type="dxa"/>
            <w:vAlign w:val="bottom"/>
            <w:tcBorders>
              <w:top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16"/>
        </w:trPr>
        <w:tc>
          <w:tcPr>
            <w:tcW w:w="3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Jan Stern Reed</w:t>
            </w:r>
          </w:p>
        </w:tc>
        <w:tc>
          <w:tcPr>
            <w:tcW w:w="2800" w:type="dxa"/>
            <w:vAlign w:val="bottom"/>
            <w:gridSpan w:val="3"/>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10,902,991</w:t>
            </w:r>
          </w:p>
        </w:tc>
        <w:tc>
          <w:tcPr>
            <w:tcW w:w="3160" w:type="dxa"/>
            <w:vAlign w:val="bottom"/>
            <w:gridSpan w:val="3"/>
            <w:shd w:val="clear" w:color="auto" w:fill="CFF0FC"/>
          </w:tcPr>
          <w:p>
            <w:pPr>
              <w:jc w:val="right"/>
              <w:ind w:right="880"/>
              <w:spacing w:after="0"/>
              <w:rPr>
                <w:sz w:val="20"/>
                <w:szCs w:val="20"/>
                <w:color w:val="auto"/>
              </w:rPr>
            </w:pPr>
            <w:r>
              <w:rPr>
                <w:rFonts w:ascii="Times New Roman" w:cs="Times New Roman" w:eastAsia="Times New Roman" w:hAnsi="Times New Roman"/>
                <w:sz w:val="18"/>
                <w:szCs w:val="18"/>
                <w:color w:val="auto"/>
              </w:rPr>
              <w:t>798,914</w:t>
            </w:r>
          </w:p>
        </w:tc>
        <w:tc>
          <w:tcPr>
            <w:tcW w:w="2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3,890,542</w:t>
            </w:r>
          </w:p>
        </w:tc>
      </w:tr>
      <w:tr>
        <w:trPr>
          <w:trHeight w:val="216"/>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Professor Suzanne Crowe</w:t>
            </w:r>
          </w:p>
        </w:tc>
        <w:tc>
          <w:tcPr>
            <w:tcW w:w="28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10,979,194</w:t>
            </w:r>
          </w:p>
        </w:tc>
        <w:tc>
          <w:tcPr>
            <w:tcW w:w="3160" w:type="dxa"/>
            <w:vAlign w:val="bottom"/>
            <w:gridSpan w:val="3"/>
          </w:tcPr>
          <w:p>
            <w:pPr>
              <w:jc w:val="right"/>
              <w:ind w:right="880"/>
              <w:spacing w:after="0"/>
              <w:rPr>
                <w:sz w:val="20"/>
                <w:szCs w:val="20"/>
                <w:color w:val="auto"/>
              </w:rPr>
            </w:pPr>
            <w:r>
              <w:rPr>
                <w:rFonts w:ascii="Times New Roman" w:cs="Times New Roman" w:eastAsia="Times New Roman" w:hAnsi="Times New Roman"/>
                <w:sz w:val="18"/>
                <w:szCs w:val="18"/>
                <w:color w:val="auto"/>
              </w:rPr>
              <w:t>722,711</w:t>
            </w:r>
          </w:p>
        </w:tc>
        <w:tc>
          <w:tcPr>
            <w:tcW w:w="2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3,890,542</w:t>
            </w:r>
          </w:p>
        </w:tc>
      </w:tr>
      <w:tr>
        <w:trPr>
          <w:trHeight w:val="216"/>
        </w:trPr>
        <w:tc>
          <w:tcPr>
            <w:tcW w:w="3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Jeremy Curnock Cook</w:t>
            </w:r>
          </w:p>
        </w:tc>
        <w:tc>
          <w:tcPr>
            <w:tcW w:w="2800" w:type="dxa"/>
            <w:vAlign w:val="bottom"/>
            <w:gridSpan w:val="3"/>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10,700,424</w:t>
            </w:r>
          </w:p>
        </w:tc>
        <w:tc>
          <w:tcPr>
            <w:tcW w:w="3160" w:type="dxa"/>
            <w:vAlign w:val="bottom"/>
            <w:gridSpan w:val="3"/>
            <w:shd w:val="clear" w:color="auto" w:fill="CFF0FC"/>
          </w:tcPr>
          <w:p>
            <w:pPr>
              <w:jc w:val="right"/>
              <w:ind w:right="880"/>
              <w:spacing w:after="0"/>
              <w:rPr>
                <w:sz w:val="20"/>
                <w:szCs w:val="20"/>
                <w:color w:val="auto"/>
              </w:rPr>
            </w:pPr>
            <w:r>
              <w:rPr>
                <w:rFonts w:ascii="Times New Roman" w:cs="Times New Roman" w:eastAsia="Times New Roman" w:hAnsi="Times New Roman"/>
                <w:sz w:val="18"/>
                <w:szCs w:val="18"/>
                <w:color w:val="auto"/>
              </w:rPr>
              <w:t>1,001,481</w:t>
            </w:r>
          </w:p>
        </w:tc>
        <w:tc>
          <w:tcPr>
            <w:tcW w:w="2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3,890,542</w:t>
            </w:r>
          </w:p>
        </w:tc>
      </w:tr>
      <w:tr>
        <w:trPr>
          <w:trHeight w:val="216"/>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McNamara</w:t>
            </w:r>
          </w:p>
        </w:tc>
        <w:tc>
          <w:tcPr>
            <w:tcW w:w="28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10,962,888</w:t>
            </w:r>
          </w:p>
        </w:tc>
        <w:tc>
          <w:tcPr>
            <w:tcW w:w="3160" w:type="dxa"/>
            <w:vAlign w:val="bottom"/>
            <w:gridSpan w:val="3"/>
          </w:tcPr>
          <w:p>
            <w:pPr>
              <w:jc w:val="right"/>
              <w:ind w:right="880"/>
              <w:spacing w:after="0"/>
              <w:rPr>
                <w:sz w:val="20"/>
                <w:szCs w:val="20"/>
                <w:color w:val="auto"/>
              </w:rPr>
            </w:pPr>
            <w:r>
              <w:rPr>
                <w:rFonts w:ascii="Times New Roman" w:cs="Times New Roman" w:eastAsia="Times New Roman" w:hAnsi="Times New Roman"/>
                <w:sz w:val="18"/>
                <w:szCs w:val="18"/>
                <w:color w:val="auto"/>
              </w:rPr>
              <w:t>739,017</w:t>
            </w:r>
          </w:p>
        </w:tc>
        <w:tc>
          <w:tcPr>
            <w:tcW w:w="2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3,890,542</w:t>
            </w:r>
          </w:p>
        </w:tc>
      </w:tr>
      <w:tr>
        <w:trPr>
          <w:trHeight w:val="216"/>
        </w:trPr>
        <w:tc>
          <w:tcPr>
            <w:tcW w:w="3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Dr. Michael Tarnoff</w:t>
            </w:r>
          </w:p>
        </w:tc>
        <w:tc>
          <w:tcPr>
            <w:tcW w:w="2800" w:type="dxa"/>
            <w:vAlign w:val="bottom"/>
            <w:gridSpan w:val="3"/>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11,011,908</w:t>
            </w:r>
          </w:p>
        </w:tc>
        <w:tc>
          <w:tcPr>
            <w:tcW w:w="3160" w:type="dxa"/>
            <w:vAlign w:val="bottom"/>
            <w:gridSpan w:val="3"/>
            <w:shd w:val="clear" w:color="auto" w:fill="CFF0FC"/>
          </w:tcPr>
          <w:p>
            <w:pPr>
              <w:jc w:val="right"/>
              <w:ind w:right="880"/>
              <w:spacing w:after="0"/>
              <w:rPr>
                <w:sz w:val="20"/>
                <w:szCs w:val="20"/>
                <w:color w:val="auto"/>
              </w:rPr>
            </w:pPr>
            <w:r>
              <w:rPr>
                <w:rFonts w:ascii="Times New Roman" w:cs="Times New Roman" w:eastAsia="Times New Roman" w:hAnsi="Times New Roman"/>
                <w:sz w:val="18"/>
                <w:szCs w:val="18"/>
                <w:color w:val="auto"/>
              </w:rPr>
              <w:t>689,997</w:t>
            </w:r>
          </w:p>
        </w:tc>
        <w:tc>
          <w:tcPr>
            <w:tcW w:w="2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3,890,542</w:t>
            </w:r>
          </w:p>
        </w:tc>
      </w:tr>
      <w:tr>
        <w:trPr>
          <w:trHeight w:val="216"/>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Joseph Woody</w:t>
            </w:r>
          </w:p>
        </w:tc>
        <w:tc>
          <w:tcPr>
            <w:tcW w:w="28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10,977,874</w:t>
            </w:r>
          </w:p>
        </w:tc>
        <w:tc>
          <w:tcPr>
            <w:tcW w:w="3160" w:type="dxa"/>
            <w:vAlign w:val="bottom"/>
            <w:gridSpan w:val="3"/>
          </w:tcPr>
          <w:p>
            <w:pPr>
              <w:jc w:val="right"/>
              <w:ind w:right="880"/>
              <w:spacing w:after="0"/>
              <w:rPr>
                <w:sz w:val="20"/>
                <w:szCs w:val="20"/>
                <w:color w:val="auto"/>
              </w:rPr>
            </w:pPr>
            <w:r>
              <w:rPr>
                <w:rFonts w:ascii="Times New Roman" w:cs="Times New Roman" w:eastAsia="Times New Roman" w:hAnsi="Times New Roman"/>
                <w:sz w:val="18"/>
                <w:szCs w:val="18"/>
                <w:color w:val="auto"/>
              </w:rPr>
              <w:t>724,031</w:t>
            </w:r>
          </w:p>
        </w:tc>
        <w:tc>
          <w:tcPr>
            <w:tcW w:w="2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3,890,542</w:t>
            </w:r>
          </w:p>
        </w:tc>
      </w:tr>
      <w:tr>
        <w:trPr>
          <w:trHeight w:val="216"/>
        </w:trPr>
        <w:tc>
          <w:tcPr>
            <w:tcW w:w="3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Cary Vance</w:t>
            </w:r>
          </w:p>
        </w:tc>
        <w:tc>
          <w:tcPr>
            <w:tcW w:w="2800" w:type="dxa"/>
            <w:vAlign w:val="bottom"/>
            <w:gridSpan w:val="3"/>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11,176,792</w:t>
            </w:r>
          </w:p>
        </w:tc>
        <w:tc>
          <w:tcPr>
            <w:tcW w:w="3160" w:type="dxa"/>
            <w:vAlign w:val="bottom"/>
            <w:gridSpan w:val="3"/>
            <w:shd w:val="clear" w:color="auto" w:fill="CFF0FC"/>
          </w:tcPr>
          <w:p>
            <w:pPr>
              <w:jc w:val="right"/>
              <w:ind w:right="880"/>
              <w:spacing w:after="0"/>
              <w:rPr>
                <w:sz w:val="20"/>
                <w:szCs w:val="20"/>
                <w:color w:val="auto"/>
              </w:rPr>
            </w:pPr>
            <w:r>
              <w:rPr>
                <w:rFonts w:ascii="Times New Roman" w:cs="Times New Roman" w:eastAsia="Times New Roman" w:hAnsi="Times New Roman"/>
                <w:sz w:val="18"/>
                <w:szCs w:val="18"/>
                <w:color w:val="auto"/>
              </w:rPr>
              <w:t>525,113</w:t>
            </w:r>
          </w:p>
        </w:tc>
        <w:tc>
          <w:tcPr>
            <w:tcW w:w="2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3,890,542</w:t>
            </w:r>
          </w:p>
        </w:tc>
      </w:tr>
    </w:tbl>
    <w:p>
      <w:pPr>
        <w:spacing w:after="0" w:line="304" w:lineRule="exact"/>
        <w:rPr>
          <w:sz w:val="20"/>
          <w:szCs w:val="20"/>
          <w:color w:val="auto"/>
        </w:rPr>
      </w:pPr>
    </w:p>
    <w:p>
      <w:pPr>
        <w:ind w:left="660" w:hanging="502"/>
        <w:spacing w:after="0" w:line="284" w:lineRule="auto"/>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Appointment of Independent Auditor (Proposal 2)</w:t>
      </w:r>
      <w:r>
        <w:rPr>
          <w:rFonts w:ascii="Times New Roman" w:cs="Times New Roman" w:eastAsia="Times New Roman" w:hAnsi="Times New Roman"/>
          <w:sz w:val="18"/>
          <w:szCs w:val="18"/>
          <w:color w:val="auto"/>
        </w:rPr>
        <w:t>: The stockholders ratified the selection of Grant Thornton LLP as the Company’s independent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registered public accounting firm for the year ending December 31, 2026. The votes regarding this proposal were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Borders>
              <w:bottom w:val="single" w:sz="8" w:color="auto"/>
            </w:tcBorders>
          </w:tcPr>
          <w:p>
            <w:pPr>
              <w:jc w:val="right"/>
              <w:ind w:right="133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120" w:type="dxa"/>
            <w:vAlign w:val="bottom"/>
          </w:tcPr>
          <w:p>
            <w:pPr>
              <w:spacing w:after="0"/>
              <w:rPr>
                <w:sz w:val="20"/>
                <w:szCs w:val="20"/>
                <w:color w:val="auto"/>
              </w:rPr>
            </w:pPr>
          </w:p>
        </w:tc>
        <w:tc>
          <w:tcPr>
            <w:tcW w:w="3380" w:type="dxa"/>
            <w:vAlign w:val="bottom"/>
            <w:tcBorders>
              <w:bottom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100" w:type="dxa"/>
            <w:vAlign w:val="bottom"/>
          </w:tcPr>
          <w:p>
            <w:pPr>
              <w:spacing w:after="0"/>
              <w:rPr>
                <w:sz w:val="20"/>
                <w:szCs w:val="20"/>
                <w:color w:val="auto"/>
              </w:rPr>
            </w:pPr>
          </w:p>
        </w:tc>
        <w:tc>
          <w:tcPr>
            <w:tcW w:w="3960" w:type="dxa"/>
            <w:vAlign w:val="bottom"/>
            <w:tcBorders>
              <w:bottom w:val="single" w:sz="8" w:color="auto"/>
            </w:tcBorders>
          </w:tcPr>
          <w:p>
            <w:pPr>
              <w:jc w:val="right"/>
              <w:ind w:right="145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100" w:type="dxa"/>
            <w:vAlign w:val="bottom"/>
          </w:tcPr>
          <w:p>
            <w:pPr>
              <w:spacing w:after="0"/>
              <w:rPr>
                <w:sz w:val="20"/>
                <w:szCs w:val="20"/>
                <w:color w:val="auto"/>
              </w:rPr>
            </w:pPr>
          </w:p>
        </w:tc>
      </w:tr>
      <w:tr>
        <w:trPr>
          <w:trHeight w:val="209"/>
        </w:trPr>
        <w:tc>
          <w:tcPr>
            <w:tcW w:w="3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14,962,654</w:t>
            </w:r>
          </w:p>
        </w:tc>
        <w:tc>
          <w:tcPr>
            <w:tcW w:w="3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255,151</w:t>
            </w:r>
          </w:p>
        </w:tc>
        <w:tc>
          <w:tcPr>
            <w:tcW w:w="4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374,642</w:t>
            </w:r>
          </w:p>
        </w:tc>
        <w:tc>
          <w:tcPr>
            <w:tcW w:w="100" w:type="dxa"/>
            <w:vAlign w:val="bottom"/>
            <w:shd w:val="clear" w:color="auto" w:fill="CFF0FC"/>
          </w:tcPr>
          <w:p>
            <w:pPr>
              <w:spacing w:after="0"/>
              <w:rPr>
                <w:sz w:val="18"/>
                <w:szCs w:val="18"/>
                <w:color w:val="auto"/>
              </w:rPr>
            </w:pPr>
          </w:p>
        </w:tc>
      </w:tr>
    </w:tbl>
    <w:p>
      <w:pPr>
        <w:spacing w:after="0" w:line="196" w:lineRule="exact"/>
        <w:rPr>
          <w:sz w:val="20"/>
          <w:szCs w:val="20"/>
          <w:color w:val="auto"/>
        </w:rPr>
      </w:pPr>
    </w:p>
    <w:p>
      <w:pPr>
        <w:jc w:val="both"/>
        <w:ind w:left="660" w:hanging="502"/>
        <w:spacing w:after="0" w:line="258" w:lineRule="auto"/>
        <w:tabs>
          <w:tab w:leader="none" w:pos="6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Increase the maximum aggregate annual cash fee pool from which the non-executive Directors of the Company may be paid (Proposal 3): </w:t>
      </w:r>
      <w:r>
        <w:rPr>
          <w:rFonts w:ascii="Times New Roman" w:cs="Times New Roman" w:eastAsia="Times New Roman" w:hAnsi="Times New Roman"/>
          <w:sz w:val="18"/>
          <w:szCs w:val="18"/>
          <w:color w:val="auto"/>
        </w:rPr>
        <w:t>Stockholders approved, for the purposes of ASX Listing Rule 10.17 and section 2.10 of the Company’s Amended and Restated Bylaws (and for all other purposes), an increase to the aggregate annual cash fee pool from which non-executive directors of the Company may be paid for their services from a maximum of US$750,000 per annum to a maximum of US$900,000 per annum. The votes regarding this proposal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2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120" w:type="dxa"/>
            <w:vAlign w:val="bottom"/>
          </w:tcPr>
          <w:p>
            <w:pPr>
              <w:spacing w:after="0"/>
              <w:rPr>
                <w:sz w:val="20"/>
                <w:szCs w:val="20"/>
                <w:color w:val="auto"/>
              </w:rPr>
            </w:pPr>
          </w:p>
        </w:tc>
        <w:tc>
          <w:tcPr>
            <w:tcW w:w="25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100" w:type="dxa"/>
            <w:vAlign w:val="bottom"/>
          </w:tcPr>
          <w:p>
            <w:pPr>
              <w:spacing w:after="0"/>
              <w:rPr>
                <w:sz w:val="20"/>
                <w:szCs w:val="20"/>
                <w:color w:val="auto"/>
              </w:rPr>
            </w:pPr>
          </w:p>
        </w:tc>
        <w:tc>
          <w:tcPr>
            <w:tcW w:w="280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100" w:type="dxa"/>
            <w:vAlign w:val="bottom"/>
          </w:tcPr>
          <w:p>
            <w:pPr>
              <w:spacing w:after="0"/>
              <w:rPr>
                <w:sz w:val="20"/>
                <w:szCs w:val="20"/>
                <w:color w:val="auto"/>
              </w:rPr>
            </w:pPr>
          </w:p>
        </w:tc>
        <w:tc>
          <w:tcPr>
            <w:tcW w:w="308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Broker Non-Votes</w:t>
            </w:r>
          </w:p>
        </w:tc>
        <w:tc>
          <w:tcPr>
            <w:tcW w:w="100" w:type="dxa"/>
            <w:vAlign w:val="bottom"/>
          </w:tcPr>
          <w:p>
            <w:pPr>
              <w:spacing w:after="0"/>
              <w:rPr>
                <w:sz w:val="20"/>
                <w:szCs w:val="20"/>
                <w:color w:val="auto"/>
              </w:rPr>
            </w:pPr>
          </w:p>
        </w:tc>
      </w:tr>
      <w:tr>
        <w:trPr>
          <w:trHeight w:val="210"/>
        </w:trPr>
        <w:tc>
          <w:tcPr>
            <w:tcW w:w="2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8,582,602</w:t>
            </w:r>
          </w:p>
        </w:tc>
        <w:tc>
          <w:tcPr>
            <w:tcW w:w="2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2,710,656</w:t>
            </w:r>
          </w:p>
        </w:tc>
        <w:tc>
          <w:tcPr>
            <w:tcW w:w="2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408,647</w:t>
            </w:r>
          </w:p>
        </w:tc>
        <w:tc>
          <w:tcPr>
            <w:tcW w:w="3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3,890,542</w:t>
            </w:r>
          </w:p>
        </w:tc>
        <w:tc>
          <w:tcPr>
            <w:tcW w:w="100" w:type="dxa"/>
            <w:vAlign w:val="bottom"/>
            <w:shd w:val="clear" w:color="auto" w:fill="CFF0FC"/>
          </w:tcPr>
          <w:p>
            <w:pPr>
              <w:spacing w:after="0"/>
              <w:rPr>
                <w:sz w:val="18"/>
                <w:szCs w:val="18"/>
                <w:color w:val="auto"/>
              </w:rPr>
            </w:pPr>
          </w:p>
        </w:tc>
      </w:tr>
    </w:tbl>
    <w:p>
      <w:pPr>
        <w:spacing w:after="0" w:line="196" w:lineRule="exact"/>
        <w:rPr>
          <w:sz w:val="20"/>
          <w:szCs w:val="20"/>
          <w:color w:val="auto"/>
        </w:rPr>
      </w:pPr>
    </w:p>
    <w:p>
      <w:pPr>
        <w:jc w:val="both"/>
        <w:ind w:left="660" w:hanging="502"/>
        <w:spacing w:after="0" w:line="267" w:lineRule="auto"/>
        <w:tabs>
          <w:tab w:leader="none" w:pos="66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Issuance of Securities to Non-Executive Directors (Proposals 4 - 7, 9 &amp; 11)</w:t>
      </w:r>
      <w:r>
        <w:rPr>
          <w:rFonts w:ascii="Times New Roman" w:cs="Times New Roman" w:eastAsia="Times New Roman" w:hAnsi="Times New Roman"/>
          <w:sz w:val="18"/>
          <w:szCs w:val="18"/>
          <w:color w:val="auto"/>
        </w:rPr>
        <w:t>: Stockholders approved the annual grants comprised of 22,214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stock units and 16,133 stock options, to each of the following non-executive directors, in accordance with the terms and conditions set out in the Proxy Statement. The votes regarding these proposals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5560" w:type="dxa"/>
            <w:vAlign w:val="bottom"/>
          </w:tcPr>
          <w:p>
            <w:pPr>
              <w:spacing w:after="0"/>
              <w:rPr>
                <w:sz w:val="20"/>
                <w:szCs w:val="20"/>
                <w:color w:val="auto"/>
              </w:rPr>
            </w:pPr>
          </w:p>
        </w:tc>
        <w:tc>
          <w:tcPr>
            <w:tcW w:w="12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120" w:type="dxa"/>
            <w:vAlign w:val="bottom"/>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100" w:type="dxa"/>
            <w:vAlign w:val="bottom"/>
          </w:tcPr>
          <w:p>
            <w:pPr>
              <w:spacing w:after="0"/>
              <w:rPr>
                <w:sz w:val="20"/>
                <w:szCs w:val="20"/>
                <w:color w:val="auto"/>
              </w:rPr>
            </w:pPr>
          </w:p>
        </w:tc>
        <w:tc>
          <w:tcPr>
            <w:tcW w:w="1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100" w:type="dxa"/>
            <w:vAlign w:val="bottom"/>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Broker Non-Votes</w:t>
            </w:r>
          </w:p>
        </w:tc>
        <w:tc>
          <w:tcPr>
            <w:tcW w:w="100" w:type="dxa"/>
            <w:vAlign w:val="bottom"/>
          </w:tcPr>
          <w:p>
            <w:pPr>
              <w:spacing w:after="0"/>
              <w:rPr>
                <w:sz w:val="20"/>
                <w:szCs w:val="20"/>
                <w:color w:val="auto"/>
              </w:rPr>
            </w:pPr>
          </w:p>
        </w:tc>
      </w:tr>
      <w:tr>
        <w:trPr>
          <w:trHeight w:val="210"/>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Professor Suzanne Crowe</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8,869,562</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2,411,009</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421,334</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3,890,542</w:t>
            </w:r>
          </w:p>
        </w:tc>
        <w:tc>
          <w:tcPr>
            <w:tcW w:w="100" w:type="dxa"/>
            <w:vAlign w:val="bottom"/>
            <w:shd w:val="clear" w:color="auto" w:fill="CFF0FC"/>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Jeremy Curnock Cook</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8,722,810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2,544,450</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434,645</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3,890,542</w:t>
            </w:r>
          </w:p>
        </w:tc>
        <w:tc>
          <w:tcPr>
            <w:tcW w:w="100" w:type="dxa"/>
            <w:vAlign w:val="bottom"/>
          </w:tcPr>
          <w:p>
            <w:pPr>
              <w:spacing w:after="0"/>
              <w:rPr>
                <w:sz w:val="18"/>
                <w:szCs w:val="18"/>
                <w:color w:val="auto"/>
              </w:rPr>
            </w:pPr>
          </w:p>
        </w:tc>
      </w:tr>
      <w:tr>
        <w:trPr>
          <w:trHeight w:val="216"/>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Robert McNamara</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8,818,589</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2,449,386</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433,930</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3,890,542</w:t>
            </w:r>
          </w:p>
        </w:tc>
        <w:tc>
          <w:tcPr>
            <w:tcW w:w="100" w:type="dxa"/>
            <w:vAlign w:val="bottom"/>
            <w:shd w:val="clear" w:color="auto" w:fill="CFF0FC"/>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Jan Stern Reed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8,841,764</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2,434,253</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425,888</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3,890,542</w:t>
            </w:r>
          </w:p>
        </w:tc>
        <w:tc>
          <w:tcPr>
            <w:tcW w:w="100" w:type="dxa"/>
            <w:vAlign w:val="bottom"/>
          </w:tcPr>
          <w:p>
            <w:pPr>
              <w:spacing w:after="0"/>
              <w:rPr>
                <w:sz w:val="18"/>
                <w:szCs w:val="18"/>
                <w:color w:val="auto"/>
              </w:rPr>
            </w:pPr>
          </w:p>
        </w:tc>
      </w:tr>
      <w:tr>
        <w:trPr>
          <w:trHeight w:val="216"/>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Dr. Michael Tarnoff</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8,774,530</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2,458,787</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468,588</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3,890,542</w:t>
            </w:r>
          </w:p>
        </w:tc>
        <w:tc>
          <w:tcPr>
            <w:tcW w:w="100" w:type="dxa"/>
            <w:vAlign w:val="bottom"/>
            <w:shd w:val="clear" w:color="auto" w:fill="CFF0FC"/>
          </w:tcPr>
          <w:p>
            <w:pPr>
              <w:spacing w:after="0"/>
              <w:rPr>
                <w:sz w:val="18"/>
                <w:szCs w:val="18"/>
                <w:color w:val="auto"/>
              </w:rPr>
            </w:pPr>
          </w:p>
        </w:tc>
      </w:tr>
      <w:tr>
        <w:trPr>
          <w:trHeight w:val="234"/>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Joseph Woody</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8,830,204</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2,446,817</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424,884</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3,890,542</w:t>
            </w:r>
          </w:p>
        </w:tc>
        <w:tc>
          <w:tcPr>
            <w:tcW w:w="100" w:type="dxa"/>
            <w:vAlign w:val="bottom"/>
          </w:tcPr>
          <w:p>
            <w:pPr>
              <w:spacing w:after="0"/>
              <w:rPr>
                <w:sz w:val="20"/>
                <w:szCs w:val="20"/>
                <w:color w:val="auto"/>
              </w:rPr>
            </w:pPr>
          </w:p>
        </w:tc>
      </w:tr>
    </w:tbl>
    <w:p>
      <w:pPr>
        <w:spacing w:after="0" w:line="231" w:lineRule="exact"/>
        <w:rPr>
          <w:sz w:val="20"/>
          <w:szCs w:val="20"/>
          <w:color w:val="auto"/>
        </w:rPr>
      </w:pPr>
    </w:p>
    <w:p>
      <w:pPr>
        <w:jc w:val="both"/>
        <w:ind w:left="660" w:hanging="502"/>
        <w:spacing w:after="0" w:line="267" w:lineRule="auto"/>
        <w:tabs>
          <w:tab w:leader="none" w:pos="66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Issuance of Securities to Dr. Michael Tarnoff (Proposal 8)</w:t>
      </w:r>
      <w:r>
        <w:rPr>
          <w:rFonts w:ascii="Times New Roman" w:cs="Times New Roman" w:eastAsia="Times New Roman" w:hAnsi="Times New Roman"/>
          <w:sz w:val="18"/>
          <w:szCs w:val="18"/>
          <w:color w:val="auto"/>
        </w:rPr>
        <w:t>: Stockholders approved the initial grant comprised of 26,250 restricted stock units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19,063 stock options, to Dr. Michael Tarnoff, in accordance with the terms and conditions set out in the Proxy Statement. The votes regarding this proposal were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2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120" w:type="dxa"/>
            <w:vAlign w:val="bottom"/>
          </w:tcPr>
          <w:p>
            <w:pPr>
              <w:spacing w:after="0"/>
              <w:rPr>
                <w:sz w:val="20"/>
                <w:szCs w:val="20"/>
                <w:color w:val="auto"/>
              </w:rPr>
            </w:pPr>
          </w:p>
        </w:tc>
        <w:tc>
          <w:tcPr>
            <w:tcW w:w="25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100" w:type="dxa"/>
            <w:vAlign w:val="bottom"/>
          </w:tcPr>
          <w:p>
            <w:pPr>
              <w:spacing w:after="0"/>
              <w:rPr>
                <w:sz w:val="20"/>
                <w:szCs w:val="20"/>
                <w:color w:val="auto"/>
              </w:rPr>
            </w:pPr>
          </w:p>
        </w:tc>
        <w:tc>
          <w:tcPr>
            <w:tcW w:w="276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100" w:type="dxa"/>
            <w:vAlign w:val="bottom"/>
          </w:tcPr>
          <w:p>
            <w:pPr>
              <w:spacing w:after="0"/>
              <w:rPr>
                <w:sz w:val="20"/>
                <w:szCs w:val="20"/>
                <w:color w:val="auto"/>
              </w:rPr>
            </w:pPr>
          </w:p>
        </w:tc>
        <w:tc>
          <w:tcPr>
            <w:tcW w:w="304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Broker Non-Votes</w:t>
            </w:r>
          </w:p>
        </w:tc>
        <w:tc>
          <w:tcPr>
            <w:tcW w:w="100" w:type="dxa"/>
            <w:vAlign w:val="bottom"/>
          </w:tcPr>
          <w:p>
            <w:pPr>
              <w:spacing w:after="0"/>
              <w:rPr>
                <w:sz w:val="20"/>
                <w:szCs w:val="20"/>
                <w:color w:val="auto"/>
              </w:rPr>
            </w:pPr>
          </w:p>
        </w:tc>
      </w:tr>
      <w:tr>
        <w:trPr>
          <w:trHeight w:val="209"/>
        </w:trPr>
        <w:tc>
          <w:tcPr>
            <w:tcW w:w="2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8,791,498</w:t>
            </w:r>
          </w:p>
        </w:tc>
        <w:tc>
          <w:tcPr>
            <w:tcW w:w="2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2,433,367</w:t>
            </w:r>
          </w:p>
        </w:tc>
        <w:tc>
          <w:tcPr>
            <w:tcW w:w="2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477,040</w:t>
            </w:r>
          </w:p>
        </w:tc>
        <w:tc>
          <w:tcPr>
            <w:tcW w:w="3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3,890,542</w:t>
            </w:r>
          </w:p>
        </w:tc>
        <w:tc>
          <w:tcPr>
            <w:tcW w:w="100" w:type="dxa"/>
            <w:vAlign w:val="bottom"/>
            <w:shd w:val="clear" w:color="auto" w:fill="CFF0FC"/>
          </w:tcPr>
          <w:p>
            <w:pPr>
              <w:spacing w:after="0"/>
              <w:rPr>
                <w:sz w:val="18"/>
                <w:szCs w:val="18"/>
                <w:color w:val="auto"/>
              </w:rPr>
            </w:pPr>
          </w:p>
        </w:tc>
      </w:tr>
    </w:tbl>
    <w:p>
      <w:pPr>
        <w:spacing w:after="0" w:line="358" w:lineRule="exact"/>
        <w:rPr>
          <w:sz w:val="20"/>
          <w:szCs w:val="20"/>
          <w:color w:val="auto"/>
        </w:rPr>
      </w:pPr>
    </w:p>
    <w:p>
      <w:pPr>
        <w:jc w:val="both"/>
        <w:ind w:left="660" w:hanging="502"/>
        <w:spacing w:after="0" w:line="267" w:lineRule="auto"/>
        <w:tabs>
          <w:tab w:leader="none" w:pos="66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Issuance of Securities to Joseph Woody (Proposal 10)</w:t>
      </w:r>
      <w:r>
        <w:rPr>
          <w:rFonts w:ascii="Times New Roman" w:cs="Times New Roman" w:eastAsia="Times New Roman" w:hAnsi="Times New Roman"/>
          <w:sz w:val="18"/>
          <w:szCs w:val="18"/>
          <w:color w:val="auto"/>
        </w:rPr>
        <w:t>: Stockholders approved the initial grant comprised of 40,547 restricted stock units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29,446 stock options, to Mr. Joseph Woody, in accordance with the terms and conditions set out in the Proxy Statement. The votes regarding this proposal were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2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120" w:type="dxa"/>
            <w:vAlign w:val="bottom"/>
          </w:tcPr>
          <w:p>
            <w:pPr>
              <w:spacing w:after="0"/>
              <w:rPr>
                <w:sz w:val="20"/>
                <w:szCs w:val="20"/>
                <w:color w:val="auto"/>
              </w:rPr>
            </w:pPr>
          </w:p>
        </w:tc>
        <w:tc>
          <w:tcPr>
            <w:tcW w:w="25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100" w:type="dxa"/>
            <w:vAlign w:val="bottom"/>
          </w:tcPr>
          <w:p>
            <w:pPr>
              <w:spacing w:after="0"/>
              <w:rPr>
                <w:sz w:val="20"/>
                <w:szCs w:val="20"/>
                <w:color w:val="auto"/>
              </w:rPr>
            </w:pPr>
          </w:p>
        </w:tc>
        <w:tc>
          <w:tcPr>
            <w:tcW w:w="276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100" w:type="dxa"/>
            <w:vAlign w:val="bottom"/>
          </w:tcPr>
          <w:p>
            <w:pPr>
              <w:spacing w:after="0"/>
              <w:rPr>
                <w:sz w:val="20"/>
                <w:szCs w:val="20"/>
                <w:color w:val="auto"/>
              </w:rPr>
            </w:pPr>
          </w:p>
        </w:tc>
        <w:tc>
          <w:tcPr>
            <w:tcW w:w="304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Broker Non-Votes</w:t>
            </w:r>
          </w:p>
        </w:tc>
        <w:tc>
          <w:tcPr>
            <w:tcW w:w="100" w:type="dxa"/>
            <w:vAlign w:val="bottom"/>
          </w:tcPr>
          <w:p>
            <w:pPr>
              <w:spacing w:after="0"/>
              <w:rPr>
                <w:sz w:val="20"/>
                <w:szCs w:val="20"/>
                <w:color w:val="auto"/>
              </w:rPr>
            </w:pPr>
          </w:p>
        </w:tc>
      </w:tr>
      <w:tr>
        <w:trPr>
          <w:trHeight w:val="210"/>
        </w:trPr>
        <w:tc>
          <w:tcPr>
            <w:tcW w:w="2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8,863,312</w:t>
            </w:r>
          </w:p>
        </w:tc>
        <w:tc>
          <w:tcPr>
            <w:tcW w:w="2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2,395,376</w:t>
            </w:r>
          </w:p>
        </w:tc>
        <w:tc>
          <w:tcPr>
            <w:tcW w:w="2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443,217</w:t>
            </w:r>
          </w:p>
        </w:tc>
        <w:tc>
          <w:tcPr>
            <w:tcW w:w="3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3,890,542</w:t>
            </w:r>
          </w:p>
        </w:tc>
        <w:tc>
          <w:tcPr>
            <w:tcW w:w="100" w:type="dxa"/>
            <w:vAlign w:val="bottom"/>
            <w:shd w:val="clear" w:color="auto" w:fill="CFF0FC"/>
          </w:tcPr>
          <w:p>
            <w:pPr>
              <w:spacing w:after="0"/>
              <w:rPr>
                <w:sz w:val="18"/>
                <w:szCs w:val="18"/>
                <w:color w:val="auto"/>
              </w:rPr>
            </w:pPr>
          </w:p>
        </w:tc>
      </w:tr>
    </w:tbl>
    <w:p>
      <w:pPr>
        <w:spacing w:after="0" w:line="358" w:lineRule="exact"/>
        <w:rPr>
          <w:sz w:val="20"/>
          <w:szCs w:val="20"/>
          <w:color w:val="auto"/>
        </w:rPr>
      </w:pPr>
    </w:p>
    <w:p>
      <w:pPr>
        <w:ind w:left="660" w:hanging="502"/>
        <w:spacing w:after="0" w:line="284" w:lineRule="auto"/>
        <w:tabs>
          <w:tab w:leader="none" w:pos="66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Advisory Vote to Approve Compensation of Named Executive Officers (Proposal 12)</w:t>
      </w:r>
      <w:r>
        <w:rPr>
          <w:rFonts w:ascii="Times New Roman" w:cs="Times New Roman" w:eastAsia="Times New Roman" w:hAnsi="Times New Roman"/>
          <w:sz w:val="18"/>
          <w:szCs w:val="18"/>
          <w:color w:val="auto"/>
        </w:rPr>
        <w:t>: Stockholders voted in favor of the non-binding advisory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vote to approve the compensation of the Company’s named executive officers. The votes regarding this proposal were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4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120" w:type="dxa"/>
            <w:vAlign w:val="bottom"/>
          </w:tcPr>
          <w:p>
            <w:pPr>
              <w:spacing w:after="0"/>
              <w:rPr>
                <w:sz w:val="20"/>
                <w:szCs w:val="20"/>
                <w:color w:val="auto"/>
              </w:rPr>
            </w:pPr>
          </w:p>
        </w:tc>
        <w:tc>
          <w:tcPr>
            <w:tcW w:w="24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100" w:type="dxa"/>
            <w:vAlign w:val="bottom"/>
          </w:tcPr>
          <w:p>
            <w:pPr>
              <w:spacing w:after="0"/>
              <w:rPr>
                <w:sz w:val="20"/>
                <w:szCs w:val="20"/>
                <w:color w:val="auto"/>
              </w:rPr>
            </w:pPr>
          </w:p>
        </w:tc>
        <w:tc>
          <w:tcPr>
            <w:tcW w:w="276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100" w:type="dxa"/>
            <w:vAlign w:val="bottom"/>
          </w:tcPr>
          <w:p>
            <w:pPr>
              <w:spacing w:after="0"/>
              <w:rPr>
                <w:sz w:val="20"/>
                <w:szCs w:val="20"/>
                <w:color w:val="auto"/>
              </w:rPr>
            </w:pPr>
          </w:p>
        </w:tc>
        <w:tc>
          <w:tcPr>
            <w:tcW w:w="308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Broker Non-Votes</w:t>
            </w:r>
          </w:p>
        </w:tc>
        <w:tc>
          <w:tcPr>
            <w:tcW w:w="100" w:type="dxa"/>
            <w:vAlign w:val="bottom"/>
          </w:tcPr>
          <w:p>
            <w:pPr>
              <w:spacing w:after="0"/>
              <w:rPr>
                <w:sz w:val="20"/>
                <w:szCs w:val="20"/>
                <w:color w:val="auto"/>
              </w:rPr>
            </w:pPr>
          </w:p>
        </w:tc>
      </w:tr>
      <w:tr>
        <w:trPr>
          <w:trHeight w:val="210"/>
        </w:trPr>
        <w:tc>
          <w:tcPr>
            <w:tcW w:w="2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8,918,272</w:t>
            </w:r>
          </w:p>
        </w:tc>
        <w:tc>
          <w:tcPr>
            <w:tcW w:w="2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2,202,213</w:t>
            </w:r>
          </w:p>
        </w:tc>
        <w:tc>
          <w:tcPr>
            <w:tcW w:w="2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581,420</w:t>
            </w:r>
          </w:p>
        </w:tc>
        <w:tc>
          <w:tcPr>
            <w:tcW w:w="3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3,890,542</w:t>
            </w:r>
          </w:p>
        </w:tc>
        <w:tc>
          <w:tcPr>
            <w:tcW w:w="100" w:type="dxa"/>
            <w:vAlign w:val="bottom"/>
            <w:shd w:val="clear" w:color="auto" w:fill="CFF0FC"/>
          </w:tcPr>
          <w:p>
            <w:pPr>
              <w:spacing w:after="0"/>
              <w:rPr>
                <w:sz w:val="18"/>
                <w:szCs w:val="18"/>
                <w:color w:val="auto"/>
              </w:rPr>
            </w:pPr>
          </w:p>
        </w:tc>
      </w:tr>
    </w:tbl>
    <w:p>
      <w:pPr>
        <w:spacing w:after="0" w:line="358" w:lineRule="exact"/>
        <w:rPr>
          <w:sz w:val="20"/>
          <w:szCs w:val="20"/>
          <w:color w:val="auto"/>
        </w:rPr>
      </w:pPr>
    </w:p>
    <w:p>
      <w:pPr>
        <w:jc w:val="both"/>
        <w:ind w:left="660" w:hanging="502"/>
        <w:spacing w:after="0" w:line="267" w:lineRule="auto"/>
        <w:tabs>
          <w:tab w:leader="none" w:pos="66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Advisory Vote on the Frequency of Future Advisory Votes on Executive Compensation (Proposal 13)</w:t>
      </w:r>
      <w:r>
        <w:rPr>
          <w:rFonts w:ascii="Times New Roman" w:cs="Times New Roman" w:eastAsia="Times New Roman" w:hAnsi="Times New Roman"/>
          <w:sz w:val="18"/>
          <w:szCs w:val="18"/>
          <w:color w:val="auto"/>
        </w:rPr>
        <w:t>: Stockholders voted in favor of the non-binding advisory vote to set the frequency of future advisory votes to approve the compensation of the Company’s named executive officers. The votes regarding this proposal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12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vMerge w:val="restart"/>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120" w:type="dxa"/>
            <w:vAlign w:val="bottom"/>
          </w:tcPr>
          <w:p>
            <w:pPr>
              <w:spacing w:after="0"/>
              <w:rPr>
                <w:sz w:val="20"/>
                <w:szCs w:val="20"/>
                <w:color w:val="auto"/>
              </w:rPr>
            </w:pPr>
          </w:p>
        </w:tc>
        <w:tc>
          <w:tcPr>
            <w:tcW w:w="214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Broker Non-Votes</w:t>
            </w:r>
          </w:p>
        </w:tc>
        <w:tc>
          <w:tcPr>
            <w:tcW w:w="1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1 Year</w:t>
            </w:r>
          </w:p>
        </w:tc>
        <w:tc>
          <w:tcPr>
            <w:tcW w:w="120" w:type="dxa"/>
            <w:vAlign w:val="bottom"/>
          </w:tcPr>
          <w:p>
            <w:pPr>
              <w:spacing w:after="0"/>
              <w:rPr>
                <w:sz w:val="18"/>
                <w:szCs w:val="18"/>
                <w:color w:val="auto"/>
              </w:rPr>
            </w:pPr>
          </w:p>
        </w:tc>
        <w:tc>
          <w:tcPr>
            <w:tcW w:w="192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b w:val="1"/>
                <w:bCs w:val="1"/>
                <w:color w:val="auto"/>
              </w:rPr>
              <w:t>2 Years</w:t>
            </w:r>
          </w:p>
        </w:tc>
        <w:tc>
          <w:tcPr>
            <w:tcW w:w="120" w:type="dxa"/>
            <w:vAlign w:val="bottom"/>
          </w:tcPr>
          <w:p>
            <w:pPr>
              <w:spacing w:after="0"/>
              <w:rPr>
                <w:sz w:val="18"/>
                <w:szCs w:val="18"/>
                <w:color w:val="auto"/>
              </w:rPr>
            </w:pPr>
          </w:p>
        </w:tc>
        <w:tc>
          <w:tcPr>
            <w:tcW w:w="218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3 Years</w:t>
            </w:r>
          </w:p>
        </w:tc>
        <w:tc>
          <w:tcPr>
            <w:tcW w:w="100" w:type="dxa"/>
            <w:vAlign w:val="bottom"/>
          </w:tcPr>
          <w:p>
            <w:pPr>
              <w:spacing w:after="0"/>
              <w:rPr>
                <w:sz w:val="18"/>
                <w:szCs w:val="18"/>
                <w:color w:val="auto"/>
              </w:rPr>
            </w:pPr>
          </w:p>
        </w:tc>
        <w:tc>
          <w:tcPr>
            <w:tcW w:w="24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9,545,151</w:t>
            </w:r>
          </w:p>
        </w:tc>
        <w:tc>
          <w:tcPr>
            <w:tcW w:w="2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924,743</w:t>
            </w:r>
          </w:p>
        </w:tc>
        <w:tc>
          <w:tcPr>
            <w:tcW w:w="2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650,252</w:t>
            </w:r>
          </w:p>
        </w:tc>
        <w:tc>
          <w:tcPr>
            <w:tcW w:w="2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581,759</w:t>
            </w:r>
          </w:p>
        </w:tc>
        <w:tc>
          <w:tcPr>
            <w:tcW w:w="2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3,890,542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50" w:lineRule="exact"/>
        <w:rPr>
          <w:sz w:val="20"/>
          <w:szCs w:val="20"/>
          <w:color w:val="auto"/>
        </w:rPr>
      </w:pPr>
    </w:p>
    <w:p>
      <w:pPr>
        <w:jc w:val="both"/>
        <w:ind w:left="660" w:hanging="502"/>
        <w:spacing w:after="0" w:line="261" w:lineRule="auto"/>
        <w:tabs>
          <w:tab w:leader="none" w:pos="66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Approval of the Issuance of Warrants (Proposal 14): </w:t>
      </w:r>
      <w:r>
        <w:rPr>
          <w:rFonts w:ascii="Times New Roman" w:cs="Times New Roman" w:eastAsia="Times New Roman" w:hAnsi="Times New Roman"/>
          <w:sz w:val="18"/>
          <w:szCs w:val="18"/>
          <w:color w:val="auto"/>
        </w:rPr>
        <w:t>Stockholders approved, for the purpose of ASX Listing Rule 7.1 (and all other purposes),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issuance of a warrant or warrants covering up to 650,000 shares of Common Stock, with a term of ten years (the “Warrants”), to Perceptive Credit Holdings V, LP (“Perceptive”), pursuant to the credit agreement between the Company and Perceptive, dated January 13, 2026. The votes regarding this proposal were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4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120" w:type="dxa"/>
            <w:vAlign w:val="bottom"/>
          </w:tcPr>
          <w:p>
            <w:pPr>
              <w:spacing w:after="0"/>
              <w:rPr>
                <w:sz w:val="20"/>
                <w:szCs w:val="20"/>
                <w:color w:val="auto"/>
              </w:rPr>
            </w:pPr>
          </w:p>
        </w:tc>
        <w:tc>
          <w:tcPr>
            <w:tcW w:w="24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100" w:type="dxa"/>
            <w:vAlign w:val="bottom"/>
          </w:tcPr>
          <w:p>
            <w:pPr>
              <w:spacing w:after="0"/>
              <w:rPr>
                <w:sz w:val="20"/>
                <w:szCs w:val="20"/>
                <w:color w:val="auto"/>
              </w:rPr>
            </w:pPr>
          </w:p>
        </w:tc>
        <w:tc>
          <w:tcPr>
            <w:tcW w:w="276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100" w:type="dxa"/>
            <w:vAlign w:val="bottom"/>
          </w:tcPr>
          <w:p>
            <w:pPr>
              <w:spacing w:after="0"/>
              <w:rPr>
                <w:sz w:val="20"/>
                <w:szCs w:val="20"/>
                <w:color w:val="auto"/>
              </w:rPr>
            </w:pPr>
          </w:p>
        </w:tc>
        <w:tc>
          <w:tcPr>
            <w:tcW w:w="308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Broker Non-Votes</w:t>
            </w:r>
          </w:p>
        </w:tc>
        <w:tc>
          <w:tcPr>
            <w:tcW w:w="100" w:type="dxa"/>
            <w:vAlign w:val="bottom"/>
          </w:tcPr>
          <w:p>
            <w:pPr>
              <w:spacing w:after="0"/>
              <w:rPr>
                <w:sz w:val="20"/>
                <w:szCs w:val="20"/>
                <w:color w:val="auto"/>
              </w:rPr>
            </w:pPr>
          </w:p>
        </w:tc>
      </w:tr>
      <w:tr>
        <w:trPr>
          <w:trHeight w:val="210"/>
        </w:trPr>
        <w:tc>
          <w:tcPr>
            <w:tcW w:w="2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9,322,532</w:t>
            </w:r>
          </w:p>
        </w:tc>
        <w:tc>
          <w:tcPr>
            <w:tcW w:w="2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1,769,627</w:t>
            </w:r>
          </w:p>
        </w:tc>
        <w:tc>
          <w:tcPr>
            <w:tcW w:w="2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609,746</w:t>
            </w:r>
          </w:p>
        </w:tc>
        <w:tc>
          <w:tcPr>
            <w:tcW w:w="3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3,890,542</w:t>
            </w:r>
          </w:p>
        </w:tc>
        <w:tc>
          <w:tcPr>
            <w:tcW w:w="100" w:type="dxa"/>
            <w:vAlign w:val="bottom"/>
            <w:shd w:val="clear" w:color="auto" w:fill="CFF0FC"/>
          </w:tcPr>
          <w:p>
            <w:pPr>
              <w:spacing w:after="0"/>
              <w:rPr>
                <w:sz w:val="18"/>
                <w:szCs w:val="18"/>
                <w:color w:val="auto"/>
              </w:rPr>
            </w:pPr>
          </w:p>
        </w:tc>
      </w:tr>
    </w:tbl>
    <w:p>
      <w:pPr>
        <w:spacing w:after="0" w:line="250" w:lineRule="exact"/>
        <w:rPr>
          <w:sz w:val="20"/>
          <w:szCs w:val="20"/>
          <w:color w:val="auto"/>
        </w:rPr>
      </w:pPr>
    </w:p>
    <w:p>
      <w:pPr>
        <w:jc w:val="both"/>
        <w:ind w:left="660" w:hanging="502"/>
        <w:spacing w:after="0" w:line="258" w:lineRule="auto"/>
        <w:tabs>
          <w:tab w:leader="none" w:pos="660"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Approval of the Issuance of Equity Securities (Proposal 15): </w:t>
      </w:r>
      <w:r>
        <w:rPr>
          <w:rFonts w:ascii="Times New Roman" w:cs="Times New Roman" w:eastAsia="Times New Roman" w:hAnsi="Times New Roman"/>
          <w:sz w:val="18"/>
          <w:szCs w:val="18"/>
          <w:color w:val="auto"/>
        </w:rPr>
        <w:t>Stockholders approved as a special resolution, for the purpose of ASX Listing Rule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7.1A (which allows the Company to seek stockholder approval to issue an additional 10% over the annual listing limit of 15% of its issued capital in a consecutive 12-month period) and all other purposes, the issue of Equity Securities (as defined in ASX Listing Rule 19.2) up to such additional 10% of the issued capital (at the time of issuance) of the Company (as calculated in accordance with ASX Listing Rule 7.1A.2). The votes regarding this proposal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2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120" w:type="dxa"/>
            <w:vAlign w:val="bottom"/>
          </w:tcPr>
          <w:p>
            <w:pPr>
              <w:spacing w:after="0"/>
              <w:rPr>
                <w:sz w:val="20"/>
                <w:szCs w:val="20"/>
                <w:color w:val="auto"/>
              </w:rPr>
            </w:pPr>
          </w:p>
        </w:tc>
        <w:tc>
          <w:tcPr>
            <w:tcW w:w="25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100" w:type="dxa"/>
            <w:vAlign w:val="bottom"/>
          </w:tcPr>
          <w:p>
            <w:pPr>
              <w:spacing w:after="0"/>
              <w:rPr>
                <w:sz w:val="20"/>
                <w:szCs w:val="20"/>
                <w:color w:val="auto"/>
              </w:rPr>
            </w:pPr>
          </w:p>
        </w:tc>
        <w:tc>
          <w:tcPr>
            <w:tcW w:w="276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100" w:type="dxa"/>
            <w:vAlign w:val="bottom"/>
          </w:tcPr>
          <w:p>
            <w:pPr>
              <w:spacing w:after="0"/>
              <w:rPr>
                <w:sz w:val="20"/>
                <w:szCs w:val="20"/>
                <w:color w:val="auto"/>
              </w:rPr>
            </w:pPr>
          </w:p>
        </w:tc>
        <w:tc>
          <w:tcPr>
            <w:tcW w:w="304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Broker Non-Votes</w:t>
            </w:r>
          </w:p>
        </w:tc>
        <w:tc>
          <w:tcPr>
            <w:tcW w:w="100" w:type="dxa"/>
            <w:vAlign w:val="bottom"/>
          </w:tcPr>
          <w:p>
            <w:pPr>
              <w:spacing w:after="0"/>
              <w:rPr>
                <w:sz w:val="20"/>
                <w:szCs w:val="20"/>
                <w:color w:val="auto"/>
              </w:rPr>
            </w:pPr>
          </w:p>
        </w:tc>
      </w:tr>
      <w:tr>
        <w:trPr>
          <w:trHeight w:val="210"/>
        </w:trPr>
        <w:tc>
          <w:tcPr>
            <w:tcW w:w="2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8,947,195</w:t>
            </w:r>
          </w:p>
        </w:tc>
        <w:tc>
          <w:tcPr>
            <w:tcW w:w="2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2,223,106</w:t>
            </w:r>
          </w:p>
        </w:tc>
        <w:tc>
          <w:tcPr>
            <w:tcW w:w="2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531,604</w:t>
            </w:r>
          </w:p>
        </w:tc>
        <w:tc>
          <w:tcPr>
            <w:tcW w:w="3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3,890,542</w:t>
            </w:r>
          </w:p>
        </w:tc>
        <w:tc>
          <w:tcPr>
            <w:tcW w:w="100" w:type="dxa"/>
            <w:vAlign w:val="bottom"/>
            <w:shd w:val="clear" w:color="auto" w:fill="CFF0FC"/>
          </w:tcPr>
          <w:p>
            <w:pPr>
              <w:spacing w:after="0"/>
              <w:rPr>
                <w:sz w:val="18"/>
                <w:szCs w:val="18"/>
                <w:color w:val="auto"/>
              </w:rPr>
            </w:pPr>
          </w:p>
        </w:tc>
      </w:tr>
      <w:tr>
        <w:trPr>
          <w:trHeight w:val="979"/>
        </w:trPr>
        <w:tc>
          <w:tcPr>
            <w:tcW w:w="2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AVITA Medical, Inc.</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June 4, 2026</w:t>
      </w:r>
      <w:r>
        <w:rPr>
          <w:sz w:val="20"/>
          <w:szCs w:val="20"/>
          <w:color w:val="auto"/>
        </w:rPr>
        <w:tab/>
      </w:r>
      <w:r>
        <w:rPr>
          <w:rFonts w:ascii="Times New Roman" w:cs="Times New Roman" w:eastAsia="Times New Roman" w:hAnsi="Times New Roman"/>
          <w:sz w:val="18"/>
          <w:szCs w:val="18"/>
          <w:color w:val="auto"/>
        </w:rPr>
        <w:t>By:</w:t>
        <w:tab/>
        <w:t>/s/ David O’Toole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David O’Toole</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decimal"/>
      <w:start w:val="2"/>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4"/>
    </w:lvl>
  </w:abstractNum>
  <w:abstractNum w:abstractNumId="5">
    <w:nsid w:val="515F007C"/>
    <w:multiLevelType w:val="hybridMultilevel"/>
    <w:lvl w:ilvl="0">
      <w:lvlJc w:val="left"/>
      <w:lvlText w:val="%1."/>
      <w:numFmt w:val="decimal"/>
      <w:start w:val="5"/>
    </w:lvl>
  </w:abstractNum>
  <w:abstractNum w:abstractNumId="6">
    <w:nsid w:val="5BD062C2"/>
    <w:multiLevelType w:val="hybridMultilevel"/>
    <w:lvl w:ilvl="0">
      <w:lvlJc w:val="left"/>
      <w:lvlText w:val="%1."/>
      <w:numFmt w:val="decimal"/>
      <w:start w:val="6"/>
    </w:lvl>
  </w:abstractNum>
  <w:abstractNum w:abstractNumId="7">
    <w:nsid w:val="12200854"/>
    <w:multiLevelType w:val="hybridMultilevel"/>
    <w:lvl w:ilvl="0">
      <w:lvlJc w:val="left"/>
      <w:lvlText w:val="%1."/>
      <w:numFmt w:val="decimal"/>
      <w:start w:val="7"/>
    </w:lvl>
  </w:abstractNum>
  <w:abstractNum w:abstractNumId="8">
    <w:nsid w:val="4DB127F8"/>
    <w:multiLevelType w:val="hybridMultilevel"/>
    <w:lvl w:ilvl="0">
      <w:lvlJc w:val="left"/>
      <w:lvlText w:val="%1."/>
      <w:numFmt w:val="decimal"/>
      <w:start w:val="8"/>
    </w:lvl>
  </w:abstractNum>
  <w:abstractNum w:abstractNumId="9">
    <w:nsid w:val="216231B"/>
    <w:multiLevelType w:val="hybridMultilevel"/>
    <w:lvl w:ilvl="0">
      <w:lvlJc w:val="left"/>
      <w:lvlText w:val="%1."/>
      <w:numFmt w:val="decimal"/>
      <w:start w:val="9"/>
    </w:lvl>
  </w:abstractNum>
  <w:abstractNum w:abstractNumId="10">
    <w:nsid w:val="1F16E9E8"/>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2026-06-04T05:09:48Z</dcterms:created>
  <dcterms:modified xsi:type="dcterms:W3CDTF">2026-06-04T05:09:48Z</dcterms:modified>
</cp:coreProperties>
</file>