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cel-20240605.htm"/>
      <w:bookmarkStart w:id="1" w:name="ksrcel202406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29" w:type="dxa"/>
        <w:jc w:val="left"/>
        <w:tblInd w:w="0" w:type="dxa"/>
        <w:tblLayout w:type="fixed"/>
        <w:tblCellMar>
          <w:top w:w="28" w:type="dxa"/>
          <w:left w:w="28" w:type="dxa"/>
          <w:bottom w:w="28" w:type="dxa"/>
          <w:right w:w="28" w:type="dxa"/>
        </w:tblCellMar>
      </w:tblPr>
      <w:tblGrid>
        <w:gridCol w:w="5429"/>
      </w:tblGrid>
      <w:tr>
        <w:trPr/>
        <w:tc>
          <w:tcPr>
            <w:tcW w:w="5429" w:type="dxa"/>
            <w:tcBorders/>
            <w:vAlign w:val="center"/>
          </w:tcPr>
          <w:p>
            <w:pPr>
              <w:pStyle w:val="TableContents"/>
              <w:bidi w:val="0"/>
              <w:spacing w:before="0" w:after="283"/>
              <w:jc w:val="left"/>
              <w:rPr>
                <w:sz w:val="4"/>
                <w:szCs w:val="4"/>
              </w:rPr>
            </w:pPr>
            <w:r>
              <w:rPr>
                <w:sz w:val="4"/>
                <w:szCs w:val="4"/>
              </w:rPr>
            </w:r>
          </w:p>
        </w:tc>
      </w:tr>
      <w:tr>
        <w:trPr/>
        <w:tc>
          <w:tcPr>
            <w:tcW w:w="542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June 05, 2024</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AVITA Medical,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001-39059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85-1021707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28159 Avenue Stanford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220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Valencia,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91355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661</w:t>
            </w:r>
            <w:r>
              <w:rPr>
                <w:rFonts w:ascii="Times New Roman" w:hAnsi="Times New Roman"/>
                <w:color w:val="000000"/>
                <w:sz w:val="20"/>
              </w:rPr>
              <w:t xml:space="preserve"> </w:t>
            </w:r>
            <w:r>
              <w:rPr>
                <w:rFonts w:ascii="Times New Roman" w:hAnsi="Times New Roman"/>
                <w:b/>
                <w:color w:val="000000"/>
                <w:sz w:val="20"/>
              </w:rPr>
              <w:t>367-9170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RCEL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color w:val="000000"/>
          <w:sz w:val="20"/>
        </w:rPr>
      </w:pPr>
      <w:r>
        <w:rPr>
          <w:rFonts w:ascii="Times New Roman" w:hAnsi="Times New Roman"/>
          <w:color w:val="000000"/>
          <w:sz w:val="20"/>
        </w:rPr>
        <w:t>AVITA Medical, Inc. (the “Company”) held its 2024 Annual Meeting of Stockholders (“Annual Meeting”) virtually on June 5, 2024 (being June 6, 2024 in Australia).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Director and Officer Equity Awards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the Annual Meeting, the Company’s stockholders approved grants of options and restricted stock units to the Company’s non-executive directors and a grant of options to the Company’s Chief Executive Officer. The grants are summarized in Item 5.07 below and in Proposals 3 through 8 (with respect to the non-executive directors) and Proposal 9 (with respect to the Chief Executive Officer) in the Company’s Proxy Statement for the Annual Meeting as filed with the Securities and Exchange Commission on April 23, 2024 (the "Proxy Statement”). The terms and conditions of such grants of options and restricted stock units are described in the Proxy Statement, which disclosure is incorporated by reference into this Item 5.02.</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jc w:val="left"/>
        <w:rPr>
          <w:rFonts w:ascii="Times New Roman" w:hAnsi="Times New Roman"/>
          <w:color w:val="000000"/>
          <w:sz w:val="20"/>
        </w:rPr>
      </w:pPr>
      <w:r>
        <w:rPr>
          <w:rFonts w:ascii="Times New Roman" w:hAnsi="Times New Roman"/>
          <w:color w:val="000000"/>
          <w:sz w:val="20"/>
        </w:rPr>
        <w:t>At the Annual Meeting, the Company’s stockholders voted on the proposals summarized in the Proxy Statement as set forth below:</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pPr>
      <w:r>
        <w:rPr>
          <w:rFonts w:ascii="Times New Roman" w:hAnsi="Times New Roman"/>
          <w:i/>
          <w:color w:val="000000"/>
          <w:sz w:val="20"/>
        </w:rPr>
        <w:t xml:space="preserve">Election of Directors </w:t>
      </w:r>
      <w:r>
        <w:rPr>
          <w:rFonts w:ascii="Times New Roman" w:hAnsi="Times New Roman"/>
          <w:i/>
          <w:color w:val="000000"/>
          <w:sz w:val="20"/>
          <w:u w:val="single"/>
        </w:rPr>
        <w:t>(Proposal 1)</w:t>
      </w:r>
      <w:r>
        <w:rPr>
          <w:rFonts w:ascii="Times New Roman" w:hAnsi="Times New Roman"/>
          <w:color w:val="000000"/>
          <w:sz w:val="20"/>
        </w:rPr>
        <w:t>. All seven directors named in the Proxy Statement were elected to serve on the Company’s Board of Directors with the following vote:</w:t>
      </w:r>
    </w:p>
    <w:p>
      <w:pPr>
        <w:pStyle w:val="TextBody"/>
        <w:bidi w:val="0"/>
        <w:jc w:val="left"/>
        <w:rPr/>
      </w:pPr>
      <w:r>
        <w:rPr/>
        <w:t> </w:t>
      </w:r>
    </w:p>
    <w:tbl>
      <w:tblPr>
        <w:tblW w:w="6961" w:type="dxa"/>
        <w:jc w:val="left"/>
        <w:tblInd w:w="0" w:type="dxa"/>
        <w:tblLayout w:type="fixed"/>
        <w:tblCellMar>
          <w:top w:w="28" w:type="dxa"/>
          <w:left w:w="28" w:type="dxa"/>
          <w:bottom w:w="28" w:type="dxa"/>
          <w:right w:w="28" w:type="dxa"/>
        </w:tblCellMar>
      </w:tblPr>
      <w:tblGrid>
        <w:gridCol w:w="2266"/>
        <w:gridCol w:w="146"/>
        <w:gridCol w:w="1036"/>
        <w:gridCol w:w="146"/>
        <w:gridCol w:w="189"/>
        <w:gridCol w:w="1206"/>
        <w:gridCol w:w="146"/>
        <w:gridCol w:w="221"/>
        <w:gridCol w:w="1414"/>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Name</w:t>
            </w:r>
          </w:p>
        </w:tc>
        <w:tc>
          <w:tcPr>
            <w:tcW w:w="1182" w:type="dxa"/>
            <w:gridSpan w:val="2"/>
            <w:tcBorders/>
            <w:shd w:fill="FFFFFF" w:val="cle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Votes For</w:t>
            </w:r>
          </w:p>
        </w:tc>
        <w:tc>
          <w:tcPr>
            <w:tcW w:w="146" w:type="dxa"/>
            <w:tcBorders/>
            <w:shd w:fill="FFFFFF" w:val="clear"/>
            <w:vAlign w:val="center"/>
          </w:tcPr>
          <w:p>
            <w:pPr>
              <w:pStyle w:val="TableContents"/>
              <w:bidi w:val="0"/>
              <w:spacing w:before="0" w:after="283"/>
              <w:jc w:val="center"/>
              <w:rPr/>
            </w:pPr>
            <w:r>
              <w:rPr/>
              <w:t> </w:t>
            </w:r>
          </w:p>
        </w:tc>
        <w:tc>
          <w:tcPr>
            <w:tcW w:w="1395" w:type="dxa"/>
            <w:gridSpan w:val="2"/>
            <w:tcBorders/>
            <w:shd w:fill="FFFFFF" w:val="cle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Votes Withheld</w:t>
            </w:r>
          </w:p>
        </w:tc>
        <w:tc>
          <w:tcPr>
            <w:tcW w:w="146" w:type="dxa"/>
            <w:tcBorders/>
            <w:shd w:fill="FFFFFF" w:val="clear"/>
            <w:vAlign w:val="center"/>
          </w:tcPr>
          <w:p>
            <w:pPr>
              <w:pStyle w:val="TableContents"/>
              <w:bidi w:val="0"/>
              <w:spacing w:before="0" w:after="283"/>
              <w:jc w:val="center"/>
              <w:rPr/>
            </w:pPr>
            <w:r>
              <w:rPr/>
              <w:t> </w:t>
            </w:r>
          </w:p>
        </w:tc>
        <w:tc>
          <w:tcPr>
            <w:tcW w:w="1635" w:type="dxa"/>
            <w:gridSpan w:val="2"/>
            <w:tcBorders/>
            <w:shd w:fill="FFFFFF" w:val="cle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Broker Non-Votes</w:t>
            </w:r>
          </w:p>
        </w:tc>
        <w:tc>
          <w:tcPr>
            <w:tcW w:w="191" w:type="dxa"/>
            <w:tcBorders/>
            <w:shd w:fill="FFFFFF" w:val="cle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Louis Panaccio</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9,639,179</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3,437,336</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14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2,141,804</w:t>
            </w:r>
          </w:p>
        </w:tc>
        <w:tc>
          <w:tcPr>
            <w:tcW w:w="1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James Corbett</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12,007,045</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1,243,405</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2,141,804</w:t>
            </w:r>
          </w:p>
        </w:tc>
        <w:tc>
          <w:tcPr>
            <w:tcW w:w="191"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Jeremy Curnock Cook</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12,084,039</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1,165,850</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14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2,141,804</w:t>
            </w:r>
          </w:p>
        </w:tc>
        <w:tc>
          <w:tcPr>
            <w:tcW w:w="1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Professor Suzanne Crowe</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12,341,978</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908,472</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2,141,804</w:t>
            </w:r>
          </w:p>
        </w:tc>
        <w:tc>
          <w:tcPr>
            <w:tcW w:w="191"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Ms. Jan Stern Reed</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11,611,092</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1,635,332</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14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2,141,804</w:t>
            </w:r>
          </w:p>
        </w:tc>
        <w:tc>
          <w:tcPr>
            <w:tcW w:w="1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Robert McNamara</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12,261,891</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988,559</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2,141,804</w:t>
            </w:r>
          </w:p>
        </w:tc>
        <w:tc>
          <w:tcPr>
            <w:tcW w:w="191"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Cary Vance</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12,261,730</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988,720</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14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2,141,804</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pPr>
      <w:r>
        <w:rPr>
          <w:rFonts w:ascii="Times New Roman" w:hAnsi="Times New Roman"/>
          <w:i/>
          <w:color w:val="000000"/>
          <w:sz w:val="20"/>
        </w:rPr>
        <w:t>Appointment of Independent Auditor (Proposal 2)</w:t>
      </w:r>
      <w:r>
        <w:rPr>
          <w:rFonts w:ascii="Times New Roman" w:hAnsi="Times New Roman"/>
          <w:color w:val="000000"/>
          <w:sz w:val="20"/>
        </w:rPr>
        <w:t>. The stockholders ratified the selection of Grant Thornton LLP as the Company’s independent registered public accounting firm for the year ending December 31, 2024. The votes regarding this proposal were as follows:</w:t>
      </w:r>
    </w:p>
    <w:p>
      <w:pPr>
        <w:pStyle w:val="TextBody"/>
        <w:bidi w:val="0"/>
        <w:jc w:val="left"/>
        <w:rPr/>
      </w:pPr>
      <w:r>
        <w:rPr/>
        <w:t> </w:t>
      </w:r>
    </w:p>
    <w:tbl>
      <w:tblPr>
        <w:tblW w:w="5802" w:type="dxa"/>
        <w:jc w:val="left"/>
        <w:tblInd w:w="0" w:type="dxa"/>
        <w:tblLayout w:type="fixed"/>
        <w:tblCellMar>
          <w:top w:w="28" w:type="dxa"/>
          <w:left w:w="28" w:type="dxa"/>
          <w:bottom w:w="28" w:type="dxa"/>
          <w:right w:w="28" w:type="dxa"/>
        </w:tblCellMar>
      </w:tblPr>
      <w:tblGrid>
        <w:gridCol w:w="161"/>
        <w:gridCol w:w="1036"/>
        <w:gridCol w:w="146"/>
        <w:gridCol w:w="198"/>
        <w:gridCol w:w="1062"/>
        <w:gridCol w:w="146"/>
        <w:gridCol w:w="170"/>
        <w:gridCol w:w="911"/>
        <w:gridCol w:w="146"/>
        <w:gridCol w:w="764"/>
        <w:gridCol w:w="87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Against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14,794,234</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10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206,185</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366,332</w:t>
            </w:r>
          </w:p>
        </w:tc>
        <w:tc>
          <w:tcPr>
            <w:tcW w:w="146"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3.</w:t>
      </w:r>
    </w:p>
    <w:p>
      <w:pPr>
        <w:pStyle w:val="TextBody"/>
        <w:bidi w:val="0"/>
        <w:jc w:val="left"/>
        <w:rPr/>
      </w:pPr>
      <w:r>
        <w:rPr>
          <w:rFonts w:ascii="Times New Roman" w:hAnsi="Times New Roman"/>
          <w:i/>
          <w:color w:val="000000"/>
          <w:sz w:val="20"/>
        </w:rPr>
        <w:t>Issuance of Securities to Non-Executive Directors (Proposals 3 - 8)</w:t>
      </w:r>
      <w:r>
        <w:rPr>
          <w:rFonts w:ascii="Times New Roman" w:hAnsi="Times New Roman"/>
          <w:color w:val="000000"/>
          <w:sz w:val="20"/>
        </w:rPr>
        <w:t>: Stockholders approved the grant of restricted stock units equal in value to $87,500 (at the time of the grant) and the grant of stock options equal in value to $37,500 (at the time of the grant) to each of the six non-executive directors on the terms and conditions set out in the Proxy Statement. The votes regarding these proposals were as follows:</w:t>
      </w:r>
    </w:p>
    <w:p>
      <w:pPr>
        <w:pStyle w:val="TextBody"/>
        <w:bidi w:val="0"/>
        <w:jc w:val="left"/>
        <w:rPr/>
      </w:pPr>
      <w:r>
        <w:rPr/>
        <w:t> </w:t>
      </w:r>
    </w:p>
    <w:tbl>
      <w:tblPr>
        <w:tblW w:w="8113" w:type="dxa"/>
        <w:jc w:val="left"/>
        <w:tblInd w:w="0" w:type="dxa"/>
        <w:tblLayout w:type="fixed"/>
        <w:tblCellMar>
          <w:top w:w="28" w:type="dxa"/>
          <w:left w:w="28" w:type="dxa"/>
          <w:bottom w:w="28" w:type="dxa"/>
          <w:right w:w="28" w:type="dxa"/>
        </w:tblCellMar>
      </w:tblPr>
      <w:tblGrid>
        <w:gridCol w:w="2326"/>
        <w:gridCol w:w="146"/>
        <w:gridCol w:w="1036"/>
        <w:gridCol w:w="146"/>
        <w:gridCol w:w="170"/>
        <w:gridCol w:w="1090"/>
        <w:gridCol w:w="146"/>
        <w:gridCol w:w="170"/>
        <w:gridCol w:w="911"/>
        <w:gridCol w:w="146"/>
        <w:gridCol w:w="221"/>
        <w:gridCol w:w="1414"/>
        <w:gridCol w:w="1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Against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Mr. Louis Panaccio</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10,834,366</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0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1,947,210</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446,306</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14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2,138,869</w:t>
            </w:r>
          </w:p>
        </w:tc>
        <w:tc>
          <w:tcPr>
            <w:tcW w:w="191" w:type="dxa"/>
            <w:tcBorders/>
            <w:shd w:fill="CFF0FC" w:val="cle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Professor Suzanne Crowe</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10,848,440</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1,915,747</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463,695</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2,138,869</w:t>
            </w:r>
          </w:p>
        </w:tc>
        <w:tc>
          <w:tcPr>
            <w:tcW w:w="191" w:type="dxa"/>
            <w:tcBorders/>
            <w:shd w:fill="FFFFFF" w:val="clear"/>
            <w:vAlign w:val="center"/>
          </w:tcPr>
          <w:p>
            <w:pPr>
              <w:pStyle w:val="TableContents"/>
              <w:bidi w:val="0"/>
              <w:spacing w:before="0" w:after="283"/>
              <w:jc w:val="left"/>
              <w:rPr/>
            </w:pPr>
            <w:r>
              <w:rPr/>
              <w:t> </w:t>
            </w:r>
          </w:p>
        </w:tc>
      </w:tr>
      <w:tr>
        <w:trPr/>
        <w:tc>
          <w:tcPr>
            <w:tcW w:w="23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Mr. Jeremy Curnock Cook</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10,834,337</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0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1,948,061</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445,484</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14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2,138,869</w:t>
            </w:r>
          </w:p>
        </w:tc>
        <w:tc>
          <w:tcPr>
            <w:tcW w:w="191" w:type="dxa"/>
            <w:tcBorders/>
            <w:shd w:fill="CFF0FC" w:val="cle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Ms. Jan Stern Reed</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10,696,549</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2,082,094</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449,239</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2,138,869</w:t>
            </w:r>
          </w:p>
        </w:tc>
        <w:tc>
          <w:tcPr>
            <w:tcW w:w="191" w:type="dxa"/>
            <w:tcBorders/>
            <w:shd w:fill="FFFFFF" w:val="clear"/>
            <w:vAlign w:val="center"/>
          </w:tcPr>
          <w:p>
            <w:pPr>
              <w:pStyle w:val="TableContents"/>
              <w:bidi w:val="0"/>
              <w:spacing w:before="0" w:after="283"/>
              <w:jc w:val="left"/>
              <w:rPr/>
            </w:pPr>
            <w:r>
              <w:rPr/>
              <w:t> </w:t>
            </w:r>
          </w:p>
        </w:tc>
      </w:tr>
      <w:tr>
        <w:trPr/>
        <w:tc>
          <w:tcPr>
            <w:tcW w:w="23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Mr. Robert McNamara</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10,837,227</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0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1,935,886</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454,769</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14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2,138,869</w:t>
            </w:r>
          </w:p>
        </w:tc>
        <w:tc>
          <w:tcPr>
            <w:tcW w:w="191" w:type="dxa"/>
            <w:tcBorders/>
            <w:shd w:fill="CFF0FC" w:val="cle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Mr. Cary Vance</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10,843,117</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1,935,084</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449,681</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2,138,869</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pPr>
      <w:r>
        <w:rPr>
          <w:rFonts w:ascii="Times New Roman" w:hAnsi="Times New Roman"/>
          <w:i/>
          <w:color w:val="000000"/>
          <w:sz w:val="20"/>
        </w:rPr>
        <w:t>Issuance of Securities to Mr. James Corbett (Proposal 9)</w:t>
      </w:r>
      <w:r>
        <w:rPr>
          <w:rFonts w:ascii="Times New Roman" w:hAnsi="Times New Roman"/>
          <w:color w:val="000000"/>
          <w:sz w:val="20"/>
        </w:rPr>
        <w:t>: Stockholders approved the grant of options to acquire 350,000 shares of common stock of the Company to the Company’s Chief Executive Officer, Mr. James Corbett, on the terms and conditions set forth in the Proxy Statement. The votes regarding this proposal were as follows:</w:t>
      </w:r>
    </w:p>
    <w:p>
      <w:pPr>
        <w:pStyle w:val="TextBody"/>
        <w:bidi w:val="0"/>
        <w:spacing w:before="120" w:after="283"/>
        <w:jc w:val="left"/>
        <w:rPr/>
      </w:pPr>
      <w:r>
        <w:rPr/>
        <w:t> </w:t>
      </w:r>
    </w:p>
    <w:tbl>
      <w:tblPr>
        <w:tblW w:w="5802" w:type="dxa"/>
        <w:jc w:val="left"/>
        <w:tblInd w:w="0" w:type="dxa"/>
        <w:tblLayout w:type="fixed"/>
        <w:tblCellMar>
          <w:top w:w="28" w:type="dxa"/>
          <w:left w:w="28" w:type="dxa"/>
          <w:bottom w:w="28" w:type="dxa"/>
          <w:right w:w="28" w:type="dxa"/>
        </w:tblCellMar>
      </w:tblPr>
      <w:tblGrid>
        <w:gridCol w:w="161"/>
        <w:gridCol w:w="1036"/>
        <w:gridCol w:w="146"/>
        <w:gridCol w:w="170"/>
        <w:gridCol w:w="1090"/>
        <w:gridCol w:w="146"/>
        <w:gridCol w:w="170"/>
        <w:gridCol w:w="911"/>
        <w:gridCol w:w="146"/>
        <w:gridCol w:w="221"/>
        <w:gridCol w:w="1414"/>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Against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10,040,922</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0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2,759,325</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427,635</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14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2,138,869</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5.</w:t>
      </w:r>
    </w:p>
    <w:p>
      <w:pPr>
        <w:pStyle w:val="TextBody"/>
        <w:bidi w:val="0"/>
        <w:spacing w:before="120" w:after="283"/>
        <w:jc w:val="left"/>
        <w:rPr/>
      </w:pPr>
      <w:r>
        <w:rPr>
          <w:rFonts w:ascii="Times New Roman" w:hAnsi="Times New Roman"/>
          <w:i/>
          <w:color w:val="000000"/>
          <w:sz w:val="20"/>
        </w:rPr>
        <w:t>Advisory Vote to Approve Compensation of Named Executive Officers (Proposal 10)</w:t>
      </w:r>
      <w:r>
        <w:rPr>
          <w:rFonts w:ascii="Times New Roman" w:hAnsi="Times New Roman"/>
          <w:color w:val="000000"/>
          <w:sz w:val="20"/>
        </w:rPr>
        <w:t>: Stockholders voted in favor of the non-binding advisory vote to approve the compensation of the Company’s named executive officers. The votes regarding this proposal were as follows:</w:t>
      </w:r>
    </w:p>
    <w:p>
      <w:pPr>
        <w:pStyle w:val="HorizontalLine"/>
        <w:pBdr>
          <w:bottom w:val="double" w:sz="2" w:space="0" w:color="808080"/>
        </w:pBdr>
        <w:bidi w:val="0"/>
        <w:spacing w:before="0" w:after="283"/>
        <w:jc w:val="left"/>
        <w:rPr/>
      </w:pPr>
      <w:r>
        <w:rPr/>
      </w:r>
    </w:p>
    <w:p>
      <w:pPr>
        <w:pStyle w:val="TextBody"/>
        <w:bidi w:val="0"/>
        <w:spacing w:before="120" w:after="283"/>
        <w:jc w:val="left"/>
        <w:rPr/>
      </w:pPr>
      <w:r>
        <w:rPr/>
        <w:t> </w:t>
      </w:r>
    </w:p>
    <w:tbl>
      <w:tblPr>
        <w:tblW w:w="5802" w:type="dxa"/>
        <w:jc w:val="left"/>
        <w:tblInd w:w="0" w:type="dxa"/>
        <w:tblLayout w:type="fixed"/>
        <w:tblCellMar>
          <w:top w:w="28" w:type="dxa"/>
          <w:left w:w="28" w:type="dxa"/>
          <w:bottom w:w="28" w:type="dxa"/>
          <w:right w:w="28" w:type="dxa"/>
        </w:tblCellMar>
      </w:tblPr>
      <w:tblGrid>
        <w:gridCol w:w="161"/>
        <w:gridCol w:w="1036"/>
        <w:gridCol w:w="146"/>
        <w:gridCol w:w="170"/>
        <w:gridCol w:w="1090"/>
        <w:gridCol w:w="146"/>
        <w:gridCol w:w="170"/>
        <w:gridCol w:w="911"/>
        <w:gridCol w:w="146"/>
        <w:gridCol w:w="221"/>
        <w:gridCol w:w="1414"/>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Against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10,269,125</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0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2,296,661</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662,096</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14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2,138,869</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3994" w:type="dxa"/>
        <w:jc w:val="left"/>
        <w:tblInd w:w="0" w:type="dxa"/>
        <w:tblLayout w:type="fixed"/>
        <w:tblCellMar>
          <w:top w:w="28" w:type="dxa"/>
          <w:left w:w="28" w:type="dxa"/>
          <w:bottom w:w="28" w:type="dxa"/>
          <w:right w:w="28" w:type="dxa"/>
        </w:tblCellMar>
      </w:tblPr>
      <w:tblGrid>
        <w:gridCol w:w="556"/>
        <w:gridCol w:w="1141"/>
        <w:gridCol w:w="451"/>
        <w:gridCol w:w="1846"/>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AVITA Medical,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June 6, 2024</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184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Donna Shiroma</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Donna Shiroma</w:t>
              <w:br/>
              <w:t>General Counsel</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909</Words>
  <Characters>5149</Characters>
  <CharactersWithSpaces>6102</CharactersWithSpaces>
  <Paragraphs>332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