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Rooney Timothy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06/30/2020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Avita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RCEL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AVITA THERAPEUTICS,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28159 AVENUE STANFORD,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220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VALENCIA CA</w:t>
            </w:r>
          </w:p>
        </w:tc>
        <w:tc>
          <w:tcPr>
            <w:tcW w:w="860" w:type="dxa"/>
            <w:vAlign w:val="bottom"/>
          </w:tcPr>
          <w:p>
            <w:pPr>
              <w:jc w:val="right"/>
              <w:spacing w:after="0"/>
              <w:rPr>
                <w:sz w:val="20"/>
                <w:szCs w:val="20"/>
                <w:color w:val="auto"/>
              </w:rPr>
            </w:pPr>
            <w:r>
              <w:rPr>
                <w:rFonts w:ascii="Arial" w:cs="Arial" w:eastAsia="Arial" w:hAnsi="Arial"/>
                <w:sz w:val="20"/>
                <w:szCs w:val="20"/>
                <w:color w:val="0000FF"/>
              </w:rPr>
              <w:t>91355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23"/>
        <w:spacing w:after="0"/>
        <w:rPr>
          <w:sz w:val="20"/>
          <w:szCs w:val="20"/>
          <w:color w:val="auto"/>
        </w:rPr>
      </w:pPr>
      <w:r>
        <w:rPr>
          <w:rFonts w:ascii="Arial" w:cs="Arial" w:eastAsia="Arial" w:hAnsi="Arial"/>
          <w:sz w:val="20"/>
          <w:szCs w:val="20"/>
          <w:color w:val="0000FF"/>
        </w:rPr>
        <w:t>Chief Administrative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5"/>
              </w:rPr>
              <w:t>2,500</w:t>
            </w:r>
            <w:r>
              <w:rPr>
                <w:rFonts w:ascii="Arial" w:cs="Arial" w:eastAsia="Arial" w:hAnsi="Arial"/>
                <w:sz w:val="25"/>
                <w:szCs w:val="25"/>
                <w:color w:val="008000"/>
                <w:w w:val="85"/>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7"/>
              </w:rPr>
              <w:t>Stock Options (Right to Buy)</w:t>
            </w:r>
            <w:r>
              <w:rPr>
                <w:rFonts w:ascii="Arial" w:cs="Arial" w:eastAsia="Arial" w:hAnsi="Arial"/>
                <w:sz w:val="25"/>
                <w:szCs w:val="25"/>
                <w:color w:val="008000"/>
                <w:w w:val="97"/>
                <w:vertAlign w:val="superscript"/>
              </w:rPr>
              <w:t>(2)</w:t>
            </w:r>
          </w:p>
        </w:tc>
        <w:tc>
          <w:tcPr>
            <w:tcW w:w="1280" w:type="dxa"/>
            <w:vAlign w:val="bottom"/>
            <w:tcBorders>
              <w:bottom w:val="single" w:sz="8" w:color="2C2C2C"/>
            </w:tcBorders>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3"/>
              </w:rPr>
              <w:t>05/18/2027</w:t>
            </w:r>
          </w:p>
        </w:tc>
        <w:tc>
          <w:tcPr>
            <w:tcW w:w="1740" w:type="dxa"/>
            <w:vAlign w:val="bottom"/>
            <w:tcBorders>
              <w:bottom w:val="single" w:sz="8" w:color="2C2C2C"/>
            </w:tcBorders>
          </w:tcPr>
          <w:p>
            <w:pPr>
              <w:jc w:val="center"/>
              <w:ind w:left="34"/>
              <w:spacing w:after="0"/>
              <w:rPr>
                <w:sz w:val="20"/>
                <w:szCs w:val="20"/>
                <w:color w:val="auto"/>
              </w:rPr>
            </w:pPr>
            <w:r>
              <w:rPr>
                <w:rFonts w:ascii="Arial" w:cs="Arial" w:eastAsia="Arial" w:hAnsi="Arial"/>
                <w:sz w:val="20"/>
                <w:szCs w:val="20"/>
                <w:color w:val="0000FF"/>
                <w:w w:val="89"/>
              </w:rPr>
              <w:t>Common Stock</w:t>
            </w:r>
          </w:p>
        </w:tc>
        <w:tc>
          <w:tcPr>
            <w:tcW w:w="840" w:type="dxa"/>
            <w:vAlign w:val="bottom"/>
            <w:tcBorders>
              <w:bottom w:val="single" w:sz="8" w:color="2C2C2C"/>
            </w:tcBorders>
          </w:tcPr>
          <w:p>
            <w:pPr>
              <w:jc w:val="center"/>
              <w:ind w:left="35"/>
              <w:spacing w:after="0"/>
              <w:rPr>
                <w:sz w:val="20"/>
                <w:szCs w:val="20"/>
                <w:color w:val="auto"/>
              </w:rPr>
            </w:pPr>
            <w:r>
              <w:rPr>
                <w:rFonts w:ascii="Arial" w:cs="Arial" w:eastAsia="Arial" w:hAnsi="Arial"/>
                <w:sz w:val="20"/>
                <w:szCs w:val="20"/>
                <w:color w:val="0000FF"/>
                <w:w w:val="87"/>
              </w:rPr>
              <w:t>2,500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Arial" w:cs="Arial" w:eastAsia="Arial" w:hAnsi="Arial"/>
                <w:sz w:val="20"/>
                <w:szCs w:val="20"/>
                <w:color w:val="0000FF"/>
              </w:rPr>
              <w:t>6.34</w:t>
            </w:r>
            <w:r>
              <w:rPr>
                <w:rFonts w:ascii="Arial" w:cs="Arial" w:eastAsia="Arial" w:hAnsi="Arial"/>
                <w:sz w:val="25"/>
                <w:szCs w:val="25"/>
                <w:color w:val="008000"/>
                <w:vertAlign w:val="superscript"/>
              </w:rPr>
              <w:t>(4)</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7"/>
              </w:rPr>
              <w:t>Stock Options (Right to Buy)</w:t>
            </w:r>
            <w:r>
              <w:rPr>
                <w:rFonts w:ascii="Arial" w:cs="Arial" w:eastAsia="Arial" w:hAnsi="Arial"/>
                <w:sz w:val="25"/>
                <w:szCs w:val="25"/>
                <w:color w:val="008000"/>
                <w:w w:val="97"/>
                <w:vertAlign w:val="superscript"/>
              </w:rPr>
              <w:t>(2)</w:t>
            </w:r>
          </w:p>
        </w:tc>
        <w:tc>
          <w:tcPr>
            <w:tcW w:w="1280" w:type="dxa"/>
            <w:vAlign w:val="bottom"/>
            <w:tcBorders>
              <w:bottom w:val="single" w:sz="8" w:color="2C2C2C"/>
            </w:tcBorders>
            <w:gridSpan w:val="2"/>
          </w:tcPr>
          <w:p>
            <w:pPr>
              <w:jc w:val="right"/>
              <w:ind w:right="341"/>
              <w:spacing w:after="0"/>
              <w:rPr>
                <w:sz w:val="20"/>
                <w:szCs w:val="20"/>
                <w:color w:val="auto"/>
              </w:rPr>
            </w:pPr>
            <w:r>
              <w:rPr>
                <w:rFonts w:ascii="Arial" w:cs="Arial" w:eastAsia="Arial" w:hAnsi="Arial"/>
                <w:sz w:val="13"/>
                <w:szCs w:val="13"/>
                <w:color w:val="008000"/>
              </w:rPr>
              <w:t>(5)</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87"/>
              </w:rPr>
              <w:t>11/01/2028</w:t>
            </w:r>
          </w:p>
        </w:tc>
        <w:tc>
          <w:tcPr>
            <w:tcW w:w="1740" w:type="dxa"/>
            <w:vAlign w:val="bottom"/>
            <w:tcBorders>
              <w:bottom w:val="single" w:sz="8" w:color="2C2C2C"/>
            </w:tcBorders>
          </w:tcPr>
          <w:p>
            <w:pPr>
              <w:jc w:val="center"/>
              <w:ind w:left="34"/>
              <w:spacing w:after="0"/>
              <w:rPr>
                <w:sz w:val="20"/>
                <w:szCs w:val="20"/>
                <w:color w:val="auto"/>
              </w:rPr>
            </w:pPr>
            <w:r>
              <w:rPr>
                <w:rFonts w:ascii="Arial" w:cs="Arial" w:eastAsia="Arial" w:hAnsi="Arial"/>
                <w:sz w:val="20"/>
                <w:szCs w:val="20"/>
                <w:color w:val="0000FF"/>
                <w:w w:val="89"/>
              </w:rPr>
              <w:t>Common Stock</w:t>
            </w:r>
          </w:p>
        </w:tc>
        <w:tc>
          <w:tcPr>
            <w:tcW w:w="840" w:type="dxa"/>
            <w:vAlign w:val="bottom"/>
            <w:tcBorders>
              <w:bottom w:val="single" w:sz="8" w:color="2C2C2C"/>
            </w:tcBorders>
          </w:tcPr>
          <w:p>
            <w:pPr>
              <w:jc w:val="center"/>
              <w:ind w:left="35"/>
              <w:spacing w:after="0"/>
              <w:rPr>
                <w:sz w:val="20"/>
                <w:szCs w:val="20"/>
                <w:color w:val="auto"/>
              </w:rPr>
            </w:pPr>
            <w:r>
              <w:rPr>
                <w:rFonts w:ascii="Arial" w:cs="Arial" w:eastAsia="Arial" w:hAnsi="Arial"/>
                <w:sz w:val="20"/>
                <w:szCs w:val="20"/>
                <w:color w:val="0000FF"/>
                <w:w w:val="87"/>
              </w:rPr>
              <w:t>3,750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Arial" w:cs="Arial" w:eastAsia="Arial" w:hAnsi="Arial"/>
                <w:sz w:val="20"/>
                <w:szCs w:val="20"/>
                <w:color w:val="0000FF"/>
              </w:rPr>
              <w:t>6.35</w:t>
            </w:r>
            <w:r>
              <w:rPr>
                <w:rFonts w:ascii="Arial" w:cs="Arial" w:eastAsia="Arial" w:hAnsi="Arial"/>
                <w:sz w:val="25"/>
                <w:szCs w:val="25"/>
                <w:color w:val="008000"/>
                <w:vertAlign w:val="superscript"/>
              </w:rPr>
              <w:t>(6)</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7"/>
              </w:rPr>
              <w:t>Stock Options (Right to Buy)</w:t>
            </w:r>
            <w:r>
              <w:rPr>
                <w:rFonts w:ascii="Arial" w:cs="Arial" w:eastAsia="Arial" w:hAnsi="Arial"/>
                <w:sz w:val="25"/>
                <w:szCs w:val="25"/>
                <w:color w:val="008000"/>
                <w:w w:val="97"/>
                <w:vertAlign w:val="superscript"/>
              </w:rPr>
              <w:t>(2)</w:t>
            </w:r>
          </w:p>
        </w:tc>
        <w:tc>
          <w:tcPr>
            <w:tcW w:w="1280" w:type="dxa"/>
            <w:vAlign w:val="bottom"/>
            <w:tcBorders>
              <w:bottom w:val="single" w:sz="8" w:color="2C2C2C"/>
            </w:tcBorders>
            <w:gridSpan w:val="2"/>
          </w:tcPr>
          <w:p>
            <w:pPr>
              <w:jc w:val="right"/>
              <w:ind w:right="341"/>
              <w:spacing w:after="0"/>
              <w:rPr>
                <w:sz w:val="20"/>
                <w:szCs w:val="20"/>
                <w:color w:val="auto"/>
              </w:rPr>
            </w:pPr>
            <w:r>
              <w:rPr>
                <w:rFonts w:ascii="Arial" w:cs="Arial" w:eastAsia="Arial" w:hAnsi="Arial"/>
                <w:sz w:val="13"/>
                <w:szCs w:val="13"/>
                <w:color w:val="008000"/>
              </w:rPr>
              <w:t>(7)</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87"/>
              </w:rPr>
              <w:t>11/30/2028</w:t>
            </w:r>
          </w:p>
        </w:tc>
        <w:tc>
          <w:tcPr>
            <w:tcW w:w="1740" w:type="dxa"/>
            <w:vAlign w:val="bottom"/>
            <w:tcBorders>
              <w:bottom w:val="single" w:sz="8" w:color="2C2C2C"/>
            </w:tcBorders>
          </w:tcPr>
          <w:p>
            <w:pPr>
              <w:jc w:val="center"/>
              <w:ind w:left="34"/>
              <w:spacing w:after="0"/>
              <w:rPr>
                <w:sz w:val="20"/>
                <w:szCs w:val="20"/>
                <w:color w:val="auto"/>
              </w:rPr>
            </w:pPr>
            <w:r>
              <w:rPr>
                <w:rFonts w:ascii="Arial" w:cs="Arial" w:eastAsia="Arial" w:hAnsi="Arial"/>
                <w:sz w:val="20"/>
                <w:szCs w:val="20"/>
                <w:color w:val="0000FF"/>
                <w:w w:val="89"/>
              </w:rPr>
              <w:t>Common Stock</w:t>
            </w:r>
          </w:p>
        </w:tc>
        <w:tc>
          <w:tcPr>
            <w:tcW w:w="840" w:type="dxa"/>
            <w:vAlign w:val="bottom"/>
            <w:tcBorders>
              <w:bottom w:val="single" w:sz="8" w:color="2C2C2C"/>
            </w:tcBorders>
          </w:tcPr>
          <w:p>
            <w:pPr>
              <w:jc w:val="center"/>
              <w:ind w:left="15"/>
              <w:spacing w:after="0"/>
              <w:rPr>
                <w:sz w:val="20"/>
                <w:szCs w:val="20"/>
                <w:color w:val="auto"/>
              </w:rPr>
            </w:pPr>
            <w:r>
              <w:rPr>
                <w:rFonts w:ascii="Arial" w:cs="Arial" w:eastAsia="Arial" w:hAnsi="Arial"/>
                <w:sz w:val="20"/>
                <w:szCs w:val="20"/>
                <w:color w:val="0000FF"/>
                <w:w w:val="88"/>
              </w:rPr>
              <w:t>28,350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Arial" w:cs="Arial" w:eastAsia="Arial" w:hAnsi="Arial"/>
                <w:sz w:val="20"/>
                <w:szCs w:val="20"/>
                <w:color w:val="0000FF"/>
              </w:rPr>
              <w:t>5.99</w:t>
            </w:r>
            <w:r>
              <w:rPr>
                <w:rFonts w:ascii="Arial" w:cs="Arial" w:eastAsia="Arial" w:hAnsi="Arial"/>
                <w:sz w:val="25"/>
                <w:szCs w:val="25"/>
                <w:color w:val="008000"/>
                <w:vertAlign w:val="superscript"/>
              </w:rPr>
              <w:t>(8)</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-2314575</wp:posOffset>
            </wp:positionV>
            <wp:extent cx="6946900" cy="2172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172970"/>
                    </a:xfrm>
                    <a:prstGeom prst="rect">
                      <a:avLst/>
                    </a:prstGeom>
                    <a:noFill/>
                  </pic:spPr>
                </pic:pic>
              </a:graphicData>
            </a:graphic>
          </wp:anchor>
        </w:drawing>
      </w:r>
    </w:p>
    <w:p>
      <w:pPr>
        <w:spacing w:after="0" w:line="15" w:lineRule="exact"/>
        <w:rPr>
          <w:sz w:val="24"/>
          <w:szCs w:val="24"/>
          <w:color w:val="auto"/>
        </w:rPr>
      </w:pPr>
    </w:p>
    <w:p>
      <w:pPr>
        <w:ind w:left="40" w:right="6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12,500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holds 12,500 CDIs, which translate into 2,500 of the shares of Common Stock set forth above.</w:t>
      </w:r>
    </w:p>
    <w:p>
      <w:pPr>
        <w:spacing w:after="0" w:line="36" w:lineRule="exact"/>
        <w:rPr>
          <w:rFonts w:ascii="Arial" w:cs="Arial" w:eastAsia="Arial" w:hAnsi="Arial"/>
          <w:sz w:val="15"/>
          <w:szCs w:val="15"/>
          <w:color w:val="008000"/>
        </w:rPr>
      </w:pPr>
    </w:p>
    <w:p>
      <w:pPr>
        <w:ind w:left="40" w:right="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were originally exercisable for ordinary shares of Avita Medical, Ltd. ("Predecessor"). Pursuant to the scheme arrangement completed on June 30, 2020, the Stock Options became exercisable for shares of Common Stock of the Issuer in the ratio of one share of Common Stock for every 100 ordinary shares of Predecessor for which the Stock Options would otherwise be exercisable.</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become exercisable in five equal annual installments beginning on May 18, 2017.</w:t>
      </w:r>
    </w:p>
    <w:p>
      <w:pPr>
        <w:spacing w:after="0" w:line="52" w:lineRule="exact"/>
        <w:rPr>
          <w:rFonts w:ascii="Arial" w:cs="Arial" w:eastAsia="Arial" w:hAnsi="Arial"/>
          <w:sz w:val="15"/>
          <w:szCs w:val="15"/>
          <w:color w:val="008000"/>
        </w:rPr>
      </w:pPr>
    </w:p>
    <w:p>
      <w:pPr>
        <w:jc w:val="both"/>
        <w:ind w:left="40" w:right="1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exercise price was converted from A$8.5, which reflects the 100:1 consolidation ratio applied in converting ordinary shares of Predecessor to shares of the Issuer's Common Stock, using the exchange rate as in effect on the date of grant (May 18, 2017). The actual exercise price will be the Australian dollar amount regardless of the exchange rate on the date of grant or of exercise.</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become exercisable in four equal annual installments beginning on November 1, 2019.</w:t>
      </w:r>
    </w:p>
    <w:p>
      <w:pPr>
        <w:spacing w:after="0" w:line="52" w:lineRule="exact"/>
        <w:rPr>
          <w:rFonts w:ascii="Arial" w:cs="Arial" w:eastAsia="Arial" w:hAnsi="Arial"/>
          <w:sz w:val="15"/>
          <w:szCs w:val="15"/>
          <w:color w:val="008000"/>
        </w:rPr>
      </w:pPr>
    </w:p>
    <w:p>
      <w:pPr>
        <w:ind w:left="40" w:right="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exercise price was converted from A$8.9, which reflects the 100:1 consolidation ratio applied in converting ordinary shares of Predecessor to shares of the Issuer's Common Stock, using the exchange rate as in effect on the date of grant (November 1, 2018). The actual exercise price will be the Australian dollar amount regardless of the exchange rate on the date of grant or of exercise.</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become exercisable in four equal annual installments beginning on November 30, 2019.</w:t>
      </w:r>
    </w:p>
    <w:p>
      <w:pPr>
        <w:spacing w:after="0" w:line="52" w:lineRule="exact"/>
        <w:rPr>
          <w:rFonts w:ascii="Arial" w:cs="Arial" w:eastAsia="Arial" w:hAnsi="Arial"/>
          <w:sz w:val="15"/>
          <w:szCs w:val="15"/>
          <w:color w:val="008000"/>
        </w:rPr>
      </w:pPr>
    </w:p>
    <w:p>
      <w:pPr>
        <w:jc w:val="both"/>
        <w:ind w:left="40" w:right="12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exercise price was converted from A$8.2, which reflects the 100:1 consolidation ratio applied in converting ordinary shares of Predecessor to shares of the Issuer's Common Stock, using the exchange rate as in effect on the date of grant (November 30, 2018). The actual exercise price will be the Australian dollar amount regardless of the exchange rate on the date of grant or of exercise.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Donna Shiroma,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87"/>
              </w:rPr>
              <w:t>power of attorney</w:t>
            </w:r>
          </w:p>
        </w:tc>
        <w:tc>
          <w:tcPr>
            <w:tcW w:w="36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2"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4"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30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Donna Shiroma of AVITA Therapeutics, Inc. (the "Company") and Coleman Wombwell of K&amp;L Gates LLP, signing individually, the undersigned's true and lawful attorneys in fact and agents to:</w:t>
      </w:r>
    </w:p>
    <w:p>
      <w:pPr>
        <w:spacing w:after="0" w:line="231" w:lineRule="exact"/>
        <w:rPr>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4" w:lineRule="exact"/>
        <w:rPr>
          <w:rFonts w:ascii="Courier New" w:cs="Courier New" w:eastAsia="Courier New" w:hAnsi="Courier New"/>
          <w:sz w:val="20"/>
          <w:szCs w:val="20"/>
          <w:color w:val="auto"/>
        </w:rPr>
      </w:pPr>
    </w:p>
    <w:p>
      <w:pPr>
        <w:ind w:right="164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spacing w:after="0" w:line="4" w:lineRule="exact"/>
        <w:rPr>
          <w:rFonts w:ascii="Courier New" w:cs="Courier New" w:eastAsia="Courier New" w:hAnsi="Courier New"/>
          <w:sz w:val="20"/>
          <w:szCs w:val="20"/>
          <w:color w:val="auto"/>
        </w:rPr>
      </w:pPr>
    </w:p>
    <w:p>
      <w:pPr>
        <w:ind w:right="14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6" w:lineRule="exact"/>
        <w:rPr>
          <w:rFonts w:ascii="Courier New" w:cs="Courier New" w:eastAsia="Courier New" w:hAnsi="Courier New"/>
          <w:sz w:val="20"/>
          <w:szCs w:val="20"/>
          <w:color w:val="auto"/>
        </w:rPr>
      </w:pPr>
    </w:p>
    <w:p>
      <w:pPr>
        <w:ind w:right="2820"/>
        <w:spacing w:after="0" w:line="28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19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The undersigned hereby grants to such attorney in fact full power and authority to do and perform any and every act and thing whatsoever requisite, necessary,</w:t>
      </w:r>
    </w:p>
    <w:p>
      <w:pPr>
        <w:spacing w:after="0" w:line="2" w:lineRule="exact"/>
        <w:rPr>
          <w:sz w:val="20"/>
          <w:szCs w:val="20"/>
          <w:color w:val="auto"/>
        </w:rPr>
      </w:pPr>
    </w:p>
    <w:p>
      <w:pPr>
        <w:ind w:right="1420"/>
        <w:spacing w:after="0" w:line="267"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4"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or K&amp;L Gates LLP, as applicable.</w:t>
      </w:r>
    </w:p>
    <w:p>
      <w:pPr>
        <w:spacing w:after="0" w:line="232"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20"/>
          <w:szCs w:val="20"/>
          <w:color w:val="auto"/>
        </w:rPr>
        <w:t>June 19,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Timothy Rooney</w:t>
      </w:r>
    </w:p>
    <w:p>
      <w:pPr>
        <w:spacing w:after="0" w:line="238" w:lineRule="auto"/>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Timothy Rooney</w:t>
      </w:r>
    </w:p>
    <w:sectPr>
      <w:pgSz w:w="11900" w:h="16838" w:orient="portrait"/>
      <w:cols w:equalWidth="0" w:num="1">
        <w:col w:w="10660"/>
      </w:cols>
      <w:pgMar w:left="480" w:top="136" w:right="759"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6241"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2020-07-10T15:35:54Z</dcterms:created>
  <dcterms:modified xsi:type="dcterms:W3CDTF">2020-07-10T15:35:54Z</dcterms:modified>
</cp:coreProperties>
</file>