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0" w:lineRule="exact"/>
        <w:rPr>
          <w:sz w:val="24"/>
          <w:szCs w:val="24"/>
          <w:color w:val="auto"/>
        </w:rPr>
      </w:pPr>
    </w:p>
    <w:p>
      <w:pPr>
        <w:ind w:left="3600"/>
        <w:spacing w:after="0"/>
        <w:tabs>
          <w:tab w:leader="none" w:pos="61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3483610</wp:posOffset>
            </wp:positionH>
            <wp:positionV relativeFrom="paragraph">
              <wp:posOffset>-1270</wp:posOffset>
            </wp:positionV>
            <wp:extent cx="966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40640</wp:posOffset>
            </wp:positionV>
            <wp:extent cx="1525905"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9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AVITA MEDICAL,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30480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6"/>
          </w:tcPr>
          <w:p>
            <w:pPr>
              <w:jc w:val="center"/>
              <w:ind w:left="48"/>
              <w:spacing w:after="0"/>
              <w:rPr>
                <w:sz w:val="20"/>
                <w:szCs w:val="20"/>
                <w:color w:val="auto"/>
              </w:rPr>
            </w:pPr>
            <w:r>
              <w:rPr>
                <w:rFonts w:ascii="Arial" w:cs="Arial" w:eastAsia="Arial" w:hAnsi="Arial"/>
                <w:sz w:val="14"/>
                <w:szCs w:val="14"/>
                <w:b w:val="1"/>
                <w:bCs w:val="1"/>
                <w:color w:val="auto"/>
                <w:w w:val="94"/>
              </w:rPr>
              <w:t>Delaware</w:t>
            </w:r>
          </w:p>
        </w:tc>
        <w:tc>
          <w:tcPr>
            <w:tcW w:w="560" w:type="dxa"/>
            <w:vAlign w:val="bottom"/>
          </w:tcPr>
          <w:p>
            <w:pPr>
              <w:spacing w:after="0"/>
              <w:rPr>
                <w:sz w:val="14"/>
                <w:szCs w:val="14"/>
                <w:color w:val="auto"/>
              </w:rPr>
            </w:pPr>
          </w:p>
        </w:tc>
        <w:tc>
          <w:tcPr>
            <w:tcW w:w="378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93"/>
              </w:rPr>
              <w:t>85-1021707</w:t>
            </w:r>
          </w:p>
        </w:tc>
        <w:tc>
          <w:tcPr>
            <w:tcW w:w="0" w:type="dxa"/>
            <w:vAlign w:val="bottom"/>
          </w:tcPr>
          <w:p>
            <w:pPr>
              <w:spacing w:after="0"/>
              <w:rPr>
                <w:sz w:val="1"/>
                <w:szCs w:val="1"/>
                <w:color w:val="auto"/>
              </w:rPr>
            </w:pPr>
          </w:p>
        </w:tc>
      </w:tr>
      <w:tr>
        <w:trPr>
          <w:trHeight w:val="148"/>
        </w:trPr>
        <w:tc>
          <w:tcPr>
            <w:tcW w:w="6900" w:type="dxa"/>
            <w:vAlign w:val="bottom"/>
            <w:gridSpan w:val="6"/>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6900" w:type="dxa"/>
            <w:vAlign w:val="bottom"/>
            <w:gridSpan w:val="6"/>
          </w:tcPr>
          <w:p>
            <w:pPr>
              <w:jc w:val="center"/>
              <w:ind w:left="68"/>
              <w:spacing w:after="0"/>
              <w:rPr>
                <w:sz w:val="20"/>
                <w:szCs w:val="20"/>
                <w:color w:val="auto"/>
              </w:rPr>
            </w:pPr>
            <w:r>
              <w:rPr>
                <w:rFonts w:ascii="Arial" w:cs="Arial" w:eastAsia="Arial" w:hAnsi="Arial"/>
                <w:sz w:val="14"/>
                <w:szCs w:val="14"/>
                <w:b w:val="1"/>
                <w:bCs w:val="1"/>
                <w:color w:val="auto"/>
                <w:w w:val="94"/>
              </w:rPr>
              <w:t>incorporation or organization)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28159 Avenue Stanford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Suite 220</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Valencia, CA 91355</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7700" w:type="dxa"/>
            <w:vAlign w:val="bottom"/>
            <w:gridSpan w:val="9"/>
          </w:tcPr>
          <w:p>
            <w:pPr>
              <w:jc w:val="center"/>
              <w:ind w:right="3448"/>
              <w:spacing w:after="0"/>
              <w:rPr>
                <w:sz w:val="20"/>
                <w:szCs w:val="20"/>
                <w:color w:val="auto"/>
              </w:rPr>
            </w:pPr>
            <w:r>
              <w:rPr>
                <w:rFonts w:ascii="Arial" w:cs="Arial" w:eastAsia="Arial" w:hAnsi="Arial"/>
                <w:sz w:val="14"/>
                <w:szCs w:val="14"/>
                <w:b w:val="1"/>
                <w:bCs w:val="1"/>
                <w:color w:val="auto"/>
                <w:w w:val="92"/>
              </w:rPr>
              <w:t>Registrant’s telephone number, including area code: (661) 367-9170</w:t>
            </w:r>
          </w:p>
        </w:tc>
        <w:tc>
          <w:tcPr>
            <w:tcW w:w="0" w:type="dxa"/>
            <w:vAlign w:val="bottom"/>
          </w:tcPr>
          <w:p>
            <w:pPr>
              <w:spacing w:after="0"/>
              <w:rPr>
                <w:sz w:val="1"/>
                <w:szCs w:val="1"/>
                <w:color w:val="auto"/>
              </w:rPr>
            </w:pPr>
          </w:p>
        </w:tc>
      </w:tr>
      <w:tr>
        <w:trPr>
          <w:trHeight w:val="189"/>
        </w:trPr>
        <w:tc>
          <w:tcPr>
            <w:tcW w:w="3540" w:type="dxa"/>
            <w:vAlign w:val="bottom"/>
          </w:tcPr>
          <w:p>
            <w:pP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5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0" w:type="dxa"/>
            <w:vAlign w:val="bottom"/>
            <w:gridSpan w:val="2"/>
          </w:tcPr>
          <w:p>
            <w:pPr>
              <w:ind w:left="1040"/>
              <w:spacing w:after="0" w:line="151" w:lineRule="exact"/>
              <w:rPr>
                <w:sz w:val="20"/>
                <w:szCs w:val="20"/>
                <w:color w:val="auto"/>
              </w:rPr>
            </w:pPr>
            <w:r>
              <w:rPr>
                <w:rFonts w:ascii="Arial" w:cs="Arial" w:eastAsia="Arial" w:hAnsi="Arial"/>
                <w:sz w:val="14"/>
                <w:szCs w:val="14"/>
                <w:b w:val="1"/>
                <w:bCs w:val="1"/>
                <w:color w:val="auto"/>
              </w:rPr>
              <w:t>Trading</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Pr>
          <w:p>
            <w:pPr>
              <w:jc w:val="center"/>
              <w:ind w:left="68"/>
              <w:spacing w:after="0" w:line="151"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Symbol</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60"/>
        </w:trPr>
        <w:tc>
          <w:tcPr>
            <w:tcW w:w="3540" w:type="dxa"/>
            <w:vAlign w:val="bottom"/>
          </w:tcPr>
          <w:p>
            <w:pPr>
              <w:jc w:val="center"/>
              <w:ind w:left="148"/>
              <w:spacing w:after="0" w:line="160" w:lineRule="exact"/>
              <w:rPr>
                <w:sz w:val="20"/>
                <w:szCs w:val="20"/>
                <w:color w:val="auto"/>
              </w:rPr>
            </w:pPr>
            <w:r>
              <w:rPr>
                <w:rFonts w:ascii="Arial" w:cs="Arial" w:eastAsia="Arial" w:hAnsi="Arial"/>
                <w:sz w:val="14"/>
                <w:szCs w:val="14"/>
                <w:b w:val="1"/>
                <w:bCs w:val="1"/>
                <w:color w:val="auto"/>
                <w:w w:val="92"/>
              </w:rPr>
              <w:t>Common Stock, par value $0.0001 per share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0" w:type="dxa"/>
            <w:vAlign w:val="bottom"/>
            <w:gridSpan w:val="2"/>
          </w:tcPr>
          <w:p>
            <w:pPr>
              <w:ind w:left="1020"/>
              <w:spacing w:after="0" w:line="160" w:lineRule="exact"/>
              <w:rPr>
                <w:sz w:val="20"/>
                <w:szCs w:val="20"/>
                <w:color w:val="auto"/>
              </w:rPr>
            </w:pPr>
            <w:r>
              <w:rPr>
                <w:rFonts w:ascii="Arial" w:cs="Arial" w:eastAsia="Arial" w:hAnsi="Arial"/>
                <w:sz w:val="14"/>
                <w:szCs w:val="14"/>
                <w:b w:val="1"/>
                <w:bCs w:val="1"/>
                <w:color w:val="auto"/>
              </w:rPr>
              <w:t>RCEL</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Pr>
          <w:p>
            <w:pPr>
              <w:ind w:left="800"/>
              <w:spacing w:after="0" w:line="160" w:lineRule="exact"/>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4"/>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Securities registered pursuant to section 12(g) of the Act: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None</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500" w:type="dxa"/>
            <w:vAlign w:val="bottom"/>
            <w:gridSpan w:val="4"/>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vMerge w:val="restart"/>
          </w:tcPr>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780" w:type="dxa"/>
            <w:vAlign w:val="bottom"/>
            <w:gridSpan w:val="3"/>
            <w:vMerge w:val="restart"/>
          </w:tcPr>
          <w:p>
            <w:pPr>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17"/>
        </w:trPr>
        <w:tc>
          <w:tcPr>
            <w:tcW w:w="69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8"/>
                <w:szCs w:val="18"/>
                <w:color w:val="auto"/>
              </w:rPr>
            </w:pPr>
          </w:p>
        </w:tc>
        <w:tc>
          <w:tcPr>
            <w:tcW w:w="37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2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780" w:type="dxa"/>
            <w:vAlign w:val="bottom"/>
            <w:gridSpan w:val="3"/>
          </w:tcPr>
          <w:p>
            <w:pPr>
              <w:ind w:left="12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ind w:right="2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ind w:right="6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right="4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60" w:type="dxa"/>
            <w:vAlign w:val="bottom"/>
          </w:tcPr>
          <w:p>
            <w:pPr>
              <w:ind w:left="17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48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1900" w:type="dxa"/>
            <w:vAlign w:val="bottom"/>
          </w:tcPr>
          <w:p>
            <w:pPr>
              <w:ind w:left="178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16"/>
        </w:trPr>
        <w:tc>
          <w:tcPr>
            <w:tcW w:w="33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60" w:type="dxa"/>
            <w:vAlign w:val="bottom"/>
          </w:tcPr>
          <w:p>
            <w:pPr>
              <w:ind w:left="17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48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1900" w:type="dxa"/>
            <w:vAlign w:val="bottom"/>
          </w:tcPr>
          <w:p>
            <w:pPr>
              <w:ind w:left="178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26"/>
        </w:trPr>
        <w:tc>
          <w:tcPr>
            <w:tcW w:w="33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060" w:type="dxa"/>
            <w:vAlign w:val="bottom"/>
          </w:tcPr>
          <w:p>
            <w:pPr>
              <w:ind w:left="17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48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4" w:lineRule="exact"/>
        <w:rPr>
          <w:sz w:val="24"/>
          <w:szCs w:val="24"/>
          <w:color w:val="auto"/>
        </w:rPr>
      </w:pPr>
    </w:p>
    <w:p>
      <w:pPr>
        <w:ind w:right="52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ind w:right="520"/>
        <w:spacing w:after="0" w:line="16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ind w:right="120"/>
        <w:spacing w:after="0" w:line="17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ind w:right="280"/>
        <w:spacing w:after="0" w:line="181"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88"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ind w:right="80"/>
        <w:spacing w:after="0" w:line="248"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was approximately $117,461,038 on June 30, 2022, using the closing price on that day of $4.75.</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$0.0001 par value common stock outstanding as of February 13, 2023 was 25,296,086</w:t>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122555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9"/>
          </w:tcPr>
          <w:p>
            <w:pPr>
              <w:ind w:left="36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r>
      <w:tr>
        <w:trPr>
          <w:trHeight w:val="580"/>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09"/>
        </w:trPr>
        <w:tc>
          <w:tcPr>
            <w:tcW w:w="10780" w:type="dxa"/>
            <w:vAlign w:val="bottom"/>
            <w:gridSpan w:val="29"/>
          </w:tcPr>
          <w:p>
            <w:pPr>
              <w:spacing w:after="0"/>
              <w:rPr>
                <w:sz w:val="20"/>
                <w:szCs w:val="20"/>
                <w:color w:val="auto"/>
              </w:rPr>
            </w:pPr>
            <w:r>
              <w:rPr>
                <w:rFonts w:ascii="Arial" w:cs="Arial" w:eastAsia="Arial" w:hAnsi="Arial"/>
                <w:sz w:val="18"/>
                <w:szCs w:val="18"/>
                <w:color w:val="0000EE"/>
              </w:rPr>
              <w:t>FORWARD LOOKING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5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8"/>
              </w:rPr>
              <w:t>PART 1</w:t>
            </w:r>
          </w:p>
        </w:tc>
        <w:tc>
          <w:tcPr>
            <w:tcW w:w="400" w:type="dxa"/>
            <w:vAlign w:val="bottom"/>
            <w:tcBorders>
              <w:top w:val="single" w:sz="8" w:color="0000EE"/>
            </w:tcBorders>
            <w:gridSpan w:val="4"/>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9"/>
        </w:trPr>
        <w:tc>
          <w:tcPr>
            <w:tcW w:w="98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4"/>
              </w:rPr>
              <w:t>Business</w:t>
            </w:r>
          </w:p>
        </w:tc>
        <w:tc>
          <w:tcPr>
            <w:tcW w:w="9160" w:type="dxa"/>
            <w:vAlign w:val="bottom"/>
            <w:gridSpan w:val="2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24"/>
          </w:tcPr>
          <w:p>
            <w:pPr>
              <w:spacing w:after="0"/>
              <w:rPr>
                <w:sz w:val="20"/>
                <w:szCs w:val="20"/>
                <w:color w:val="auto"/>
              </w:rPr>
            </w:pPr>
            <w:r>
              <w:rPr>
                <w:rFonts w:ascii="Arial" w:cs="Arial" w:eastAsia="Arial" w:hAnsi="Arial"/>
                <w:sz w:val="18"/>
                <w:szCs w:val="18"/>
                <w:color w:val="0000EE"/>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800" w:type="dxa"/>
            <w:vAlign w:val="bottom"/>
            <w:gridSpan w:val="24"/>
          </w:tcPr>
          <w:p>
            <w:pPr>
              <w:spacing w:after="0"/>
              <w:rPr>
                <w:sz w:val="20"/>
                <w:szCs w:val="20"/>
                <w:color w:val="auto"/>
              </w:rPr>
            </w:pPr>
            <w:r>
              <w:rPr>
                <w:rFonts w:ascii="Arial" w:cs="Arial" w:eastAsia="Arial" w:hAnsi="Arial"/>
                <w:sz w:val="18"/>
                <w:szCs w:val="18"/>
                <w:color w:val="0000EE"/>
              </w:rPr>
              <w:t>Unresolved Staff Comments</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Properties</w:t>
            </w:r>
          </w:p>
        </w:tc>
        <w:tc>
          <w:tcPr>
            <w:tcW w:w="776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8"/>
              </w:rPr>
              <w:t>Legal Proceedings</w:t>
            </w:r>
          </w:p>
        </w:tc>
        <w:tc>
          <w:tcPr>
            <w:tcW w:w="8460" w:type="dxa"/>
            <w:vAlign w:val="bottom"/>
            <w:gridSpan w:val="17"/>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4"/>
          </w:tcPr>
          <w:p>
            <w:pPr>
              <w:spacing w:after="0"/>
              <w:rPr>
                <w:sz w:val="20"/>
                <w:szCs w:val="20"/>
                <w:color w:val="auto"/>
              </w:rPr>
            </w:pPr>
            <w:r>
              <w:rPr>
                <w:rFonts w:ascii="Arial" w:cs="Arial" w:eastAsia="Arial" w:hAnsi="Arial"/>
                <w:sz w:val="18"/>
                <w:szCs w:val="18"/>
                <w:color w:val="0000EE"/>
              </w:rPr>
              <w:t>Mine Safety Disclosures</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9"/>
        </w:trPr>
        <w:tc>
          <w:tcPr>
            <w:tcW w:w="980" w:type="dxa"/>
            <w:vAlign w:val="bottom"/>
            <w:gridSpan w:val="5"/>
          </w:tcPr>
          <w:p>
            <w:pPr>
              <w:spacing w:after="0"/>
              <w:rPr>
                <w:sz w:val="20"/>
                <w:szCs w:val="20"/>
                <w:color w:val="auto"/>
              </w:rPr>
            </w:pPr>
            <w:r>
              <w:rPr>
                <w:rFonts w:ascii="Arial" w:cs="Arial" w:eastAsia="Arial" w:hAnsi="Arial"/>
                <w:sz w:val="18"/>
                <w:szCs w:val="18"/>
                <w:color w:val="0000EE"/>
              </w:rPr>
              <w:t>PART II</w:t>
            </w: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380" w:type="dxa"/>
            <w:vAlign w:val="bottom"/>
            <w:gridSpan w:val="3"/>
          </w:tcPr>
          <w:p>
            <w:pPr>
              <w:spacing w:after="0"/>
              <w:rPr>
                <w:sz w:val="18"/>
                <w:szCs w:val="18"/>
                <w:color w:val="auto"/>
              </w:rPr>
            </w:pPr>
          </w:p>
        </w:tc>
        <w:tc>
          <w:tcPr>
            <w:tcW w:w="80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1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800" w:type="dxa"/>
            <w:vAlign w:val="bottom"/>
            <w:gridSpan w:val="24"/>
          </w:tcPr>
          <w:p>
            <w:pPr>
              <w:spacing w:after="0"/>
              <w:rPr>
                <w:sz w:val="20"/>
                <w:szCs w:val="20"/>
                <w:color w:val="auto"/>
              </w:rPr>
            </w:pPr>
            <w:r>
              <w:rPr>
                <w:rFonts w:ascii="Arial" w:cs="Arial" w:eastAsia="Arial" w:hAnsi="Arial"/>
                <w:sz w:val="18"/>
                <w:szCs w:val="18"/>
                <w:color w:val="0000EE"/>
              </w:rPr>
              <w:t>[Reserved]</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34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5440" w:type="dxa"/>
            <w:vAlign w:val="bottom"/>
            <w:gridSpan w:val="7"/>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800" w:type="dxa"/>
            <w:vAlign w:val="bottom"/>
            <w:gridSpan w:val="24"/>
          </w:tcPr>
          <w:p>
            <w:pPr>
              <w:spacing w:after="0"/>
              <w:rPr>
                <w:sz w:val="20"/>
                <w:szCs w:val="20"/>
                <w:color w:val="auto"/>
              </w:rPr>
            </w:pPr>
            <w:r>
              <w:rPr>
                <w:rFonts w:ascii="Arial" w:cs="Arial" w:eastAsia="Arial" w:hAnsi="Arial"/>
                <w:sz w:val="18"/>
                <w:szCs w:val="18"/>
                <w:color w:val="0000EE"/>
              </w:rPr>
              <w:t>Financial Statements and Supplementary Data</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3320" w:type="dxa"/>
            <w:vAlign w:val="bottom"/>
            <w:gridSpan w:val="3"/>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800" w:type="dxa"/>
            <w:vAlign w:val="bottom"/>
            <w:gridSpan w:val="24"/>
          </w:tcPr>
          <w:p>
            <w:pPr>
              <w:spacing w:after="0"/>
              <w:rPr>
                <w:sz w:val="20"/>
                <w:szCs w:val="20"/>
                <w:color w:val="auto"/>
              </w:rPr>
            </w:pPr>
            <w:r>
              <w:rPr>
                <w:rFonts w:ascii="Arial" w:cs="Arial" w:eastAsia="Arial" w:hAnsi="Arial"/>
                <w:sz w:val="18"/>
                <w:szCs w:val="18"/>
                <w:color w:val="0000EE"/>
              </w:rPr>
              <w:t>Controls and Procedures</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3"/>
          </w:tcPr>
          <w:p>
            <w:pPr>
              <w:spacing w:after="0"/>
              <w:rPr>
                <w:sz w:val="18"/>
                <w:szCs w:val="18"/>
                <w:color w:val="auto"/>
              </w:rPr>
            </w:pPr>
          </w:p>
        </w:tc>
        <w:tc>
          <w:tcPr>
            <w:tcW w:w="8040" w:type="dxa"/>
            <w:vAlign w:val="bottom"/>
            <w:gridSpan w:val="15"/>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800" w:type="dxa"/>
            <w:vAlign w:val="bottom"/>
            <w:gridSpan w:val="24"/>
          </w:tcPr>
          <w:p>
            <w:pPr>
              <w:spacing w:after="0"/>
              <w:rPr>
                <w:sz w:val="20"/>
                <w:szCs w:val="20"/>
                <w:color w:val="auto"/>
              </w:rPr>
            </w:pPr>
            <w:r>
              <w:rPr>
                <w:rFonts w:ascii="Arial" w:cs="Arial" w:eastAsia="Arial" w:hAnsi="Arial"/>
                <w:sz w:val="18"/>
                <w:szCs w:val="18"/>
                <w:color w:val="0000EE"/>
              </w:rPr>
              <w:t>Disclosure Regarding Foreign Jurisdictions that Prevent Inspections</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6"/>
        </w:trPr>
        <w:tc>
          <w:tcPr>
            <w:tcW w:w="980" w:type="dxa"/>
            <w:vAlign w:val="bottom"/>
            <w:gridSpan w:val="5"/>
          </w:tcPr>
          <w:p>
            <w:pPr>
              <w:spacing w:after="0"/>
              <w:rPr>
                <w:sz w:val="20"/>
                <w:szCs w:val="20"/>
                <w:color w:val="auto"/>
              </w:rPr>
            </w:pPr>
            <w:r>
              <w:rPr>
                <w:rFonts w:ascii="Arial" w:cs="Arial" w:eastAsia="Arial" w:hAnsi="Arial"/>
                <w:sz w:val="18"/>
                <w:szCs w:val="18"/>
                <w:color w:val="0000EE"/>
              </w:rPr>
              <w:t>PART III</w:t>
            </w: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10.</w:t>
            </w:r>
          </w:p>
        </w:tc>
        <w:tc>
          <w:tcPr>
            <w:tcW w:w="320" w:type="dxa"/>
            <w:vAlign w:val="bottom"/>
            <w:gridSpan w:val="2"/>
          </w:tcPr>
          <w:p>
            <w:pPr>
              <w:spacing w:after="0"/>
              <w:rPr>
                <w:sz w:val="18"/>
                <w:szCs w:val="18"/>
                <w:color w:val="auto"/>
              </w:rPr>
            </w:pPr>
          </w:p>
        </w:tc>
        <w:tc>
          <w:tcPr>
            <w:tcW w:w="41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0"/>
              </w:rPr>
              <w:t>Directors, Executive Officers and Corporate Governance</w:t>
            </w:r>
          </w:p>
        </w:tc>
        <w:tc>
          <w:tcPr>
            <w:tcW w:w="5700" w:type="dxa"/>
            <w:vAlign w:val="bottom"/>
            <w:gridSpan w:val="8"/>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800" w:type="dxa"/>
            <w:vAlign w:val="bottom"/>
            <w:gridSpan w:val="24"/>
          </w:tcPr>
          <w:p>
            <w:pPr>
              <w:spacing w:after="0"/>
              <w:rPr>
                <w:sz w:val="20"/>
                <w:szCs w:val="20"/>
                <w:color w:val="auto"/>
              </w:rPr>
            </w:pPr>
            <w:r>
              <w:rPr>
                <w:rFonts w:ascii="Arial" w:cs="Arial" w:eastAsia="Arial" w:hAnsi="Arial"/>
                <w:sz w:val="18"/>
                <w:szCs w:val="18"/>
                <w:color w:val="0000EE"/>
              </w:rPr>
              <w:t>Executive Compensation</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800" w:type="dxa"/>
            <w:vAlign w:val="bottom"/>
            <w:gridSpan w:val="24"/>
          </w:tcPr>
          <w:p>
            <w:pPr>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88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8"/>
                <w:szCs w:val="18"/>
                <w:color w:val="0000EE"/>
                <w:w w:val="89"/>
              </w:rPr>
              <w:t>Certain Relationships and Related Party Transactions, and Director Independence</w:t>
            </w:r>
          </w:p>
        </w:tc>
        <w:tc>
          <w:tcPr>
            <w:tcW w:w="1400" w:type="dxa"/>
            <w:vAlign w:val="bottom"/>
            <w:tcBorders>
              <w:top w:val="single" w:sz="8" w:color="0000EE"/>
            </w:tcBorders>
            <w:gridSpan w:val="3"/>
          </w:tcPr>
          <w:p>
            <w:pPr>
              <w:spacing w:after="0"/>
              <w:rPr>
                <w:sz w:val="18"/>
                <w:szCs w:val="18"/>
                <w:color w:val="auto"/>
              </w:rPr>
            </w:pPr>
          </w:p>
        </w:tc>
        <w:tc>
          <w:tcPr>
            <w:tcW w:w="252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800" w:type="dxa"/>
            <w:vAlign w:val="bottom"/>
            <w:gridSpan w:val="24"/>
          </w:tcPr>
          <w:p>
            <w:pPr>
              <w:spacing w:after="0"/>
              <w:rPr>
                <w:sz w:val="20"/>
                <w:szCs w:val="20"/>
                <w:color w:val="auto"/>
              </w:rPr>
            </w:pPr>
            <w:r>
              <w:rPr>
                <w:rFonts w:ascii="Arial" w:cs="Arial" w:eastAsia="Arial" w:hAnsi="Arial"/>
                <w:sz w:val="18"/>
                <w:szCs w:val="18"/>
                <w:color w:val="0000EE"/>
              </w:rPr>
              <w:t>Principal Accounting Fees and Services</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25"/>
        </w:trPr>
        <w:tc>
          <w:tcPr>
            <w:tcW w:w="6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4"/>
              </w:rPr>
              <w:t>PART IV</w:t>
            </w:r>
          </w:p>
        </w:tc>
        <w:tc>
          <w:tcPr>
            <w:tcW w:w="3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800" w:type="dxa"/>
            <w:vAlign w:val="bottom"/>
            <w:gridSpan w:val="24"/>
          </w:tcPr>
          <w:p>
            <w:pPr>
              <w:spacing w:after="0"/>
              <w:rPr>
                <w:sz w:val="20"/>
                <w:szCs w:val="20"/>
                <w:color w:val="auto"/>
              </w:rPr>
            </w:pPr>
            <w:r>
              <w:rPr>
                <w:rFonts w:ascii="Arial" w:cs="Arial" w:eastAsia="Arial" w:hAnsi="Arial"/>
                <w:sz w:val="18"/>
                <w:szCs w:val="18"/>
                <w:color w:val="0000EE"/>
              </w:rPr>
              <w:t>Exhibits, Financial Statement and Schedules</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320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Form 10-K Summary</w:t>
            </w:r>
          </w:p>
        </w:tc>
        <w:tc>
          <w:tcPr>
            <w:tcW w:w="6600" w:type="dxa"/>
            <w:vAlign w:val="bottom"/>
            <w:gridSpan w:val="10"/>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980" w:type="dxa"/>
            <w:vAlign w:val="bottom"/>
            <w:gridSpan w:val="5"/>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826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6"/>
        </w:trPr>
        <w:tc>
          <w:tcPr>
            <w:tcW w:w="10780" w:type="dxa"/>
            <w:vAlign w:val="bottom"/>
            <w:gridSpan w:val="29"/>
          </w:tcPr>
          <w:p>
            <w:pPr>
              <w:spacing w:after="0"/>
              <w:rPr>
                <w:sz w:val="20"/>
                <w:szCs w:val="20"/>
                <w:color w:val="auto"/>
              </w:rPr>
            </w:pPr>
            <w:r>
              <w:rPr>
                <w:rFonts w:ascii="Arial" w:cs="Arial" w:eastAsia="Arial" w:hAnsi="Arial"/>
                <w:sz w:val="18"/>
                <w:szCs w:val="18"/>
                <w:color w:val="0000EE"/>
              </w:rPr>
              <w:t>SIGNATURES</w:t>
            </w: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i w:val="1"/>
          <w:iCs w:val="1"/>
          <w:color w:val="auto"/>
        </w:rPr>
        <w:t>This Annual Report on Form 10-K (this “Annual Report”) and our other public filings contain forward-looking statements within the meaning of the Private Securities Litigation Reform Act of 1995. Forward-looking statements give expectations or forecasts of future events. Forward-looking statements can sometimes, but not always, be identified by words such as “believe,” “expect,” “anticipate,” “estimate,” “project,” “plan,” “should,” “intend,” “may,” “will,” “would,” “potential” and similar expressions to future periods. Forward-looking statements are not based on historical facts but rather represent current expectations and assumptions. Factors that may influence or contribute to the inaccuracy of the forward-looking statements or cause actual results to differ materially from expected or desired results may include, without limitation: future revenues; solvency; future industry market conditions; future changes in our capacity and operations; future operating and overhead costs; failure to obtain, maintain and enforce our intellectual property rights; regulatory and related approvals; the conduct or outcome of pre-clinical or clinical (human) studies; operational and management restructuring activities (including implementation of methodologies and changes in the board of directors); future employment and contributions of personnel; our ability to attract and retain qualified personnel</w:t>
      </w:r>
      <w:r>
        <w:rPr>
          <w:rFonts w:ascii="Arial" w:cs="Arial" w:eastAsia="Arial" w:hAnsi="Arial"/>
          <w:sz w:val="17"/>
          <w:szCs w:val="17"/>
          <w:color w:val="auto"/>
        </w:rPr>
        <w:t>;</w:t>
      </w:r>
      <w:r>
        <w:rPr>
          <w:rFonts w:ascii="Arial" w:cs="Arial" w:eastAsia="Arial" w:hAnsi="Arial"/>
          <w:sz w:val="17"/>
          <w:szCs w:val="17"/>
          <w:i w:val="1"/>
          <w:iCs w:val="1"/>
          <w:color w:val="auto"/>
        </w:rPr>
        <w:t xml:space="preserve"> effects on the global economy of the ongoing COVID-19 pandemic; tax and interest rates; inflation, recession, financial market disruptions and other economic conditions; productivity, business process, rationalization, investment, acquisition and acquisition integrations, consulting, operational, tax, financial and capital projects and initiatives; changes in the legal or regulatory environment; and future working capital, costs, revenues, business opportunities, cash flows, margins, earnings and growth.</w:t>
      </w:r>
    </w:p>
    <w:p>
      <w:pPr>
        <w:spacing w:after="0" w:line="18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i w:val="1"/>
          <w:iCs w:val="1"/>
          <w:color w:val="auto"/>
        </w:rPr>
        <w:t>Forward-looking statements relate to the future and are subject to many risks, assumptions and uncertainties, including those risks set forth in this Annual Report in Part I, Item IA Risk Factors and elsewhere. Although we believe the expectations reflected in the forward-looking statements are reasonable, actual results, developments and business decisions could differ materially from those contemplated by such forward-looking statements. The environment in which we operate is highly competitive, highly regulated and rapidly changing and it is not possible for our management to predict all risks, as new risks emerge from time to time.</w:t>
      </w:r>
    </w:p>
    <w:p>
      <w:pPr>
        <w:spacing w:after="0" w:line="188"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i w:val="1"/>
          <w:iCs w:val="1"/>
          <w:color w:val="auto"/>
        </w:rPr>
        <w:t>All subsequent written and oral forward-looking statements by or attributable to us or persons acting on our behalf are expressly qualified in their entirety by these factors. We undertake no obligation to publicly update or revise any forward-looking statements whether as a result of new information, future developments or otherwise, except as may be required by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Annual Report, all references to “dollars” or “$” are to the currency of the United States.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120" w:firstLine="749"/>
        <w:spacing w:after="0" w:line="233" w:lineRule="auto"/>
        <w:rPr>
          <w:sz w:val="20"/>
          <w:szCs w:val="20"/>
          <w:color w:val="auto"/>
        </w:rPr>
      </w:pPr>
      <w:r>
        <w:rPr>
          <w:rFonts w:ascii="Arial" w:cs="Arial" w:eastAsia="Arial" w:hAnsi="Arial"/>
          <w:sz w:val="18"/>
          <w:szCs w:val="18"/>
          <w:color w:val="auto"/>
        </w:rPr>
        <w:t>AVITA Medical, Inc. and its subsidiaries (including AVITA Medical Pty Limited ("</w:t>
      </w:r>
      <w:r>
        <w:rPr>
          <w:rFonts w:ascii="Arial" w:cs="Arial" w:eastAsia="Arial" w:hAnsi="Arial"/>
          <w:sz w:val="18"/>
          <w:szCs w:val="18"/>
          <w:b w:val="1"/>
          <w:bCs w:val="1"/>
          <w:color w:val="auto"/>
        </w:rPr>
        <w:t>AVITA Australia</w:t>
      </w:r>
      <w:r>
        <w:rPr>
          <w:rFonts w:ascii="Arial" w:cs="Arial" w:eastAsia="Arial" w:hAnsi="Arial"/>
          <w:sz w:val="18"/>
          <w:szCs w:val="18"/>
          <w:color w:val="auto"/>
        </w:rPr>
        <w:t>") (collectively, “</w:t>
      </w:r>
      <w:r>
        <w:rPr>
          <w:rFonts w:ascii="Arial" w:cs="Arial" w:eastAsia="Arial" w:hAnsi="Arial"/>
          <w:sz w:val="18"/>
          <w:szCs w:val="18"/>
          <w:b w:val="1"/>
          <w:bCs w:val="1"/>
          <w:color w:val="auto"/>
        </w:rPr>
        <w:t>AVITA Medical</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Company</w:t>
      </w:r>
      <w:r>
        <w:rPr>
          <w:rFonts w:ascii="Arial" w:cs="Arial" w:eastAsia="Arial" w:hAnsi="Arial"/>
          <w:sz w:val="18"/>
          <w:szCs w:val="18"/>
          <w:color w:val="auto"/>
        </w:rPr>
        <w:t>”), is a regenerative medicine company leading the development and commercialization of devices and autologous cellular therapies for skin restoration. Our patented and proprietary RECELL® System (“</w:t>
      </w:r>
      <w:r>
        <w:rPr>
          <w:rFonts w:ascii="Arial" w:cs="Arial" w:eastAsia="Arial" w:hAnsi="Arial"/>
          <w:sz w:val="18"/>
          <w:szCs w:val="18"/>
          <w:b w:val="1"/>
          <w:bCs w:val="1"/>
          <w:color w:val="auto"/>
        </w:rPr>
        <w:t>RECELL System</w:t>
      </w:r>
      <w:r>
        <w:rPr>
          <w:rFonts w:ascii="Arial" w:cs="Arial" w:eastAsia="Arial" w:hAnsi="Arial"/>
          <w:sz w:val="18"/>
          <w:szCs w:val="18"/>
          <w:color w:val="auto"/>
        </w:rPr>
        <w:t>” or “</w:t>
      </w:r>
      <w:r>
        <w:rPr>
          <w:rFonts w:ascii="Arial" w:cs="Arial" w:eastAsia="Arial" w:hAnsi="Arial"/>
          <w:sz w:val="18"/>
          <w:szCs w:val="18"/>
          <w:b w:val="1"/>
          <w:bCs w:val="1"/>
          <w:color w:val="auto"/>
        </w:rPr>
        <w:t>RECELL</w:t>
      </w:r>
      <w:r>
        <w:rPr>
          <w:rFonts w:ascii="Arial" w:cs="Arial" w:eastAsia="Arial" w:hAnsi="Arial"/>
          <w:sz w:val="18"/>
          <w:szCs w:val="18"/>
          <w:color w:val="auto"/>
        </w:rPr>
        <w:t>”) technology platform harnesses the regenerative properties of a patient’s own skin to create Spray-On Skin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Cells, an autologous skin cell suspension that is sprayed onto the patient to regenerate natural healthy skin.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Headquartered in Valencia, California, the Company began as a laboratory spin-off in the Australian State of Western Australia. AVITA Medical's former parent company, AVITA Australia (formerly known as Clinical Cell Culture) was founded under the laws of the Commonwealth of Australia in December 1992 and changed its name to AVITA Medical Ltd in 2008. AVITA Australia's ordinary shares originally began trading in Australia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on August 9, 1993. AVITA Australia's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traded over the counter on the OTCQX under the ticker symbol “AVMXY” from May 14, 2012 through September 30, 2019 and its ADSs began trading on the Nasdaq on October 1, 2019, under the ticker symbol “RCEL”.</w:t>
      </w:r>
    </w:p>
    <w:p>
      <w:pPr>
        <w:spacing w:after="0" w:line="192"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color w:val="auto"/>
        </w:rPr>
        <w:t>On June 29, 2020, AVITA Australia implemented a statutory scheme of arrangement under Australian law to effect a redomiciliation of AVITA Medical from Australia to the United States (the “</w:t>
      </w:r>
      <w:r>
        <w:rPr>
          <w:rFonts w:ascii="Arial" w:cs="Arial" w:eastAsia="Arial" w:hAnsi="Arial"/>
          <w:sz w:val="18"/>
          <w:szCs w:val="18"/>
          <w:b w:val="1"/>
          <w:bCs w:val="1"/>
          <w:color w:val="auto"/>
        </w:rPr>
        <w:t>Redomiciliation</w:t>
      </w:r>
      <w:r>
        <w:rPr>
          <w:rFonts w:ascii="Arial" w:cs="Arial" w:eastAsia="Arial" w:hAnsi="Arial"/>
          <w:sz w:val="18"/>
          <w:szCs w:val="18"/>
          <w:color w:val="auto"/>
        </w:rPr>
        <w:t>”). The Redomiciliation was approved by shareholders on June 15, 2020 and approved by the Federal Court of Australia on June 22, 2020.</w:t>
      </w:r>
    </w:p>
    <w:p>
      <w:pPr>
        <w:spacing w:after="0" w:line="184"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Pursuant to the Redomiciliation, all ordinary shares in AVITA Australia were exchanged for shares of common stock in the Company (AVITA Medical, Inc.). As a result, the Company became the sole shareholder of AVITA Australia. In conjunction with the Redomiciliation, an implicit consolidation or reverse split on a 1 for 100 basis was implemented whereby shareholders of AVITA Australia received one share of common stock in the Company for every 100 shares held in AVITA Australia.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Under the Redomiciliation, eligible shareholders in AVITA Australia received consideration in the form of:</w:t>
      </w:r>
    </w:p>
    <w:p>
      <w:pPr>
        <w:spacing w:after="0" w:line="23"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five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in the Company for every 100 ordinary shares in AVITA Australia that were held by them; or</w:t>
      </w:r>
    </w:p>
    <w:p>
      <w:pPr>
        <w:spacing w:after="0" w:line="33"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share of common stock in the Company for every five ADSs in AVITA Australia that were held by them.</w:t>
      </w:r>
    </w:p>
    <w:p>
      <w:pPr>
        <w:spacing w:after="0" w:line="252" w:lineRule="exact"/>
        <w:rPr>
          <w:sz w:val="20"/>
          <w:szCs w:val="20"/>
          <w:color w:val="auto"/>
        </w:rPr>
      </w:pPr>
    </w:p>
    <w:p>
      <w:pPr>
        <w:jc w:val="both"/>
        <w:ind w:right="340" w:firstLine="749"/>
        <w:spacing w:after="0" w:line="263" w:lineRule="auto"/>
        <w:rPr>
          <w:sz w:val="20"/>
          <w:szCs w:val="20"/>
          <w:color w:val="auto"/>
        </w:rPr>
      </w:pPr>
      <w:r>
        <w:rPr>
          <w:rFonts w:ascii="Arial" w:cs="Arial" w:eastAsia="Arial" w:hAnsi="Arial"/>
          <w:sz w:val="18"/>
          <w:szCs w:val="18"/>
          <w:color w:val="auto"/>
        </w:rPr>
        <w:t>The Company’s CDIs are quoted on the ASX under AVITA Australia's former ASX ticker code, “AVH”. The Company’s shares of common stock are quoted on Nasdaq under AVITA Australia's former Nasdaq ticker code, “RCEL”. One share of common stock on Nasdaq is equivalent to five CDIs on the ASX.</w:t>
      </w:r>
    </w:p>
    <w:p>
      <w:pPr>
        <w:spacing w:after="0" w:line="18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As a result of the ‘implicit consolidation’ that occurred under the Redomiciliation, the number of shares of common stock issued and outstanding in the Company (as set out in the consolidated financial statements) is less than the number of ordinary shares of AVITA Australia that was set out in the consolidated financial statements of AVITA Australia prior to August 28,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OUR BUSINESS</w:t>
      </w:r>
    </w:p>
    <w:p>
      <w:pPr>
        <w:spacing w:after="0" w:line="229"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The ongoing pandemic caused by the spread of coronavirus (“COVID-19”) has created significant disruptions to the U.S. and global economies and financial markets. The global impact of the pandemic has fluctuated since early 2020. At times, in the United States, state and local governmental authorities have responded by issuing orders, of varying degrees, requiring quarantines, restrictions on travel and minimizing social gathering/interactions and mandatory closures of certain non-essential businesses. Many of the restrictions have been periodically updated as infection rates in the U.S. have risen and fallen, as new variants have emerged, as vaccines have become available, and new information about transmission has been discovered.</w:t>
      </w:r>
    </w:p>
    <w:p>
      <w:pPr>
        <w:spacing w:after="0" w:line="161"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In response to the pandemic, we acted swiftly by implementing protocols to ensure continuity of our manufacturing, increasing our safety stock and to provide for the safety of our employees. We implemented a number of measures designed to protect the health and safety of our employees, support our customers and promote business continuity. Early on, our business and operations were impacted by the ongoing effects of the pandemic with restrictions on travel and access to our customers or temporary suspension of treatment of burn patients or re-distribution of those patients to other treatment facilities and resulted in a reduction in the volume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burn procedures using the RECELL following the implementation of those protective measures. In addition, we experienced periodic enrollment cessation in our clinical trials due to COVID-19 as well as having individuals excluded due to contracting the virus.</w:t>
      </w:r>
    </w:p>
    <w:p>
      <w:pPr>
        <w:spacing w:after="0" w:line="170"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As of the date of this filing, we have resumed on-site work schedules for all employees. The COVID-19 pandemic has not materially adversely affected our financial results and business operations for the fiscal year-ended December 31, 2022; however, we are unable to predict the impact that COVID-19 may have on our business, operations, and financial results and condition in the future because of the numerous uncertainties created by the unprecedented nature of the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180" w:firstLine="749"/>
        <w:spacing w:after="0" w:line="258" w:lineRule="auto"/>
        <w:rPr>
          <w:sz w:val="20"/>
          <w:szCs w:val="20"/>
          <w:color w:val="auto"/>
        </w:rPr>
      </w:pPr>
      <w:r>
        <w:rPr>
          <w:rFonts w:ascii="Arial" w:cs="Arial" w:eastAsia="Arial" w:hAnsi="Arial"/>
          <w:sz w:val="18"/>
          <w:szCs w:val="18"/>
          <w:color w:val="auto"/>
        </w:rPr>
        <w:t>Our objective is to become the leading provider of regenerative medicine addressing unmet medical needs in burn injuries, trauma injuries, and in dermatological and aesthetics indications, such as vitiligo. To achieve this objective, we intend to:</w:t>
      </w:r>
    </w:p>
    <w:p>
      <w:pPr>
        <w:spacing w:after="0" w:line="1" w:lineRule="exact"/>
        <w:rPr>
          <w:sz w:val="20"/>
          <w:szCs w:val="20"/>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Become the standard of care in the U.S. burns industry by increasing RECELL System penetration in burn centers and with burn physicians;</w:t>
      </w:r>
    </w:p>
    <w:p>
      <w:pPr>
        <w:spacing w:after="0" w:line="44" w:lineRule="exact"/>
        <w:rPr>
          <w:rFonts w:ascii="Arial" w:cs="Arial" w:eastAsia="Arial" w:hAnsi="Arial"/>
          <w:sz w:val="16"/>
          <w:szCs w:val="16"/>
          <w:color w:val="auto"/>
        </w:rPr>
      </w:pPr>
    </w:p>
    <w:p>
      <w:pPr>
        <w:ind w:left="1120" w:hanging="370"/>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Commercialize the RECELL System in the U.S. for use in soft tissue repair following approval of our pending premarket approval</w:t>
      </w:r>
    </w:p>
    <w:p>
      <w:pPr>
        <w:spacing w:after="0" w:line="34" w:lineRule="exact"/>
        <w:rPr>
          <w:rFonts w:ascii="Arial" w:cs="Arial" w:eastAsia="Arial" w:hAnsi="Arial"/>
          <w:sz w:val="17"/>
          <w:szCs w:val="17"/>
          <w:color w:val="auto"/>
        </w:rPr>
      </w:pPr>
    </w:p>
    <w:p>
      <w:pPr>
        <w:ind w:left="1120" w:right="140"/>
        <w:spacing w:after="0" w:line="25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PMA</w:t>
      </w:r>
      <w:r>
        <w:rPr>
          <w:rFonts w:ascii="Arial" w:cs="Arial" w:eastAsia="Arial" w:hAnsi="Arial"/>
          <w:sz w:val="18"/>
          <w:szCs w:val="18"/>
          <w:color w:val="auto"/>
        </w:rPr>
        <w:t>”) supplement, which was submitted to the U.S.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in December 2022. Following anticipated FDA approval of RECELL for soft tissue repair, we plan to commence a full commercial launch in July 2023 with both inpatient and outpatient reimbursement in place;</w:t>
      </w:r>
    </w:p>
    <w:p>
      <w:pPr>
        <w:spacing w:after="0" w:line="1" w:lineRule="exact"/>
        <w:rPr>
          <w:rFonts w:ascii="Arial" w:cs="Arial" w:eastAsia="Arial" w:hAnsi="Arial"/>
          <w:sz w:val="17"/>
          <w:szCs w:val="17"/>
          <w:color w:val="auto"/>
        </w:rPr>
      </w:pPr>
    </w:p>
    <w:p>
      <w:pPr>
        <w:jc w:val="both"/>
        <w:ind w:left="1120" w:right="60" w:hanging="370"/>
        <w:spacing w:after="0" w:line="265"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Commercialize the RECELL System in the U.S. for use in treatment of vitiligo following approval of our pending PMA application, which was submitted to the FDA in December 2022. Subsequent to anticipated FDA approval of RECELLfor vitiligo, we plan to commence a full commercial launch following receipt of in-office reimbursement, which we believe will occur by January 2025;</w:t>
      </w:r>
    </w:p>
    <w:p>
      <w:pPr>
        <w:ind w:left="1120" w:right="720" w:hanging="370"/>
        <w:spacing w:after="0" w:line="250"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 potential commercialization applications for the RECELL System related to skin rejuvenation and Epidermolysis Bullosa indications;</w:t>
      </w:r>
    </w:p>
    <w:p>
      <w:pPr>
        <w:ind w:left="1120" w:right="780" w:hanging="370"/>
        <w:spacing w:after="0" w:line="250"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invest in our RECELL System platform to automate and improve workflow, speed, and ease of use as it relates to specific indications, as well as to build upon our intellectual property;</w:t>
      </w:r>
    </w:p>
    <w:p>
      <w:pPr>
        <w:ind w:left="1120" w:hanging="370"/>
        <w:spacing w:after="0" w:line="265"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 to build upon commercial activities in Japan through our partnership with COSMOTEC Company, Ltd (“</w:t>
      </w:r>
      <w:r>
        <w:rPr>
          <w:rFonts w:ascii="Arial" w:cs="Arial" w:eastAsia="Arial" w:hAnsi="Arial"/>
          <w:sz w:val="17"/>
          <w:szCs w:val="17"/>
          <w:b w:val="1"/>
          <w:bCs w:val="1"/>
          <w:color w:val="auto"/>
        </w:rPr>
        <w:t>COSMOTEC</w:t>
      </w:r>
      <w:r>
        <w:rPr>
          <w:rFonts w:ascii="Arial" w:cs="Arial" w:eastAsia="Arial" w:hAnsi="Arial"/>
          <w:sz w:val="17"/>
          <w:szCs w:val="17"/>
          <w:color w:val="auto"/>
        </w:rPr>
        <w:t>”) with our current Pharmaceuticals and Medical Devices Act (“</w:t>
      </w:r>
      <w:r>
        <w:rPr>
          <w:rFonts w:ascii="Arial" w:cs="Arial" w:eastAsia="Arial" w:hAnsi="Arial"/>
          <w:sz w:val="17"/>
          <w:szCs w:val="17"/>
          <w:b w:val="1"/>
          <w:bCs w:val="1"/>
          <w:color w:val="auto"/>
        </w:rPr>
        <w:t>PMDA</w:t>
      </w:r>
      <w:r>
        <w:rPr>
          <w:rFonts w:ascii="Arial" w:cs="Arial" w:eastAsia="Arial" w:hAnsi="Arial"/>
          <w:sz w:val="17"/>
          <w:szCs w:val="17"/>
          <w:color w:val="auto"/>
        </w:rPr>
        <w:t>”) approval for RECELL with an indication in burns;</w:t>
      </w:r>
    </w:p>
    <w:p>
      <w:pPr>
        <w:ind w:left="1120" w:right="160" w:hanging="370"/>
        <w:spacing w:after="0" w:line="250"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pursue viable commercial activities outside of the U.S. and Japan once we have received FDA approval for RECELL System indications in soft tissue and vitiligo;</w:t>
      </w:r>
    </w:p>
    <w:p>
      <w:pPr>
        <w:ind w:left="1120" w:right="240" w:hanging="370"/>
        <w:spacing w:after="0" w:line="250"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Pursue business development opportunities that are complementary to our core RECELL System indications and/or our targeted markets; and</w:t>
      </w:r>
    </w:p>
    <w:p>
      <w:pPr>
        <w:ind w:left="1120" w:right="160" w:hanging="370"/>
        <w:spacing w:after="0" w:line="260"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our margins and profitability by leveraging our current team and infrastructure across an expanding base of business in burns and in future indications.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RECELL® PLATFORM</w:t>
      </w:r>
    </w:p>
    <w:p>
      <w:pPr>
        <w:spacing w:after="0" w:line="229"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The RECELL System has a long-established safety profile, and clear potential for clinical and health-economic value propositions across a range of skin-related clinical indications. The patented and proprietary platform technology underlying Spray-On Skin™ Cells originated in Australia, based on the seminal work of Professor Fiona Wood and fellow scientist Marie Stoner. RECELL was initially launched in the E.U. in 2005, and then in Australia in 2006, ahead of pivotal outcomes data demonstrating clinical performance relative to standard care. Pivotal trials were conducted in the U.S. beginning in 2010. In September 2018, the FDA approved RECELL as a Class 3 device through a PMA for the treatment of acute thermal burn injuries in patients 18 years and older. Following receipt of our original PMA, we commenced commercialization of the RECELL System in January 2019 in the United States. RECELL is a first-of-kind medical device approved through FDA’s Center for Biologics Evaluation and Research, and the first Class 3 device approved for use in burn care in over 20 years.</w:t>
      </w:r>
    </w:p>
    <w:p>
      <w:pPr>
        <w:spacing w:after="0" w:line="178" w:lineRule="exact"/>
        <w:rPr>
          <w:sz w:val="20"/>
          <w:szCs w:val="20"/>
          <w:color w:val="auto"/>
        </w:rPr>
      </w:pPr>
    </w:p>
    <w:p>
      <w:pPr>
        <w:ind w:right="60" w:firstLine="749"/>
        <w:spacing w:after="0" w:line="289" w:lineRule="auto"/>
        <w:rPr>
          <w:sz w:val="20"/>
          <w:szCs w:val="20"/>
          <w:color w:val="auto"/>
        </w:rPr>
      </w:pPr>
      <w:r>
        <w:rPr>
          <w:rFonts w:ascii="Arial" w:cs="Arial" w:eastAsia="Arial" w:hAnsi="Arial"/>
          <w:sz w:val="16"/>
          <w:szCs w:val="16"/>
          <w:color w:val="auto"/>
        </w:rPr>
        <w:t>The RECELL System is a single use (disposable), stand-alone, battery operated, autologous cell harvesting device containing enzymatic and buffer solutions, sterile surgical instruments, and actuators to achieve the disaggregation and delivery of skin cells. The platform technology of the RECELL System allows for the preparation and delivery of Spray-On Skin Cells, an autologous cellular suspension comprised of the patient’s own skin cells necessary to regenerate natural healthy epidermis. These Spray-On Skin Cells are prepared at the point of care in as little as 30 minutes, providing a new way to treat thermal burns, other wounds, skin injuries or defects of the skin. The skin cell suspension includes keratinocytes, fibroblasts, and melanocytes, all of which play critical roles in skin regeneration. The treatment of burns with RECELL yields proven and significant reduction in the harvesting of donor skin. Donor sites are of great concern amongst burn patients. Burn wounds treated using RECELL show comparable results in burn wound healing outcomes relative to conventional grafting, despite the use of less donor site tissue. The ability of RECELL to retain melanocytes in the cell suspension is notable as these cells are critical for the restoration of natural pigmentation to the area treated,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which is being further evaluated in ongoing clinical trials. Skin cell suspension is a powerful therapeutic with the potential for addressing unmet needs in a number of clinical indications, including burns, soft tissue repair, and vitiligo.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9"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launch of the RECELL System into the U.S. market provided an opportunity to gain valuable, in-depth insight into the patient care pathway, as well as the workflow for surgical management of burn wounds. We continue to commit significant and increasing resources in product development to ensure that our device continues to evolve and has robust patent protection. In February 2022, the FDA approved the PMA supplement for RECELL Autologous Cell Harvesting Device, an enhanced RECELL system aimed at providing clinicians a more efficient user experience and simplified workflow. This new version of the RECELL System offers improved convenience along with an opportunity to expand our intellectual property portfolio.</w:t>
      </w:r>
    </w:p>
    <w:p>
      <w:pPr>
        <w:spacing w:after="0" w:line="161"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Further product development is ongoing on a next generation device for more automated implementation of the core Spray-On Skin Cells technology, to advance the user experience toward less hands-on processing time. With each iteration of our RECELL System development, we anticipate preservation of the therapeutic power of Spray-on Skin Cells, deployed in devices that become appropriate for use in an increasing range of clinical settings. This is particularly important as we aim to enter the dermatology space, where there is a shift toward an emphasis on the volume of patients treated in a 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summary, our research and development efforts are currently focused on:</w:t>
      </w:r>
    </w:p>
    <w:p>
      <w:pPr>
        <w:spacing w:after="0" w:line="23" w:lineRule="exact"/>
        <w:rPr>
          <w:sz w:val="20"/>
          <w:szCs w:val="20"/>
          <w:color w:val="auto"/>
        </w:rPr>
      </w:pPr>
    </w:p>
    <w:p>
      <w:pPr>
        <w:jc w:val="both"/>
        <w:ind w:left="1120" w:right="260" w:hanging="370"/>
        <w:spacing w:after="0" w:line="281"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Further clinical development of the RECELL System in additional skin-focused clinical indications where the platform can be leveraged. Specifically, to expand our footprint within wounds and dermatology, such as soft tissue repair and vitiligo. These activities are generally characterized by pivotal studies for which the FDA has approved an Investigational Device Exemption (“</w:t>
      </w:r>
      <w:r>
        <w:rPr>
          <w:rFonts w:ascii="Arial" w:cs="Arial" w:eastAsia="Arial" w:hAnsi="Arial"/>
          <w:sz w:val="16"/>
          <w:szCs w:val="16"/>
          <w:b w:val="1"/>
          <w:bCs w:val="1"/>
          <w:color w:val="auto"/>
        </w:rPr>
        <w:t>IDE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RECELL platform technology evolution to automate and improve workflow, speed, and ease of use</w:t>
      </w:r>
    </w:p>
    <w:p>
      <w:pPr>
        <w:spacing w:after="0" w:line="21" w:lineRule="exact"/>
        <w:rPr>
          <w:rFonts w:ascii="Arial" w:cs="Arial" w:eastAsia="Arial" w:hAnsi="Arial"/>
          <w:sz w:val="18"/>
          <w:szCs w:val="18"/>
          <w:color w:val="auto"/>
        </w:rPr>
      </w:pPr>
    </w:p>
    <w:p>
      <w:pPr>
        <w:ind w:left="1120" w:right="800" w:hanging="370"/>
        <w:spacing w:after="0" w:line="308" w:lineRule="auto"/>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Further research and characterization of the RECELL System design and the composition and activity of the Spray-On Skin Cells suspension to support further clinical development of the platform, and to expand our intellectual property estate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Burns</w:t>
      </w:r>
    </w:p>
    <w:p>
      <w:pPr>
        <w:spacing w:after="0" w:line="229"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Acute thermal burns are life-threatening and debilitating injuries that are among the most challenging and expensive to manage. These injuries require complex surgical procedures, long and costly hospitalization, and have a high potential for clinical complications and requirement for rehabilitation and scar treatment. In the U.S., approximately 40,000 people have burn injuries severe enough to require hospital admission annually, and it is estimated that 3,300 patients die each year. The majority of patients treated on an inpatient basis in the U.S. are treated in specialized burn centers.</w:t>
      </w:r>
    </w:p>
    <w:p>
      <w:pPr>
        <w:spacing w:after="0" w:line="153" w:lineRule="exact"/>
        <w:rPr>
          <w:sz w:val="20"/>
          <w:szCs w:val="20"/>
          <w:color w:val="auto"/>
        </w:rPr>
      </w:pPr>
    </w:p>
    <w:p>
      <w:pPr>
        <w:ind w:right="240" w:firstLine="749"/>
        <w:spacing w:after="0" w:line="256" w:lineRule="auto"/>
        <w:rPr>
          <w:sz w:val="20"/>
          <w:szCs w:val="20"/>
          <w:color w:val="auto"/>
        </w:rPr>
      </w:pPr>
      <w:r>
        <w:rPr>
          <w:rFonts w:ascii="Arial" w:cs="Arial" w:eastAsia="Arial" w:hAnsi="Arial"/>
          <w:sz w:val="18"/>
          <w:szCs w:val="18"/>
          <w:color w:val="auto"/>
        </w:rPr>
        <w:t>Severe burns (typically defined as second- and third-degree) are commonly treated with autologous split-thickness skin grafts (“</w:t>
      </w:r>
      <w:r>
        <w:rPr>
          <w:rFonts w:ascii="Arial" w:cs="Arial" w:eastAsia="Arial" w:hAnsi="Arial"/>
          <w:sz w:val="18"/>
          <w:szCs w:val="18"/>
          <w:b w:val="1"/>
          <w:bCs w:val="1"/>
          <w:color w:val="auto"/>
        </w:rPr>
        <w:t>STSGs</w:t>
      </w:r>
      <w:r>
        <w:rPr>
          <w:rFonts w:ascii="Arial" w:cs="Arial" w:eastAsia="Arial" w:hAnsi="Arial"/>
          <w:sz w:val="18"/>
          <w:szCs w:val="18"/>
          <w:color w:val="auto"/>
        </w:rPr>
        <w:t>”) to achieve definitive closure of the burn wound. In a STSG, or autograft, donor skin is harvested from a healthy area of the patient’s skin. The donor skin is then typically perforated into a mesh that can be expanded and transferred to cover the prepared burn injury. Treatment with STSG results in additional trauma for the patient due to creation of a new donor site wound. Although the use of STSG has been a standard treatment for more than 50 years, autografting is associated with significant pain, itching, infection, dyschromia, dyspigmentation, delayed healing, and hypertrophic scarring of the donor site.</w:t>
      </w:r>
    </w:p>
    <w:p>
      <w:pPr>
        <w:spacing w:after="0" w:line="191" w:lineRule="exact"/>
        <w:rPr>
          <w:sz w:val="20"/>
          <w:szCs w:val="20"/>
          <w:color w:val="auto"/>
        </w:rPr>
      </w:pPr>
    </w:p>
    <w:p>
      <w:pPr>
        <w:ind w:right="100" w:firstLine="749"/>
        <w:spacing w:after="0" w:line="253" w:lineRule="auto"/>
        <w:rPr>
          <w:sz w:val="20"/>
          <w:szCs w:val="20"/>
          <w:color w:val="auto"/>
        </w:rPr>
      </w:pPr>
      <w:r>
        <w:rPr>
          <w:rFonts w:ascii="Arial" w:cs="Arial" w:eastAsia="Arial" w:hAnsi="Arial"/>
          <w:sz w:val="18"/>
          <w:szCs w:val="18"/>
          <w:color w:val="auto"/>
        </w:rPr>
        <w:t>The clinical benefits of earlier wound closure are well recognized and include increased survival, reduced hospital length of stay, decreased pain duration, and reduced infection-related complications. However, in large burn injuries, the patient may have insufficient donor skin available to allow for immediate and complete treatment of the entire burn injury area when using traditional grafting techniques. The lack of available healthy donor skin in patients with large burn injuries is often the central problem impacting time to autografting and definitive closure of the wounds. In extensively burned patients, surgeons often must wait until the donor sites have healed so they can re-harvest from the sites, resulting in delays in treatment and closure, requiring multiple procedures, and extending hospital stay. While waiting for donor skin, the burn wounds may be temporarily covered by allogeneic skin (allograft, cadaver skin) or xenograft (typically pig skin). The overall cost of treatment with STSG is expensive - for example it would cost approximately $579,000 and 59.4 days in hospital for a patient with a 40% Total Body Surface Area (“</w:t>
      </w:r>
      <w:r>
        <w:rPr>
          <w:rFonts w:ascii="Arial" w:cs="Arial" w:eastAsia="Arial" w:hAnsi="Arial"/>
          <w:sz w:val="18"/>
          <w:szCs w:val="18"/>
          <w:b w:val="1"/>
          <w:bCs w:val="1"/>
          <w:color w:val="auto"/>
        </w:rPr>
        <w:t>TBSA</w:t>
      </w:r>
      <w:r>
        <w:rPr>
          <w:rFonts w:ascii="Arial" w:cs="Arial" w:eastAsia="Arial" w:hAnsi="Arial"/>
          <w:sz w:val="18"/>
          <w:szCs w:val="18"/>
          <w:color w:val="auto"/>
        </w:rPr>
        <w:t>”) mixed-depth burn injury to recover and return to normal day to day activities.</w:t>
      </w:r>
    </w:p>
    <w:p>
      <w:pPr>
        <w:spacing w:after="0" w:line="196"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The RECELL System was approved by the FDA in September 2018 for the treatment of second- and third-degree acute thermal burn injuries in patients 18 years and older. In June 2021, the FDA approved an expanded indication for use to also include treatment of full-thickness (third-degree) pediatric burns, which represent close to a quarter of all burn injuries in the U.S., as well 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 xml:space="preserve">full-thickness burn injuries greater than 50% TBSA. As a result of having achieved an expanded indication for use in pediatric burns, the Biomedical Advanced Research and Development Authority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BARDA</w:t>
      </w:r>
      <w:r>
        <w:rPr>
          <w:rFonts w:ascii="Arial" w:cs="Arial" w:eastAsia="Arial" w:hAnsi="Arial"/>
          <w:sz w:val="18"/>
          <w:szCs w:val="18"/>
          <w:color w:val="auto"/>
        </w:rPr>
        <w:t>”) funded U.S. Pediatric Burns trial has been closed to new enrollment (refer to BARDA Contract section below).</w:t>
      </w:r>
    </w:p>
    <w:p>
      <w:pPr>
        <w:spacing w:after="0" w:line="184"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The pivotal studies leading to the RECELL System’s FDA PMA for the treatment of acute thermal burns demonstrated that the RECELL System treated burns used 97.5% less donor skin when used alone in second-degree burns, and 32%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61" w:lineRule="exact"/>
        <w:rPr>
          <w:sz w:val="20"/>
          <w:szCs w:val="20"/>
          <w:color w:val="auto"/>
        </w:rPr>
      </w:pPr>
    </w:p>
    <w:p>
      <w:pPr>
        <w:ind w:right="380" w:firstLine="749"/>
        <w:spacing w:after="0" w:line="311" w:lineRule="auto"/>
        <w:rPr>
          <w:sz w:val="20"/>
          <w:szCs w:val="20"/>
          <w:color w:val="auto"/>
        </w:rPr>
      </w:pPr>
      <w:r>
        <w:rPr>
          <w:rFonts w:ascii="Arial" w:cs="Arial" w:eastAsia="Arial" w:hAnsi="Arial"/>
          <w:sz w:val="16"/>
          <w:szCs w:val="16"/>
          <w:color w:val="auto"/>
        </w:rPr>
        <w:t>The RECELL System offers fewer procedures required for definitive closure versus conventional autografts. In pediatric cases using the RECELL System, there were 56% fewer mean surgical procedures (N = 284) compared to the American Burn Association’s National Burn Repository (</w:t>
      </w:r>
      <w:r>
        <w:rPr>
          <w:rFonts w:ascii="Arial" w:cs="Arial" w:eastAsia="Arial" w:hAnsi="Arial"/>
          <w:sz w:val="16"/>
          <w:szCs w:val="16"/>
          <w:b w:val="1"/>
          <w:bCs w:val="1"/>
          <w:color w:val="auto"/>
        </w:rPr>
        <w:t>“NBR”</w:t>
      </w:r>
      <w:r>
        <w:rPr>
          <w:rFonts w:ascii="Arial" w:cs="Arial" w:eastAsia="Arial" w:hAnsi="Arial"/>
          <w:sz w:val="16"/>
          <w:szCs w:val="16"/>
          <w:color w:val="auto"/>
        </w:rPr>
        <w:t>). Additionally, in patients with &gt;50% TBSA, the RECELL System provided 60% fewer mean surgical procedures versus NBR (N =318).</w:t>
      </w:r>
    </w:p>
    <w:p>
      <w:pPr>
        <w:spacing w:after="0" w:line="149" w:lineRule="exact"/>
        <w:rPr>
          <w:sz w:val="20"/>
          <w:szCs w:val="20"/>
          <w:color w:val="auto"/>
        </w:rPr>
      </w:pPr>
    </w:p>
    <w:p>
      <w:pPr>
        <w:ind w:right="160" w:firstLine="749"/>
        <w:spacing w:after="0" w:line="293" w:lineRule="auto"/>
        <w:rPr>
          <w:sz w:val="20"/>
          <w:szCs w:val="20"/>
          <w:color w:val="auto"/>
        </w:rPr>
      </w:pPr>
      <w:r>
        <w:rPr>
          <w:rFonts w:ascii="Arial" w:cs="Arial" w:eastAsia="Arial" w:hAnsi="Arial"/>
          <w:sz w:val="16"/>
          <w:szCs w:val="16"/>
          <w:color w:val="auto"/>
        </w:rPr>
        <w:t>In addition to robust clinical data, RECELL has proven health economic benefits and a compelling cost-effectiveness model which shows that treatment using the RECELL System for deep partial-thickness burns reduces total treatment costs by an average of 26%, or approximately $37,000, for patients with 10% TBSA and approximately $150,000, for patients with 40% TBSA. For full-thickness burns, treatment using the RECELL System reduced total treatment cost by 3%, or approximately $6,000 for patients with 10% TBSA and by 42% or approximately $243,000, for patients with 40% TBSA. These cost reductions are attributed to decreasing the length of hospital stay, reducing the number of procedures required to close the burn wound, and minimizing the donor site size and associated wound care. All of these cost savings estimates are net of the cost of the RECELL System.</w:t>
      </w:r>
    </w:p>
    <w:p>
      <w:pPr>
        <w:spacing w:after="0" w:line="164"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A budget impact model was developed and has been used to calculate the annual budget impact of current standard of care for the treatment of burns versus treatment using the RECELL System for a burn center with 200 patients. The model shows that treatment using the RECELL System reduces annual total treatment costs from approximately $39.4 million to $32.6 million, saving 17% or approximately $6.8 million per year. In addition, real world evidence has been published by the Doctors at IQVIA and funded by the Company and BARDA indicating that these economic savings are demonstrated in a wide range of burn sizes.</w:t>
      </w:r>
    </w:p>
    <w:p>
      <w:pPr>
        <w:spacing w:after="0" w:line="188"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The market for treatment of burns in the U.S. is highly concentrated, with approximately 150 burn centers and approximately 300 burn surgeons who treat the majority of severe burns in the country (i.e., ~75%). Accordingly, our target market is predominantly focused on burn centers. Our goal is to establish RECELL as the standard of care for any burn injury that requires grafting for patients with 5% TBSA injury or greater. In the U.S., we estimate that there are approximately 35,000 patients annually that could benefit from our technology. Each RECELL System can treat up to 10% TBSA, and many patients require more than one device.</w:t>
      </w:r>
    </w:p>
    <w:p>
      <w:pPr>
        <w:spacing w:after="0" w:line="188" w:lineRule="exact"/>
        <w:rPr>
          <w:sz w:val="20"/>
          <w:szCs w:val="20"/>
          <w:color w:val="auto"/>
        </w:rPr>
      </w:pPr>
    </w:p>
    <w:p>
      <w:pPr>
        <w:ind w:right="100" w:firstLine="749"/>
        <w:spacing w:after="0" w:line="296" w:lineRule="auto"/>
        <w:rPr>
          <w:sz w:val="20"/>
          <w:szCs w:val="20"/>
          <w:color w:val="auto"/>
        </w:rPr>
      </w:pPr>
      <w:r>
        <w:rPr>
          <w:rFonts w:ascii="Arial" w:cs="Arial" w:eastAsia="Arial" w:hAnsi="Arial"/>
          <w:sz w:val="16"/>
          <w:szCs w:val="16"/>
          <w:color w:val="auto"/>
        </w:rPr>
        <w:t>AVITA Medical has a policy of providing the RECELL System to a provider only after they have been certified, which includes extensive training in the use of the product and in the aftercare of the patient. In general, we have found that most U.S. burn centers follow the industry-standard process of evaluating the RECELL System and then taking it through their hospital’s Value Analysis Committee (“</w:t>
      </w:r>
      <w:r>
        <w:rPr>
          <w:rFonts w:ascii="Arial" w:cs="Arial" w:eastAsia="Arial" w:hAnsi="Arial"/>
          <w:sz w:val="16"/>
          <w:szCs w:val="16"/>
          <w:b w:val="1"/>
          <w:bCs w:val="1"/>
          <w:color w:val="auto"/>
        </w:rPr>
        <w:t>VAC</w:t>
      </w:r>
      <w:r>
        <w:rPr>
          <w:rFonts w:ascii="Arial" w:cs="Arial" w:eastAsia="Arial" w:hAnsi="Arial"/>
          <w:sz w:val="16"/>
          <w:szCs w:val="16"/>
          <w:color w:val="auto"/>
        </w:rPr>
        <w:t>”) prior to purchasing. In general, most surgeons follow a typical adoption curve, starting from where they see the greatest economic and clinical value, which is the use of RECELL for treatment of larger burns. With time and continued use, surgeons typically progress to adoption of RECELL for smaller, less severe burns and facial burns.</w:t>
      </w:r>
    </w:p>
    <w:p>
      <w:pPr>
        <w:spacing w:after="0" w:line="161"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In the U.S., several existing reimbursement codes were in place prior to the commencement of commercial sales of the RECELL System. For inpatient treatment of burn patients, U.S. hospitals are reimbursed under DRG (Diagnosis Related Group) Codes based on diagnosis of a patient’s injuries. For physicians, CPT (Current Procedural Terminology) codes for use in RECELL System procedures are recommended by the American Burn Association and are the same for both inpatient and outpatient use. In August 2020, we filed a Transitional Pass-through Payment Application (“</w:t>
      </w:r>
      <w:r>
        <w:rPr>
          <w:rFonts w:ascii="Arial" w:cs="Arial" w:eastAsia="Arial" w:hAnsi="Arial"/>
          <w:sz w:val="17"/>
          <w:szCs w:val="17"/>
          <w:b w:val="1"/>
          <w:bCs w:val="1"/>
          <w:color w:val="auto"/>
        </w:rPr>
        <w:t>TPT</w:t>
      </w:r>
      <w:r>
        <w:rPr>
          <w:rFonts w:ascii="Arial" w:cs="Arial" w:eastAsia="Arial" w:hAnsi="Arial"/>
          <w:sz w:val="17"/>
          <w:szCs w:val="17"/>
          <w:color w:val="auto"/>
        </w:rPr>
        <w:t>”) with The Centers for Medicare &amp; Medicaid Services (“</w:t>
      </w:r>
      <w:r>
        <w:rPr>
          <w:rFonts w:ascii="Arial" w:cs="Arial" w:eastAsia="Arial" w:hAnsi="Arial"/>
          <w:sz w:val="17"/>
          <w:szCs w:val="17"/>
          <w:b w:val="1"/>
          <w:bCs w:val="1"/>
          <w:color w:val="auto"/>
        </w:rPr>
        <w:t>CMS</w:t>
      </w:r>
      <w:r>
        <w:rPr>
          <w:rFonts w:ascii="Arial" w:cs="Arial" w:eastAsia="Arial" w:hAnsi="Arial"/>
          <w:sz w:val="17"/>
          <w:szCs w:val="17"/>
          <w:color w:val="auto"/>
        </w:rPr>
        <w:t>”) to support a separate, additional Medicare payment for use of the RECELL System in the Outpatient Setting. On November 3, 2021, the Company was informed that CMS approved our TPT submission with the code effective as of January 1, 2022. The new “C” code provides additional payment which offsets the cost of the device in hospital outpatient facilities and ambulatory surgical centers for Medicare beneficiaries over a 2-to-3-year period before converting to a permanent code. Following the granting of the code, the Company is working with commercial carriers to ensure broader coverage. The new “C” code is not indication specific and lays the foundation for growth in other indications outside of acute thermal burns (such as soft tissue repair).</w:t>
      </w:r>
    </w:p>
    <w:p>
      <w:pPr>
        <w:spacing w:after="0" w:line="185"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Japan is the second largest healthcare market, with approximately 6,000 patients per year who suffer from severe burns in Japan. Large patient populations coupled with healthy reimbursement coverage makes Japan an attractive market for the RECELL System. In February 2019, we entered into a collaboration with COSMOTEC, an M3 Group company, to market and distribute the RECELL System in Japan. We worked with COSMOTEC to advance our application for approval of the RECELL System in Japan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1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pursuant to Japan’s Pharmaceuticals and Medical Devices Act (“</w:t>
      </w:r>
      <w:r>
        <w:rPr>
          <w:rFonts w:ascii="Arial" w:cs="Arial" w:eastAsia="Arial" w:hAnsi="Arial"/>
          <w:sz w:val="18"/>
          <w:szCs w:val="18"/>
          <w:b w:val="1"/>
          <w:bCs w:val="1"/>
          <w:color w:val="auto"/>
        </w:rPr>
        <w:t>PMDA</w:t>
      </w:r>
      <w:r>
        <w:rPr>
          <w:rFonts w:ascii="Arial" w:cs="Arial" w:eastAsia="Arial" w:hAnsi="Arial"/>
          <w:sz w:val="18"/>
          <w:szCs w:val="18"/>
          <w:color w:val="auto"/>
        </w:rPr>
        <w:t>”). In February 2022, our application for regulatory approval was approved by the PMDA for both adult and pediatric burns. In September 2022, COSMOTEC commercially launched RECELL in Japan following Japan’s Ministry of Health, Labor, and Welfare approval of reimbursement pricing.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 Tissue Repair</w:t>
      </w:r>
    </w:p>
    <w:p>
      <w:pPr>
        <w:spacing w:after="0" w:line="229"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Soft tissue repair includes treatment of injuries caused by non-burn trauma, including excision of infected tissue, such as necrotizing soft tissue infections. While minor skin defects may be primarily closed with sutures or standard wound care, larger open defects require more complicated approaches, including skin grafts, tissue flaps and dermal matrices.</w:t>
      </w:r>
    </w:p>
    <w:p>
      <w:pPr>
        <w:spacing w:after="0" w:line="184" w:lineRule="exact"/>
        <w:rPr>
          <w:sz w:val="20"/>
          <w:szCs w:val="20"/>
          <w:color w:val="auto"/>
        </w:rPr>
      </w:pPr>
    </w:p>
    <w:p>
      <w:pPr>
        <w:ind w:right="40" w:firstLine="749"/>
        <w:spacing w:after="0" w:line="258" w:lineRule="auto"/>
        <w:rPr>
          <w:sz w:val="20"/>
          <w:szCs w:val="20"/>
          <w:color w:val="auto"/>
        </w:rPr>
      </w:pPr>
      <w:r>
        <w:rPr>
          <w:rFonts w:ascii="Arial" w:cs="Arial" w:eastAsia="Arial" w:hAnsi="Arial"/>
          <w:sz w:val="18"/>
          <w:szCs w:val="18"/>
          <w:color w:val="auto"/>
        </w:rPr>
        <w:t>Similar to the burns indication, soft tissue repair is associated with large areas of skin loss and as such, some of the top unmet needs identified by surgeons are closely aligned:</w:t>
      </w:r>
    </w:p>
    <w:p>
      <w:pPr>
        <w:spacing w:after="0" w:line="1" w:lineRule="exact"/>
        <w:rPr>
          <w:sz w:val="20"/>
          <w:szCs w:val="20"/>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donor skin harvesting</w:t>
      </w:r>
    </w:p>
    <w:p>
      <w:pPr>
        <w:spacing w:after="0" w:line="2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scarring</w:t>
      </w:r>
    </w:p>
    <w:p>
      <w:pPr>
        <w:spacing w:after="0" w:line="36"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pain</w:t>
      </w:r>
    </w:p>
    <w:p>
      <w:pPr>
        <w:spacing w:after="0" w:line="36"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Uniform pigmentation with surrounding skin</w:t>
      </w:r>
    </w:p>
    <w:p>
      <w:pPr>
        <w:spacing w:after="0" w:line="252"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Given the interest to reduce donor skin harvesting, just as with the burns indication, we designed a clinical trial to demonstrate the use of less donor skin without compromising healing outcomes relative to conventional autografting. The trial is essentially a repeat of the successful previous trial in full-thickness burns, but with a population of patients with full-thickness, non-burn injuries.</w:t>
      </w:r>
    </w:p>
    <w:p>
      <w:pPr>
        <w:spacing w:after="0" w:line="180"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On September 17, 2019, the FDA approved an Investigational Device Exemption (“</w:t>
      </w:r>
      <w:r>
        <w:rPr>
          <w:rFonts w:ascii="Arial" w:cs="Arial" w:eastAsia="Arial" w:hAnsi="Arial"/>
          <w:sz w:val="16"/>
          <w:szCs w:val="16"/>
          <w:b w:val="1"/>
          <w:bCs w:val="1"/>
          <w:color w:val="auto"/>
        </w:rPr>
        <w:t>IDE</w:t>
      </w:r>
      <w:r>
        <w:rPr>
          <w:rFonts w:ascii="Arial" w:cs="Arial" w:eastAsia="Arial" w:hAnsi="Arial"/>
          <w:sz w:val="16"/>
          <w:szCs w:val="16"/>
          <w:color w:val="auto"/>
        </w:rPr>
        <w:t>”) to conduct a pivotal trial evaluating the safety and effectiveness of the RECELL System in combination with meshed autografting for the treatment of acute full-thickness skin defects. Subsequently, on March 2, 2020, we initiated a prospective, multi-center, randomized controlled study for soft tissue repair with the enrollment of the first patient at the Arizona Burn Center at Valleywise Medical Health Center in Phoenix, AZ. Each patient had a control wound treated with conventional skin grafting and a wound treated with expanded skin grafting in combination with RECELL. Enrollment of this pivotal study was completed in January of 2022. In August 2022, the company announced positive topline results in which the study met both of its co-primary endpoints. Subsequently, the RECELL System earned the FDA Breakthrough Device designation for the proposed indication of soft tissue repair in November 2022. In December 2022, the Company submitted a PMA supplement application to the FDA. The supplement, if approved, will expand the indication of RECELL to include soft tissue repair.</w:t>
      </w:r>
    </w:p>
    <w:p>
      <w:pPr>
        <w:spacing w:after="0" w:line="163"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Open wounds associated with traumatic injuries caused over 4.5 million hospital visits in the U.S. in 2017, and traumatic wounds rank among the five most costly medical conditions. We estimate that the total annual addressable U.S. market for RECELL in soft tissue repair is approximately $1 billion. The majority of our current burn accounts represent opportunities for use of RECELL in soft tissue repair. We plan to build out our existing field team to cover approximately 1,500 acute wound accounts (representing both burn and trauma accounts). Our expansion allows for coverage of over 75% of total targeted procedures. Based on market research, degloving (a type of injury where the skin is ripped from the underlying tissue), abrasions, and infectious disease (e.g., necrotizing soft tissue infections, like flesh-eating disease) have the greatest stated intent to use. We anticipate RECELL being used in both the inpatient &amp; outpatient settings across a wide range of wound sizes. Market research indicates that surgeons treating soft tissue injuries believe RECELL will offer benefits over current treatment options, allowing surgeons to address key unmet needs. From a reimbursement perspective, the same DRG code that is currently being used to treat inpatient burns can be applied to soft tissue repair once FDA approval is received. Additionally, pending FDA approval of the PMA supplement application, the outpatient TPT “C” code we have been granted for RECELL can also be utilized for soft tissue repair in the outpatient setting.</w:t>
      </w:r>
    </w:p>
    <w:p>
      <w:pPr>
        <w:spacing w:after="0" w:line="182" w:lineRule="exact"/>
        <w:rPr>
          <w:sz w:val="20"/>
          <w:szCs w:val="20"/>
          <w:color w:val="auto"/>
        </w:rPr>
      </w:pPr>
    </w:p>
    <w:p>
      <w:pPr>
        <w:ind w:right="120" w:firstLine="749"/>
        <w:spacing w:after="0" w:line="301" w:lineRule="auto"/>
        <w:rPr>
          <w:sz w:val="20"/>
          <w:szCs w:val="20"/>
          <w:color w:val="auto"/>
        </w:rPr>
      </w:pPr>
      <w:r>
        <w:rPr>
          <w:rFonts w:ascii="Arial" w:cs="Arial" w:eastAsia="Arial" w:hAnsi="Arial"/>
          <w:sz w:val="16"/>
          <w:szCs w:val="16"/>
          <w:color w:val="auto"/>
        </w:rPr>
        <w:t>Clinical study data and international product usage supports clinical benefits of RECELL use in soft tissue repair. In the pivotal study, RECELL met both co-primary endpoints, demonstrating statistically significant donor sparing and non-inferior healing outcomes with RECELL versus standard of care. In addition, RECELL has been successfully used outside the U.S. for many years and there exist several case reports on the treatment of traumatic injuries (soft tissue repair) that have been the subject of peer-reviewed scientific publications and presentations at medical conferences.</w:t>
      </w:r>
    </w:p>
    <w:p>
      <w:pPr>
        <w:spacing w:after="0" w:line="157" w:lineRule="exact"/>
        <w:rPr>
          <w:sz w:val="20"/>
          <w:szCs w:val="20"/>
          <w:color w:val="auto"/>
        </w:rPr>
      </w:pPr>
    </w:p>
    <w:p>
      <w:pPr>
        <w:ind w:right="220" w:firstLine="749"/>
        <w:spacing w:after="0" w:line="275" w:lineRule="auto"/>
        <w:rPr>
          <w:sz w:val="20"/>
          <w:szCs w:val="20"/>
          <w:color w:val="auto"/>
        </w:rPr>
      </w:pPr>
      <w:r>
        <w:rPr>
          <w:rFonts w:ascii="Arial" w:cs="Arial" w:eastAsia="Arial" w:hAnsi="Arial"/>
          <w:sz w:val="17"/>
          <w:szCs w:val="17"/>
          <w:color w:val="auto"/>
        </w:rPr>
        <w:t>Soft tissue repair represents a significant opportunity which AVITA Medical can pursue leveraging its existing and future resources while also creating synergies with the burns market. As of February 23, 2023, approximately 50% of the U.S. burn centers are classified as Level 1 and Level 2 trauma centers. Those Level 1 and Level 2 trauma centers currently utilizing RECELL should be able to use RECELL to repair soft tissue immediately following FDA approval as these centers have already approved RECELL through their respective VACs. Further, we will be expanding our burn market opportunity by virtue of our soft tissue launch as we will be extending our reach to include trauma centers.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Vitiligo</w:t>
      </w:r>
    </w:p>
    <w:p>
      <w:pPr>
        <w:spacing w:after="0" w:line="189"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Vitiligo is a disease that causes the loss of skin pigmentation, or color, in patches. The extent of color loss from vitiligo is unpredictable, can affect the skin on any part of the body, and may also affect hair and the inside of the mouth. 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It is estimated that worldwide vitiligo prevalence is between 0.5 to 2% of the population. The condition is not life-threatening or physically painful, but it can significantly alter physical appearance and have negative emotional and psychological consequences, thus causing a cascade of medical conditions with associated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Vitiligo cannot be cured at present, and treatments generally fall into one of two categories:</w:t>
      </w:r>
    </w:p>
    <w:p>
      <w:pPr>
        <w:spacing w:after="0" w:line="23" w:lineRule="exact"/>
        <w:rPr>
          <w:sz w:val="20"/>
          <w:szCs w:val="20"/>
          <w:color w:val="auto"/>
        </w:rPr>
      </w:pPr>
    </w:p>
    <w:p>
      <w:pPr>
        <w:ind w:left="1120" w:right="80" w:hanging="370"/>
        <w:spacing w:after="0" w:line="265"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Treatments to arrest the spread of vitiligo, such as steroid creams and non-steroidal anti-inflammatory creams. There are also a number of therapies under development designed to target the underlying autoimmune disease. One challenge in terms of achieving the desired patient outcome is that stopping the spread of vitiligo may not restore pigmentation to the areas already damaged.</w:t>
      </w:r>
    </w:p>
    <w:p>
      <w:pPr>
        <w:ind w:left="1120" w:right="140" w:hanging="370"/>
        <w:spacing w:after="0" w:line="255"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Treatments to restore pigmentation include skin grafting, laser phototherapy (with and without topicals), and Melanocyte-Keratinocyte Transplantation Procedure (“</w:t>
      </w:r>
      <w:r>
        <w:rPr>
          <w:rFonts w:ascii="Arial" w:cs="Arial" w:eastAsia="Arial" w:hAnsi="Arial"/>
          <w:sz w:val="18"/>
          <w:szCs w:val="18"/>
          <w:b w:val="1"/>
          <w:bCs w:val="1"/>
          <w:color w:val="auto"/>
        </w:rPr>
        <w:t>MKTP</w:t>
      </w:r>
      <w:r>
        <w:rPr>
          <w:rFonts w:ascii="Arial" w:cs="Arial" w:eastAsia="Arial" w:hAnsi="Arial"/>
          <w:sz w:val="18"/>
          <w:szCs w:val="18"/>
          <w:color w:val="auto"/>
        </w:rPr>
        <w:t>”). MKTP requires expensive and substantial laboratory equipment and is currently only available in a handful of locations in the U.S.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RECELL does not treat underlying autoimmune disease. Rather, it works to restore pigmentation.</w:t>
      </w:r>
    </w:p>
    <w:p>
      <w:pPr>
        <w:spacing w:after="0" w:line="225"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According to the FDA panel in 2021, there is a high level of depression, anxiety, and negative quality of life among vitiligo patients. Interest in vitiligo treatment tends to increase in individuals who have lesions in more visible areas (such as the face, neck and hands) as well as the younger female population. In 2022, over 400,000 patients pursued treatment for vitiligo in the U.S. We estimate that there are approximately 1.3 million people in the U.S. with stable vitiligo and a total addressable market of approximately $5 billion. Vitiligo rates a ‘7.61’ on the Dermatology Life Quality Index (“</w:t>
      </w:r>
      <w:r>
        <w:rPr>
          <w:rFonts w:ascii="Arial" w:cs="Arial" w:eastAsia="Arial" w:hAnsi="Arial"/>
          <w:sz w:val="18"/>
          <w:szCs w:val="18"/>
          <w:b w:val="1"/>
          <w:bCs w:val="1"/>
          <w:color w:val="auto"/>
        </w:rPr>
        <w:t>DLQI</w:t>
      </w:r>
      <w:r>
        <w:rPr>
          <w:rFonts w:ascii="Arial" w:cs="Arial" w:eastAsia="Arial" w:hAnsi="Arial"/>
          <w:sz w:val="18"/>
          <w:szCs w:val="18"/>
          <w:color w:val="auto"/>
        </w:rPr>
        <w:t>”), which is in the same range of other aesthetic dermatological disease analogs which receive healthy positive reimbursement such as Rosacea (5.2), Psoriasis (9.3) and Atopic Dermatitis (12.79).</w:t>
      </w:r>
    </w:p>
    <w:p>
      <w:pPr>
        <w:spacing w:after="0" w:line="192" w:lineRule="exact"/>
        <w:rPr>
          <w:sz w:val="20"/>
          <w:szCs w:val="20"/>
          <w:color w:val="auto"/>
        </w:rPr>
      </w:pPr>
    </w:p>
    <w:p>
      <w:pPr>
        <w:ind w:right="140" w:firstLine="749"/>
        <w:spacing w:after="0" w:line="275" w:lineRule="auto"/>
        <w:rPr>
          <w:sz w:val="20"/>
          <w:szCs w:val="20"/>
          <w:color w:val="auto"/>
        </w:rPr>
      </w:pPr>
      <w:r>
        <w:rPr>
          <w:rFonts w:ascii="Arial" w:cs="Arial" w:eastAsia="Arial" w:hAnsi="Arial"/>
          <w:sz w:val="17"/>
          <w:szCs w:val="17"/>
          <w:color w:val="auto"/>
        </w:rPr>
        <w:t>The market is expected to grow, especially over the next decade, with the advent of novel treatment options including oral and topical Janus Kinase (“</w:t>
      </w:r>
      <w:r>
        <w:rPr>
          <w:rFonts w:ascii="Arial" w:cs="Arial" w:eastAsia="Arial" w:hAnsi="Arial"/>
          <w:sz w:val="17"/>
          <w:szCs w:val="17"/>
          <w:b w:val="1"/>
          <w:bCs w:val="1"/>
          <w:color w:val="auto"/>
        </w:rPr>
        <w:t>JAK</w:t>
      </w:r>
      <w:r>
        <w:rPr>
          <w:rFonts w:ascii="Arial" w:cs="Arial" w:eastAsia="Arial" w:hAnsi="Arial"/>
          <w:sz w:val="17"/>
          <w:szCs w:val="17"/>
          <w:color w:val="auto"/>
        </w:rPr>
        <w:t>”) inhibitors, such as Opzelura. Although these new products will both stabilize and re-pigment some patients, it is anticipated that many patients will need additional modes of treatment for re-pigmentation. Products (immunosuppressants) working to stabilize vitiligo and RECELL (working to restore pigmentation) are complementary. Further, large pharmaceutical companies with immunosuppressant assets in development will likely invest in disease awareness campaigns which will further grow consumer awareness and the market.</w:t>
      </w:r>
    </w:p>
    <w:p>
      <w:pPr>
        <w:spacing w:after="0" w:line="176" w:lineRule="exact"/>
        <w:rPr>
          <w:sz w:val="20"/>
          <w:szCs w:val="20"/>
          <w:color w:val="auto"/>
        </w:rPr>
      </w:pPr>
    </w:p>
    <w:p>
      <w:pPr>
        <w:ind w:right="40" w:firstLine="749"/>
        <w:spacing w:after="0" w:line="297" w:lineRule="auto"/>
        <w:rPr>
          <w:sz w:val="20"/>
          <w:szCs w:val="20"/>
          <w:color w:val="auto"/>
        </w:rPr>
      </w:pPr>
      <w:r>
        <w:rPr>
          <w:rFonts w:ascii="Arial" w:cs="Arial" w:eastAsia="Arial" w:hAnsi="Arial"/>
          <w:sz w:val="16"/>
          <w:szCs w:val="16"/>
          <w:color w:val="auto"/>
        </w:rPr>
        <w:t>On July 1, 2020, the FDA approved our IDE application for a pivotal study in vitiligo which is titled “A Prospective Multi-Arm Blinded-Evaluator Within-Subject Randomized Controlled Clinical Study to Investigate the Safety and Effectiveness of RECELL for Repigmentation of Stable Vitiligo.” The primary endpoint compared the incidence of successful (80%, by area) repigmentation for RECELL treatment versus that of standard of care phototherapy. The Company commenced enrollment in the vitiligo pivotal study in September 2020. The last subject enrolled in the study was treated in January 2022. In September 2022, the Company announced positive topline results in which its primary endpoint was met. Subsequently, the RECELL System earned the FDA Breakthrough Device designation for the proposed indication of vitiligo in November 2022. In December 2022, the Company submitted a PMA application to the FDA. The application, if approved, will expand the indication of RECELL to include treatment of vitiligo.</w:t>
      </w:r>
    </w:p>
    <w:p>
      <w:pPr>
        <w:spacing w:after="0" w:line="161"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More than 1,000 patients have been successfully treated with the RECELL System for stable vitiligo outside of the U.S., and to date there are eleven publications demonstrating the benefits of the RECELL System in vitiligo. We believe that RECELL would be the first point-of-care device which provides a standardized in-office treatment to durably restore depigmented areas for patients with stable (or non-progressive) vitiligo.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Epidermolysis Bullosa</w:t>
      </w:r>
    </w:p>
    <w:p>
      <w:pPr>
        <w:spacing w:after="0" w:line="229"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The RECELL System has been studied in a wide variety of indications and has been shown to enable patients to regenerate natural healthy skin in instances where the patient’s outer skin covering, or epidermis, has been lost or damaged. In addition to these applications of the RECELL System, we are pursuing related opportunities where the RECELL System’s ability to harness the natural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healing capabilities of the body could be augmented with the use of genetically-modified cells for treatment of certain genetic skin disorders. In this way, the RECELL System could potentially be used as a vehicle for other therapeutic offerings.</w:t>
      </w:r>
    </w:p>
    <w:p>
      <w:pPr>
        <w:spacing w:after="0" w:line="166" w:lineRule="exact"/>
        <w:rPr>
          <w:sz w:val="20"/>
          <w:szCs w:val="20"/>
          <w:color w:val="auto"/>
        </w:rPr>
      </w:pPr>
    </w:p>
    <w:p>
      <w:pPr>
        <w:ind w:right="60" w:firstLine="749"/>
        <w:spacing w:after="0" w:line="298" w:lineRule="auto"/>
        <w:rPr>
          <w:sz w:val="20"/>
          <w:szCs w:val="20"/>
          <w:color w:val="auto"/>
        </w:rPr>
      </w:pPr>
      <w:r>
        <w:rPr>
          <w:rFonts w:ascii="Arial" w:cs="Arial" w:eastAsia="Arial" w:hAnsi="Arial"/>
          <w:sz w:val="16"/>
          <w:szCs w:val="16"/>
          <w:color w:val="auto"/>
        </w:rPr>
        <w:t>Epidermolysis Bullosa (“</w:t>
      </w:r>
      <w:r>
        <w:rPr>
          <w:rFonts w:ascii="Arial" w:cs="Arial" w:eastAsia="Arial" w:hAnsi="Arial"/>
          <w:sz w:val="16"/>
          <w:szCs w:val="16"/>
          <w:b w:val="1"/>
          <w:bCs w:val="1"/>
          <w:color w:val="auto"/>
        </w:rPr>
        <w:t>EB</w:t>
      </w:r>
      <w:r>
        <w:rPr>
          <w:rFonts w:ascii="Arial" w:cs="Arial" w:eastAsia="Arial" w:hAnsi="Arial"/>
          <w:sz w:val="16"/>
          <w:szCs w:val="16"/>
          <w:color w:val="auto"/>
        </w:rPr>
        <w:t>”) is a rare and incurable group of disorders caused by mutations in genes encoding structural skin proteins. EB is characterized by skin fragility and blistering leading to chronic wounds due to normal mechanical trauma. Dystrophic EB (“</w:t>
      </w:r>
      <w:r>
        <w:rPr>
          <w:rFonts w:ascii="Arial" w:cs="Arial" w:eastAsia="Arial" w:hAnsi="Arial"/>
          <w:sz w:val="16"/>
          <w:szCs w:val="16"/>
          <w:b w:val="1"/>
          <w:bCs w:val="1"/>
          <w:color w:val="auto"/>
        </w:rPr>
        <w:t>DEB</w:t>
      </w:r>
      <w:r>
        <w:rPr>
          <w:rFonts w:ascii="Arial" w:cs="Arial" w:eastAsia="Arial" w:hAnsi="Arial"/>
          <w:sz w:val="16"/>
          <w:szCs w:val="16"/>
          <w:color w:val="auto"/>
        </w:rPr>
        <w:t>”) is often associated with widespread blistering, pain, pruritus, extensive scarring, increased risk of squamous cell carcinoma with increased mortality. Signs typically occur at birth and persist over a lifetime. Currently, there are no FDA-approved treatments. All treatment options are palliative—focused primarily on pain and nutritional management, itching relief, and wound care (bandaging) with a significant cost burden ranging from $200,000-$500,000 per year per patient.</w:t>
      </w:r>
    </w:p>
    <w:p>
      <w:pPr>
        <w:spacing w:after="0" w:line="158"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In November 2019, AVITA Medical entered into a research agreement with the Gates Center for Regenerative Medicine at the University of Colorado School of Medicine (“</w:t>
      </w:r>
      <w:r>
        <w:rPr>
          <w:rFonts w:ascii="Arial" w:cs="Arial" w:eastAsia="Arial" w:hAnsi="Arial"/>
          <w:sz w:val="17"/>
          <w:szCs w:val="17"/>
          <w:b w:val="1"/>
          <w:bCs w:val="1"/>
          <w:color w:val="auto"/>
        </w:rPr>
        <w:t>Gates Center</w:t>
      </w:r>
      <w:r>
        <w:rPr>
          <w:rFonts w:ascii="Arial" w:cs="Arial" w:eastAsia="Arial" w:hAnsi="Arial"/>
          <w:sz w:val="17"/>
          <w:szCs w:val="17"/>
          <w:color w:val="auto"/>
        </w:rPr>
        <w:t>”) for the purpose of seeking to establish pre-clinical proof-of-concept for a spray-on treatment of genetically corrected cells. Pursuant to this agreement, recessive dystrophic bullosa (“RDEB”) cells have been successfully reverse-differentiated and corrected, yielding iPSCs (induced pluripotent stem cells). Further, iPSCs have been forward-differentiated, amplified, and used to successfully regenerate skin in an immunocompromised mouse model. We have paired the RECELL System Spray-On Skin Cells technology and expertise with the Gates Center’s innovative patent-pending combined reprogramming and gene-editing technology, with the intent to allow the skin cells of patients with EB to function properly. Under the arrangement with the Gates Center, we retain the option to exclusively license technologies emerging from the partnership for further development and commercialization. While we remain interested in the therapeutic potential of modified Spray-On Skin Cells, the sponsored research agreement has concluded, and the Company is currently evaluating its potential next steps.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Rejuvenation</w:t>
      </w:r>
    </w:p>
    <w:p>
      <w:pPr>
        <w:spacing w:after="0" w:line="229"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We believe that reversing aging at a cellular level has the potential to impact rejuvenation by driving functional changes to skin cells. This will be significantly different from existing products, such as cosmeceuticals that supplement proteins to cells, and surgical approaches that do not alter cellular stat but alter tissue morphology. An approach for molecular reversal of the underlying defects resulting in aging could have a profound effect on rejuvenation.</w:t>
      </w:r>
    </w:p>
    <w:p>
      <w:pPr>
        <w:spacing w:after="0" w:line="145"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In November 2020, AVITA Medical announced a preclinical research agreement with the Houston Methodist Research Institute (“</w:t>
      </w:r>
      <w:r>
        <w:rPr>
          <w:rFonts w:ascii="Arial" w:cs="Arial" w:eastAsia="Arial" w:hAnsi="Arial"/>
          <w:sz w:val="18"/>
          <w:szCs w:val="18"/>
          <w:b w:val="1"/>
          <w:bCs w:val="1"/>
          <w:color w:val="auto"/>
        </w:rPr>
        <w:t>HMRI</w:t>
      </w:r>
      <w:r>
        <w:rPr>
          <w:rFonts w:ascii="Arial" w:cs="Arial" w:eastAsia="Arial" w:hAnsi="Arial"/>
          <w:sz w:val="18"/>
          <w:szCs w:val="18"/>
          <w:color w:val="auto"/>
        </w:rPr>
        <w:t>”) to explore molecular reversal of cellular aging through a novel cell suspension delivery system. AVITA Medical retains the option to exclusively license HMRI’s patented technology as well as the right of first negotiations to HMRI’s technologies emerging from the partnership for further development and commercialization.</w:t>
      </w:r>
    </w:p>
    <w:p>
      <w:pPr>
        <w:spacing w:after="0" w:line="184" w:lineRule="exact"/>
        <w:rPr>
          <w:sz w:val="20"/>
          <w:szCs w:val="20"/>
          <w:color w:val="auto"/>
        </w:rPr>
      </w:pPr>
    </w:p>
    <w:p>
      <w:pPr>
        <w:ind w:right="220" w:firstLine="749"/>
        <w:spacing w:after="0" w:line="279" w:lineRule="auto"/>
        <w:rPr>
          <w:sz w:val="20"/>
          <w:szCs w:val="20"/>
          <w:color w:val="auto"/>
        </w:rPr>
      </w:pPr>
      <w:r>
        <w:rPr>
          <w:rFonts w:ascii="Arial" w:cs="Arial" w:eastAsia="Arial" w:hAnsi="Arial"/>
          <w:sz w:val="17"/>
          <w:szCs w:val="17"/>
          <w:color w:val="auto"/>
        </w:rPr>
        <w:t>HMRI is a compelling partner for this work. Dr. John Cooke and his team have developed a novel, patented approach of telomerase reverse transcriptase delivery to reverse cellular aging and have been widely recognized as leaders in this space with multiple peer reviewed publications, grants, and awards. Further, HMRI has a strong program in translational medicine, including the Center for Rapid Device Translation that supports preclinical testing and GLP environments which could enable rapid translation from research into clinical trials.</w:t>
      </w:r>
    </w:p>
    <w:p>
      <w:pPr>
        <w:spacing w:after="0" w:line="171"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In collaboration with HMRI, skin cells harvested using the RECELL Device have been molecularly reverse-aged, and used to regenerate skin in a mouse model, thereby establishing proof of concept. Work is ongoing to characterize the tissue to identify functional attributes associated with rejuvenated skin.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A primary objective of our field sales team is to build upon burn community awareness that has resulted from an extensive series of RECELL System related burn conference presentations and scientific publications to further expand interest in the clinical and economic benefits of the RECELL System. In addition, our field sales team provides robust clinical case support and staff training. It is not uncommon in the burn community to have rotating staff and it is our commitment for all those working with RECELL to be comfortable with the technology both during the procedure as well as during aftercare.</w:t>
      </w:r>
    </w:p>
    <w:p>
      <w:pPr>
        <w:spacing w:after="0" w:line="188"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We sell the RECELL System in the U.S. through our direct commercial organization consisting of 26 field personnel who are supported by corporate marketing, reimbursement, scientific and medical affairs, operations, and corporate leadership. The field sales team was recruited and hired subsequent to the September 2018 FDA PMA and trained prior to the U.S. market launch of RECELL in January 2019. Our field organization is composed of highly experienced medical sales representatives as well as former burn nurses.</w:t>
      </w:r>
    </w:p>
    <w:p>
      <w:pPr>
        <w:spacing w:after="0" w:line="187" w:lineRule="exact"/>
        <w:rPr>
          <w:sz w:val="20"/>
          <w:szCs w:val="20"/>
          <w:color w:val="auto"/>
        </w:rPr>
      </w:pPr>
    </w:p>
    <w:p>
      <w:pPr>
        <w:ind w:right="320" w:firstLine="749"/>
        <w:spacing w:after="0" w:line="259" w:lineRule="auto"/>
        <w:rPr>
          <w:sz w:val="20"/>
          <w:szCs w:val="20"/>
          <w:color w:val="auto"/>
        </w:rPr>
      </w:pPr>
      <w:r>
        <w:rPr>
          <w:rFonts w:ascii="Arial" w:cs="Arial" w:eastAsia="Arial" w:hAnsi="Arial"/>
          <w:sz w:val="18"/>
          <w:szCs w:val="18"/>
          <w:color w:val="auto"/>
        </w:rPr>
        <w:t>We anticipate the U.S. market launch of RECELL for soft tissue repair in July 2023. The majority of our current burn accounts represent opportunities for the use of RECELL in soft tissue repair; however, we plan to significantly expand the existing burns field team to cover both burn and trauma accounts prior to the market launch of RECELL for soft tissue repair. The expansion plan allows for coverage of over 75% of total targeted procedures.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AVITA Medical’s investment in the U.S. commercial success of RECELL has led to the development of best-in-class teams supporting sales, clinical education and training, reimbursement, medical affairs, as well as corporate management and infrastructure. As of December 31, 2022, we had 126 employees full-time and part-time employees. As of December 31, 2022, 98% of our workforce was based in the United States, with a significant number of our management and professional employees having prior experience with leading medical product, biotech, or pharmaceutical companies. None of our employees are covered by collective bargaining agreements.</w:t>
      </w:r>
    </w:p>
    <w:p>
      <w:pPr>
        <w:spacing w:after="0" w:line="188"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We embrace differences, diversity and varying perspectives amongst our employee base and are proud to be an equal opportunity employer. We do not discriminate based on race, religious creed, color, national origin, ancestry, physical disability, mental disability, medical condition, genetic information, marital status, sex, gender, gender identity, gender expression, age, military or veteran status, sexual orientation or any other protected characteristic established by federal, state, or local laws. A diverse workforce as well as an inclusive culture and work environment are fundamentally important and strategic to us beginning with our Board of Directors and CEO and extending to all levels of the Company. As of December 31, 2022, our executive leadership team was 50% female, our senior leadership team was 38% female, and our total employee base was 47% female. In addition to promoting gender diversity, we encourage ethnically diverse talent when recruiting as well as providing employee training and development focusing on workplace diversity and inclusion.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programs to advance our products and product candidates, and to expand our intellectual property rights.</w:t>
      </w:r>
    </w:p>
    <w:p>
      <w:pPr>
        <w:spacing w:after="0" w:line="17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As of December 31, 2022, we had been granted a total of 19 patents and had 27 patent applications pending worldwide. The Company’s patent portfolio encompasses assets in the U.S., China, Japan, Australia, Brazil, Canada, France, Germany, Hong Kong, Italy, Spain, the United Kingdom, and applications pending before the European Patent Office (</w:t>
      </w:r>
      <w:r>
        <w:rPr>
          <w:rFonts w:ascii="Arial" w:cs="Arial" w:eastAsia="Arial" w:hAnsi="Arial"/>
          <w:sz w:val="17"/>
          <w:szCs w:val="17"/>
          <w:b w:val="1"/>
          <w:bCs w:val="1"/>
          <w:color w:val="auto"/>
        </w:rPr>
        <w:t>“EPO”</w:t>
      </w:r>
      <w:r>
        <w:rPr>
          <w:rFonts w:ascii="Arial" w:cs="Arial" w:eastAsia="Arial" w:hAnsi="Arial"/>
          <w:sz w:val="17"/>
          <w:szCs w:val="17"/>
          <w:color w:val="auto"/>
        </w:rPr>
        <w:t>). Notably, as discussed more fully below, our core U.S. patent remains in force until February 6, 2024, and we expect it to be extended through April 9, 2024. In addition to patent protection, we believe that the regulatory approval processes around the world will continue to provide significant barriers to entry against meaningful competition.</w:t>
      </w:r>
    </w:p>
    <w:p>
      <w:pPr>
        <w:spacing w:after="0" w:line="176" w:lineRule="exact"/>
        <w:rPr>
          <w:sz w:val="20"/>
          <w:szCs w:val="20"/>
          <w:color w:val="auto"/>
        </w:rPr>
      </w:pPr>
    </w:p>
    <w:p>
      <w:pPr>
        <w:ind w:right="200" w:firstLine="749"/>
        <w:spacing w:after="0" w:line="272" w:lineRule="auto"/>
        <w:rPr>
          <w:sz w:val="20"/>
          <w:szCs w:val="20"/>
          <w:color w:val="auto"/>
        </w:rPr>
      </w:pPr>
      <w:r>
        <w:rPr>
          <w:rFonts w:ascii="Arial" w:cs="Arial" w:eastAsia="Arial" w:hAnsi="Arial"/>
          <w:sz w:val="17"/>
          <w:szCs w:val="17"/>
          <w:color w:val="auto"/>
        </w:rPr>
        <w:t>AVITA Medical’s patent portfolio covers AVITA Medical’s core RECELL System, methods of using the RECELL System, the Regenerative Epidermal Suspension (“</w:t>
      </w:r>
      <w:r>
        <w:rPr>
          <w:rFonts w:ascii="Arial" w:cs="Arial" w:eastAsia="Arial" w:hAnsi="Arial"/>
          <w:sz w:val="17"/>
          <w:szCs w:val="17"/>
          <w:b w:val="1"/>
          <w:bCs w:val="1"/>
          <w:color w:val="auto"/>
        </w:rPr>
        <w:t>RES®</w:t>
      </w:r>
      <w:r>
        <w:rPr>
          <w:rFonts w:ascii="Arial" w:cs="Arial" w:eastAsia="Arial" w:hAnsi="Arial"/>
          <w:sz w:val="17"/>
          <w:szCs w:val="17"/>
          <w:color w:val="auto"/>
        </w:rPr>
        <w:t>”), methods of preparing a cell suspension with exogenous agents to promote wound healing, as well as to one or more automated systems for tissue processing and preparation of cell suspensions. AVITA Medical’s pending patent applications cover an all-in-one RECELL System embodiment and methods of evaluating the therapeutic potential of RES, as well as new modifications to RES that are showing potential for therapeutic results. We expect that our research and development pipeline, strategic partnerships with universities, and improvements to the RECELL System and RES will result in additional and diverse patent applications for automated tissue processing and RES-related compositions of matter, along with related methods of use, in the next calendar year.</w:t>
      </w:r>
    </w:p>
    <w:p>
      <w:pPr>
        <w:spacing w:after="0" w:line="177"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In 2019, AVITA Medical filed a Patent Term Extension (“PTE”) application with the U.S. Patent and Trademark Office requesting an extension of the patent term for U.S. Patent No. 9,029,140, “Cell suspension preparation technique and device” as a result of patent term lost to the FDA regulatory process. If the term extension requested in the PTE application is approved, the patent term of U.S. Patent No. 9,029,140, which covers the RECELL System, will be extended to April 9, 2024. An interim PTE application was approved on December 12, 2022, for U.S. Patent No. 9,029,140 that extends its expiration date until February 6, 2024 while we wait for full approval of the PTE application. AVITA Medical’s other patents have expected expiration dates ranging from 2032 to 2033, while AVITA Medical’s pending patent applications, if granted, would have expiration dates ranging from 2032 to 2041.</w:t>
      </w:r>
    </w:p>
    <w:p>
      <w:pPr>
        <w:spacing w:after="0" w:line="164"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Additionally, AVITA Medical owns and defends a global trademark portfolio comprising 125 registered trademarks, common or state law trademarks, and pending trademark applications. Recently, AVITA Medical received U.S. federal trademark registration on the marks “AVITA Medical” and the AVITA Medical logo. AVITA Medical also owns trademark registrations for “RECELL,” “Spray-On Skin,” the RECELL System logo, “RES,” and others in the U.S. and international markets. In addition to patent and trademark protection, we also rely on trade secrets, know-how, and other proprietary information to develop and maintain our competitive position. We have robust confidentiality and invention disclosure procedures in place that incentivize our employees to innovate and allow us to maintain our rights to AVITA Medical innovations.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280" w:firstLine="749"/>
        <w:spacing w:after="0" w:line="257" w:lineRule="auto"/>
        <w:rPr>
          <w:sz w:val="20"/>
          <w:szCs w:val="20"/>
          <w:color w:val="auto"/>
        </w:rPr>
      </w:pPr>
      <w:r>
        <w:rPr>
          <w:rFonts w:ascii="Arial" w:cs="Arial" w:eastAsia="Arial" w:hAnsi="Arial"/>
          <w:sz w:val="18"/>
          <w:szCs w:val="18"/>
          <w:color w:val="auto"/>
        </w:rPr>
        <w:t>AVITA Medical leases approximately 17,500 square feet of administrative and office space in Valencia, California that is currently leased through October 31, 2026. The Company operates an FDA-registered production plant in Ventura, California, in a 27,480 square foot facility that is currently leased through September 30, 2024. The Ventura facility has two 3-year options to extend the lease, at our sole option, which allows for a total lease extension period through September 30, 2030. We also lease a limited amount of incubator space in Irvine, California for scientific research and product development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PRODUCTION</w:t>
      </w:r>
    </w:p>
    <w:p>
      <w:pPr>
        <w:spacing w:after="0" w:line="225"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We produce the RECELL System in the Ventura facility under current Good Manufacturing Practices (“</w:t>
      </w:r>
      <w:r>
        <w:rPr>
          <w:rFonts w:ascii="Arial" w:cs="Arial" w:eastAsia="Arial" w:hAnsi="Arial"/>
          <w:sz w:val="18"/>
          <w:szCs w:val="18"/>
          <w:b w:val="1"/>
          <w:bCs w:val="1"/>
          <w:color w:val="auto"/>
        </w:rPr>
        <w:t>cGMP</w:t>
      </w:r>
      <w:r>
        <w:rPr>
          <w:rFonts w:ascii="Arial" w:cs="Arial" w:eastAsia="Arial" w:hAnsi="Arial"/>
          <w:sz w:val="18"/>
          <w:szCs w:val="18"/>
          <w:color w:val="auto"/>
        </w:rPr>
        <w:t>”) and per ISO 13485, which also meets the regulatory requirements of other jurisdictions in which we sell the RECELL System. We maintain a state of regulatory compliance and inspection readiness at all times, and any future material changes to our production processes for the RECELL System will be submitted for approval to the FDA and regulatory authorities in other jurisdictions as required.</w:t>
      </w:r>
    </w:p>
    <w:p>
      <w:pPr>
        <w:spacing w:after="0" w:line="184" w:lineRule="exact"/>
        <w:rPr>
          <w:sz w:val="20"/>
          <w:szCs w:val="20"/>
          <w:color w:val="auto"/>
        </w:rPr>
      </w:pPr>
    </w:p>
    <w:p>
      <w:pPr>
        <w:jc w:val="both"/>
        <w:ind w:right="200" w:firstLine="749"/>
        <w:spacing w:after="0" w:line="263" w:lineRule="auto"/>
        <w:rPr>
          <w:sz w:val="20"/>
          <w:szCs w:val="20"/>
          <w:color w:val="auto"/>
        </w:rPr>
      </w:pPr>
      <w:r>
        <w:rPr>
          <w:rFonts w:ascii="Arial" w:cs="Arial" w:eastAsia="Arial" w:hAnsi="Arial"/>
          <w:sz w:val="18"/>
          <w:szCs w:val="18"/>
          <w:color w:val="auto"/>
        </w:rPr>
        <w:t>Within the Ventura facility we perform the final manufacturing, assembly, packaging, and warehousing of the RECELL System. Also included within the Ventura facility is a secure controlled-temperature warehouse that complies with the vendor-managed inventory (“</w:t>
      </w:r>
      <w:r>
        <w:rPr>
          <w:rFonts w:ascii="Arial" w:cs="Arial" w:eastAsia="Arial" w:hAnsi="Arial"/>
          <w:sz w:val="18"/>
          <w:szCs w:val="18"/>
          <w:b w:val="1"/>
          <w:bCs w:val="1"/>
          <w:color w:val="auto"/>
        </w:rPr>
        <w:t>VMI</w:t>
      </w:r>
      <w:r>
        <w:rPr>
          <w:rFonts w:ascii="Arial" w:cs="Arial" w:eastAsia="Arial" w:hAnsi="Arial"/>
          <w:sz w:val="18"/>
          <w:szCs w:val="18"/>
          <w:color w:val="auto"/>
        </w:rPr>
        <w:t>”) requirements of the contract with BARDA. See below for details.</w:t>
      </w:r>
    </w:p>
    <w:p>
      <w:pPr>
        <w:spacing w:after="0" w:line="184"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AVITA Medical sources multiple components, sub-assemblies, and materials from third-party suppliers, who are required to meet our cGMP quality specifications and associated regulatory requirements. To ensure continuity of supply, we maintain multiple sources of supply for key components, subassemblies and materials, and the majority of critical raw materials and services have multiple qualified suppliers. While a small number of materials remain single sourced, we are actively working to qualify and validate additional suppliers for these materials as we continue to evaluate methods of removing risk from the supply chain for the RECELL System. We believe that our current manufacturing capacity at the Ventura facility is sufficient to meet the expected commercial demand for the RECELL System for burns, as well as other indications under development, for the foreseeable future.</w:t>
      </w:r>
    </w:p>
    <w:p>
      <w:pPr>
        <w:spacing w:after="0" w:line="164"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AVITA Medical serves the U.S. burn market by shipping the RECELL System directly from our Ventura facility to U.S. burn centers. From time-to-time we may also store small quantities of the RECELL System at satellite distribution sites within the U.S. to better support access of the RECELL System to our U.S.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BARDA CONTRACT</w:t>
      </w:r>
    </w:p>
    <w:p>
      <w:pPr>
        <w:spacing w:after="0" w:line="229"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We have a contract with the BARDA, under the Assistant Secretary for Preparedness and Response, within the U.S. Department of Health and Human Services, valued at approximately $53.3 million. The contract provided funding for the development of the RECELL System. The contract will continue to provide funding for future use of the product as a medical countermeasure to assist disaster preparedness and response in the U.S. for mass casualty events involving burn injuries. We entered into the contract on September 29, 2015, and the scope has expanded through a number of amendments to the contract. The current contract period continues to December 31, 2023, with the option by BARDA to terminate earlier.</w:t>
      </w:r>
    </w:p>
    <w:p>
      <w:pPr>
        <w:spacing w:after="0" w:line="161"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Under the contract, BARDA has provided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exercised a contract option to fund a randomized, controlled clinical trial for a pediatric early intervention study which commenced enrollment in March 2020, and closed to enrollment in June 2021, subsequent to FDA-approval of an expanded RECELL indication for use that includes treatment of pediatric patients. Currently, the BARDA contract is supporting the Company’s clinical trial in soft-tissue repair. Also included in the BARDA contract was a provision for procurement of the RECELL System under a vendor-managed inventory system to bolster emergency preparedness in the amount of $7.6 million. Further, BARDA expanded the awarded contract to provide supplemental funding of $1.6 million to support the logistics of emergency deployment of RECELL Systems for use in mass casualty or other emergency situations. We are contracted to manage this inventory of product until the earlier of the federal government requesting shipment or at contract termination on December 31, 2023. As of December 31, 2022, we had received cumulative payments of $37.9 million under the BARDA contract.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medical device, biotechnology and pharmaceutical industries are intensely competitive and subject to significant technological developments and changes in practice. While we believe that our innovative technology, knowledge, experience, and scientific resources provide us with competitive advantages, we may face competition from many different sources with respect to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RECELL System or any product candidates that we may seek to develop and commercialize in the future. Possible competitors may include medical device, pharmaceutical and wound care companies, academic and medical institutions, governmental agencies, medical practitioners, and public and private research institutions, among others. Any product that we successfully develop and commercialize will compete with both existing therapies and any new therapies that may become available in the future.</w:t>
      </w:r>
    </w:p>
    <w:p>
      <w:pPr>
        <w:spacing w:after="0" w:line="18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Our primary competitor in the burns market is the current standard of care, primarily split-thickness autografts. Although the RECELL System is complementary with autografts for the treatment of many burn injuries, we face competition from this traditional surgical procedure for many burn patients. However, based on our clinical trials, we believe that the RECELL System has sustainable competitive clinical and economic advantages over this current standard of care. We face additional competition in the burns market from other FDA-approved products such as Epicel</w:t>
      </w:r>
      <w:r>
        <w:rPr>
          <w:rFonts w:ascii="Arial" w:cs="Arial" w:eastAsia="Arial" w:hAnsi="Arial"/>
          <w:sz w:val="15"/>
          <w:szCs w:val="15"/>
          <w:color w:val="auto"/>
        </w:rPr>
        <w:t>®</w:t>
      </w:r>
      <w:r>
        <w:rPr>
          <w:rFonts w:ascii="Arial" w:cs="Arial" w:eastAsia="Arial" w:hAnsi="Arial"/>
          <w:sz w:val="18"/>
          <w:szCs w:val="18"/>
          <w:color w:val="auto"/>
        </w:rPr>
        <w:t xml:space="preserve"> provided by Vericel Corporation as well as from Stratagraft® provided by Mallinckrodt.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The production and marketing of the RECELL System and any additional product candidates developed in future ongoing research and development activities are subject to regulation by numerous governmental authorities including the FDA in the U.S. and similar agencies in other countries throughout the world. Pursuant to its authority under the Federal Food, Drug, and Cosmetic Act (the “</w:t>
      </w:r>
      <w:r>
        <w:rPr>
          <w:rFonts w:ascii="Arial" w:cs="Arial" w:eastAsia="Arial" w:hAnsi="Arial"/>
          <w:sz w:val="17"/>
          <w:szCs w:val="17"/>
          <w:b w:val="1"/>
          <w:bCs w:val="1"/>
          <w:color w:val="auto"/>
        </w:rPr>
        <w:t>FD&amp;C Act</w:t>
      </w:r>
      <w:r>
        <w:rPr>
          <w:rFonts w:ascii="Arial" w:cs="Arial" w:eastAsia="Arial" w:hAnsi="Arial"/>
          <w:sz w:val="17"/>
          <w:szCs w:val="17"/>
          <w:color w:val="auto"/>
        </w:rPr>
        <w:t>”), the FDA has jurisdiction over medical devices in the U.S. The FDA regulates the design, development, manufacturing, and distribution of medical devices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PMA. The RECELL System is categorized as a Class III medical device, and in September 2018 the FDA granted our PMA for use in the treatment of acute thermal burns in patients 18 years and older. In June 2021, the FDA approved a supplement to our PMA to expand the use of RECELL in pediatric patients with full-thickness burns. In December 2022, the Company submitted a PMA supplement to expand the use of RECELL for soft tissue repair and an original PMA application to expand the use of RECELL for treatment of vitiligo.</w:t>
      </w:r>
    </w:p>
    <w:p>
      <w:pPr>
        <w:spacing w:after="0" w:line="179" w:lineRule="exact"/>
        <w:rPr>
          <w:sz w:val="20"/>
          <w:szCs w:val="20"/>
          <w:color w:val="auto"/>
        </w:rPr>
      </w:pPr>
    </w:p>
    <w:p>
      <w:pPr>
        <w:ind w:right="80" w:firstLine="749"/>
        <w:spacing w:after="0" w:line="287" w:lineRule="auto"/>
        <w:rPr>
          <w:sz w:val="20"/>
          <w:szCs w:val="20"/>
          <w:color w:val="auto"/>
        </w:rPr>
      </w:pPr>
      <w:r>
        <w:rPr>
          <w:rFonts w:ascii="Arial" w:cs="Arial" w:eastAsia="Arial" w:hAnsi="Arial"/>
          <w:sz w:val="16"/>
          <w:szCs w:val="16"/>
          <w:color w:val="auto"/>
        </w:rPr>
        <w:t>To support PMA supplements in the U.S. or applications for approval in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that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172"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Any products manufactured or distributed by us pursuant to regulatory approvals are subject to continuing regulation by the FDA and similar agencies in other countries, including maintaining records supporting manufacturing and distribution under cGMP regulations, periodic reporting,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approval by FDA and other regulatory agencies. Medical device manufacturers and their subcontractors are required to register their establishments with the FDA, certain state agencies and international agencies. Subcontractors are subject to periodic announced and unannounced inspections by the FDA and other agencies for compliance with cGMP requirements. We have established processes in place for categorization of vendor criticality and the associated activities for qualification and monitoring of vendors. These activities include but are not limited to, requiring certification of supplier in conformance to relevant cGMP regulations and other FDA and international agency regulatory requirements, approved supplier lists, and regular Company 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In addition to FDA approval in the U.S., the RECELL System has received various approvals and registrations in international markets. The RECELL System is TGA-registered in Australia, received CE-mark approval in Europe, and received Japan’s Pharmaceuticals and Medical Devices Act (PMDA) approval for burns in Japan.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HEALTHCARE LAWS AND REGULATIONS</w:t>
      </w:r>
    </w:p>
    <w:p>
      <w:pPr>
        <w:spacing w:after="0" w:line="185"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AVITA Medical is a manufacturer of a medical device and therefore we are subject to regulations by the FDA and various federal and state healthcare laws and regulations. These regulations govern our advertising and promotional practices, our interactions with healthcare providers (“</w:t>
      </w:r>
      <w:r>
        <w:rPr>
          <w:rFonts w:ascii="Arial" w:cs="Arial" w:eastAsia="Arial" w:hAnsi="Arial"/>
          <w:sz w:val="18"/>
          <w:szCs w:val="18"/>
          <w:b w:val="1"/>
          <w:bCs w:val="1"/>
          <w:color w:val="auto"/>
        </w:rPr>
        <w:t>HCPs</w:t>
      </w:r>
      <w:r>
        <w:rPr>
          <w:rFonts w:ascii="Arial" w:cs="Arial" w:eastAsia="Arial" w:hAnsi="Arial"/>
          <w:sz w:val="18"/>
          <w:szCs w:val="18"/>
          <w:color w:val="auto"/>
        </w:rPr>
        <w:t>”), and our reporting of any payments made to HCPs. AVITA Medical is committed to the highest standards of business conduct in accordance with the AdvaMed Code of Ethics.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Interactions with Healthcare Providers</w:t>
      </w:r>
    </w:p>
    <w:p>
      <w:pPr>
        <w:spacing w:after="0" w:line="225"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Providing any benefits or advantages to HCPs in order to induce or encourage the use or referral of AVITA products is strictly prohibited by both U.S. and international laws and regulations. Restrictions under applicable Federal and State healthcare laws and regulations include but are not limited to the following:</w:t>
      </w:r>
    </w:p>
    <w:p>
      <w:pPr>
        <w:spacing w:after="0" w:line="3" w:lineRule="exact"/>
        <w:rPr>
          <w:sz w:val="20"/>
          <w:szCs w:val="20"/>
          <w:color w:val="auto"/>
        </w:rPr>
      </w:pPr>
    </w:p>
    <w:p>
      <w:pPr>
        <w:ind w:left="1120" w:hanging="370"/>
        <w:spacing w:after="0" w:line="281"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healthcare Anti-Kickback Statute (“</w:t>
      </w:r>
      <w:r>
        <w:rPr>
          <w:rFonts w:ascii="Arial" w:cs="Arial" w:eastAsia="Arial" w:hAnsi="Arial"/>
          <w:sz w:val="16"/>
          <w:szCs w:val="16"/>
          <w:b w:val="1"/>
          <w:bCs w:val="1"/>
          <w:color w:val="auto"/>
        </w:rPr>
        <w:t>AKS</w:t>
      </w:r>
      <w:r>
        <w:rPr>
          <w:rFonts w:ascii="Arial" w:cs="Arial" w:eastAsia="Arial" w:hAnsi="Arial"/>
          <w:sz w:val="16"/>
          <w:szCs w:val="16"/>
          <w:color w:val="auto"/>
        </w:rPr>
        <w:t>”). AKS prohibits any person from soliciting, offering, receiving, or providing any remuneration in cash or in kind, whether directly or indirectly, to induce or reward the referral, purchase, lease, order, or recommendation of any item or service for which payment may be made in whole or in part under a federal healthcare program such as Medicare and Medicaid</w:t>
      </w:r>
    </w:p>
    <w:p>
      <w:pPr>
        <w:spacing w:after="0" w:line="1" w:lineRule="exact"/>
        <w:rPr>
          <w:rFonts w:ascii="Arial" w:cs="Arial" w:eastAsia="Arial" w:hAnsi="Arial"/>
          <w:sz w:val="16"/>
          <w:szCs w:val="16"/>
          <w:color w:val="auto"/>
        </w:rPr>
      </w:pPr>
    </w:p>
    <w:p>
      <w:pPr>
        <w:ind w:left="1120" w:right="240" w:hanging="370"/>
        <w:spacing w:after="0" w:line="281"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False Claims Act (“</w:t>
      </w:r>
      <w:r>
        <w:rPr>
          <w:rFonts w:ascii="Arial" w:cs="Arial" w:eastAsia="Arial" w:hAnsi="Arial"/>
          <w:sz w:val="16"/>
          <w:szCs w:val="16"/>
          <w:b w:val="1"/>
          <w:bCs w:val="1"/>
          <w:color w:val="auto"/>
        </w:rPr>
        <w:t>FCA</w:t>
      </w:r>
      <w:r>
        <w:rPr>
          <w:rFonts w:ascii="Arial" w:cs="Arial" w:eastAsia="Arial" w:hAnsi="Arial"/>
          <w:sz w:val="16"/>
          <w:szCs w:val="16"/>
          <w:color w:val="auto"/>
        </w:rPr>
        <w:t>”). FCA may be enforced by either the U.S. Department of Justice or private whistleblowers should they choose to bring civil (qui tam) actions on behalf of the federal government. The FCA imposes civil penalties, as well as liability for treble damages and for attorneys’ fees and costs, on individuals or entities who knowingly present, or cause to be presented, claims for payment that are false or fraudulent to the federal government. FCA also imposes similar penalties on those who make a false statement material to a fraudulent claim, or who improperly avoid, decrease, or conceal an obligation to pay money to the federal government</w:t>
      </w:r>
    </w:p>
    <w:p>
      <w:pPr>
        <w:spacing w:after="0" w:line="2" w:lineRule="exact"/>
        <w:rPr>
          <w:rFonts w:ascii="Arial" w:cs="Arial" w:eastAsia="Arial" w:hAnsi="Arial"/>
          <w:sz w:val="16"/>
          <w:szCs w:val="16"/>
          <w:color w:val="auto"/>
        </w:rPr>
      </w:pPr>
    </w:p>
    <w:p>
      <w:pPr>
        <w:ind w:left="1120" w:right="240" w:hanging="370"/>
        <w:spacing w:after="0" w:line="260"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and foreign laws and regulations may apply to sales or marketing arrangements and claims involving healthcare devices or services reimbursed by non-governmental third-party payors</w:t>
      </w:r>
    </w:p>
    <w:p>
      <w:pPr>
        <w:spacing w:after="0" w:line="185"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Additionally, certain state laws require medical device companies to comply with voluntary guidelines in our interactions with healthcare providers promulgated by global trade associations and relevant compliance guidance issued by the U.S. Department of Health and Human Services, Office of Inspector General. Such laws prohibit medical device manufacturers from offering or providing certain types of payments or gifts to health care providers; and/or require the disclosure of gifts or payments to healthcare providers.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Interactions with Foreign Officials and Entities</w:t>
      </w:r>
    </w:p>
    <w:p>
      <w:pPr>
        <w:spacing w:after="0" w:line="221"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The U.S. Foreign Corrupt Practices Act (“</w:t>
      </w:r>
      <w:r>
        <w:rPr>
          <w:rFonts w:ascii="Arial" w:cs="Arial" w:eastAsia="Arial" w:hAnsi="Arial"/>
          <w:sz w:val="18"/>
          <w:szCs w:val="18"/>
          <w:b w:val="1"/>
          <w:bCs w:val="1"/>
          <w:color w:val="auto"/>
        </w:rPr>
        <w:t>FCPA</w:t>
      </w:r>
      <w:r>
        <w:rPr>
          <w:rFonts w:ascii="Arial" w:cs="Arial" w:eastAsia="Arial" w:hAnsi="Arial"/>
          <w:sz w:val="18"/>
          <w:szCs w:val="18"/>
          <w:color w:val="auto"/>
        </w:rPr>
        <w: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other anti-corruption laws that apply in countries where we do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and State Reporting</w:t>
      </w:r>
    </w:p>
    <w:p>
      <w:pPr>
        <w:spacing w:after="0" w:line="225"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Pursuant to the federal National Physician Payment Transparence Program (Open Payments) Act, AVITA Medical is required to report annually to the Centers for Medicare and Medicaid Services within the U.S. Department of Health and Human Services. Additionally, in adhering to federal reporting requirements, all relevant state marketing reporting regulations, any payments, and transfers of value to physicians and teaching hospitals, as well as other categories of disclosures must be reported annually.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Privac</w:t>
      </w:r>
      <w:r>
        <w:rPr>
          <w:rFonts w:ascii="Arial" w:cs="Arial" w:eastAsia="Arial" w:hAnsi="Arial"/>
          <w:sz w:val="18"/>
          <w:szCs w:val="18"/>
          <w:color w:val="auto"/>
        </w:rPr>
        <w:t>y</w:t>
      </w:r>
    </w:p>
    <w:p>
      <w:pPr>
        <w:spacing w:after="0" w:line="181" w:lineRule="exact"/>
        <w:rPr>
          <w:sz w:val="20"/>
          <w:szCs w:val="20"/>
          <w:color w:val="auto"/>
        </w:rPr>
      </w:pPr>
    </w:p>
    <w:p>
      <w:pPr>
        <w:ind w:right="20" w:firstLine="749"/>
        <w:spacing w:after="0" w:line="281" w:lineRule="auto"/>
        <w:rPr>
          <w:sz w:val="20"/>
          <w:szCs w:val="20"/>
          <w:color w:val="auto"/>
        </w:rPr>
      </w:pPr>
      <w:r>
        <w:rPr>
          <w:rFonts w:ascii="Arial" w:cs="Arial" w:eastAsia="Arial" w:hAnsi="Arial"/>
          <w:sz w:val="17"/>
          <w:szCs w:val="17"/>
          <w:color w:val="auto"/>
        </w:rPr>
        <w:t>AVITA Medical must comply with the federal Health Insurance Portability and Accountability Act of 1996 (“</w:t>
      </w:r>
      <w:r>
        <w:rPr>
          <w:rFonts w:ascii="Arial" w:cs="Arial" w:eastAsia="Arial" w:hAnsi="Arial"/>
          <w:sz w:val="17"/>
          <w:szCs w:val="17"/>
          <w:b w:val="1"/>
          <w:bCs w:val="1"/>
          <w:color w:val="auto"/>
        </w:rPr>
        <w:t>HIPAA</w:t>
      </w:r>
      <w:r>
        <w:rPr>
          <w:rFonts w:ascii="Arial" w:cs="Arial" w:eastAsia="Arial" w:hAnsi="Arial"/>
          <w:sz w:val="17"/>
          <w:szCs w:val="17"/>
          <w:color w:val="auto"/>
        </w:rPr>
        <w:t>”) which imposes criminal and civil liability for, among other conduct, making false statements relating to healthcare matters and executing a scheme to defraud any healthcare benefit program. It also imposes criminal and civil liability and penalties on those who violate requirements such as mandatory contractual terms which are intended to safeguard the security, transmission and use of individually identifiable health information.</w:t>
      </w:r>
    </w:p>
    <w:p>
      <w:pPr>
        <w:spacing w:after="0" w:line="169" w:lineRule="exact"/>
        <w:rPr>
          <w:sz w:val="20"/>
          <w:szCs w:val="20"/>
          <w:color w:val="auto"/>
        </w:rPr>
      </w:pPr>
    </w:p>
    <w:p>
      <w:pPr>
        <w:jc w:val="both"/>
        <w:ind w:right="240" w:firstLine="749"/>
        <w:spacing w:after="0" w:line="286" w:lineRule="auto"/>
        <w:rPr>
          <w:sz w:val="20"/>
          <w:szCs w:val="20"/>
          <w:color w:val="auto"/>
        </w:rPr>
      </w:pPr>
      <w:r>
        <w:rPr>
          <w:rFonts w:ascii="Arial" w:cs="Arial" w:eastAsia="Arial" w:hAnsi="Arial"/>
          <w:sz w:val="17"/>
          <w:szCs w:val="17"/>
          <w:color w:val="auto"/>
        </w:rPr>
        <w:t>Various state and foreign laws also govern the privacy and security of health information such as the European Union General Data Protection Regulation (“</w:t>
      </w:r>
      <w:r>
        <w:rPr>
          <w:rFonts w:ascii="Arial" w:cs="Arial" w:eastAsia="Arial" w:hAnsi="Arial"/>
          <w:sz w:val="17"/>
          <w:szCs w:val="17"/>
          <w:b w:val="1"/>
          <w:bCs w:val="1"/>
          <w:color w:val="auto"/>
        </w:rPr>
        <w:t>GDPR</w:t>
      </w:r>
      <w:r>
        <w:rPr>
          <w:rFonts w:ascii="Arial" w:cs="Arial" w:eastAsia="Arial" w:hAnsi="Arial"/>
          <w:sz w:val="17"/>
          <w:szCs w:val="17"/>
          <w:color w:val="auto"/>
        </w:rPr>
        <w:t>”). GDPR governs the use of individual health data and other personal information and imposes strict obligations and restrictions on the ability to use, access, process, and disseminate health data from clinical trials and adverse event reporting, among others.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229"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We are subject to extensive environmental, health and safety laws and regulations in a number of jurisdictions, primarily in California and the U.S., governing, among other things: the use, storage, registration, handling, emission and disposal of chemicals, waste materials and sewage; chemicals, air, water and ground contamination; and air emissions and the cleanup of contaminated sites, including any contamination that could result from spills due to our failure to properly dispose of production waste materials. Our operations at our Ventura manufacturing facility produce a small amount of waste materials that are considered minimally hazardous, and we use a third-party waste disposal company to remove any waste generated during operations from the facility. Our activities require permits from various governmental authorities including local municipal authorities. Local and state authorities may conduct periodic inspections in order to review and ensure our compliance with the various regulations. We are not presently aware of any violations or deficiencies. These laws, regulations and permits could potentially require the expenditure by us for compliance or remediation.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files annual, quarterly and current reports, proxy statements and other documents with the 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under the Exchange Act. The SEC maintains a website that contains reports, proxy and information statements, and other information regarding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issuers that file electronically with the SEC. The public can obtain any documents that we file with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In addition, copies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announcements made by the Company to ASX are available on the ASX website (</w:t>
      </w:r>
      <w:r>
        <w:rPr>
          <w:rFonts w:ascii="Arial" w:cs="Arial" w:eastAsia="Arial" w:hAnsi="Arial"/>
          <w:sz w:val="17"/>
          <w:szCs w:val="17"/>
          <w:u w:val="single" w:color="auto"/>
          <w:color w:val="auto"/>
        </w:rPr>
        <w:t>www.asx.com.au</w:t>
      </w:r>
      <w:r>
        <w:rPr>
          <w:rFonts w:ascii="Arial" w:cs="Arial" w:eastAsia="Arial" w:hAnsi="Arial"/>
          <w:sz w:val="17"/>
          <w:szCs w:val="17"/>
          <w:color w:val="auto"/>
        </w:rPr>
        <w:t>) and also, under the heading “Investors: Press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Releases” at the following link on our website (</w:t>
      </w:r>
      <w:r>
        <w:rPr>
          <w:rFonts w:ascii="Arial" w:cs="Arial" w:eastAsia="Arial" w:hAnsi="Arial"/>
          <w:sz w:val="17"/>
          <w:szCs w:val="17"/>
          <w:u w:val="single" w:color="auto"/>
          <w:color w:val="5B9BD5"/>
        </w:rPr>
        <w:t>https://ir.avitamedical.com/press-releases).</w:t>
      </w:r>
      <w:r>
        <w:rPr>
          <w:rFonts w:ascii="Arial" w:cs="Arial" w:eastAsia="Arial" w:hAnsi="Arial"/>
          <w:sz w:val="17"/>
          <w:szCs w:val="17"/>
          <w:color w:val="auto"/>
        </w:rPr>
        <w:t xml:space="preserve"> We maintain a website at www.avitamedical.com.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becoming a domestic U.S. issuer on July 1, 2020, our filings with the SEC, including without limitation, our annual reports on Form 10-K, quarterly reports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Form 10-Q, current reports on Form 8-K, and amendments to those reports filed or furnished pursuant to Section 13(a) or 15(d) of the Exchange Act,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free of charge on our website under the heading “Investors: Financials _SEC Filings” at the following link on our website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https://ir.avitamedical.com/financials/sec-filings</w:t>
      </w:r>
      <w:r>
        <w:rPr>
          <w:rFonts w:ascii="Arial" w:cs="Arial" w:eastAsia="Arial" w:hAnsi="Arial"/>
          <w:sz w:val="16"/>
          <w:szCs w:val="16"/>
          <w:color w:val="auto"/>
        </w:rPr>
        <w:t>), as soon as reasonably practicable after we file or furnish them electronically with the SEC.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contained on our website is not part of or incorporated into this annual report.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total of six subsidiaries and their corporate details and business activities are listed below:</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Subsidiary Name</w:t>
            </w:r>
          </w:p>
        </w:tc>
        <w:tc>
          <w:tcPr>
            <w:tcW w:w="2520" w:type="dxa"/>
            <w:vAlign w:val="bottom"/>
          </w:tcPr>
          <w:p>
            <w:pPr>
              <w:ind w:left="1500"/>
              <w:spacing w:after="0"/>
              <w:rPr>
                <w:sz w:val="20"/>
                <w:szCs w:val="20"/>
                <w:color w:val="auto"/>
              </w:rPr>
            </w:pPr>
            <w:r>
              <w:rPr>
                <w:rFonts w:ascii="Arial" w:cs="Arial" w:eastAsia="Arial" w:hAnsi="Arial"/>
                <w:sz w:val="14"/>
                <w:szCs w:val="14"/>
                <w:b w:val="1"/>
                <w:bCs w:val="1"/>
                <w:color w:val="auto"/>
              </w:rPr>
              <w:t>Place of</w:t>
            </w:r>
          </w:p>
        </w:tc>
        <w:tc>
          <w:tcPr>
            <w:tcW w:w="820" w:type="dxa"/>
            <w:vAlign w:val="bottom"/>
          </w:tcPr>
          <w:p>
            <w:pPr>
              <w:jc w:val="center"/>
              <w:ind w:left="115"/>
              <w:spacing w:after="0"/>
              <w:rPr>
                <w:sz w:val="20"/>
                <w:szCs w:val="20"/>
                <w:color w:val="auto"/>
              </w:rPr>
            </w:pPr>
            <w:r>
              <w:rPr>
                <w:rFonts w:ascii="Arial" w:cs="Arial" w:eastAsia="Arial" w:hAnsi="Arial"/>
                <w:sz w:val="14"/>
                <w:szCs w:val="14"/>
                <w:b w:val="1"/>
                <w:bCs w:val="1"/>
                <w:color w:val="auto"/>
              </w:rPr>
              <w:t>%</w:t>
            </w:r>
          </w:p>
        </w:tc>
        <w:tc>
          <w:tcPr>
            <w:tcW w:w="1900" w:type="dxa"/>
            <w:vAlign w:val="bottom"/>
            <w:vMerge w:val="restart"/>
          </w:tcPr>
          <w:p>
            <w:pPr>
              <w:ind w:left="740"/>
              <w:spacing w:after="0"/>
              <w:rPr>
                <w:sz w:val="20"/>
                <w:szCs w:val="20"/>
                <w:color w:val="auto"/>
              </w:rPr>
            </w:pPr>
            <w:r>
              <w:rPr>
                <w:rFonts w:ascii="Arial" w:cs="Arial" w:eastAsia="Arial" w:hAnsi="Arial"/>
                <w:sz w:val="14"/>
                <w:szCs w:val="14"/>
                <w:b w:val="1"/>
                <w:bCs w:val="1"/>
                <w:color w:val="auto"/>
                <w:w w:val="93"/>
              </w:rPr>
              <w:t>Business Purpose</w:t>
            </w:r>
          </w:p>
        </w:tc>
        <w:tc>
          <w:tcPr>
            <w:tcW w:w="0" w:type="dxa"/>
            <w:vAlign w:val="bottom"/>
          </w:tcPr>
          <w:p>
            <w:pPr>
              <w:spacing w:after="0"/>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2520" w:type="dxa"/>
            <w:vAlign w:val="bottom"/>
          </w:tcPr>
          <w:p>
            <w:pPr>
              <w:ind w:left="1300"/>
              <w:spacing w:after="0"/>
              <w:rPr>
                <w:sz w:val="20"/>
                <w:szCs w:val="20"/>
                <w:color w:val="auto"/>
              </w:rPr>
            </w:pPr>
            <w:r>
              <w:rPr>
                <w:rFonts w:ascii="Arial" w:cs="Arial" w:eastAsia="Arial" w:hAnsi="Arial"/>
                <w:sz w:val="14"/>
                <w:szCs w:val="14"/>
                <w:b w:val="1"/>
                <w:bCs w:val="1"/>
                <w:color w:val="auto"/>
              </w:rPr>
              <w:t>Incorporation</w:t>
            </w:r>
          </w:p>
        </w:tc>
        <w:tc>
          <w:tcPr>
            <w:tcW w:w="820" w:type="dxa"/>
            <w:vAlign w:val="bottom"/>
          </w:tcPr>
          <w:p>
            <w:pPr>
              <w:ind w:left="360"/>
              <w:spacing w:after="0"/>
              <w:rPr>
                <w:sz w:val="20"/>
                <w:szCs w:val="20"/>
                <w:color w:val="auto"/>
              </w:rPr>
            </w:pPr>
            <w:r>
              <w:rPr>
                <w:rFonts w:ascii="Arial" w:cs="Arial" w:eastAsia="Arial" w:hAnsi="Arial"/>
                <w:sz w:val="14"/>
                <w:szCs w:val="14"/>
                <w:b w:val="1"/>
                <w:bCs w:val="1"/>
                <w:color w:val="auto"/>
              </w:rPr>
              <w:t>Held</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3280" w:type="dxa"/>
            <w:vAlign w:val="bottom"/>
          </w:tcPr>
          <w:p>
            <w:pPr>
              <w:spacing w:after="0"/>
              <w:rPr>
                <w:sz w:val="20"/>
                <w:szCs w:val="20"/>
                <w:color w:val="auto"/>
              </w:rPr>
            </w:pPr>
            <w:r>
              <w:rPr>
                <w:rFonts w:ascii="Arial" w:cs="Arial" w:eastAsia="Arial" w:hAnsi="Arial"/>
                <w:sz w:val="18"/>
                <w:szCs w:val="18"/>
                <w:color w:val="auto"/>
              </w:rPr>
              <w:t>AVITA Medical Pty Limited</w:t>
            </w:r>
          </w:p>
        </w:tc>
        <w:tc>
          <w:tcPr>
            <w:tcW w:w="252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3"/>
              </w:rPr>
              <w:t>100</w:t>
            </w:r>
          </w:p>
        </w:tc>
        <w:tc>
          <w:tcPr>
            <w:tcW w:w="1900" w:type="dxa"/>
            <w:vAlign w:val="bottom"/>
          </w:tcPr>
          <w:p>
            <w:pPr>
              <w:ind w:left="180"/>
              <w:spacing w:after="0"/>
              <w:rPr>
                <w:sz w:val="20"/>
                <w:szCs w:val="20"/>
                <w:color w:val="auto"/>
              </w:rPr>
            </w:pPr>
            <w:r>
              <w:rPr>
                <w:rFonts w:ascii="Arial" w:cs="Arial" w:eastAsia="Arial" w:hAnsi="Arial"/>
                <w:sz w:val="18"/>
                <w:szCs w:val="18"/>
                <w:color w:val="auto"/>
              </w:rPr>
              <w:t>Operating Company</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AVITA Medical Americas, LLC</w:t>
            </w:r>
          </w:p>
        </w:tc>
        <w:tc>
          <w:tcPr>
            <w:tcW w:w="2520" w:type="dxa"/>
            <w:vAlign w:val="bottom"/>
          </w:tcPr>
          <w:p>
            <w:pPr>
              <w:ind w:left="940"/>
              <w:spacing w:after="0"/>
              <w:rPr>
                <w:sz w:val="20"/>
                <w:szCs w:val="20"/>
                <w:color w:val="auto"/>
              </w:rPr>
            </w:pPr>
            <w:r>
              <w:rPr>
                <w:rFonts w:ascii="Arial" w:cs="Arial" w:eastAsia="Arial" w:hAnsi="Arial"/>
                <w:sz w:val="18"/>
                <w:szCs w:val="18"/>
                <w:color w:val="auto"/>
              </w:rPr>
              <w:t>Delaware</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3"/>
              </w:rPr>
              <w:t>100</w:t>
            </w:r>
          </w:p>
        </w:tc>
        <w:tc>
          <w:tcPr>
            <w:tcW w:w="1900" w:type="dxa"/>
            <w:vAlign w:val="bottom"/>
          </w:tcPr>
          <w:p>
            <w:pPr>
              <w:ind w:left="180"/>
              <w:spacing w:after="0"/>
              <w:rPr>
                <w:sz w:val="20"/>
                <w:szCs w:val="20"/>
                <w:color w:val="auto"/>
              </w:rPr>
            </w:pPr>
            <w:r>
              <w:rPr>
                <w:rFonts w:ascii="Arial" w:cs="Arial" w:eastAsia="Arial" w:hAnsi="Arial"/>
                <w:sz w:val="18"/>
                <w:szCs w:val="18"/>
                <w:color w:val="auto"/>
              </w:rPr>
              <w:t>U.S. operations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AVITA Medical Europe Limited</w:t>
            </w:r>
          </w:p>
        </w:tc>
        <w:tc>
          <w:tcPr>
            <w:tcW w:w="2520" w:type="dxa"/>
            <w:vAlign w:val="bottom"/>
          </w:tcPr>
          <w:p>
            <w:pPr>
              <w:ind w:left="940"/>
              <w:spacing w:after="0"/>
              <w:rPr>
                <w:sz w:val="20"/>
                <w:szCs w:val="20"/>
                <w:color w:val="auto"/>
              </w:rPr>
            </w:pPr>
            <w:r>
              <w:rPr>
                <w:rFonts w:ascii="Arial" w:cs="Arial" w:eastAsia="Arial" w:hAnsi="Arial"/>
                <w:sz w:val="18"/>
                <w:szCs w:val="18"/>
                <w:color w:val="auto"/>
              </w:rPr>
              <w:t>United Kingdom</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3"/>
              </w:rPr>
              <w:t>100</w:t>
            </w:r>
          </w:p>
        </w:tc>
        <w:tc>
          <w:tcPr>
            <w:tcW w:w="1900" w:type="dxa"/>
            <w:vAlign w:val="bottom"/>
          </w:tcPr>
          <w:p>
            <w:pPr>
              <w:ind w:left="180"/>
              <w:spacing w:after="0"/>
              <w:rPr>
                <w:sz w:val="20"/>
                <w:szCs w:val="20"/>
                <w:color w:val="auto"/>
              </w:rPr>
            </w:pPr>
            <w:r>
              <w:rPr>
                <w:rFonts w:ascii="Arial" w:cs="Arial" w:eastAsia="Arial" w:hAnsi="Arial"/>
                <w:sz w:val="18"/>
                <w:szCs w:val="18"/>
                <w:color w:val="auto"/>
              </w:rPr>
              <w:t>EMEA operations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Visiomed Group Pty Ltd</w:t>
            </w:r>
          </w:p>
        </w:tc>
        <w:tc>
          <w:tcPr>
            <w:tcW w:w="252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3"/>
              </w:rPr>
              <w:t>100</w:t>
            </w:r>
          </w:p>
        </w:tc>
        <w:tc>
          <w:tcPr>
            <w:tcW w:w="1900" w:type="dxa"/>
            <w:vAlign w:val="bottom"/>
          </w:tcPr>
          <w:p>
            <w:pPr>
              <w:ind w:left="180"/>
              <w:spacing w:after="0"/>
              <w:rPr>
                <w:sz w:val="20"/>
                <w:szCs w:val="20"/>
                <w:color w:val="auto"/>
              </w:rPr>
            </w:pPr>
            <w:r>
              <w:rPr>
                <w:rFonts w:ascii="Arial" w:cs="Arial" w:eastAsia="Arial" w:hAnsi="Arial"/>
                <w:sz w:val="18"/>
                <w:szCs w:val="18"/>
                <w:color w:val="auto"/>
                <w:w w:val="91"/>
              </w:rPr>
              <w:t>Asia Pacific Operations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C3 Operations Pty Ltd</w:t>
            </w:r>
          </w:p>
        </w:tc>
        <w:tc>
          <w:tcPr>
            <w:tcW w:w="252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3"/>
              </w:rPr>
              <w:t>100</w:t>
            </w:r>
          </w:p>
        </w:tc>
        <w:tc>
          <w:tcPr>
            <w:tcW w:w="1900" w:type="dxa"/>
            <w:vAlign w:val="bottom"/>
          </w:tcPr>
          <w:p>
            <w:pPr>
              <w:ind w:left="180"/>
              <w:spacing w:after="0"/>
              <w:rPr>
                <w:sz w:val="20"/>
                <w:szCs w:val="20"/>
                <w:color w:val="auto"/>
              </w:rPr>
            </w:pPr>
            <w:r>
              <w:rPr>
                <w:rFonts w:ascii="Arial" w:cs="Arial" w:eastAsia="Arial" w:hAnsi="Arial"/>
                <w:sz w:val="18"/>
                <w:szCs w:val="18"/>
                <w:color w:val="auto"/>
              </w:rPr>
              <w:t>Holding company</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Infamed Pty Ltd</w:t>
            </w:r>
          </w:p>
        </w:tc>
        <w:tc>
          <w:tcPr>
            <w:tcW w:w="252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3"/>
              </w:rPr>
              <w:t>100</w:t>
            </w:r>
          </w:p>
        </w:tc>
        <w:tc>
          <w:tcPr>
            <w:tcW w:w="1900" w:type="dxa"/>
            <w:vAlign w:val="bottom"/>
          </w:tcPr>
          <w:p>
            <w:pPr>
              <w:ind w:left="180"/>
              <w:spacing w:after="0"/>
              <w:rPr>
                <w:sz w:val="20"/>
                <w:szCs w:val="20"/>
                <w:color w:val="auto"/>
              </w:rPr>
            </w:pPr>
            <w:r>
              <w:rPr>
                <w:rFonts w:ascii="Arial" w:cs="Arial" w:eastAsia="Arial" w:hAnsi="Arial"/>
                <w:sz w:val="18"/>
                <w:szCs w:val="18"/>
                <w:color w:val="auto"/>
              </w:rPr>
              <w:t>Inactive</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Our business faces significant risks. You should carefully consider all of the information set forth in this annual report, including the following risk factors. Our business, results of operations, and financial condition could be materially and adversely affected by any of these risks, and in such event, the trading price of our common stock would likely decline, and you might lose all or part of your investment. This Annual Report also contains forward-looking statements that involve risks and uncertainties, and our results could materially differ from those anticipated in these forward-looking statements. See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included elsewhere within this Annual Report for a discussion of certain risks, uncertainties and assumptions associated with these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significant losses, expect losses to continue for the foreseeable future and may never achieve or maintain profitability.</w:t>
      </w:r>
    </w:p>
    <w:p>
      <w:pPr>
        <w:spacing w:after="0" w:line="248" w:lineRule="exact"/>
        <w:rPr>
          <w:sz w:val="20"/>
          <w:szCs w:val="20"/>
          <w:color w:val="auto"/>
        </w:rPr>
      </w:pPr>
    </w:p>
    <w:p>
      <w:pPr>
        <w:ind w:right="80" w:firstLine="749"/>
        <w:spacing w:after="0" w:line="250" w:lineRule="auto"/>
        <w:rPr>
          <w:sz w:val="20"/>
          <w:szCs w:val="20"/>
          <w:color w:val="auto"/>
        </w:rPr>
      </w:pPr>
      <w:r>
        <w:rPr>
          <w:rFonts w:ascii="Arial" w:cs="Arial" w:eastAsia="Arial" w:hAnsi="Arial"/>
          <w:sz w:val="17"/>
          <w:szCs w:val="17"/>
          <w:color w:val="auto"/>
        </w:rPr>
        <w:t>Although we have begun full scale marketing and sales of our RECELL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in the United States and other jurisdictions, such sales have been limited to date and we have not yet obtained profitability. We had a total net loss of $26.7 million and $25.1 million for the year-ended December 31, 2022 and the year-ended December 31, 2021, respectively. We have incurred a cumulative deficit of $262.6 million through December 31, 2022. We anticipate that we may continue to incur losses at least until U.S. sales of the RECELL System are adequate to fund operating expenses. We may not be able to successfully achieve or sustain profitability. Successful transition to profitable operations is dependent upon achieving a level of revenues adequate to support our cost structure, including in new markets for which we are not presently approved.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U.S. government contracts, including our contracts with BARDA, may affect our intellectual property rights.</w:t>
      </w:r>
    </w:p>
    <w:p>
      <w:pPr>
        <w:spacing w:after="0" w:line="225" w:lineRule="exact"/>
        <w:rPr>
          <w:sz w:val="20"/>
          <w:szCs w:val="20"/>
          <w:color w:val="auto"/>
        </w:rPr>
      </w:pPr>
    </w:p>
    <w:p>
      <w:pPr>
        <w:ind w:right="100" w:firstLine="749"/>
        <w:spacing w:after="0" w:line="271" w:lineRule="auto"/>
        <w:rPr>
          <w:sz w:val="20"/>
          <w:szCs w:val="20"/>
          <w:color w:val="auto"/>
        </w:rPr>
      </w:pPr>
      <w:r>
        <w:rPr>
          <w:rFonts w:ascii="Arial" w:cs="Arial" w:eastAsia="Arial" w:hAnsi="Arial"/>
          <w:sz w:val="17"/>
          <w:szCs w:val="17"/>
          <w:color w:val="auto"/>
        </w:rPr>
        <w:t>Certain of our activities have been funded, and may in the future be funded, by the U.S. government, including through our contracts with BARDA. When new technologies are developed with U.S. government funding, the government obtains certain rights in any resulting patents, including the right to a nonexclusive license authorizing the government to use the invention and rights that may permit the government to disclose our confidential information to third parties and to exercise “march-in” rights.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U.S. government funding must be disclosed in any resulting patent applications, and our rights in such inventions may be subject to certain requirements to manufacture products in the United States.</w:t>
      </w:r>
    </w:p>
    <w:p>
      <w:pPr>
        <w:spacing w:after="0" w:line="192"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Development and commercialization of our products require successful completion of the regulatory approval process and may suffer delays or fail. We may be unsuccessful in obtaining additional approvals for our RECELL System for soft tissue repair and skin conditions such as vitiligo.</w:t>
      </w:r>
    </w:p>
    <w:p>
      <w:pPr>
        <w:spacing w:after="0" w:line="124"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In the United States, as well as other jurisdictions, we have been and will be required to apply for and receive regulatory authorization before we can market our products. Although our RECELL System has been approved for use in the treatment of acute partial-thickness thermal burn wounds in patients 18 years of age and older or application in combination with meshed autografting for acute full-thickness thermal burn wounds in pediatric and adult patients in the United States, we are looking to expand the indications of the product for use in soft tissue repair and vitiligo. In December 2022, the company submitted a PMA supplement to expand the use of RECELL for soft tissue repair and an original PMA application for the use of RECELL for treatment of vitiligo. While clinical trials for such uses are nearing completion, there can be no assurance that we will be successful in those clinical trials or ever receive approval by the FDA for the use of our RECELL System for such additional applications. Such a failure of approval would have a material negative effect on our future prospects.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In Australia, the RECELL System is approved to use for the treatment of burns, acute wounds, scars and vitiligo. In the EU the product has been approved for the treatment of burns, chronic wounds, scars and vitiligo. We worked with COSMOTEC to advance our application for approval of the RECELL System in Japan pursuant to Japan’s Pharmaceuticals and Medical Devices Act (“</w:t>
      </w:r>
      <w:r>
        <w:rPr>
          <w:rFonts w:ascii="Arial" w:cs="Arial" w:eastAsia="Arial" w:hAnsi="Arial"/>
          <w:sz w:val="17"/>
          <w:szCs w:val="17"/>
          <w:b w:val="1"/>
          <w:bCs w:val="1"/>
          <w:color w:val="auto"/>
        </w:rPr>
        <w:t>PMDA</w:t>
      </w:r>
      <w:r>
        <w:rPr>
          <w:rFonts w:ascii="Arial" w:cs="Arial" w:eastAsia="Arial" w:hAnsi="Arial"/>
          <w:sz w:val="17"/>
          <w:szCs w:val="17"/>
          <w:color w:val="auto"/>
        </w:rPr>
        <w:t>”). In February 2022, our application for regulatory approval was approved by the PMDA for both adult and pediatric burns. We will require additional clinical data or approvals from regulatory authorities within these countries to market the product for the treatment of other indications, and from any other jurisdictions in which we seek to market the product. This process can be time consuming and complicated and may be unsuccessful or otherwise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182"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United States or elsewhere. If we are slow or unable to adapt to new or changed requirements, or if we are not able to maintain regulatory compliance, we may lose any marketing approval that we may have obtained, and we may not achieve or sustain profitability.</w:t>
      </w:r>
    </w:p>
    <w:p>
      <w:pPr>
        <w:spacing w:after="0" w:line="166"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p>
    <w:p>
      <w:pPr>
        <w:spacing w:after="0" w:line="188"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170"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if the FDA grants marketing approval for use of our RECELL System for the treatment soft tissue repair and/or vitiligo, comparable regulatory authorities in foreign jurisdictions must also approve the manufacturing, marketing and promotion of the product candidate in those countries if not currently approved.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medical device must be approved for reimbursement before it can be approved for sale in that jurisdiction. In some cases, the price that we intend to charge for our products is also subject to approval.</w:t>
      </w:r>
    </w:p>
    <w:p>
      <w:pPr>
        <w:spacing w:after="0" w:line="1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regulatory approval in the United States and failure to maintain that approval would materially impact our business and prospects.</w:t>
      </w:r>
    </w:p>
    <w:p>
      <w:pPr>
        <w:spacing w:after="0" w:line="170"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Our business is highly dependent on the PMA we received in September 2018 from the FDA. This PMA allows us to sell our RECELL System in the United States, our current primary market. In addition, maintaining this PMA also increases the probability of approval of secondary indications for the PMA outside of burns. While we intend to take every action and precaution to ensure that our PMA remains effective, it is possible that the FDA could take a position in the future that requires a modification, temporary suspension or revocation of our PMA. Any such action by the FDA would have a material adverse effect on our business.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any further clinical studies necessary to support any regulatory applications for additional commercial applications of our technology.</w:t>
      </w:r>
    </w:p>
    <w:p>
      <w:pPr>
        <w:spacing w:after="0" w:line="17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w:t>
      </w:r>
    </w:p>
    <w:p>
      <w:pPr>
        <w:spacing w:after="0" w:line="184" w:lineRule="exact"/>
        <w:rPr>
          <w:sz w:val="20"/>
          <w:szCs w:val="20"/>
          <w:color w:val="auto"/>
        </w:rPr>
      </w:pPr>
    </w:p>
    <w:p>
      <w:pPr>
        <w:ind w:right="1660" w:firstLine="749"/>
        <w:spacing w:after="0" w:line="274" w:lineRule="auto"/>
        <w:rPr>
          <w:sz w:val="20"/>
          <w:szCs w:val="20"/>
          <w:color w:val="auto"/>
        </w:rPr>
      </w:pPr>
      <w:r>
        <w:rPr>
          <w:rFonts w:ascii="Arial" w:cs="Arial" w:eastAsia="Arial" w:hAnsi="Arial"/>
          <w:sz w:val="17"/>
          <w:szCs w:val="17"/>
          <w:color w:val="auto"/>
        </w:rPr>
        <w:t>A failure in a clinical study or regulatory application can occur at any stage. Events that may prevent successful or timely commencement, enrollment or completion of clinical development or a regulatory application include:</w:t>
      </w: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raising, or inability to raise, sufficient capital to fund the planned trials;</w:t>
      </w:r>
    </w:p>
    <w:p>
      <w:pPr>
        <w:spacing w:after="0" w:line="21"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trial design;</w:t>
      </w:r>
    </w:p>
    <w:p>
      <w:pPr>
        <w:spacing w:after="0" w:line="36"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trial design;</w:t>
      </w:r>
    </w:p>
    <w:p>
      <w:pPr>
        <w:spacing w:after="0" w:line="36"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recruit and train suitable clinical investigators;</w:t>
      </w:r>
    </w:p>
    <w:p>
      <w:pPr>
        <w:spacing w:after="0" w:line="36"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add new clinical trial sites;</w:t>
      </w:r>
    </w:p>
    <w:p>
      <w:pPr>
        <w:spacing w:after="0" w:line="36" w:lineRule="exact"/>
        <w:rPr>
          <w:rFonts w:ascii="Arial" w:cs="Arial" w:eastAsia="Arial" w:hAnsi="Arial"/>
          <w:sz w:val="18"/>
          <w:szCs w:val="18"/>
          <w:color w:val="auto"/>
        </w:rPr>
      </w:pPr>
    </w:p>
    <w:p>
      <w:pPr>
        <w:ind w:left="1120" w:right="360" w:hanging="370"/>
        <w:spacing w:after="0" w:line="258"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for the performance of the trials with prospective clinical research organizations and clinical trial sites;</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recruiting suitable clinical sites and patients (i.e., subjects) to participate in clinical trials;</w:t>
      </w:r>
    </w:p>
    <w:p>
      <w:pPr>
        <w:spacing w:after="0" w:line="21" w:lineRule="exact"/>
        <w:rPr>
          <w:rFonts w:ascii="Arial" w:cs="Arial" w:eastAsia="Arial" w:hAnsi="Arial"/>
          <w:sz w:val="18"/>
          <w:szCs w:val="18"/>
          <w:color w:val="auto"/>
        </w:rPr>
      </w:pPr>
    </w:p>
    <w:p>
      <w:pPr>
        <w:ind w:left="1120" w:right="180" w:hanging="370"/>
        <w:spacing w:after="0" w:line="258"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negative clinical results, safety concerns or as a result of an inspection of manufacturing or clinical operations or trial sites;</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by any relevant parties to adhere to clinical trial requirements;</w:t>
      </w:r>
    </w:p>
    <w:p>
      <w:pPr>
        <w:spacing w:after="0" w:line="17"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perform in accordance with the FDA’s Good Clinical Practice (“</w:t>
      </w:r>
      <w:r>
        <w:rPr>
          <w:rFonts w:ascii="Arial" w:cs="Arial" w:eastAsia="Arial" w:hAnsi="Arial"/>
          <w:sz w:val="16"/>
          <w:szCs w:val="16"/>
          <w:b w:val="1"/>
          <w:bCs w:val="1"/>
          <w:color w:val="auto"/>
        </w:rPr>
        <w:t>GCPs</w:t>
      </w:r>
      <w:r>
        <w:rPr>
          <w:rFonts w:ascii="Arial" w:cs="Arial" w:eastAsia="Arial" w:hAnsi="Arial"/>
          <w:sz w:val="16"/>
          <w:szCs w:val="16"/>
          <w:color w:val="auto"/>
        </w:rPr>
        <w:t>”), or applicable regulatory guidelines in other countries;</w:t>
      </w:r>
    </w:p>
    <w:p>
      <w:pPr>
        <w:spacing w:after="0" w:line="63" w:lineRule="exact"/>
        <w:rPr>
          <w:rFonts w:ascii="Arial" w:cs="Arial" w:eastAsia="Arial" w:hAnsi="Arial"/>
          <w:sz w:val="16"/>
          <w:szCs w:val="16"/>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36"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caused by clinical trial sites not completing a trial;</w:t>
      </w:r>
    </w:p>
    <w:p>
      <w:pPr>
        <w:spacing w:after="0" w:line="36"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demonstrate adequate effectiveness;</w:t>
      </w:r>
    </w:p>
    <w:p>
      <w:pPr>
        <w:spacing w:after="0" w:line="36" w:lineRule="exact"/>
        <w:rPr>
          <w:rFonts w:ascii="Arial" w:cs="Arial" w:eastAsia="Arial" w:hAnsi="Arial"/>
          <w:sz w:val="18"/>
          <w:szCs w:val="18"/>
          <w:color w:val="auto"/>
        </w:rPr>
      </w:pPr>
    </w:p>
    <w:p>
      <w:pPr>
        <w:ind w:left="1120" w:right="600" w:hanging="370"/>
        <w:spacing w:after="0" w:line="258"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that are associated with the product candidates that are viewed to outweigh its potential benefits;</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1" w:lineRule="exact"/>
        <w:rPr>
          <w:rFonts w:ascii="Arial" w:cs="Arial" w:eastAsia="Arial" w:hAnsi="Arial"/>
          <w:sz w:val="18"/>
          <w:szCs w:val="18"/>
          <w:color w:val="auto"/>
        </w:rPr>
      </w:pPr>
    </w:p>
    <w:p>
      <w:pPr>
        <w:ind w:left="1120" w:right="180" w:hanging="370"/>
        <w:spacing w:after="0" w:line="258"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events, safety issues, product recalls, manufacturing or supply chain interruptions, or poor clinical outcomes where the RECELL System is being used commercially; and</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disagreements with regulatory agencies in the interpretation of the data from our clinical trials.</w:t>
      </w:r>
    </w:p>
    <w:p>
      <w:pPr>
        <w:spacing w:after="0" w:line="238"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unsuccessful in commercializing our RECELL System, or other future products, due to unfavorable pricing regulations or third-party coverage and reimbursement policies.</w:t>
      </w:r>
    </w:p>
    <w:p>
      <w:pPr>
        <w:spacing w:after="0" w:line="17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We cannot guarantee that we will receive favorable pricing and reimbursement for use of our products. The rules and regulations that govern pricing and reimbursement for medical products vary widely from country to country or from indication to indication, and within the United States, can also vary widely from one health system or hospital to the next. In some foreign jurisdictions, including the EU,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88"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w:t>
      </w:r>
    </w:p>
    <w:p>
      <w:pPr>
        <w:spacing w:after="0" w:line="187"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If we are unable to promptly obtain coverage and profitable payment rates from hospital budget, government-funded and private purchasers for the RECELL System or any future products, this could have a material adverse effect on our operating results, our ability to raise capital needed to commercialize products and our overall financial condition.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presently benefit from various reimbursement codes, including the following:</w:t>
      </w:r>
    </w:p>
    <w:p>
      <w:pPr>
        <w:spacing w:after="0" w:line="113" w:lineRule="exact"/>
        <w:rPr>
          <w:sz w:val="20"/>
          <w:szCs w:val="20"/>
          <w:color w:val="auto"/>
        </w:rPr>
      </w:pPr>
    </w:p>
    <w:p>
      <w:pPr>
        <w:ind w:left="1120" w:hanging="356"/>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Reimbursement for hospitals in inpatient services using Medicare Severity Diagnosis-Related Groups (“</w:t>
      </w:r>
      <w:r>
        <w:rPr>
          <w:rFonts w:ascii="Arial" w:cs="Arial" w:eastAsia="Arial" w:hAnsi="Arial"/>
          <w:sz w:val="18"/>
          <w:szCs w:val="18"/>
          <w:b w:val="1"/>
          <w:bCs w:val="1"/>
          <w:color w:val="auto"/>
        </w:rPr>
        <w:t>MS-DRGs</w:t>
      </w: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1120" w:hanging="356"/>
        <w:spacing w:after="0" w:line="261"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Specific International Classification of Disease, 10th revision, Procedure Classification System (“</w:t>
      </w:r>
      <w:r>
        <w:rPr>
          <w:rFonts w:ascii="Arial" w:cs="Arial" w:eastAsia="Arial" w:hAnsi="Arial"/>
          <w:sz w:val="18"/>
          <w:szCs w:val="18"/>
          <w:b w:val="1"/>
          <w:bCs w:val="1"/>
          <w:color w:val="auto"/>
        </w:rPr>
        <w:t>ICD-10-PCS</w:t>
      </w:r>
      <w:r>
        <w:rPr>
          <w:rFonts w:ascii="Arial" w:cs="Arial" w:eastAsia="Arial" w:hAnsi="Arial"/>
          <w:sz w:val="18"/>
          <w:szCs w:val="18"/>
          <w:color w:val="auto"/>
        </w:rPr>
        <w:t>”) code series describing our “cell suspension technique” for the use of the RECELL System.</w:t>
      </w:r>
    </w:p>
    <w:p>
      <w:pPr>
        <w:ind w:left="1120" w:right="80" w:hanging="356"/>
        <w:spacing w:after="0" w:line="253"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Procedural Terminology (“</w:t>
      </w:r>
      <w:r>
        <w:rPr>
          <w:rFonts w:ascii="Arial" w:cs="Arial" w:eastAsia="Arial" w:hAnsi="Arial"/>
          <w:sz w:val="18"/>
          <w:szCs w:val="18"/>
          <w:b w:val="1"/>
          <w:bCs w:val="1"/>
          <w:color w:val="auto"/>
        </w:rPr>
        <w:t>CPT</w:t>
      </w:r>
      <w:r>
        <w:rPr>
          <w:rFonts w:ascii="Arial" w:cs="Arial" w:eastAsia="Arial" w:hAnsi="Arial"/>
          <w:sz w:val="18"/>
          <w:szCs w:val="18"/>
          <w:color w:val="auto"/>
        </w:rPr>
        <w:t>”) codes to support physician reimbursement for professional healthcare services, ambulatory surgical center (“</w:t>
      </w:r>
      <w:r>
        <w:rPr>
          <w:rFonts w:ascii="Arial" w:cs="Arial" w:eastAsia="Arial" w:hAnsi="Arial"/>
          <w:sz w:val="18"/>
          <w:szCs w:val="18"/>
          <w:b w:val="1"/>
          <w:bCs w:val="1"/>
          <w:color w:val="auto"/>
        </w:rPr>
        <w:t>ASCs</w:t>
      </w:r>
      <w:r>
        <w:rPr>
          <w:rFonts w:ascii="Arial" w:cs="Arial" w:eastAsia="Arial" w:hAnsi="Arial"/>
          <w:sz w:val="18"/>
          <w:szCs w:val="18"/>
          <w:color w:val="auto"/>
        </w:rPr>
        <w:t>”) reimbursement for facility services and hospital reimbursement for outpatient department services. Medicare reimburses ASCs for services using CPT codes and reimburses hospitals for outpatient services using Ambulatory Payment Classifications (“</w:t>
      </w:r>
      <w:r>
        <w:rPr>
          <w:rFonts w:ascii="Arial" w:cs="Arial" w:eastAsia="Arial" w:hAnsi="Arial"/>
          <w:sz w:val="18"/>
          <w:szCs w:val="18"/>
          <w:b w:val="1"/>
          <w:bCs w:val="1"/>
          <w:color w:val="auto"/>
        </w:rPr>
        <w:t>APCs</w:t>
      </w:r>
      <w:r>
        <w:rPr>
          <w:rFonts w:ascii="Arial" w:cs="Arial" w:eastAsia="Arial" w:hAnsi="Arial"/>
          <w:sz w:val="18"/>
          <w:szCs w:val="18"/>
          <w:color w:val="auto"/>
        </w:rPr>
        <w:t>”).</w:t>
      </w:r>
    </w:p>
    <w:p>
      <w:pPr>
        <w:spacing w:after="0" w:line="189"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In addition, in 2022, we were approved for a Transitional Pass-through Payment (“</w:t>
      </w:r>
      <w:r>
        <w:rPr>
          <w:rFonts w:ascii="Arial" w:cs="Arial" w:eastAsia="Arial" w:hAnsi="Arial"/>
          <w:sz w:val="18"/>
          <w:szCs w:val="18"/>
          <w:b w:val="1"/>
          <w:bCs w:val="1"/>
          <w:color w:val="auto"/>
        </w:rPr>
        <w:t>TPT</w:t>
      </w:r>
      <w:r>
        <w:rPr>
          <w:rFonts w:ascii="Arial" w:cs="Arial" w:eastAsia="Arial" w:hAnsi="Arial"/>
          <w:sz w:val="18"/>
          <w:szCs w:val="18"/>
          <w:color w:val="auto"/>
        </w:rPr>
        <w:t>”) C code to support additional Medicare payment in the outpatient hospital and the ASC setting. There can be no guarantee that the above reimbursement codes will not be withdrawn, reduced, consolidated or otherwise be altered in a manner which is not supportive of ongoing commercial use of the RECELL System.</w:t>
      </w:r>
    </w:p>
    <w:p>
      <w:pPr>
        <w:spacing w:after="0" w:line="18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We have limited financial resources and will likely require additional financings to continue the development and commercialization of our RECELL System or any future products, which may cause dilution to our existing stockholders or place restrictions on our operations. If additional financing is not available, we may have to postpone, reduce or cease operations.</w:t>
      </w:r>
    </w:p>
    <w:p>
      <w:pPr>
        <w:spacing w:after="0" w:line="184"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If we are unable to achieve profitability sufficient to permit us to fund our operations and other planned actions, we may be required to raise additional capital. There can be no assurance that such capital would be available on favorable terms, or at all. If we raise additional capital through the issuance of equity or convertible debt securities, the percentage ownership held by existing stockholders may be reduced, and the market price of our common stock or CDIs could fall due to an increased number of shares or CDIs available for sale in the market. Debt financing, if available, may involve restrictive covenants, which may limit our operating flexibility with respect to certain business matters. If we are unable to secure additional capital as circumstances require, we may not be able to fund our planned activities or continue our operations.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manufacturing risks that may adversely affect our ability to manufacture products and could reduce our gross margins and negatively affect our business and operating results.</w:t>
      </w:r>
    </w:p>
    <w:p>
      <w:pPr>
        <w:spacing w:after="0" w:line="130"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global third-party manufacturers for production of some of the components used in the RECELL System. If our facility, or the facilities of our third-party contract manufacturers, suffer damage, or a force majeure event, this could materially impact our ability to operate.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other risks relating to our manufacturing capabilities, including:</w:t>
      </w:r>
    </w:p>
    <w:p>
      <w:pPr>
        <w:spacing w:after="0" w:line="117" w:lineRule="exact"/>
        <w:rPr>
          <w:sz w:val="20"/>
          <w:szCs w:val="20"/>
          <w:color w:val="auto"/>
        </w:rPr>
      </w:pPr>
    </w:p>
    <w:p>
      <w:pPr>
        <w:ind w:left="1120" w:right="60" w:hanging="370"/>
        <w:spacing w:after="0" w:line="25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some of whom are our single-source suppliers for the products they supply;</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to secure raw materials, components and materials in a timely manner, in sufficient quantities or on commercially reasonable terms;</w:t>
      </w:r>
    </w:p>
    <w:p>
      <w:pPr>
        <w:spacing w:after="0" w:line="44" w:lineRule="exact"/>
        <w:rPr>
          <w:rFonts w:ascii="Arial" w:cs="Arial" w:eastAsia="Arial" w:hAnsi="Arial"/>
          <w:sz w:val="16"/>
          <w:szCs w:val="16"/>
          <w:color w:val="auto"/>
        </w:rPr>
      </w:pPr>
    </w:p>
    <w:p>
      <w:pPr>
        <w:ind w:left="1120" w:right="1060" w:hanging="370"/>
        <w:spacing w:after="0" w:line="25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secure raw materials, components and materials of sufficient quality to meet the exacting needs of medical device manufacturing;</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increase production capacity or volumes to meet demand; and</w:t>
      </w:r>
    </w:p>
    <w:p>
      <w:pPr>
        <w:spacing w:after="0" w:line="197" w:lineRule="exact"/>
        <w:rPr>
          <w:sz w:val="20"/>
          <w:szCs w:val="20"/>
          <w:color w:val="auto"/>
        </w:rPr>
      </w:pPr>
    </w:p>
    <w:p>
      <w:pPr>
        <w:ind w:right="20" w:firstLine="575"/>
        <w:spacing w:after="0" w:line="254" w:lineRule="auto"/>
        <w:rPr>
          <w:sz w:val="20"/>
          <w:szCs w:val="20"/>
          <w:color w:val="auto"/>
        </w:rPr>
      </w:pPr>
      <w:r>
        <w:rPr>
          <w:rFonts w:ascii="Arial" w:cs="Arial" w:eastAsia="Arial" w:hAnsi="Arial"/>
          <w:sz w:val="18"/>
          <w:szCs w:val="18"/>
          <w:color w:val="auto"/>
        </w:rPr>
        <w:t>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and results of operations. In addition, we are continually identifying additional third-party suppliers who could serve if necessary as replacement manufacturers should the need arise.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0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of our products are dependent on specialized sources of supply potentially subject to disruption which could have a material, adverse impact on our business.</w:t>
      </w:r>
    </w:p>
    <w:p>
      <w:pPr>
        <w:spacing w:after="0" w:line="170" w:lineRule="exact"/>
        <w:rPr>
          <w:sz w:val="20"/>
          <w:szCs w:val="20"/>
          <w:color w:val="auto"/>
        </w:rPr>
      </w:pPr>
    </w:p>
    <w:p>
      <w:pPr>
        <w:ind w:right="240" w:firstLine="749"/>
        <w:spacing w:after="0" w:line="259" w:lineRule="auto"/>
        <w:rPr>
          <w:sz w:val="20"/>
          <w:szCs w:val="20"/>
          <w:color w:val="auto"/>
        </w:rPr>
      </w:pPr>
      <w:r>
        <w:rPr>
          <w:rFonts w:ascii="Arial" w:cs="Arial" w:eastAsia="Arial" w:hAnsi="Arial"/>
          <w:sz w:val="18"/>
          <w:szCs w:val="18"/>
          <w:color w:val="auto"/>
        </w:rPr>
        <w:t>We expect recent supply chain disruptions as a result of the pandemic combined with raw material shortages, and inflationary pressures, to continue for the foreseeable future. These conditions have strained our suppliers and extended supplier delivery lead times. The Life Sciences industry is experiencing market wide shortages for resin products used in our packaging. As a result of recent inflation, we are seeing increases in the costs of raw materials.</w:t>
      </w:r>
    </w:p>
    <w:p>
      <w:pPr>
        <w:spacing w:after="0" w:line="187" w:lineRule="exact"/>
        <w:rPr>
          <w:sz w:val="20"/>
          <w:szCs w:val="20"/>
          <w:color w:val="auto"/>
        </w:rPr>
      </w:pPr>
    </w:p>
    <w:p>
      <w:pPr>
        <w:ind w:right="240" w:firstLine="749"/>
        <w:spacing w:after="0" w:line="255" w:lineRule="auto"/>
        <w:rPr>
          <w:sz w:val="20"/>
          <w:szCs w:val="20"/>
          <w:color w:val="auto"/>
        </w:rPr>
      </w:pPr>
      <w:r>
        <w:rPr>
          <w:rFonts w:ascii="Arial" w:cs="Arial" w:eastAsia="Arial" w:hAnsi="Arial"/>
          <w:sz w:val="18"/>
          <w:szCs w:val="18"/>
          <w:color w:val="auto"/>
        </w:rPr>
        <w:t>We have single-sourced some of our material components due to the cost and regulatory requirements associated with qualifying multiple suppliers. To the extent any of these single sourced suppliers may have disruptions in deliveries due to production, quality, or other issues, we may also experience related production delays or unfavorable cost increases associated with qualifying alternate suppliers. The impact of delays resulting from disruptions in supply for these items could negatively impact our revenue, our reputation with our customers, and our results of operations. In addition, significant price increases from single-source suppliers could have a negative impact on our profitability to the extent that we are unable to recover these cost increases on our fixed price contracts.</w:t>
      </w:r>
    </w:p>
    <w:p>
      <w:pPr>
        <w:spacing w:after="0" w:line="200" w:lineRule="exact"/>
        <w:rPr>
          <w:sz w:val="20"/>
          <w:szCs w:val="20"/>
          <w:color w:val="auto"/>
        </w:rPr>
      </w:pPr>
    </w:p>
    <w:p>
      <w:pPr>
        <w:spacing w:after="0" w:line="20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supervise and monitor our clinical trials. If these third parties do not successfully carry out their contractual duties or meet expected deadlines, we may not be able to obtain regulatory approval for or commercialize our drug product candidates and our business could be substantially harmed.</w:t>
      </w:r>
    </w:p>
    <w:p>
      <w:pPr>
        <w:spacing w:after="0" w:line="180" w:lineRule="exact"/>
        <w:rPr>
          <w:sz w:val="20"/>
          <w:szCs w:val="20"/>
          <w:color w:val="auto"/>
        </w:rPr>
      </w:pPr>
    </w:p>
    <w:p>
      <w:pPr>
        <w:ind w:right="20" w:firstLine="749"/>
        <w:spacing w:after="0" w:line="258" w:lineRule="auto"/>
        <w:rPr>
          <w:sz w:val="20"/>
          <w:szCs w:val="20"/>
          <w:color w:val="auto"/>
        </w:rPr>
      </w:pPr>
      <w:r>
        <w:rPr>
          <w:rFonts w:ascii="Arial" w:cs="Arial" w:eastAsia="Arial" w:hAnsi="Arial"/>
          <w:sz w:val="18"/>
          <w:szCs w:val="18"/>
          <w:color w:val="auto"/>
        </w:rPr>
        <w:t>We rely on clinical research organizations (“</w:t>
      </w:r>
      <w:r>
        <w:rPr>
          <w:rFonts w:ascii="Arial" w:cs="Arial" w:eastAsia="Arial" w:hAnsi="Arial"/>
          <w:sz w:val="18"/>
          <w:szCs w:val="18"/>
          <w:b w:val="1"/>
          <w:bCs w:val="1"/>
          <w:color w:val="auto"/>
        </w:rPr>
        <w:t>CRO</w:t>
      </w:r>
      <w:r>
        <w:rPr>
          <w:rFonts w:ascii="Arial" w:cs="Arial" w:eastAsia="Arial" w:hAnsi="Arial"/>
          <w:sz w:val="18"/>
          <w:szCs w:val="18"/>
          <w:color w:val="auto"/>
        </w:rPr>
        <w:t>”), and clinical trial sites to ensure our clinical trials are conducted properly and on time. While we will have agreements governing their activities, we will have limited influence over their actual performance. CROs manage and monitor the clinical trials, duties and functions, and we will control only certain aspects of our CROs’ activities. Nevertheless, we will be responsible for ensuring that each of our clinical trials is conducted in accordance with the applicable protocol, legal, regulatory and scientific standards, and our reliance on the CROs does not relieve us of our regulatory responsibilities.</w:t>
      </w:r>
    </w:p>
    <w:p>
      <w:pPr>
        <w:spacing w:after="0" w:line="18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We and our CROs are required to comply with the FDA’s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enforces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w:t>
      </w:r>
    </w:p>
    <w:p>
      <w:pPr>
        <w:spacing w:after="0" w:line="175"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If any such event were to occur, our financial results and the commercial prospects for our product candidates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As a result of the ongoing COVID-19 pandemic, other pandemics, inadequate funding or other reasons, the FDA and other government agencies may have resource constraints which could limit their ability to review and approve our applications in a timely manner, thus negatively impacting our business.</w:t>
      </w:r>
    </w:p>
    <w:p>
      <w:pPr>
        <w:spacing w:after="0" w:line="184" w:lineRule="exact"/>
        <w:rPr>
          <w:sz w:val="20"/>
          <w:szCs w:val="20"/>
          <w:color w:val="auto"/>
        </w:rPr>
      </w:pPr>
    </w:p>
    <w:p>
      <w:pPr>
        <w:ind w:right="360" w:firstLine="749"/>
        <w:spacing w:after="0" w:line="259" w:lineRule="auto"/>
        <w:rPr>
          <w:sz w:val="20"/>
          <w:szCs w:val="20"/>
          <w:color w:val="auto"/>
        </w:rPr>
      </w:pPr>
      <w:r>
        <w:rPr>
          <w:rFonts w:ascii="Arial" w:cs="Arial" w:eastAsia="Arial" w:hAnsi="Arial"/>
          <w:sz w:val="18"/>
          <w:szCs w:val="18"/>
          <w:color w:val="auto"/>
        </w:rPr>
        <w:t>The FDA’s ability to review and approve regulatory submissions can be affected by a variety of factors, including government budget and funding levels, statutory, regulatory, and policy changes, the FDA’s ability to hire and retain key personnel and accept the payment of user fees, federal government shutdowns, and other events that may otherwise affect the FDA’s ability to perform routine functions. The time to review submissions can vary from time to time.</w:t>
      </w:r>
    </w:p>
    <w:p>
      <w:pPr>
        <w:spacing w:after="0" w:line="187"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If a prolonged government shutdown occurs, or if global health concerns continue to prevent or delay the FDA or other regulatory authorities from conducting, at all or in a timely manner, their regular inspections, reviews, or other regulatory activities (including pre-submission engagements), it could significantly impact the ability of the FDA or other regulatory authorities to timely review and process our regulatory submissions, which could have a material adverse effect on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recalls or inventory losses caused by unforeseen events may adversely affect our operating results and financial condition.</w:t>
      </w:r>
    </w:p>
    <w:p>
      <w:pPr>
        <w:spacing w:after="0" w:line="237"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cyber security incident could be disruptive to our business, compromise confidential data, cause reputation harm, and subject us to litigation and federal and state governmental inquiries.</w:t>
      </w:r>
    </w:p>
    <w:p>
      <w:pPr>
        <w:spacing w:after="0" w:line="170"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We collect and store sensitive business and other information, including intellectual property and trade secrets, on our networks. Our business operations are dependent upon the secure maintenance of this information. Despite our efforts to secure this information, there can be no assurance that cyberattacks and other threats from malicious persons and groups will not cause harm to or disrupt our business and operations. As a result, cyber security and the continued development and enhancement of our controls, processes and practices designed to protect our information systems from attack, damage or unauthorized access remain a priority for us. We may be required to expend significant additional resources to protect against cyber threats. A cyber-attack may result in a material adverse effect on our financial position and results of operations and harm our business reputation.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information technology systems for critical business functions and the operations of our business.</w:t>
      </w:r>
    </w:p>
    <w:p>
      <w:pPr>
        <w:spacing w:after="0" w:line="225"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We rely upon complex, integrated information technology (IT) systems in our business functions including our quality systems to operate our business. If any of our IT systems were to be disrupted or fail, our business could suffer irreparable harm, financial loss, and our operations would be adversely impacted.</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markets in which we operate are highly competitive and innovative. Our competitors may develop products that render our products less attractive or obsolete and our business may deteriorate.</w:t>
      </w:r>
    </w:p>
    <w:p>
      <w:pPr>
        <w:spacing w:after="0" w:line="170"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The markets for our products are highly competitive and our competitors may develop products that may more effectively compete with our products, thus negatively impacting our sales, financial conditions and business prospects. Our competitors may have significantly more financial and other resources to invest in product development. We must continue to develop and market new products, or we risk our products becoming obsolete, in which case, our revenues may decline, and our business prospects may suffer.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is an expensive, uncertain and lengthy process.</w:t>
      </w:r>
    </w:p>
    <w:p>
      <w:pPr>
        <w:spacing w:after="0" w:line="225"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have significant product development projects ongoing that, if successful, are intended to improve the ease and use of our device in our current burn indication as well as in soft tissue repair, vitiligo and future indications. The costs, timeline and ultimate success of these product development programs are subject to risk and uncertainty. If the Company is not able to develop and obtain regulatory approval for these products in development in a timely fashion and within budget, our business prospects and financial condition may suffer.</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Compliance with environmental, health and safety requirements is costly and, if not achieved, could result in material financial fines and penalties, expensive lawsuits, cessation of business operations, and a material adverse impact on the business.</w:t>
      </w:r>
    </w:p>
    <w:p>
      <w:pPr>
        <w:spacing w:after="0" w:line="170"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Our manufacturing and other processes may involve the use of hazardous materials subject to federal, state, and local and foreign environmental requirements. Under some environmental laws and regulations, we could be held responsible for costs at third-party sites that we have used for waste disposal, or for contamination at our past or present facilities. Failure to comply with current environment laws, or future laws, could result in significant fines, penalties and expenses which could have an adverse impact on our financial condition.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civil and criminal penalties if the FDA determines that we have marketed or promoted our products for off-label usage.</w:t>
      </w:r>
    </w:p>
    <w:p>
      <w:pPr>
        <w:spacing w:after="0" w:line="248"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We are prohibited from promoting our products for uses that are inconsistent with the uses that have been approved by the FDA - also known as “off-label” uses. More specifically, we may not make claims, in our promotion materials, website or otherwise, about the use of any RECELL products which are outside of their approved labeling and indications. If the FDA determines that our marketing activities constitute off-label promotion, the FDA could impose fines and penalties on the Company and our executives, withdraw or recall our approved product from the market, as well as limit our product from off-label usage.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 and Intellectual Property</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24"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spacing w:after="0" w:line="184"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treatments or procedures that are safer, more effective, have fewer or less severe side effects, are more 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product liability lawsuits, which could result in costly and time-consuming litigation and significant liabilities.</w:t>
      </w:r>
    </w:p>
    <w:p>
      <w:pPr>
        <w:spacing w:after="0" w:line="23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170"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Our success will be heavily dependent on our ability to obtain and maintain meaningful patent protection for our technologies and products throughout the world. Patent law relating to the technology fields in which we will operate is still evolving. The amount of ongoing protection for our proprietary rights therefore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In particular, we filed a patent Term Extension application with the U.S. Patent and Trademark Office requesting an extension of our commercial patent that covers the RECELL System, U.S. Patent No. 9,029,140. If the term extension is approved, the patent term will be extended to April 9, 2024. Without such approval, our RECELL System patent will expire in February 2024, which could prevent us from defending our patent in the event a competitor infringes on our RECELL System by producing the same type of product. Furthermore, the patent protections we have been granted may not be broad enough to prevent competitors from producing products similar to ours.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In markets other than the USA, where we continue to have patent protection on the RECELL System, the expiration of these patents means the Company may not be able to deter a competitor from introducing a product similar to the RECELL System in those jurisdictions. If this were to occur, our ability to successfully market and sell our products in such markets could be materially impaired.</w:t>
      </w:r>
    </w:p>
    <w:p>
      <w:pPr>
        <w:spacing w:after="0" w:line="184"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In addition, the laws of various foreign countries in which we may compete may not protect our intellectual property to the same extent as do the laws of the United States. If we fail to obtain adequate patent protection for our proprietary technology, our ability to be commercially competitive will be materially impaired.</w:t>
      </w:r>
    </w:p>
    <w:p>
      <w:pPr>
        <w:spacing w:after="0" w:line="184" w:lineRule="exact"/>
        <w:rPr>
          <w:sz w:val="20"/>
          <w:szCs w:val="20"/>
          <w:color w:val="auto"/>
        </w:rPr>
      </w:pPr>
    </w:p>
    <w:p>
      <w:pPr>
        <w:ind w:right="200" w:firstLine="749"/>
        <w:spacing w:after="0" w:line="301" w:lineRule="auto"/>
        <w:rPr>
          <w:sz w:val="20"/>
          <w:szCs w:val="20"/>
          <w:color w:val="auto"/>
        </w:rPr>
      </w:pPr>
      <w:r>
        <w:rPr>
          <w:rFonts w:ascii="Arial" w:cs="Arial" w:eastAsia="Arial" w:hAnsi="Arial"/>
          <w:sz w:val="16"/>
          <w:szCs w:val="16"/>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protect our intellectual property rights throughout the world.</w:t>
      </w:r>
    </w:p>
    <w:p>
      <w:pPr>
        <w:spacing w:after="0" w:line="225"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Filing, prosecuting and defending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patent claims or other intellectual property rights.</w:t>
      </w:r>
    </w:p>
    <w:p>
      <w:pPr>
        <w:spacing w:after="0" w:line="184" w:lineRule="exact"/>
        <w:rPr>
          <w:sz w:val="20"/>
          <w:szCs w:val="20"/>
          <w:color w:val="auto"/>
        </w:rPr>
      </w:pPr>
    </w:p>
    <w:p>
      <w:pPr>
        <w:ind w:right="160" w:firstLine="749"/>
        <w:spacing w:after="0" w:line="279" w:lineRule="auto"/>
        <w:rPr>
          <w:sz w:val="20"/>
          <w:szCs w:val="20"/>
          <w:color w:val="auto"/>
        </w:rPr>
      </w:pPr>
      <w:r>
        <w:rPr>
          <w:rFonts w:ascii="Arial" w:cs="Arial" w:eastAsia="Arial" w:hAnsi="Arial"/>
          <w:sz w:val="17"/>
          <w:szCs w:val="17"/>
          <w:color w:val="auto"/>
        </w:rPr>
        <w:t>The laws of some countries do not protect intellectual property rights to the same extent as the laws of the United States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170"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If we choose to go to court to stop someone else from using the intellectual property claimed in our patents or our licensed patents, that individual or company has the right to ask the court to rule that these patents are invalid and/or should not be enforced against that third party. These lawsuits are expensive and would distract our key personnel and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spacing w:after="0" w:line="19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24"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w:t>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current and future relationships with investigators, health care professionals, consultants, third-party payors, and customers will be subject to applicable healthcare regulatory laws, which could expose us to penalties.</w:t>
      </w:r>
    </w:p>
    <w:p>
      <w:pPr>
        <w:spacing w:after="0" w:line="170"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Our business operations and current and future relationships with investigators, healthcare professionals, consultants, third-party payors and customers may expose us to broadly applicable fraud and abuse and other healthcare laws and regulations.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laws regulate the business or financial arrangements and relationships through which we conduct our operations, including how we research, market, sell and distribute our products for which we obtain marketing approval. Such laws include:</w:t>
      </w:r>
    </w:p>
    <w:p>
      <w:pPr>
        <w:spacing w:after="0" w:line="170" w:lineRule="exact"/>
        <w:rPr>
          <w:sz w:val="20"/>
          <w:szCs w:val="20"/>
          <w:color w:val="auto"/>
        </w:rPr>
      </w:pPr>
    </w:p>
    <w:p>
      <w:pPr>
        <w:ind w:left="1120" w:right="220" w:hanging="370"/>
        <w:spacing w:after="0" w:line="252"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5" w:lineRule="exact"/>
        <w:rPr>
          <w:rFonts w:ascii="Arial" w:cs="Arial" w:eastAsia="Arial" w:hAnsi="Arial"/>
          <w:sz w:val="18"/>
          <w:szCs w:val="18"/>
          <w:color w:val="auto"/>
        </w:rPr>
      </w:pPr>
    </w:p>
    <w:p>
      <w:pPr>
        <w:ind w:left="1120" w:right="2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civil False Claims Act;</w:t>
      </w:r>
    </w:p>
    <w:p>
      <w:pPr>
        <w:spacing w:after="0" w:line="2" w:lineRule="exact"/>
        <w:rPr>
          <w:rFonts w:ascii="Arial" w:cs="Arial" w:eastAsia="Arial" w:hAnsi="Arial"/>
          <w:sz w:val="18"/>
          <w:szCs w:val="18"/>
          <w:color w:val="auto"/>
        </w:rPr>
      </w:pPr>
    </w:p>
    <w:p>
      <w:pPr>
        <w:ind w:left="1120" w:right="14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1" w:lineRule="exact"/>
        <w:rPr>
          <w:rFonts w:ascii="Arial" w:cs="Arial" w:eastAsia="Arial" w:hAnsi="Arial"/>
          <w:sz w:val="18"/>
          <w:szCs w:val="18"/>
          <w:color w:val="auto"/>
        </w:rPr>
      </w:pPr>
    </w:p>
    <w:p>
      <w:pPr>
        <w:ind w:left="1120" w:right="2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on health plans, health care clearing houses, and certain health care providers, known as covered entities, and their business associates, defined as independent contractors or agents of covered entities that create, receive or obtain protected health information in connection with providing a service for or on behalf of a covered entity as well as their covered subcontractors;</w:t>
      </w:r>
    </w:p>
    <w:p>
      <w:pPr>
        <w:spacing w:after="0" w:line="2" w:lineRule="exact"/>
        <w:rPr>
          <w:rFonts w:ascii="Arial" w:cs="Arial" w:eastAsia="Arial" w:hAnsi="Arial"/>
          <w:sz w:val="18"/>
          <w:szCs w:val="18"/>
          <w:color w:val="auto"/>
        </w:rPr>
      </w:pPr>
    </w:p>
    <w:p>
      <w:pPr>
        <w:ind w:left="1120" w:right="8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number of federal, state and foreign laws, regulations, guidance and standards that impose requirements regarding the protection of health data that are applicable to or affect our operations;</w:t>
      </w:r>
    </w:p>
    <w:p>
      <w:pPr>
        <w:ind w:left="1120" w:right="140" w:hanging="370"/>
        <w:spacing w:after="0" w:line="281"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transparency requirements, sometimes referred to as the “Sunshine Act,” under the Patient Protection and Affordable Care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 Beginning in 2022, applicable manufacturers are also required to report such information regarding their relationships with physician assistants, nurse practitioners, clinical nurse specialists, certified registered nurse anesthetists and certified nurse midwives during the previous year; and</w:t>
      </w:r>
    </w:p>
    <w:p>
      <w:pPr>
        <w:spacing w:after="0" w:line="4" w:lineRule="exact"/>
        <w:rPr>
          <w:rFonts w:ascii="Arial" w:cs="Arial" w:eastAsia="Arial" w:hAnsi="Arial"/>
          <w:sz w:val="16"/>
          <w:szCs w:val="16"/>
          <w:color w:val="auto"/>
        </w:rPr>
      </w:pPr>
    </w:p>
    <w:p>
      <w:pPr>
        <w:ind w:left="1120" w:right="340" w:hanging="370"/>
        <w:spacing w:after="0" w:line="281"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and state laws that require medical device companies to comply with</w:t>
      </w:r>
    </w:p>
    <w:p>
      <w:pPr>
        <w:spacing w:after="0" w:line="2" w:lineRule="exact"/>
        <w:rPr>
          <w:rFonts w:ascii="Arial" w:cs="Arial" w:eastAsia="Arial" w:hAnsi="Arial"/>
          <w:sz w:val="16"/>
          <w:szCs w:val="16"/>
          <w:color w:val="auto"/>
        </w:rPr>
      </w:pPr>
    </w:p>
    <w:p>
      <w:pPr>
        <w:ind w:left="1120" w:right="120"/>
        <w:spacing w:after="0" w:line="292" w:lineRule="auto"/>
        <w:rPr>
          <w:rFonts w:ascii="Arial" w:cs="Arial" w:eastAsia="Arial" w:hAnsi="Arial"/>
          <w:sz w:val="16"/>
          <w:szCs w:val="16"/>
          <w:color w:val="auto"/>
        </w:rPr>
      </w:pPr>
      <w:r>
        <w:rPr>
          <w:rFonts w:ascii="Arial" w:cs="Arial" w:eastAsia="Arial" w:hAnsi="Arial"/>
          <w:sz w:val="16"/>
          <w:szCs w:val="16"/>
          <w:color w:val="auto"/>
        </w:rPr>
        <w:t>the industry’s voluntary compliance guidelines and the relevant compliance guidance promulgated by the federal government; state laws that require medical device manufacturers to report information related to payments and other transfers of value to physicians and other healthcare providers, marketing expenditures or drug pricing, as well as state and local laws that require the registration of sales representatives;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2"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continued successful commercialization of the RECELL system for FDA approved and pending indications, will depend in part on the extent to which government authorities and health insurers establish adequate reimbursement levels and pricing policies.</w:t>
      </w:r>
    </w:p>
    <w:p>
      <w:pPr>
        <w:spacing w:after="0" w:line="170"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Continued sales of the RECELL System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w:t>
      </w:r>
    </w:p>
    <w:p>
      <w:pPr>
        <w:spacing w:after="0" w:line="211" w:lineRule="exact"/>
        <w:rPr>
          <w:sz w:val="20"/>
          <w:szCs w:val="20"/>
          <w:color w:val="auto"/>
        </w:rPr>
      </w:pPr>
    </w:p>
    <w:p>
      <w:pPr>
        <w:ind w:right="180" w:firstLine="749"/>
        <w:spacing w:after="0" w:line="290" w:lineRule="auto"/>
        <w:rPr>
          <w:sz w:val="20"/>
          <w:szCs w:val="20"/>
          <w:color w:val="auto"/>
        </w:rPr>
      </w:pPr>
      <w:r>
        <w:rPr>
          <w:rFonts w:ascii="Arial" w:cs="Arial" w:eastAsia="Arial" w:hAnsi="Arial"/>
          <w:sz w:val="16"/>
          <w:szCs w:val="16"/>
          <w:color w:val="auto"/>
        </w:rPr>
        <w:t>Both the federal and state governments in the United States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RECELL System and may further limit our commercial opportunity. For example, on August 16, 2022, President Biden signed the Inflation Reduction Act of 2022, or the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 judicial or Congressional challenges in the future. Accordingly, we continue to evaluate the effect that the Affordable Care Act has on our business.</w:t>
      </w:r>
    </w:p>
    <w:p>
      <w:pPr>
        <w:spacing w:after="0" w:line="165"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There also may be future changes unrelated to the IRA that result in reductions in potential coverage and reimbursement levels for our product and we cannot predict the scope of any future changes or the impact that those changes would have on our operations. Cost control initiatives may decrease coverage and payment levels and, in turn, the price that we will be able to charge and/or the volume of our sales. We are unable to predict all changes to the coverage or reimbursement methodologies that will be applied by private or government payers. Any denial of private or government payer coverage, such as the Affordable Care Act, the IRA, as well as other federal, state, and foreign healthcare reform measures that have been and may be adopted in the future, or inadequate reimbursement could harm our business and reduce our revenue. Additionally, if rebate obligations associated with them are substantially greater than we expect, our future net revenue and profitability could be materially diminished.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Social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results of operations and financial condition may be adversely impacted by the COVID-19 pandemic.</w:t>
      </w:r>
    </w:p>
    <w:p>
      <w:pPr>
        <w:spacing w:after="0" w:line="225"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The ongoing COVID-19 pandemic has negatively affected the U.S. and global economies, disrupted global supply chains, resulted in significant travel and transport restrictions, and created significant disruption of the financial markets. We continue to closely monitor the impact of the COVID-19 pandemic on all aspects of our business, including how it is impacting our employees, product development, customers and supply chain. We continue to be unable to predict the ultimate impact that the COVID-19 pandemic may have on our business, future results of operations, financial position or cash flows. The extent to which our operations may be impacted by the COVID-19 pandemic and recovery will depend largely on future developments, which are highly uncertain and cannot be accurately predicted.</w:t>
      </w:r>
    </w:p>
    <w:p>
      <w:pPr>
        <w:spacing w:after="0" w:line="19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We may experience additional operating costs due to increased challenges with our workforce (including as a result of illness, absenteeism or government orders), access to supplies, capital, and fundamental support services (such as shipping and transportation). Even after the COVID-19 pandemic has subsided, we may experience materially adverse impacts to our business due to any resulting supply chain disruptions, economic recession or depression. Furthermore, the impacts of potential worsening of global economic conditions, inflation resulting from government interventions and stimulus, and continued disruptions to and volatility in the financial markets remain unknown.</w:t>
      </w:r>
    </w:p>
    <w:p>
      <w:pPr>
        <w:spacing w:after="0" w:line="188" w:lineRule="exact"/>
        <w:rPr>
          <w:sz w:val="20"/>
          <w:szCs w:val="20"/>
          <w:color w:val="auto"/>
        </w:rPr>
      </w:pPr>
    </w:p>
    <w:p>
      <w:pPr>
        <w:jc w:val="both"/>
        <w:ind w:right="320" w:firstLine="749"/>
        <w:spacing w:after="0" w:line="286" w:lineRule="auto"/>
        <w:rPr>
          <w:sz w:val="20"/>
          <w:szCs w:val="20"/>
          <w:color w:val="auto"/>
        </w:rPr>
      </w:pPr>
      <w:r>
        <w:rPr>
          <w:rFonts w:ascii="Arial" w:cs="Arial" w:eastAsia="Arial" w:hAnsi="Arial"/>
          <w:sz w:val="17"/>
          <w:szCs w:val="17"/>
          <w:color w:val="auto"/>
        </w:rPr>
        <w:t>The impact of the COVID-19 pandemic may also exacerbate other risks discussed in this section, any of which could have a material adverse effect on us. This situation continues to change rapidly, and additional impacts may arise that we are not aware of currently, including the emergence of additional variants which may or may not be resistant to currently available vaccines and therapeutic treatments.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Adverse changes in general economic conditions or uncertainty about future economic conditions, including economic uncertainty from the departures of critical personnel from the industry, could adversely affect us.</w:t>
      </w:r>
    </w:p>
    <w:p>
      <w:pPr>
        <w:spacing w:after="0" w:line="170"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We are subject to the risks arising from adverse changes in general economic market conditions, including the negative impact to the U.S. and global economy from the COVID-19 pandemic. Uncertainty about future economic conditions could negatively affect our current and prospective customers causing them to delay the purchase of our products. Poor economic conditions could harm our business, financial condition, operating results and cash flows. In addition, a number of nurses and other critical personnel in burn centers who are trained and well versed in the use of the RECELL system have determined to change occupations, possibly as a result of the ongoing pandemic. Nationally, this has been termed the “great resignation”. The fact that many burn center employees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have moved on to other positions or industries may limit our ability to increase adoption of our RECELL system as we will be required to train a new group of nurses and other personnel critical to the implementation of the RECELL system.</w:t>
      </w:r>
    </w:p>
    <w:p>
      <w:pPr>
        <w:spacing w:after="0" w:line="170" w:lineRule="exact"/>
        <w:rPr>
          <w:sz w:val="20"/>
          <w:szCs w:val="20"/>
          <w:color w:val="auto"/>
        </w:rPr>
      </w:pPr>
    </w:p>
    <w:p>
      <w:pPr>
        <w:jc w:val="both"/>
        <w:ind w:right="140" w:firstLine="749"/>
        <w:spacing w:after="0" w:line="259" w:lineRule="auto"/>
        <w:rPr>
          <w:sz w:val="20"/>
          <w:szCs w:val="20"/>
          <w:color w:val="auto"/>
        </w:rPr>
      </w:pPr>
      <w:r>
        <w:rPr>
          <w:rFonts w:ascii="Arial" w:cs="Arial" w:eastAsia="Arial" w:hAnsi="Arial"/>
          <w:sz w:val="18"/>
          <w:szCs w:val="18"/>
          <w:color w:val="auto"/>
        </w:rPr>
        <w:t>Customer and consumer demand for our products may be impacted by weak economic conditions, recession, equity market volatility or other negative economic factors in the U.S. or other nations. The severity and length of time that a downturn in economic and financial market conditions may persist, as well as the timing, strength and sustainability of any recovery from such downturn, are unknown and are beyond our control. Many predict that the U.S. economy will enter a recession in fiscal year 2023.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take precautions due to the COVID-19 pandemic that could negatively impact our business.</w:t>
      </w:r>
    </w:p>
    <w:p>
      <w:pPr>
        <w:spacing w:after="0" w:line="225"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In response to the COVID-19 pandemic, we have taken measures intended to protect the health and well-being of our employees, customers, and communities, which could negatively impact our business. While the COVID-19 pandemic has not materially adversely affected our financial results and business operations through the fiscal year-ended December 31, 2022, we are unable to predict the impact that COVID-19 will have on our business, operations, and financial results and condition because of the numerous uncertainties created by the unprecedented nature of the pandemic. We are closely monitoring the evolving impact of the pandemic on all aspects of our business. We have implemented a number of measures designed to protect the health and safety of our employees, support our customers and promote business continuity. We continue to evaluate the Company’s liquidity and operational performance, communicate with and monitor the actions of our customers, third-party manufacturers and suppliers, and review our near-term financial performance as we manage the Company through this period of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CDIs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have never paid a dividend on our common stock and CDIs and do not intend to do so in the foreseeable future, and consequently, investors’ only opportunity to realize a return on their investment in the Company is through the appreciation in the price of our common stock and CDIs.</w:t>
      </w:r>
    </w:p>
    <w:p>
      <w:pPr>
        <w:spacing w:after="0" w:line="124" w:lineRule="exact"/>
        <w:rPr>
          <w:sz w:val="20"/>
          <w:szCs w:val="20"/>
          <w:color w:val="auto"/>
        </w:rPr>
      </w:pPr>
    </w:p>
    <w:p>
      <w:pPr>
        <w:ind w:right="100" w:firstLine="749"/>
        <w:spacing w:after="0" w:line="271" w:lineRule="auto"/>
        <w:rPr>
          <w:sz w:val="20"/>
          <w:szCs w:val="20"/>
          <w:color w:val="auto"/>
        </w:rPr>
      </w:pPr>
      <w:r>
        <w:rPr>
          <w:rFonts w:ascii="Arial" w:cs="Arial" w:eastAsia="Arial" w:hAnsi="Arial"/>
          <w:sz w:val="17"/>
          <w:szCs w:val="17"/>
          <w:color w:val="auto"/>
        </w:rPr>
        <w:t>We do not anticipate paying cash dividends on our common stock and CDIs in the foreseeable future and intend to retain all earnings, if any, for our operations. If we decided to pay dividends at some future time, we may not have sufficient funds legally available to do so. Even if funds are legally available for distribution, we may be unable to pay any dividends to our stockholders because of limitations imposed by a lack of liquidity. Accordingly, our stockholders may have to sell some or all of their common stock or CDIs (as applicable) in order to generate cash flow from their investment. Our stockholders may not receive a gain on their investment when they sell their common stock or CDIs and may lose some or all of their investment. Any determination to pay dividends in the future on our common stock and CDIs will be made at the discretion of our Board of Directors and will depend on our results of operations, financial conditions, contractual restrictions, restrictions imposed by applicable law, capital requirements, and other factors that our Board of Directors deems relevant.</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As long as we remain subject to the rules of the ASX and of Nasdaq, we will be unable to access equity capital without stockholder approval if such equity capital sales would result in an equity issuance above regulatory thresholds and consequently, we may be unable to obtain financing sufficient to sustain our business if we are unsuccessful in soliciting requisite stockholder approvals.</w:t>
      </w:r>
    </w:p>
    <w:p>
      <w:pPr>
        <w:spacing w:after="0" w:line="184"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Our ability to access equity capital is currently limited by ASX Listing Rule 7.1, which provides that a company must not, subject to specified exceptions, issue or agree to issue during any consecutive 12-month period any equity securities, or other securities with rights to conversion to equity, if the number of those securities in aggregate would exceed 15% of the number of outstanding common shares at the commencement of that 12-month period unless stockholder approval is obtained.</w:t>
      </w:r>
    </w:p>
    <w:p>
      <w:pPr>
        <w:spacing w:after="0" w:line="146"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Our equity issuances will be limited by ASX Listing Rule 7.1 so long as we continue to be listed on the ASX and this constraint may prevent us from raising the full amount of equity capital needed for operations without prior stockholder approval.</w:t>
      </w:r>
    </w:p>
    <w:p>
      <w:pPr>
        <w:spacing w:after="0" w:line="170"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In addition to ASX Listing Rule 7.1, we are also subject to Nasdaq Listing Rule 5635(d), commonly referred to as the Nasdaq 20% Rule, which requires stockholder approval of a transaction other than a public offering involving the sale, issuance, or potential issuance by a company of common stock (or securities convertible into or exercisable for common stock) equal to 20% or more of the common stock, or 20% or more of the voting power outstanding before the issuance for less than the greater of book or market value of the shares. While less restrictive than ASX Listing Rule 7.1, the operation of the Nasdaq 20% rule could limit our ability to raise capital through issuance of common stock or convertible securities without jeopardizing our listing status. If we were to violate the Nasdaq 20% rule, the Company would be subject to delisting from Nasdaq and share prices and trading volumes would likely suffer.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There has been relatively limited trading volume in the markets for our common stock and CDIs, and more active, liquid trading markets for such securities may never develop.</w:t>
      </w:r>
    </w:p>
    <w:p>
      <w:pPr>
        <w:spacing w:after="0" w:line="170"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Trading in our common stock on Nasdaq and our CDIs on the ASX is often thin and susceptible to wide fluctuations in trading prices due to such limited trading volume and other factors, some of which may have little to do with our operations or business prospects. Limited liquidity in the trading markets for our common stock and CDIs may adversely affect a stockholder’s ability to sell its shares of our common stock or our CDIs at the time it wishes to sell them or at a price that it considers acceptable. In addition, if a more active, liquid public trading market does not develop we may be limited in our ability to raise capital by selling shares of common stock or CDIs. We cannot assure you that more active, liquid public trading markets for our common stock and CDIs will develop or, if developed, will be sustained.</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and CDIs may be volatile and may be affected by variability in our performance from period to period and economic conditions beyond management’s control.</w:t>
      </w:r>
    </w:p>
    <w:p>
      <w:pPr>
        <w:spacing w:after="0" w:line="170" w:lineRule="exact"/>
        <w:rPr>
          <w:sz w:val="20"/>
          <w:szCs w:val="20"/>
          <w:color w:val="auto"/>
        </w:rPr>
      </w:pPr>
    </w:p>
    <w:p>
      <w:pPr>
        <w:ind w:right="120" w:firstLine="749"/>
        <w:spacing w:after="0" w:line="272" w:lineRule="auto"/>
        <w:rPr>
          <w:sz w:val="20"/>
          <w:szCs w:val="20"/>
          <w:color w:val="auto"/>
        </w:rPr>
      </w:pPr>
      <w:r>
        <w:rPr>
          <w:rFonts w:ascii="Arial" w:cs="Arial" w:eastAsia="Arial" w:hAnsi="Arial"/>
          <w:sz w:val="17"/>
          <w:szCs w:val="17"/>
          <w:color w:val="auto"/>
        </w:rPr>
        <w:t>The market price of our common stock (including common stock represented by CDIs) may be highly volatile and could be subject to wide fluctuations. This means that our stockholders could experience a decrease in the value of their common stock or CDIs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common stock and CDIs may fluctuate and cause significant price variations to occur. If the market price of our common stock or CDIs declines significantly, our stockholders may be unable to resell our common stock or CDIs at or above their purchase price, if at all. There can be no assurance that the market price of our common stock and CDIs will not fluctuate or significantly decline in the future.</w:t>
      </w:r>
    </w:p>
    <w:p>
      <w:pPr>
        <w:spacing w:after="0" w:line="177" w:lineRule="exact"/>
        <w:rPr>
          <w:sz w:val="20"/>
          <w:szCs w:val="20"/>
          <w:color w:val="auto"/>
        </w:rPr>
      </w:pPr>
    </w:p>
    <w:p>
      <w:pPr>
        <w:ind w:right="380" w:firstLine="749"/>
        <w:spacing w:after="0" w:line="258" w:lineRule="auto"/>
        <w:rPr>
          <w:sz w:val="20"/>
          <w:szCs w:val="20"/>
          <w:color w:val="auto"/>
        </w:rPr>
      </w:pPr>
      <w:r>
        <w:rPr>
          <w:rFonts w:ascii="Arial" w:cs="Arial" w:eastAsia="Arial" w:hAnsi="Arial"/>
          <w:sz w:val="18"/>
          <w:szCs w:val="18"/>
          <w:color w:val="auto"/>
        </w:rPr>
        <w:t>Some specific factors that could negatively affect the price of our common stock and CDIs or result in fluctuations in their price and trading volume include:</w:t>
      </w:r>
    </w:p>
    <w:p>
      <w:pPr>
        <w:spacing w:after="0" w:line="1" w:lineRule="exact"/>
        <w:rPr>
          <w:sz w:val="20"/>
          <w:szCs w:val="20"/>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expected fluctuations in our operating results;</w:t>
      </w:r>
    </w:p>
    <w:p>
      <w:pPr>
        <w:spacing w:after="0" w:line="21"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reports of one or more patient serious adverse events;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in the industry;</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59" w:lineRule="exact"/>
        <w:rPr>
          <w:rFonts w:ascii="Arial" w:cs="Arial" w:eastAsia="Arial" w:hAnsi="Arial"/>
          <w:sz w:val="16"/>
          <w:szCs w:val="16"/>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of exchange rates between the U.S. dollar and the Australian dollar;</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issuances by us of debt or equity securities;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involving our company, including stockholder litigation;</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investigations or audits by regulators into the operations of our company;</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proceedings initiated by our competitors or clients;</w:t>
      </w:r>
    </w:p>
    <w:p>
      <w:pPr>
        <w:spacing w:after="0" w:line="36" w:lineRule="exact"/>
        <w:rPr>
          <w:rFonts w:ascii="Arial" w:cs="Arial" w:eastAsia="Arial" w:hAnsi="Arial"/>
          <w:sz w:val="18"/>
          <w:szCs w:val="18"/>
          <w:color w:val="auto"/>
        </w:rPr>
      </w:pPr>
    </w:p>
    <w:p>
      <w:pPr>
        <w:ind w:left="1140" w:right="100" w:hanging="376"/>
        <w:spacing w:after="0" w:line="258"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 w:lineRule="exact"/>
        <w:rPr>
          <w:rFonts w:ascii="Arial" w:cs="Arial" w:eastAsia="Arial" w:hAnsi="Arial"/>
          <w:sz w:val="18"/>
          <w:szCs w:val="18"/>
          <w:color w:val="auto"/>
        </w:rPr>
      </w:pPr>
    </w:p>
    <w:p>
      <w:pPr>
        <w:ind w:left="1140" w:right="80" w:hanging="376"/>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or perceived potential sales of the common stock or CDIs by us, our directors, executive management team or our stockholders in the future;</w:t>
      </w: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21"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and social effects of the COVID-19 virus, including any emerging variants or other pandemics;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raise additional capital, limiting our ability to continue as a going concern;</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prices for our product or for our raw materials;</w:t>
      </w:r>
    </w:p>
    <w:p>
      <w:pPr>
        <w:spacing w:after="0" w:line="49"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key personnel for us or our competitors;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or proposed changes in laws and regulations affecting our industry; and</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requirements of being a public company in the United States and listed on the ASX may strain our resources and divert management’s attention.</w:t>
      </w:r>
    </w:p>
    <w:p>
      <w:pPr>
        <w:spacing w:after="0" w:line="256"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As a public company, we are subject to the reporting requirements of the Exchange Act, the U.S.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the Dodd-Frank Act and the listing standards and the rules and regulations of Nasdaq. We are also subject to the reporting requirements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ASX Listing Rules due to the listing of our CDIs on ASX. We expect that the requirements of these rules and regulations will increase our legal, accounting and financial compliance costs, make some activities more difficult, time consuming and costly, and place significant strain on our personnel, systems and resources. As a result of our disclosure of information in filings required of a public company, our business and financial condition is more visible, which may result in threatened or actual litigation, including by competitors, stockholders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1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66"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w:t>
      </w:r>
      <w:r>
        <w:rPr>
          <w:rFonts w:ascii="Arial" w:cs="Arial" w:eastAsia="Arial" w:hAnsi="Arial"/>
          <w:sz w:val="17"/>
          <w:szCs w:val="17"/>
          <w:b w:val="1"/>
          <w:bCs w:val="1"/>
          <w:color w:val="auto"/>
        </w:rPr>
        <w:t>JOBS Act</w:t>
      </w:r>
      <w:r>
        <w:rPr>
          <w:rFonts w:ascii="Arial" w:cs="Arial" w:eastAsia="Arial" w:hAnsi="Arial"/>
          <w:sz w:val="17"/>
          <w:szCs w:val="17"/>
          <w:color w:val="auto"/>
        </w:rPr>
        <w:t>”). For as long as we continue to be an emerging growth company, we may take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Accordingly, the information contained herein and in other reports we file with the SEC may be different than the information our investors receive from other public companies in which they hold stock.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and CDIs less attractive as a result, which may result in a less active trading market for our common stock and CDIs and higher volatility in our stock and CDI price.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first sale of our common stock pursuant to an effective registration statement under the Securities Act which, given the filing of the S-8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Statement on August 27, 2020, will be December 31, 2025, (ii) the last day of the fiscal year in which we have total annual gross revenue of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 billion, (iii) the last day of the fiscal year in which we are deemed to be a “large accelerated filer” as defined in Rule 12b-2 under the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(iv) the date on which we have issued more than $1.0 billion in non-convertible debt securities during the prior three-year period.</w:t>
      </w:r>
    </w:p>
    <w:p>
      <w:pPr>
        <w:spacing w:after="0" w:line="2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research analysts publish unfavorable commentary or downgrade our common stock or CDIs it could adversely affect our share price and trading volume.</w:t>
      </w:r>
    </w:p>
    <w:p>
      <w:pPr>
        <w:spacing w:after="0" w:line="170"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The trading market for our common stock and CDIs depends, in part, on the research and reports that research analysts publish about us and our business and industry. If one or more research analysts downgrade our shares or CDIs, publish unfavorable commentary about the Company or cease publishing reports about us or our business, the price of our common stock and CDIs could decline. If one or more of the research analysts ceases coverage of our company or fails to publish reports on us regularly, demand for our common stock and CDIs could decrease, which could cause our share price or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225"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w:t>
      </w:r>
    </w:p>
    <w:p>
      <w:pPr>
        <w:spacing w:after="0" w:line="3" w:lineRule="exact"/>
        <w:rPr>
          <w:sz w:val="20"/>
          <w:szCs w:val="20"/>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2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development of our RECELL System to such areas soft tissue repair and vitiligo;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for additional indications; and</w:t>
      </w:r>
    </w:p>
    <w:p>
      <w:pPr>
        <w:spacing w:after="0" w:line="36"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funding of our marketing and sales infrastructure.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Any failure to manage future growth effectively could have a material adverse effect on our business and results of operations.</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growth and success depend on our ability to attract and retain additional highly qualified and skilled sales and marketing, research and development, operational, managerial and finance personnel.</w:t>
      </w:r>
    </w:p>
    <w:p>
      <w:pPr>
        <w:spacing w:after="0" w:line="170"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operations are subject to anti-corruption laws, including Australian bribery laws, and the FCPA and other anti-corruption laws that apply in countries where we do business.</w:t>
      </w:r>
    </w:p>
    <w:p>
      <w:pPr>
        <w:spacing w:after="0" w:line="170"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88"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spacing w:after="0" w:line="187"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Likewise, any investigation of any potential violations of these laws by respective government bodies could also have an adverse impact on our reputation,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Our principal corporate office is located at 28159 Avenue Stanford, Suite 220, Valencia, California 91355. We lease the 17,500 square foot facility under a lease agreement that, as amended, expires on October 31, 2026. Our production plant in Ventura, California is a 27,480 square foot facility that we lease through September 30, 2024 with the right to extend the lease, at our sole option, as a result of two, three-year, options that allow us to extend the lease up to an additional six years in total. We do not own any real property. We believe that leased facilities are adequate to meet current needs and that additional facilities will, if required, be available for lease to meet future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are currently not aware of any material pending legal proceedings to which we are a party or of which any of our property is the subject, nor are we aware of any such proceedings that are contemplated by any governmental authority. From time to time, as an operating business, we are involved in routine disputes (both formal and informal) with customers, manufacturing partners and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Company’s common stock is quoted on the Nasdaq Capital Market under the ticker symbol “RCEL” and the Company’s CDIs are quoted on the ASX under the ticker code “AVH”. One share of common stock on Nasdaq is equivalent to five CDIs on the ASX.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As of January 31, 2023, the Company had approximately 23,190 unique stockholders of record of our common stock (which includes 23,120 holders of the Company’s CDIs, with each representing 1/5 of a share of common stock, and CHESS Depositary Nominees Pty Ltd, holds the legal title to all of the outstanding common stock underlying the CDIs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We have never paid cash dividends to our stockholders or, prior to the Redomiciliation, to the holders of ordinary shares in the former parent company, AVITA Australia (being AVITA Medical Pty Limited). We intend to retain future earnings for use in our business and do not anticipate paying cash dividends on our common stock and CDIs in the foreseeable future. Any future dividend policy will be determined by our board of directors and will be based upon various factors, including our results of operations, financial condition, current and anticipated cash needs, future prospects, contractual restrictions and other factors as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ind w:right="124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CONDITIONS AND RESULTS OF OPERATIONS Objective</w:t>
      </w:r>
    </w:p>
    <w:p>
      <w:pPr>
        <w:ind w:right="380" w:firstLine="749"/>
        <w:spacing w:after="0" w:line="279" w:lineRule="auto"/>
        <w:rPr>
          <w:sz w:val="20"/>
          <w:szCs w:val="20"/>
          <w:color w:val="auto"/>
        </w:rPr>
      </w:pPr>
      <w:r>
        <w:rPr>
          <w:rFonts w:ascii="Arial" w:cs="Arial" w:eastAsia="Arial" w:hAnsi="Arial"/>
          <w:sz w:val="17"/>
          <w:szCs w:val="17"/>
          <w:color w:val="auto"/>
        </w:rPr>
        <w:t>The purpose of this Management's Discussion and Analysis is to better allow our investors to understand and view our company from management's perspective. We are providing an overview of our business and strategy including a discussion of our financial condition and results of operations. The following discussion and analysis of our financial condition and results of operations for the year-ended December 31, 2022 and 2021, should be read in conjunction with our consolidated financial statements and related notes included in this Annual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749"/>
        <w:spacing w:after="0" w:line="318" w:lineRule="auto"/>
        <w:rPr>
          <w:sz w:val="20"/>
          <w:szCs w:val="20"/>
          <w:color w:val="auto"/>
        </w:rPr>
      </w:pPr>
      <w:r>
        <w:rPr>
          <w:rFonts w:ascii="Arial" w:cs="Arial" w:eastAsia="Arial" w:hAnsi="Arial"/>
          <w:sz w:val="16"/>
          <w:szCs w:val="16"/>
          <w:color w:val="auto"/>
        </w:rPr>
        <w:t>AVITA Medical, Inc. is a regenerative medicine company leading the development and commercialization of devices and autologous cellular therapies for skin restoration. Our patented and proprietary RECELL® System technology platform harnesses the regenerative properties of a patient’s own skin to create Spray-On Skin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Cells, an autologous skin cell suspension that is sprayed onto the patient to regenerate natural healthy skin.</w:t>
      </w:r>
    </w:p>
    <w:p>
      <w:pPr>
        <w:spacing w:after="0" w:line="26"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Our objective is to become the leading provider of regenerative medicine addressing unmet medical needs in burn injuries, trauma injuries, and in dermatological and aesthetics indications, such as vitiligo. To achieve this objective, we intend to:</w:t>
      </w:r>
    </w:p>
    <w:p>
      <w:pPr>
        <w:spacing w:after="0" w:line="170" w:lineRule="exact"/>
        <w:rPr>
          <w:sz w:val="20"/>
          <w:szCs w:val="20"/>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Become the standard of care in the U.S. burns industry by increasing RECELL System penetration in burn centers and with burn physicians</w:t>
      </w:r>
    </w:p>
    <w:p>
      <w:pPr>
        <w:spacing w:after="0" w:line="59" w:lineRule="exact"/>
        <w:rPr>
          <w:rFonts w:ascii="Arial" w:cs="Arial" w:eastAsia="Arial" w:hAnsi="Arial"/>
          <w:sz w:val="16"/>
          <w:szCs w:val="16"/>
          <w:color w:val="auto"/>
        </w:rPr>
      </w:pPr>
    </w:p>
    <w:p>
      <w:pPr>
        <w:ind w:left="1120" w:hanging="370"/>
        <w:spacing w:after="0" w:line="255"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Commercialize the RECELL System in the U.S. for use in soft tissue repair following approval of our pending PMA supplement, which was submitted to the FDA in December 2022. Following anticipated FDA approval for soft tissue repair, we plan to commence a full commercial launch in July 2023 with both inpatient and outpatient reimbursement in place</w:t>
      </w:r>
    </w:p>
    <w:p>
      <w:pPr>
        <w:spacing w:after="0" w:line="2" w:lineRule="exact"/>
        <w:rPr>
          <w:rFonts w:ascii="Arial" w:cs="Arial" w:eastAsia="Arial" w:hAnsi="Arial"/>
          <w:sz w:val="18"/>
          <w:szCs w:val="18"/>
          <w:color w:val="auto"/>
        </w:rPr>
      </w:pPr>
    </w:p>
    <w:p>
      <w:pPr>
        <w:ind w:left="1120" w:right="100" w:hanging="370"/>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Commercialize the RECELL System in the U.S. for use in treatment of vitiligo following approval of our pending PMA application, which was submitted to the FDA in December 2022. Subsequent to FDA approval for vitiligo, we will commence a full commercial launch following receipt of in-office reimbursement, which we anticipate will occur by January 2025</w:t>
      </w:r>
    </w:p>
    <w:p>
      <w:pPr>
        <w:spacing w:after="0" w:line="1" w:lineRule="exact"/>
        <w:rPr>
          <w:rFonts w:ascii="Arial" w:cs="Arial" w:eastAsia="Arial" w:hAnsi="Arial"/>
          <w:sz w:val="18"/>
          <w:szCs w:val="18"/>
          <w:color w:val="auto"/>
        </w:rPr>
      </w:pPr>
    </w:p>
    <w:p>
      <w:pPr>
        <w:ind w:left="1120" w:right="720" w:hanging="370"/>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potential commercialization applications for the RECELL System related to skin rejuvenation and Epidermolysis Bullosa indications</w:t>
      </w:r>
    </w:p>
    <w:p>
      <w:pPr>
        <w:ind w:left="1120" w:right="780" w:hanging="370"/>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invest in our RECELL System platform to automate and improve workflow, speed, and ease of use as it relates to specific indications, as well as to build upon our intellectual property estate</w:t>
      </w:r>
    </w:p>
    <w:p>
      <w:pPr>
        <w:ind w:left="1120" w:right="260" w:hanging="370"/>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build upon commercial activities in Japan through our partnership with COSMOTEC Company, Ltd with our current PMDA approval for RECELL with an indication in burns</w:t>
      </w:r>
    </w:p>
    <w:p>
      <w:pPr>
        <w:ind w:left="1120" w:right="40" w:hanging="370"/>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pursue viable commercial activities outside of the U.S. and Japan once we have received FDA approval with RECELL System indications in soft tissue and vitiligo</w:t>
      </w: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Pursue business development opportunities that are complementary to our core RECELL System indications and/or our targeted markets</w:t>
      </w:r>
    </w:p>
    <w:p>
      <w:pPr>
        <w:spacing w:after="0" w:line="44" w:lineRule="exact"/>
        <w:rPr>
          <w:rFonts w:ascii="Arial" w:cs="Arial" w:eastAsia="Arial" w:hAnsi="Arial"/>
          <w:sz w:val="16"/>
          <w:szCs w:val="16"/>
          <w:color w:val="auto"/>
        </w:rPr>
      </w:pPr>
    </w:p>
    <w:p>
      <w:pPr>
        <w:ind w:left="1120" w:right="160" w:hanging="370"/>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 our margins and profitability by leveraging our current team and infrastructure across an expanding base of business in burns and in future indications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Current Trends</w:t>
      </w:r>
    </w:p>
    <w:p>
      <w:pPr>
        <w:spacing w:after="0" w:line="229" w:lineRule="exact"/>
        <w:rPr>
          <w:sz w:val="20"/>
          <w:szCs w:val="20"/>
          <w:color w:val="auto"/>
        </w:rPr>
      </w:pPr>
    </w:p>
    <w:p>
      <w:pPr>
        <w:ind w:right="160" w:firstLine="749"/>
        <w:spacing w:after="0" w:line="275" w:lineRule="auto"/>
        <w:rPr>
          <w:sz w:val="20"/>
          <w:szCs w:val="20"/>
          <w:color w:val="auto"/>
        </w:rPr>
      </w:pPr>
      <w:r>
        <w:rPr>
          <w:rFonts w:ascii="Arial" w:cs="Arial" w:eastAsia="Arial" w:hAnsi="Arial"/>
          <w:sz w:val="17"/>
          <w:szCs w:val="17"/>
          <w:color w:val="auto"/>
        </w:rPr>
        <w:t>The outbreak of the global pandemic and the associated response measures implemented by governments and businesses around the world, as well as subsequent accelerated and robust recovery in global business activity, have increased uncertainty in the business environment. These macroeconomic environment implications, including supply chain shortages, increased cost of healthcare, increased inflation rates, competitive and tight labor market, and other related global economic conditions and geopolitical conditions, remain unknown. Additionally, there have been various economic indicators that the United States economy may be entering a recession in upcoming quarters.</w:t>
      </w:r>
    </w:p>
    <w:p>
      <w:pPr>
        <w:spacing w:after="0" w:line="17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Changes in reimbursement rates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or Ukraine, the continuation of the Russia-Ukraine military conflict and/or an escalation of the conflict beyond its current scope may further weaken the global economy and could result in additional inflationary pressures and supply chain constraints.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Although we do not believe that these trends have had a material effect on our business, financial condition or results of operations, it may in the future. If these conditions continue or worsen, they could adversely impact our future operating results. An economic recession could potentially impact the general business environment and the capital markets, which may have a material negative impact on our financial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Year-Ended December 31, 2022, compared to the Year-Ended December 31,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rPr>
              <w:t>Year-Ended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Year-Ended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Statement of Operations Data:</w:t>
            </w:r>
          </w:p>
        </w:tc>
        <w:tc>
          <w:tcPr>
            <w:tcW w:w="2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9"/>
              </w:rPr>
              <w:t>December 31, 2022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December 31, 2021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34,421</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33,025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1,396</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6"/>
                <w:szCs w:val="16"/>
                <w:color w:val="auto"/>
              </w:rPr>
              <w:t>(6,041)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(6,104)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7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Gross profit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28,380</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26,921</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1,459</w:t>
            </w: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3700" w:type="dxa"/>
            <w:vAlign w:val="bottom"/>
          </w:tcPr>
          <w:p>
            <w:pPr>
              <w:spacing w:after="0"/>
              <w:rPr>
                <w:sz w:val="20"/>
                <w:szCs w:val="20"/>
                <w:color w:val="auto"/>
              </w:rPr>
            </w:pPr>
            <w:r>
              <w:rPr>
                <w:rFonts w:ascii="Arial" w:cs="Arial" w:eastAsia="Arial" w:hAnsi="Arial"/>
                <w:sz w:val="16"/>
                <w:szCs w:val="16"/>
                <w:color w:val="auto"/>
              </w:rPr>
              <w:t>BARDA income</w:t>
            </w:r>
          </w:p>
        </w:tc>
        <w:tc>
          <w:tcPr>
            <w:tcW w:w="2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3,215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1,625</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Sales and marketing expenses</w:t>
            </w:r>
          </w:p>
        </w:tc>
        <w:tc>
          <w:tcPr>
            <w:tcW w:w="22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6"/>
                <w:szCs w:val="16"/>
                <w:color w:val="auto"/>
              </w:rPr>
              <w:t>(21,913)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(16,267)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(5,646)</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(23,330)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(21,693)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(1,637)</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Research and development expenses</w:t>
            </w:r>
          </w:p>
        </w:tc>
        <w:tc>
          <w:tcPr>
            <w:tcW w:w="22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6"/>
                <w:szCs w:val="16"/>
                <w:color w:val="auto"/>
              </w:rPr>
              <w:t>(13,857)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(15,669)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1,812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2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(5,471)</w:t>
            </w:r>
          </w:p>
        </w:tc>
        <w:tc>
          <w:tcPr>
            <w:tcW w:w="10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line="20" w:lineRule="exact"/>
              <w:rPr>
                <w:sz w:val="1"/>
                <w:szCs w:val="1"/>
                <w:color w:val="auto"/>
              </w:rPr>
            </w:pPr>
          </w:p>
        </w:tc>
      </w:tr>
      <w:tr>
        <w:trPr>
          <w:trHeight w:val="213"/>
        </w:trPr>
        <w:tc>
          <w:tcPr>
            <w:tcW w:w="37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(59,100)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(53,629)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2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(2,387)</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line="20" w:lineRule="exact"/>
              <w:rPr>
                <w:sz w:val="1"/>
                <w:szCs w:val="1"/>
                <w:color w:val="auto"/>
              </w:rPr>
            </w:pPr>
          </w:p>
        </w:tc>
      </w:tr>
      <w:tr>
        <w:trPr>
          <w:trHeight w:val="207"/>
        </w:trPr>
        <w:tc>
          <w:tcPr>
            <w:tcW w:w="3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6"/>
                <w:szCs w:val="16"/>
                <w:color w:val="auto"/>
              </w:rPr>
              <w:t>(27,505)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(25,118)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845</w:t>
            </w:r>
          </w:p>
        </w:tc>
        <w:tc>
          <w:tcPr>
            <w:tcW w:w="24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2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(26,629)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(25,100)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(1,529)</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6"/>
                <w:szCs w:val="16"/>
                <w:color w:val="auto"/>
              </w:rPr>
              <w:t>Provision for income tax</w:t>
            </w:r>
          </w:p>
        </w:tc>
        <w:tc>
          <w:tcPr>
            <w:tcW w:w="22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(1,523)</w:t>
            </w:r>
          </w:p>
        </w:tc>
        <w:tc>
          <w:tcPr>
            <w:tcW w:w="10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(26,665)</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(25,142)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Total net revenue increased 4% or $1.4 million to $34.4 million, compared to $33.0 million in the corresponding period in the prior year which included $7.9 million from our delivery of units to managed inventory for the Biomedical Advanced Research and Development Authority (“</w:t>
      </w:r>
      <w:r>
        <w:rPr>
          <w:rFonts w:ascii="Arial" w:cs="Arial" w:eastAsia="Arial" w:hAnsi="Arial"/>
          <w:sz w:val="17"/>
          <w:szCs w:val="17"/>
          <w:b w:val="1"/>
          <w:bCs w:val="1"/>
          <w:color w:val="auto"/>
        </w:rPr>
        <w:t>BARDA</w:t>
      </w:r>
      <w:r>
        <w:rPr>
          <w:rFonts w:ascii="Arial" w:cs="Arial" w:eastAsia="Arial" w:hAnsi="Arial"/>
          <w:sz w:val="17"/>
          <w:szCs w:val="17"/>
          <w:color w:val="auto"/>
        </w:rPr>
        <w:t>”) (of the Office for the Assistant Secretary for Preparedness and Response) for emergency response preparedness. Total commercial revenue, which excludes BARDA revenue, increased by 36% or $9.0 million to $34.0 million in the full year-ended December 31, 2022, compared to $25.1 million in the corresponding period in the prior year. The growth in commercial revenues was largely driven by deeper penetration within individual customer accounts along with the commencement of commercial sales with our partner COSMOTEC in Japan.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Gross profit margin was 82% and relatively flat compared to the corresponding period in the prior year.</w:t>
      </w:r>
    </w:p>
    <w:p>
      <w:pPr>
        <w:spacing w:after="0" w:line="225"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BARDA income consisted of funding from BARDA, under the Assistant Secretary for Preparedness and Response, within the U.S. Department of Health and Human Services, under ongoing USG Contract No. HHSO100201500028C. Under the BARDA contract, income of $3.2 million was recognized during the year-ended December 31, 2022, compared to income of $1.6 million for the same period in the prior year. BARDA income increased as a result of funding by BARDA for the pivotal trial for use of the RECELL System for soft tissue repair.</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operating expenses increased 10% or $5.5 million to $59.1 million, compared to $53.6 million in the corresponding period in the prior year.</w:t>
      </w:r>
    </w:p>
    <w:p>
      <w:pPr>
        <w:spacing w:after="0" w:line="248"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Sales and marketing expenses increased 35%, or $5.6 million, to $21.9 million, compared to $16.3 million recognized in the corresponding period in the prior year. Increased costs in the current year were primarily driven by higher selling costs, pre-commercialization costs and higher salaries and benefits. Higher selling costs are attributable to increased commissions due to increased revenue and higher costs for travel, hands-on professional education, and training. Increased pre-commercialization costs are driven by activities related to future RECELL launches in soft tissue repair and vitiligo. Higher salaries and benefits were primarily due to additional field personnel added to deepen penetration within individual customer accounts.</w:t>
      </w:r>
    </w:p>
    <w:p>
      <w:pPr>
        <w:spacing w:after="0" w:line="161"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General and administrative expenses increased 8%, or $1.6 million, to $23.3 million, compared to $21.7 million recognized in the corresponding period in the prior year. The increase was primarily driven by higher salaries and benefits and share-based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compensation expenses. Higher salaries and benefits costs were due to the expansion of our workforce to support overall operations along with severance costs associated with the termination of a former executive officer. Higher share-based compensation expense was due to the new equity grants in the current period, partially offset by the reversal of expense for unvested awards related to the termination of a former executive officer in the current year.</w:t>
      </w:r>
    </w:p>
    <w:p>
      <w:pPr>
        <w:spacing w:after="0" w:line="149"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Research and development expenses decreased 12%, or $1.8 million, to $13.9 million, compared to $15.7 million recognized in the corresponding period in the prior year. Research and development costs were lower due to the following: pediatric burn study was closed for enrollment, soft tissue repair and vitiligo trial participants were in less costly follow-up phases this period compared to more costly recruitment and treatment phases in the prior period, and lower expense for sponsored research toward pipeline development in the current period. This is partially offset by higher development expenses in the current year from ongoing development of next generation devices for an automated preparation of Spray-On Skin™ Cells as compared to the prior year due to early prototype development and testing.</w:t>
      </w:r>
    </w:p>
    <w:p>
      <w:pPr>
        <w:spacing w:after="0" w:line="192"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Net loss increased 6%, or $1.5 million, to $26.7 million, over the $25.1 million recognized in the corresponding period in the prior year. The increase in net loss was driven by higher operating expenses as described above, partially offset by higher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Period Ended December 31, 2021, compared to the Six Months Ended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Transition Period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5"/>
              </w:rPr>
              <w:t>Six Months Ended</w:t>
            </w: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Statement of Operations Data:</w:t>
            </w:r>
          </w:p>
        </w:tc>
        <w:tc>
          <w:tcPr>
            <w:tcW w:w="8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July 1 - December 31, 2021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December 31, 2020</w:t>
            </w:r>
          </w:p>
        </w:tc>
        <w:tc>
          <w:tcPr>
            <w:tcW w:w="24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Revenues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13,956</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10,163</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3,793</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Cost of sales</w:t>
            </w:r>
          </w:p>
        </w:tc>
        <w:tc>
          <w:tcPr>
            <w:tcW w:w="8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6"/>
                <w:szCs w:val="16"/>
                <w:color w:val="auto"/>
              </w:rPr>
              <w:t>(1,905)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(1,750)</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(155)</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37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Gross profit</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12,051</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8,413</w:t>
            </w:r>
          </w:p>
        </w:tc>
        <w:tc>
          <w:tcPr>
            <w:tcW w:w="2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3,638</w:t>
            </w: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7"/>
        </w:trPr>
        <w:tc>
          <w:tcPr>
            <w:tcW w:w="3700" w:type="dxa"/>
            <w:vAlign w:val="bottom"/>
          </w:tcPr>
          <w:p>
            <w:pPr>
              <w:spacing w:after="0"/>
              <w:rPr>
                <w:sz w:val="20"/>
                <w:szCs w:val="20"/>
                <w:color w:val="auto"/>
              </w:rPr>
            </w:pPr>
            <w:r>
              <w:rPr>
                <w:rFonts w:ascii="Arial" w:cs="Arial" w:eastAsia="Arial" w:hAnsi="Arial"/>
                <w:sz w:val="16"/>
                <w:szCs w:val="16"/>
                <w:color w:val="auto"/>
              </w:rPr>
              <w:t>BARDA income</w:t>
            </w:r>
          </w:p>
        </w:tc>
        <w:tc>
          <w:tcPr>
            <w:tcW w:w="8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1,045</w:t>
            </w: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(465)</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480"/>
              <w:spacing w:after="0"/>
              <w:rPr>
                <w:sz w:val="20"/>
                <w:szCs w:val="20"/>
                <w:color w:val="auto"/>
              </w:rPr>
            </w:pPr>
            <w:r>
              <w:rPr>
                <w:rFonts w:ascii="Arial" w:cs="Arial" w:eastAsia="Arial" w:hAnsi="Arial"/>
                <w:sz w:val="16"/>
                <w:szCs w:val="16"/>
                <w:color w:val="auto"/>
              </w:rPr>
              <w:t>Sales and marketing expenses</w:t>
            </w:r>
          </w:p>
        </w:tc>
        <w:tc>
          <w:tcPr>
            <w:tcW w:w="8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6"/>
                <w:szCs w:val="16"/>
                <w:color w:val="auto"/>
              </w:rPr>
              <w:t>(8,472)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(6,865)</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(1,607)</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General and administrative expenses</w:t>
            </w:r>
          </w:p>
        </w:tc>
        <w:tc>
          <w:tcPr>
            <w:tcW w:w="8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(10,996)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(11,703)</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3700" w:type="dxa"/>
            <w:vAlign w:val="bottom"/>
          </w:tcPr>
          <w:p>
            <w:pPr>
              <w:ind w:left="480"/>
              <w:spacing w:after="0"/>
              <w:rPr>
                <w:sz w:val="20"/>
                <w:szCs w:val="20"/>
                <w:color w:val="auto"/>
              </w:rPr>
            </w:pPr>
            <w:r>
              <w:rPr>
                <w:rFonts w:ascii="Arial" w:cs="Arial" w:eastAsia="Arial" w:hAnsi="Arial"/>
                <w:sz w:val="16"/>
                <w:szCs w:val="16"/>
                <w:color w:val="auto"/>
              </w:rPr>
              <w:t>Research and development expenses</w:t>
            </w:r>
          </w:p>
        </w:tc>
        <w:tc>
          <w:tcPr>
            <w:tcW w:w="8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6"/>
                <w:szCs w:val="16"/>
                <w:color w:val="auto"/>
              </w:rPr>
              <w:t>(7,586)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(6,735)</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(851)</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(1,751)</w:t>
            </w: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213"/>
        </w:trPr>
        <w:tc>
          <w:tcPr>
            <w:tcW w:w="37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(27,054)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(25,303)</w:t>
            </w:r>
          </w:p>
        </w:tc>
        <w:tc>
          <w:tcPr>
            <w:tcW w:w="1060" w:type="dxa"/>
            <w:vAlign w:val="bottom"/>
            <w:gridSpan w:val="2"/>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1,422</w:t>
            </w:r>
          </w:p>
        </w:tc>
        <w:tc>
          <w:tcPr>
            <w:tcW w:w="240" w:type="dxa"/>
            <w:vAlign w:val="bottom"/>
          </w:tcPr>
          <w:p>
            <w:pPr>
              <w:spacing w:after="0" w:line="20" w:lineRule="exact"/>
              <w:rPr>
                <w:sz w:val="1"/>
                <w:szCs w:val="1"/>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line="20" w:lineRule="exact"/>
              <w:rPr>
                <w:sz w:val="1"/>
                <w:szCs w:val="1"/>
                <w:color w:val="auto"/>
              </w:rPr>
            </w:pPr>
          </w:p>
        </w:tc>
      </w:tr>
      <w:tr>
        <w:trPr>
          <w:trHeight w:val="207"/>
        </w:trPr>
        <w:tc>
          <w:tcPr>
            <w:tcW w:w="3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6"/>
                <w:szCs w:val="16"/>
                <w:color w:val="auto"/>
              </w:rPr>
              <w:t>(14,423)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(15,845)</w:t>
            </w:r>
          </w:p>
        </w:tc>
        <w:tc>
          <w:tcPr>
            <w:tcW w:w="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w:t>
            </w:r>
          </w:p>
        </w:tc>
        <w:tc>
          <w:tcPr>
            <w:tcW w:w="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3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 before income taxes</w:t>
            </w:r>
          </w:p>
        </w:tc>
        <w:tc>
          <w:tcPr>
            <w:tcW w:w="8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(14,402)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(15,847)</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3700" w:type="dxa"/>
            <w:vAlign w:val="bottom"/>
          </w:tcPr>
          <w:p>
            <w:pPr>
              <w:ind w:left="240"/>
              <w:spacing w:after="0"/>
              <w:rPr>
                <w:sz w:val="20"/>
                <w:szCs w:val="20"/>
                <w:color w:val="auto"/>
              </w:rPr>
            </w:pPr>
            <w:r>
              <w:rPr>
                <w:rFonts w:ascii="Arial" w:cs="Arial" w:eastAsia="Arial" w:hAnsi="Arial"/>
                <w:sz w:val="16"/>
                <w:szCs w:val="16"/>
                <w:color w:val="auto"/>
              </w:rPr>
              <w:t>Income tax benefit (expense)</w:t>
            </w:r>
          </w:p>
        </w:tc>
        <w:tc>
          <w:tcPr>
            <w:tcW w:w="80" w:type="dxa"/>
            <w:vAlign w:val="bottom"/>
          </w:tcPr>
          <w:p>
            <w:pPr>
              <w:spacing w:after="0"/>
              <w:rPr>
                <w:sz w:val="18"/>
                <w:szCs w:val="18"/>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1,441</w:t>
            </w:r>
          </w:p>
        </w:tc>
        <w:tc>
          <w:tcPr>
            <w:tcW w:w="240" w:type="dxa"/>
            <w:vAlign w:val="bottom"/>
            <w:shd w:val="clear" w:color="auto" w:fill="CFF0FC"/>
          </w:tcPr>
          <w:p>
            <w:pPr>
              <w:spacing w:after="0" w:line="20" w:lineRule="exact"/>
              <w:rPr>
                <w:sz w:val="1"/>
                <w:szCs w:val="1"/>
                <w:color w:val="auto"/>
              </w:rPr>
            </w:pPr>
          </w:p>
        </w:tc>
        <w:tc>
          <w:tcPr>
            <w:tcW w:w="10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line="20" w:lineRule="exact"/>
              <w:rPr>
                <w:sz w:val="1"/>
                <w:szCs w:val="1"/>
                <w:color w:val="auto"/>
              </w:rPr>
            </w:pPr>
          </w:p>
        </w:tc>
      </w:tr>
      <w:tr>
        <w:trPr>
          <w:trHeight w:val="209"/>
        </w:trPr>
        <w:tc>
          <w:tcPr>
            <w:tcW w:w="37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(14,427)</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(15,868)</w:t>
            </w:r>
          </w:p>
        </w:tc>
        <w:tc>
          <w:tcPr>
            <w:tcW w:w="8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firstLine="749"/>
        <w:spacing w:after="0" w:line="257" w:lineRule="auto"/>
        <w:rPr>
          <w:sz w:val="20"/>
          <w:szCs w:val="20"/>
          <w:color w:val="auto"/>
        </w:rPr>
      </w:pPr>
      <w:r>
        <w:rPr>
          <w:rFonts w:ascii="Arial" w:cs="Arial" w:eastAsia="Arial" w:hAnsi="Arial"/>
          <w:sz w:val="18"/>
          <w:szCs w:val="18"/>
          <w:color w:val="auto"/>
        </w:rPr>
        <w:t>Total net revenue increased 37% to $14.0 million, compared to $10.2 million in the corresponding period in the prior year. RECELL® commercial revenues were $13.8 million, while RECELL revenues associated with the U.S. Department of Health and Human Services’ Biomedical Advanced Research and Development Authority within the Office of the Assistant Secretary for Preparedness and Response (“BARDA”) were $0.2 million. Revenues associated with BARDA were attributable to the vendor managed inventory associated with the purchase of RECELL units for emergency preparedness by BARDA.</w:t>
      </w:r>
    </w:p>
    <w:p>
      <w:pPr>
        <w:spacing w:after="0" w:line="188"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Gross profit margin was 86% compared with 83% in the corresponding period in the prior year, driven largely by the extension of our shelf-life and lower shipping costs.</w:t>
      </w:r>
    </w:p>
    <w:p>
      <w:pPr>
        <w:spacing w:after="0" w:line="170"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BARDA income consisted of funding from BARDA, under the Assistant Secretary for Preparedness and Response, within the U.S. Department of Health and Human Services, under ongoing USG Contract No. HHSO100201500028C. Under the BARDA contract, income of $0.6 million was recognized during the transition period ended December 31, 2021, compared to income of $1.0 million for the same period in the prior year. BARDA income declined as a result of wind-down of certain activities associated with continued pivotal trials for the treatment of pediatric scald injuries.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operating expenses increased 7% to $27.1 million, compared to $25.3 million in the corresponding period in the prior year.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Sales and marketing expenses increased 23%, or $1.6 million, to $8.5 million, compared to $6.9 million recognized in the corresponding period in the prior year. Increased costs in the current year are driven primarily by pre-commercialization planning for RECELL launches in soft tissue repair and vitiligo as well higher travel costs and increased hands-on professional education and training events. Higher travel costs along with professional and training events in the current period are driven by fewer COVID-19 related travel restrictions.</w:t>
      </w:r>
    </w:p>
    <w:p>
      <w:pPr>
        <w:spacing w:after="0" w:line="17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General and administrative expenses decreased 6%, or $0.7 million, to $11.0 million, compared to $11.7 million recognized in the corresponding period in the prior year. The decrease was driven by certain one-time professional services costs incurred in the prior period with establishing the Company as a domestic filer with the SEC following completion of the Redomiciliation, and severance costs associated with a former executive employee in the prior year.</w:t>
      </w:r>
    </w:p>
    <w:p>
      <w:pPr>
        <w:spacing w:after="0" w:line="187"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Research and development expenses increased 13%, or $0.9 million, to $7.6 million, compared to $6.7 million recognized in the corresponding period in the prior year. The increase was primarily attributed to ongoing development of a next generation device for more automated preparation of Spray-On Skin™ Cells for vitiligo. In addition, we had higher costs associated with an increased rate of enrollment into our soft tissue repair clinical trial, as well as other research and development costs associated with furthering the Company’s pipeline.</w:t>
      </w:r>
    </w:p>
    <w:p>
      <w:pPr>
        <w:spacing w:after="0" w:line="187" w:lineRule="exact"/>
        <w:rPr>
          <w:sz w:val="20"/>
          <w:szCs w:val="20"/>
          <w:color w:val="auto"/>
        </w:rPr>
      </w:pPr>
    </w:p>
    <w:p>
      <w:pPr>
        <w:ind w:right="340" w:firstLine="749"/>
        <w:spacing w:after="0" w:line="308" w:lineRule="auto"/>
        <w:rPr>
          <w:sz w:val="20"/>
          <w:szCs w:val="20"/>
          <w:color w:val="auto"/>
        </w:rPr>
      </w:pPr>
      <w:r>
        <w:rPr>
          <w:rFonts w:ascii="Arial" w:cs="Arial" w:eastAsia="Arial" w:hAnsi="Arial"/>
          <w:sz w:val="17"/>
          <w:szCs w:val="17"/>
          <w:color w:val="auto"/>
        </w:rPr>
        <w:t>Net loss decreased 9%, or $1.4 million, to $14.4 million, over the $15.9 million recognized in the corresponding period in the prior year. The decrease in net loss was driven by higher revenue during the year, partially offset by higher operating expenses as described above.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ind w:right="160" w:firstLine="749"/>
        <w:spacing w:after="0" w:line="273" w:lineRule="auto"/>
        <w:rPr>
          <w:sz w:val="20"/>
          <w:szCs w:val="20"/>
          <w:color w:val="auto"/>
        </w:rPr>
      </w:pPr>
      <w:r>
        <w:rPr>
          <w:rFonts w:ascii="Arial" w:cs="Arial" w:eastAsia="Arial" w:hAnsi="Arial"/>
          <w:sz w:val="17"/>
          <w:szCs w:val="17"/>
          <w:color w:val="auto"/>
        </w:rPr>
        <w:t>We expect to utilize cash reserves until U.S. sales of our products reach a level sufficient to fund ongoing operations. AVITA Medical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As of December 31, 2022, the Company had approximately $18.2 million in cash and cash equivalents and $68.1 million in marketable securities and believes it has sufficient cash reserves to fund operations for the next 12-months. If the Company is unable to raise capital in the future, the Company may need to curtail expenditures by scaling back certain research and development or other programs.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On March 1, 2021, the Company issued 3,214,250 shares of common stock at an offering price of $21.50 per share in a registered underwritten offering. The gross proceeds from the offering were approximately $69.1 million.</w:t>
      </w:r>
    </w:p>
    <w:p>
      <w:pPr>
        <w:spacing w:after="0" w:line="17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AVITA Medical also benefits from cash inflows from the BARDA contract (discussed earlier in this Annual Report). We entered into the contract on September 29, 2015, and the scope has expanded through a number of amendments to the contract. The current contract period continues to December 31, 2023, with the option by BARDA to terminate earlier. The contract provided funding for the development of the RECELL System. The contract will continue to provide funding for future use of the product as a medical countermeasure to assist disaster preparedness and response in the U.S. for mass casualty events involving burn injuries.</w:t>
      </w:r>
    </w:p>
    <w:p>
      <w:pPr>
        <w:spacing w:after="0" w:line="188"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Under the contract, BARDA has provided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exercised a contract option to fund a randomized, controlled clinical trial for a pediatric early intervention study which commenced enrollment in March 2020, and closed to enrollment in June 2021, subsequent to FDA-approval of an expanded RECELL indication for use that includes treatment of pediatric patients. Currently, the BARDA contract is supporting the Company’s clinical trial in soft-tissue repair. Also included in the BARDA contract was a provision for procurement of the RECELL System under a vendor-managed inventory system to bolster emergency preparedness in the amount of $7.6 million. Further, BARDA expanded the awarded contract to provide supplemental funding of $1.6 million to support the logistics of emergency deployment of RECELL Systems for use in mass casualty or other emergency situations. We are contracted to manage this inventory of product until the federal government requests shipment or at contract termination on December 31, 2023. As of December 31, 2022, we had received cumulative payments of $37.9 million under the BARDA contract. For the year-ended December 31, 2022, we recognized $370,000 of revenue related to BARDA services provided to BARDA for emergency preparedness.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Given the above, we believe there is presently sufficient working capital to support our committed research and development programs and other activities over the next twelve months and the Company believes it has the ability to realize its assets and pay its liabilities and commitments in the normal course of business.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0" w:lineRule="exact"/>
        <w:rPr>
          <w:sz w:val="20"/>
          <w:szCs w:val="20"/>
          <w:color w:val="auto"/>
        </w:rPr>
      </w:pP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Year-Ended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Year-Ended</w:t>
            </w:r>
          </w:p>
        </w:tc>
      </w:tr>
      <w:tr>
        <w:trPr>
          <w:trHeight w:val="199"/>
        </w:trPr>
        <w:tc>
          <w:tcPr>
            <w:tcW w:w="5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r>
      <w:tr>
        <w:trPr>
          <w:trHeight w:val="213"/>
        </w:trPr>
        <w:tc>
          <w:tcPr>
            <w:tcW w:w="59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FF0FC"/>
            </w:tcBorders>
          </w:tcPr>
          <w:p>
            <w:pPr>
              <w:spacing w:after="0"/>
              <w:rPr>
                <w:sz w:val="18"/>
                <w:szCs w:val="18"/>
                <w:color w:val="auto"/>
              </w:rPr>
            </w:pPr>
          </w:p>
        </w:tc>
      </w:tr>
      <w:tr>
        <w:trPr>
          <w:trHeight w:val="213"/>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operations</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(19,090)</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(18,024)</w:t>
            </w: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(19,332)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(50,208)</w:t>
            </w: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64,065</w:t>
            </w:r>
          </w:p>
        </w:tc>
        <w:tc>
          <w:tcPr>
            <w:tcW w:w="100" w:type="dxa"/>
            <w:vAlign w:val="bottom"/>
            <w:shd w:val="clear" w:color="auto" w:fill="CFF0FC"/>
          </w:tcPr>
          <w:p>
            <w:pPr>
              <w:spacing w:after="0"/>
              <w:rPr>
                <w:sz w:val="19"/>
                <w:szCs w:val="19"/>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Effect of foreign exchange rate on cash and cash equivalents and restricted cash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(87)</w:t>
            </w: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Net increase/(decrease) in cash and cash equivalents and restricted cash</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(37,548)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(4,254)</w:t>
            </w: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55,712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59,966</w:t>
            </w:r>
          </w:p>
        </w:tc>
        <w:tc>
          <w:tcPr>
            <w:tcW w:w="100" w:type="dxa"/>
            <w:vAlign w:val="bottom"/>
          </w:tcPr>
          <w:p>
            <w:pPr>
              <w:spacing w:after="0"/>
              <w:rPr>
                <w:sz w:val="18"/>
                <w:szCs w:val="18"/>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restricted cash at end of year</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55,712</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480" w:firstLine="749"/>
        <w:spacing w:after="0" w:line="308" w:lineRule="auto"/>
        <w:rPr>
          <w:sz w:val="20"/>
          <w:szCs w:val="20"/>
          <w:color w:val="auto"/>
        </w:rPr>
      </w:pPr>
      <w:r>
        <w:rPr>
          <w:rFonts w:ascii="Arial" w:cs="Arial" w:eastAsia="Arial" w:hAnsi="Arial"/>
          <w:sz w:val="17"/>
          <w:szCs w:val="17"/>
          <w:color w:val="auto"/>
        </w:rPr>
        <w:t>Net cash used in operating activities was $19.1 million during the year-ended December 31, 2022, and $18.0 million during the year-ended December 31, 2021. The increase was primarily resulted from higher operating costs, partially offset by increased revenues.</w:t>
      </w:r>
    </w:p>
    <w:p>
      <w:pPr>
        <w:spacing w:after="0" w:line="146"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Net cash used in investing activities was $19.3 million during the year-ended December 31, 2022 and $50.2 million during the during the year-ended December 31, 2021. Cash flows used for investing activities were primarily attributable to investing excess cash in marketable securities in the prior year.</w:t>
      </w:r>
    </w:p>
    <w:p>
      <w:pPr>
        <w:spacing w:after="0" w:line="184"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Net cash provided by financing activities was $0.9 million and $64.1 million for the year-ended December 31, 2022 and 2021 respectively. The decrease in cash provided by financing activities was due to the issuance of common stock during March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Management and Material Cash Requirements</w:t>
      </w:r>
    </w:p>
    <w:p>
      <w:pPr>
        <w:spacing w:after="0" w:line="117" w:lineRule="exact"/>
        <w:rPr>
          <w:sz w:val="20"/>
          <w:szCs w:val="20"/>
          <w:color w:val="auto"/>
        </w:rPr>
      </w:pPr>
    </w:p>
    <w:p>
      <w:pPr>
        <w:jc w:val="both"/>
        <w:ind w:right="80" w:firstLine="749"/>
        <w:spacing w:after="0" w:line="311"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49"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For the annual period ended December 31, 2022, there were no dividends paid and we have no plans to commence the payment of dividends. We have no purchase commitments or long-term contractual obligations or purchase commitments, except for lease obligations as of December 31, 2022. Refer to Note 6 of our Consolidated Financial Statements for further details on our lease obligations.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investors. We have no committed plans to issue further shares on the market but will continue to assess market conditions and the Company’s cash flow requirements to ensure the Company is appropriately funded in order to pursue its various opportunities.</w:t>
      </w:r>
    </w:p>
    <w:p>
      <w:pPr>
        <w:spacing w:after="0" w:line="177" w:lineRule="exact"/>
        <w:rPr>
          <w:sz w:val="20"/>
          <w:szCs w:val="20"/>
          <w:color w:val="auto"/>
        </w:rPr>
      </w:pPr>
    </w:p>
    <w:p>
      <w:pPr>
        <w:ind w:right="600" w:firstLine="749"/>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20" w:firstLine="749"/>
        <w:spacing w:after="0" w:line="342" w:lineRule="auto"/>
        <w:rPr>
          <w:sz w:val="20"/>
          <w:szCs w:val="20"/>
          <w:color w:val="auto"/>
        </w:rPr>
      </w:pPr>
      <w:r>
        <w:rPr>
          <w:rFonts w:ascii="Arial" w:cs="Arial" w:eastAsia="Arial" w:hAnsi="Arial"/>
          <w:sz w:val="16"/>
          <w:szCs w:val="16"/>
          <w:color w:val="auto"/>
        </w:rPr>
        <w:t>The SEC defines “critical accounting policies” as those that require the application of management’s most difficult, subjective, or complex judgments, often as a result of the need to make estimates about the effect of matters that are inherently uncertain and may change in subsequent periods.</w:t>
      </w:r>
    </w:p>
    <w:p>
      <w:pPr>
        <w:spacing w:after="0" w:line="124"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Practices, or U.S. GAAP, requires us to make estimates and assumptions that affect the reported amounts of assets and liabilities and disclosures of contingent assets and liabilities at the date of the financial statements and the reported amounts of revenues and expenses during the reporting period. We base those estimates on historical experience and on various assumptions that are believed to be reasonable under the circumstances. Actual results could differ from those estimates.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following listing is not intended to be a comprehensive list of all of our accounting policies. Our significant accounting policies are described in Note 2 to our consolidated financial statements contained elsewhere in this Annual Report. In many cases, the accounting treatment of a particular transaction is dictated by U.S. GAAP, with no need for our judgment in its application. There are also areas in which our judgment in selecting an available alternative would not produce a materially different result. We have identified the following as our critical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The Company adopted ASC Topic 606 – Revenue from Contracts with Customers, on July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w:t>
      </w:r>
    </w:p>
    <w:p>
      <w:pPr>
        <w:spacing w:after="0" w:line="237"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84" w:lineRule="exact"/>
        <w:rPr>
          <w:rFonts w:ascii="Arial" w:cs="Arial" w:eastAsia="Arial" w:hAnsi="Arial"/>
          <w:sz w:val="18"/>
          <w:szCs w:val="18"/>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198" w:lineRule="exact"/>
        <w:rPr>
          <w:rFonts w:ascii="Arial" w:cs="Arial" w:eastAsia="Arial" w:hAnsi="Arial"/>
          <w:sz w:val="18"/>
          <w:szCs w:val="18"/>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84" w:lineRule="exact"/>
        <w:rPr>
          <w:rFonts w:ascii="Arial" w:cs="Arial" w:eastAsia="Arial" w:hAnsi="Arial"/>
          <w:sz w:val="18"/>
          <w:szCs w:val="18"/>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184" w:lineRule="exact"/>
        <w:rPr>
          <w:rFonts w:ascii="Arial" w:cs="Arial" w:eastAsia="Arial" w:hAnsi="Arial"/>
          <w:sz w:val="18"/>
          <w:szCs w:val="18"/>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225"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57"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The Company’s revenue consists primarily of the sale of the RECELL System to hospitals or other treatment centers, COSMOTEC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IAS 20. For further details refer to BARDA Income and Receivables below.</w:t>
      </w:r>
    </w:p>
    <w:p>
      <w:pPr>
        <w:spacing w:after="0" w:line="161"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Revenues for commercial customers (COSMOTEC,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used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92"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For revenues related to the BARDA contract with-in the scope of ASC 606,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192"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is be classified as revenues when recognized in the consolidated statement of operations.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Company’s performance obligations are either satisfied at a point in time or over time as services are provided. The product procurement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performance obligation is satisfied at a point in time, upon transfer of control of the product. As such, the related revenue for these performance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recognized at a point in time as revenue within the Company’s consolidated statement of operations. In addition to guidance under ASC 606,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recognizes revenue from the sales of RECELL product to BARDA for placement into vaccine stockpiles in accordance with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(SEC) Interpretation, Commission Guidance regarding Accounting for Sale of Vaccines and BioTerror Countermeasures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Federal Government for Placement into the Pediatric Vaccine Stockpile or the Strategic National Stockpile (SNS). Under this guidance, revenue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when product is placed in the BARDA vendor-managed inventory (“</w:t>
      </w:r>
      <w:r>
        <w:rPr>
          <w:rFonts w:ascii="Arial" w:cs="Arial" w:eastAsia="Arial" w:hAnsi="Arial"/>
          <w:sz w:val="16"/>
          <w:szCs w:val="16"/>
          <w:b w:val="1"/>
          <w:bCs w:val="1"/>
          <w:color w:val="auto"/>
        </w:rPr>
        <w:t>VMI</w:t>
      </w:r>
      <w:r>
        <w:rPr>
          <w:rFonts w:ascii="Arial" w:cs="Arial" w:eastAsia="Arial" w:hAnsi="Arial"/>
          <w:sz w:val="16"/>
          <w:szCs w:val="16"/>
          <w:color w:val="auto"/>
        </w:rPr>
        <w:t>”) as control of the product has been transferred to the customer 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of delivery to the VMI. RECELL units that have been delivered to BARDA have a product replacement obligation at no cost to BARDA due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product’s limited shelf-life. The estimated cost of the expired inventory over the term of the contract is accrued on a per unit basis at the time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delivery. The liability is released upon replacement of the product along with a corresponding reduction to inventory. The emergency preparedness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obligation is satisfied over time. Revenue for the emergency deployment will be recognized on a straight-line basis during the term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as services are consumed over time. Services recognized are included in sales within the consolidated statement of operations. Contract costs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fulfil the performance obligation are incremental and expected to be recovered are capitalized and amortized on a straight-line basis over the term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contract. Contract costs are included in other long-term assets.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14 to our Consolidated Financial Statements included in this Annual Report for additional detail on 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 / BARDA Income and Receivables</w:t>
      </w:r>
    </w:p>
    <w:p>
      <w:pPr>
        <w:spacing w:after="0" w:line="11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AVITA Medical was granted a BARDA contract in September 2015, wherein BARDA provided funding to the AVITA Medical to support the ongoing U.S. clinical regulatory program towards FDA premarket approval, Compassionate Use program, clinical and health economics research, and U.S. pediatric burn programs.</w:t>
      </w:r>
    </w:p>
    <w:p>
      <w:pPr>
        <w:spacing w:after="0" w:line="184"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Income under the BARDA contract is earned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84"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The Company has concluded that grants are not within the scope of ASC 606, as they do not meet the definition of a contract with a “customer”. The Company has further concluded that Subtopic 958-605, Not-for-Profit-Entities-Revenue Recognition also does not apply, as the Company is a business entity, and the grants are with governmental agencies. Government grants and related receivables are recognized when there is reasonable assurance that the grant will be received, and all attaching conditions will be complied with. When the grant relates to an expense item, it is recognized as income over the periods necessary to match the grant on a systematic basis to the costs that it is intended to compensate. When the grant relates to an asset, the fair value is credited to deferred income and is released to the profit or loss over the expected useful life of the relevant asset by equal annual installments.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The Company records compensation expense for share-based payments to employees, including grants of stock options, restricted stock units and performance-based awards based on the fair market value of the awards on the date of grant. The fair value of share-based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The Company estimates the fair value of tenure-based share options using the Black-Scholes option pricing model on the date of grant. The Company estimates the fair value of options with a performance condition and market condition using the Monte-Carlo simulation model. Restricted stock units are valued based on the market price on the grant date.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were used in the valuation of stock options.</w:t>
      </w:r>
    </w:p>
    <w:p>
      <w:pPr>
        <w:spacing w:after="0" w:line="225" w:lineRule="exact"/>
        <w:rPr>
          <w:sz w:val="20"/>
          <w:szCs w:val="20"/>
          <w:color w:val="auto"/>
        </w:rPr>
      </w:pPr>
    </w:p>
    <w:p>
      <w:pPr>
        <w:ind w:left="740" w:right="62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volatility – determined using the average of the historical volatility using daily intervals over the expected term and the derived volatility using the longest term available of 12 months.</w:t>
      </w:r>
    </w:p>
    <w:p>
      <w:pPr>
        <w:spacing w:after="0" w:line="170"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dividends – None, based on the fact that the Company has never paid cash dividends and does not expect to pay any cash dividends in the foreseeable future.</w:t>
      </w:r>
    </w:p>
    <w:p>
      <w:pPr>
        <w:spacing w:after="0" w:line="170" w:lineRule="exact"/>
        <w:rPr>
          <w:rFonts w:ascii="Arial" w:cs="Arial" w:eastAsia="Arial" w:hAnsi="Arial"/>
          <w:sz w:val="18"/>
          <w:szCs w:val="18"/>
          <w:color w:val="auto"/>
        </w:rPr>
      </w:pPr>
    </w:p>
    <w:p>
      <w:pPr>
        <w:ind w:left="740" w:right="1560" w:hanging="368"/>
        <w:spacing w:after="0" w:line="291"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Expected term – the expected term of the Company’s stock options for tenure only vesting has been determined utilizing the “simplified” method as described in the SEC’s Staff Accounting Bulletin No. 107 relating to stock-based compensation.</w:t>
      </w:r>
    </w:p>
    <w:p>
      <w:pPr>
        <w:ind w:left="740" w:right="100"/>
        <w:spacing w:after="0" w:line="273" w:lineRule="auto"/>
        <w:rPr>
          <w:rFonts w:ascii="Arial" w:cs="Arial" w:eastAsia="Arial" w:hAnsi="Arial"/>
          <w:sz w:val="16"/>
          <w:szCs w:val="16"/>
          <w:color w:val="auto"/>
        </w:rPr>
      </w:pPr>
      <w:r>
        <w:rPr>
          <w:rFonts w:ascii="Arial" w:cs="Arial" w:eastAsia="Arial" w:hAnsi="Arial"/>
          <w:sz w:val="17"/>
          <w:szCs w:val="17"/>
          <w:color w:val="auto"/>
        </w:rPr>
        <w:t>The simplified method was chosen because the Company has limited historical option exercise experience due to its short operating history of awards granted, the first plan was established in 2016 and was primarily used for Executives awards. Further, the Company does not have sufficient history of exercises in the U.S. market given the Company’s redomiciliation from Australia to the United States in 2020. The expected term of options with a performance condition or market condition was set to the contractual term of 10 years.</w:t>
      </w:r>
    </w:p>
    <w:p>
      <w:pPr>
        <w:spacing w:after="0" w:line="176" w:lineRule="exact"/>
        <w:rPr>
          <w:rFonts w:ascii="Arial" w:cs="Arial" w:eastAsia="Arial" w:hAnsi="Arial"/>
          <w:sz w:val="16"/>
          <w:szCs w:val="16"/>
          <w:color w:val="auto"/>
        </w:rPr>
      </w:pPr>
    </w:p>
    <w:p>
      <w:pPr>
        <w:ind w:left="740" w:right="42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in effect at the time of grant for a period approximately equal to the expected term of the award.</w:t>
      </w:r>
    </w:p>
    <w:p>
      <w:pPr>
        <w:spacing w:after="0" w:line="17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7"/>
          <w:szCs w:val="17"/>
          <w:color w:val="auto"/>
        </w:rPr>
        <w:t>See Note 15 to our Consolidated Financial Statements included in this Annual Report for additional detail on share-based compensation.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by a valuation allowance if it is more likely than not that a portion of the deferred tax asset will not be realized.</w:t>
      </w:r>
    </w:p>
    <w:p>
      <w:pPr>
        <w:spacing w:after="0" w:line="19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16 to our Consolidated Financial Statements included in this Annual Report for additional detail on income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financial statements and supplementary data are attached hereto beginning on Page F-1 and are incorporated by reference herein.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 As required by Rules 13a-15(b) and 15d-15(b) under the Exchange Act, our management, with the participation of our chief executive officer and chief financial officer, conducted an evaluation of the effectiveness of our disclosure controls and procedures as of December 31, 2022. Based on this evaluation, our chief executive officer and chief financial officer concluded that our disclosure controls and procedures were effective as of December 31,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as this term is defined in Rules 13a-15(f) and 15d-15(f) under the Exchange Act. As required by Rules 13a-15(e) and 15d-15(e) under the Exchange Act, our management, with the participation of our chief executive officer and chief financial officer, conducted an evaluation of the effectiveness of our internal control over financial reporting as of December 31, 2022, based on the criteria set forth in the Internal Control—Integrated Framework (2013) issued by the Committee of Sponsoring Organizations of the Treadway Commission. Based on this evaluation, our management concluded that our internal control over financial reporting was effective as of December 31, 2022.</w:t>
      </w:r>
    </w:p>
    <w:p>
      <w:pPr>
        <w:spacing w:after="0" w:line="192" w:lineRule="exact"/>
        <w:rPr>
          <w:sz w:val="20"/>
          <w:szCs w:val="20"/>
          <w:color w:val="auto"/>
        </w:rPr>
      </w:pPr>
    </w:p>
    <w:p>
      <w:pPr>
        <w:ind w:right="620" w:firstLine="749"/>
        <w:spacing w:after="0" w:line="308" w:lineRule="auto"/>
        <w:rPr>
          <w:sz w:val="20"/>
          <w:szCs w:val="20"/>
          <w:color w:val="auto"/>
        </w:rPr>
      </w:pPr>
      <w:r>
        <w:rPr>
          <w:rFonts w:ascii="Arial" w:cs="Arial" w:eastAsia="Arial" w:hAnsi="Arial"/>
          <w:sz w:val="17"/>
          <w:szCs w:val="17"/>
          <w:color w:val="auto"/>
        </w:rPr>
        <w:t>This report does not include an attestation report of our independent registered public accounting firm regarding our internal control over financial reporting, in accordance with applicable SEC rules that permit us to provide only management’s report in this report.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During the three-months ended December 31, 2022, there were no material changes made in our internal control over financial reporting (as such term is defined in Rules 13a-15(f) and 15d-15(f) of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Disclosure Controls and Procedures</w:t>
      </w:r>
    </w:p>
    <w:p>
      <w:pPr>
        <w:spacing w:after="0" w:line="121"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controls and procedures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right="4420"/>
        <w:spacing w:after="0" w:line="407" w:lineRule="auto"/>
        <w:rPr>
          <w:sz w:val="20"/>
          <w:szCs w:val="20"/>
          <w:color w:val="auto"/>
        </w:rPr>
      </w:pPr>
      <w:r>
        <w:rPr>
          <w:rFonts w:ascii="Arial" w:cs="Arial" w:eastAsia="Arial" w:hAnsi="Arial"/>
          <w:sz w:val="18"/>
          <w:szCs w:val="18"/>
          <w:b w:val="1"/>
          <w:bCs w:val="1"/>
          <w:color w:val="auto"/>
        </w:rPr>
        <w:t>Item 10. DIRECTORS, EXECUTIVE OFFICERS AND CORPORATE GOVERNANCE Identification of Directors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gridSpan w:val="2"/>
            <w:vMerge w:val="restart"/>
          </w:tcPr>
          <w:p>
            <w:pPr>
              <w:ind w:left="900"/>
              <w:spacing w:after="0"/>
              <w:rPr>
                <w:sz w:val="20"/>
                <w:szCs w:val="20"/>
                <w:color w:val="auto"/>
              </w:rPr>
            </w:pPr>
            <w:r>
              <w:rPr>
                <w:rFonts w:ascii="Arial" w:cs="Arial" w:eastAsia="Arial" w:hAnsi="Arial"/>
                <w:sz w:val="18"/>
                <w:szCs w:val="18"/>
                <w:b w:val="1"/>
                <w:bCs w:val="1"/>
                <w:color w:val="auto"/>
              </w:rPr>
              <w:t>Name</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Position with the Company and Principal Occupation</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Board Term</w:t>
            </w:r>
          </w:p>
        </w:tc>
        <w:tc>
          <w:tcPr>
            <w:tcW w:w="0" w:type="dxa"/>
            <w:vAlign w:val="bottom"/>
          </w:tcPr>
          <w:p>
            <w:pPr>
              <w:spacing w:after="0"/>
              <w:rPr>
                <w:sz w:val="1"/>
                <w:szCs w:val="1"/>
                <w:color w:val="auto"/>
              </w:rPr>
            </w:pPr>
          </w:p>
        </w:tc>
      </w:tr>
      <w:tr>
        <w:trPr>
          <w:trHeight w:val="126"/>
        </w:trPr>
        <w:tc>
          <w:tcPr>
            <w:tcW w:w="24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8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Expires</w:t>
            </w:r>
          </w:p>
        </w:tc>
        <w:tc>
          <w:tcPr>
            <w:tcW w:w="0" w:type="dxa"/>
            <w:vAlign w:val="bottom"/>
          </w:tcPr>
          <w:p>
            <w:pPr>
              <w:spacing w:after="0"/>
              <w:rPr>
                <w:sz w:val="1"/>
                <w:szCs w:val="1"/>
                <w:color w:val="auto"/>
              </w:rPr>
            </w:pPr>
          </w:p>
        </w:tc>
      </w:tr>
      <w:tr>
        <w:trPr>
          <w:trHeight w:val="108"/>
        </w:trPr>
        <w:tc>
          <w:tcPr>
            <w:tcW w:w="2260" w:type="dxa"/>
            <w:vAlign w:val="bottom"/>
            <w:tcBorders>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Lou Panaccio</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65</w:t>
            </w:r>
          </w:p>
        </w:tc>
        <w:tc>
          <w:tcPr>
            <w:tcW w:w="80" w:type="dxa"/>
            <w:vAlign w:val="bottom"/>
            <w:shd w:val="clear" w:color="auto" w:fill="CFF0FC"/>
          </w:tcPr>
          <w:p>
            <w:pPr>
              <w:spacing w:after="0"/>
              <w:rPr>
                <w:sz w:val="19"/>
                <w:szCs w:val="19"/>
                <w:color w:val="auto"/>
              </w:rPr>
            </w:pPr>
          </w:p>
        </w:tc>
        <w:tc>
          <w:tcPr>
            <w:tcW w:w="4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80" w:type="dxa"/>
            <w:vAlign w:val="bottom"/>
            <w:shd w:val="clear" w:color="auto" w:fill="CFF0FC"/>
          </w:tcPr>
          <w:p>
            <w:pPr>
              <w:spacing w:after="0"/>
              <w:rPr>
                <w:sz w:val="19"/>
                <w:szCs w:val="19"/>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July 2014</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2023</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40"/>
              <w:spacing w:after="0"/>
              <w:rPr>
                <w:sz w:val="20"/>
                <w:szCs w:val="20"/>
                <w:color w:val="auto"/>
              </w:rPr>
            </w:pPr>
            <w:r>
              <w:rPr>
                <w:rFonts w:ascii="Arial" w:cs="Arial" w:eastAsia="Arial" w:hAnsi="Arial"/>
                <w:sz w:val="18"/>
                <w:szCs w:val="18"/>
                <w:color w:val="auto"/>
              </w:rPr>
              <w:t>Jeremy Curnock Cook</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80" w:type="dxa"/>
            <w:vAlign w:val="bottom"/>
          </w:tcPr>
          <w:p>
            <w:pPr>
              <w:spacing w:after="0"/>
              <w:rPr>
                <w:sz w:val="19"/>
                <w:szCs w:val="19"/>
                <w:color w:val="auto"/>
              </w:rPr>
            </w:pPr>
          </w:p>
        </w:tc>
        <w:tc>
          <w:tcPr>
            <w:tcW w:w="48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Non-Executive 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October 2012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Professor Suzanne Crowe</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72</w:t>
            </w:r>
          </w:p>
        </w:tc>
        <w:tc>
          <w:tcPr>
            <w:tcW w:w="80" w:type="dxa"/>
            <w:vAlign w:val="bottom"/>
            <w:shd w:val="clear" w:color="auto" w:fill="CFF0FC"/>
          </w:tcPr>
          <w:p>
            <w:pPr>
              <w:spacing w:after="0"/>
              <w:rPr>
                <w:sz w:val="19"/>
                <w:szCs w:val="19"/>
                <w:color w:val="auto"/>
              </w:rPr>
            </w:pPr>
          </w:p>
        </w:tc>
        <w:tc>
          <w:tcPr>
            <w:tcW w:w="486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4"/>
              </w:rPr>
              <w:t>Non-Executive Director</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2016</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2023</w:t>
            </w:r>
          </w:p>
        </w:tc>
        <w:tc>
          <w:tcPr>
            <w:tcW w:w="0" w:type="dxa"/>
            <w:vAlign w:val="bottom"/>
          </w:tcPr>
          <w:p>
            <w:pPr>
              <w:spacing w:after="0"/>
              <w:rPr>
                <w:sz w:val="1"/>
                <w:szCs w:val="1"/>
                <w:color w:val="auto"/>
              </w:rPr>
            </w:pPr>
          </w:p>
        </w:tc>
      </w:tr>
      <w:tr>
        <w:trPr>
          <w:trHeight w:val="229"/>
        </w:trPr>
        <w:tc>
          <w:tcPr>
            <w:tcW w:w="2420" w:type="dxa"/>
            <w:vAlign w:val="bottom"/>
            <w:gridSpan w:val="2"/>
          </w:tcPr>
          <w:p>
            <w:pPr>
              <w:ind w:left="140"/>
              <w:spacing w:after="0"/>
              <w:rPr>
                <w:sz w:val="20"/>
                <w:szCs w:val="20"/>
                <w:color w:val="auto"/>
              </w:rPr>
            </w:pPr>
            <w:r>
              <w:rPr>
                <w:rFonts w:ascii="Arial" w:cs="Arial" w:eastAsia="Arial" w:hAnsi="Arial"/>
                <w:sz w:val="18"/>
                <w:szCs w:val="18"/>
                <w:color w:val="auto"/>
              </w:rPr>
              <w:t>Jan Stern Reed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tcPr>
          <w:p>
            <w:pPr>
              <w:spacing w:after="0"/>
              <w:rPr>
                <w:sz w:val="19"/>
                <w:szCs w:val="19"/>
                <w:color w:val="auto"/>
              </w:rPr>
            </w:pPr>
          </w:p>
        </w:tc>
        <w:tc>
          <w:tcPr>
            <w:tcW w:w="48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Non-Executive 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July 2021</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James Corbett</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64</w:t>
            </w:r>
          </w:p>
        </w:tc>
        <w:tc>
          <w:tcPr>
            <w:tcW w:w="80" w:type="dxa"/>
            <w:vAlign w:val="bottom"/>
            <w:shd w:val="clear" w:color="auto" w:fill="CFF0FC"/>
          </w:tcPr>
          <w:p>
            <w:pPr>
              <w:spacing w:after="0"/>
              <w:rPr>
                <w:sz w:val="19"/>
                <w:szCs w:val="19"/>
                <w:color w:val="auto"/>
              </w:rPr>
            </w:pPr>
          </w:p>
        </w:tc>
        <w:tc>
          <w:tcPr>
            <w:tcW w:w="48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3"/>
              </w:rPr>
              <w:t>Executive Director and Chief Executive Officer</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July 2021</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b w:val="1"/>
          <w:bCs w:val="1"/>
          <w:color w:val="auto"/>
        </w:rPr>
        <w:t xml:space="preserve">Lou Panaccio </w:t>
      </w:r>
      <w:r>
        <w:rPr>
          <w:rFonts w:ascii="Arial" w:cs="Arial" w:eastAsia="Arial" w:hAnsi="Arial"/>
          <w:sz w:val="17"/>
          <w:szCs w:val="17"/>
          <w:color w:val="auto"/>
        </w:rPr>
        <w:t>has served as Non-Executive Chairman of the Board of Directors since July 2014. Mr. Panaccio is a successful healthcare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businessman with extensive experience leading companies from concept to commercialization. Mr. Panaccio possesses more than 35 years of executive leadership experience in healthcare services and life sciences, including more than 25 years of board-level experience. Mr. Panaccio is currently a Non-Executive Director of ASX50 company and one of the world’s largest medical diagnostics companies, Sonic Healthcare Limited, where he has served since 2005. In addition, Mr. Panaccio is a Non-Executive Director of Unison Housing Limited, was a Non-Executive Chairman of Genera Biosystems Limited until June 2019, is a Non-Executive Chairman of Adherium Limited and a Non-Executive Director of Rhythm Biosciences Limited, both are publicly listed (ASX) development-stage medical diagnostics/device companies. We believe Mr. Panaccio is qualified to serve on our board of directors based on his extensive experience in the healthcare services and life sciences and his experience serving on boards.</w:t>
      </w:r>
    </w:p>
    <w:p>
      <w:pPr>
        <w:spacing w:after="0" w:line="131"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b w:val="1"/>
          <w:bCs w:val="1"/>
          <w:color w:val="auto"/>
        </w:rPr>
        <w:t xml:space="preserve">Jeremy Curnock Cook </w:t>
      </w:r>
      <w:r>
        <w:rPr>
          <w:rFonts w:ascii="Arial" w:cs="Arial" w:eastAsia="Arial" w:hAnsi="Arial"/>
          <w:sz w:val="17"/>
          <w:szCs w:val="17"/>
          <w:color w:val="auto"/>
        </w:rPr>
        <w:t>has served as a Non-Executive Director of since October 2012. He is a veteran in the life sciences/healthcare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and has been actively supporting the commercialization of healthcare innovations and helping entrepreneurs build their international businesses over the past 45 years. Founder and Managing Director of BioScience Managers, Mr. Curnock Cook brings his decades of international experience to our Board of Directors. Over his career, Mr. Curnock Cook has successfully managed in excess of US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co-created a European-focused seed fund with Johnson &amp; Johnson and built the International Biotechnology Trust. Mr. Curncock Cook has served on more than 40 boards of directors in the life science sector, in the UK, Europe, USA, Canada, Japan, and Australia. In addition to serving on our Board of Directors, Mr. Curnock Cook serves on the following boards: International BioScience Managers Ltd appointed March 2000, Bioscience Managers Pty Ltd appointed January 2003, REX Bionics appointed February 2012, Sea Dragon appointed October 2012, Adherium Ltd appointed April 2015, Bioscience Managers UK Ltd appointed August 2017, Marine Department Ltd, appointed on January 2019, JLCC Ltd appointed December 2019, CRiL appointed November 2020 and Humanetix appointed September 2021. We believe Mr. Curnock Cook is qualified to serve on our board of directors based on his extensive experience in the life sciences.</w:t>
      </w:r>
    </w:p>
    <w:p>
      <w:pPr>
        <w:spacing w:after="0" w:line="176"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b w:val="1"/>
          <w:bCs w:val="1"/>
          <w:color w:val="auto"/>
        </w:rPr>
        <w:t xml:space="preserve">Professor Suzanne Crowe AO </w:t>
      </w:r>
      <w:r>
        <w:rPr>
          <w:rFonts w:ascii="Arial" w:cs="Arial" w:eastAsia="Arial" w:hAnsi="Arial"/>
          <w:sz w:val="18"/>
          <w:szCs w:val="18"/>
          <w:color w:val="auto"/>
        </w:rPr>
        <w:t>has served as a Non-Executive Director since January 2016. Australian-based, she is a physician-scientist and</w:t>
      </w:r>
      <w:r>
        <w:rPr>
          <w:rFonts w:ascii="Arial" w:cs="Arial" w:eastAsia="Arial" w:hAnsi="Arial"/>
          <w:sz w:val="18"/>
          <w:szCs w:val="18"/>
          <w:b w:val="1"/>
          <w:bCs w:val="1"/>
          <w:color w:val="auto"/>
        </w:rPr>
        <w:t xml:space="preserve"> </w:t>
      </w:r>
      <w:r>
        <w:rPr>
          <w:rFonts w:ascii="Arial" w:cs="Arial" w:eastAsia="Arial" w:hAnsi="Arial"/>
          <w:sz w:val="18"/>
          <w:szCs w:val="18"/>
          <w:color w:val="auto"/>
        </w:rPr>
        <w:t>ASX/Nasdaq-listed company director with expertise in supporting companies with their medical and scientific strategies. A Fellow of the Australian Institute of Company Directors, and Emeritus Professor, Monash University Melbourne, she is currently a Non-Executive Director of Sonic Healthcare Ltd, a large global medical diagnostic company. Past board positions include St. Vincent's Health Australia Ltd (2012-2021), the country’s largest not-for-profit health and aged care provider. After 35 years at both, she has recently retired from the Burnet Institute, having served as Associate Director and The Alfred Hospital Melbourne, where she held the appointment of Senior Specialist Physician in Infectious Diseases. She was appointed as Officer of the Order of Australia (AO) in 2020 in recognition of her services to health, clinical governance, biomedical research, and education. We believe Professor Crowe is qualified to serve on our board of directors based on her technical experience and extensive expertise in supporting companies with their medical and scientific strategies.</w:t>
      </w:r>
    </w:p>
    <w:p>
      <w:pPr>
        <w:spacing w:after="0" w:line="188"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b w:val="1"/>
          <w:bCs w:val="1"/>
          <w:color w:val="auto"/>
        </w:rPr>
        <w:t xml:space="preserve">Jan Stern Reed </w:t>
      </w:r>
      <w:r>
        <w:rPr>
          <w:rFonts w:ascii="Arial" w:cs="Arial" w:eastAsia="Arial" w:hAnsi="Arial"/>
          <w:sz w:val="18"/>
          <w:szCs w:val="18"/>
          <w:color w:val="auto"/>
        </w:rPr>
        <w:t>has served as a Non-Executive Director since July 2021. She has more than 35 years of legal, management and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experience primarily within the healthcare industry, and brings significant expertise in corporate governance, compliance and risk management. 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holds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Bachelor of Arts degree from the University of Michigan and a Juris Doctor from the Northwestern University Pritzker School of Law. Ms. Reed currently serves as a board member of Stepan Co. (NYSE:SCL),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Reed is qualified to serve on our Board of Directors based on her extensive experience in legal, human resources, corporate governance, general management and business leadership, primarily within the healthcare industry.</w:t>
      </w:r>
    </w:p>
    <w:p>
      <w:pPr>
        <w:spacing w:after="0" w:line="188"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b w:val="1"/>
          <w:bCs w:val="1"/>
          <w:color w:val="auto"/>
        </w:rPr>
        <w:t xml:space="preserve">James Corbett </w:t>
      </w:r>
      <w:r>
        <w:rPr>
          <w:rFonts w:ascii="Arial" w:cs="Arial" w:eastAsia="Arial" w:hAnsi="Arial"/>
          <w:sz w:val="16"/>
          <w:szCs w:val="16"/>
          <w:color w:val="auto"/>
        </w:rPr>
        <w:t>was appointed as President and CEO of the Company effective as of September 28, 2022. Mr. Corbett served as a Non-Executive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Mr. Corbett is a board member of two privately held medical device companies. We believe Mr. Corbett is qualified to serve on our board of directors based on his global commercial and operating expertise in supporting companies with their medical and scientific strategies.</w:t>
      </w:r>
    </w:p>
    <w:p>
      <w:pPr>
        <w:sectPr>
          <w:pgSz w:w="11900" w:h="16838" w:orient="portrait"/>
          <w:cols w:equalWidth="0" w:num="1">
            <w:col w:w="11240"/>
          </w:cols>
          <w:pgMar w:left="320" w:top="125" w:right="3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w w:val="93"/>
              </w:rPr>
              <w:t>Identification of Executive Officers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spacing w:after="0"/>
              <w:rPr>
                <w:sz w:val="20"/>
                <w:szCs w:val="20"/>
                <w:color w:val="auto"/>
              </w:rPr>
            </w:pPr>
          </w:p>
        </w:tc>
      </w:tr>
      <w:tr>
        <w:trPr>
          <w:trHeight w:val="553"/>
        </w:trPr>
        <w:tc>
          <w:tcPr>
            <w:tcW w:w="2800" w:type="dxa"/>
            <w:vAlign w:val="bottom"/>
            <w:gridSpan w:val="2"/>
          </w:tcPr>
          <w:p>
            <w:pPr>
              <w:ind w:left="1080"/>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r>
      <w:tr>
        <w:trPr>
          <w:trHeight w:val="108"/>
        </w:trPr>
        <w:tc>
          <w:tcPr>
            <w:tcW w:w="2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60" w:type="dxa"/>
            <w:vAlign w:val="bottom"/>
            <w:tcBorders>
              <w:bottom w:val="single" w:sz="8" w:color="auto"/>
            </w:tcBorders>
          </w:tcPr>
          <w:p>
            <w:pPr>
              <w:spacing w:after="0"/>
              <w:rPr>
                <w:sz w:val="9"/>
                <w:szCs w:val="9"/>
                <w:color w:val="auto"/>
              </w:rPr>
            </w:pPr>
          </w:p>
        </w:tc>
      </w:tr>
      <w:tr>
        <w:trPr>
          <w:trHeight w:val="222"/>
        </w:trPr>
        <w:tc>
          <w:tcPr>
            <w:tcW w:w="2620" w:type="dxa"/>
            <w:vAlign w:val="bottom"/>
          </w:tcPr>
          <w:p>
            <w:pPr>
              <w:ind w:left="140"/>
              <w:spacing w:after="0"/>
              <w:rPr>
                <w:sz w:val="20"/>
                <w:szCs w:val="20"/>
                <w:color w:val="auto"/>
              </w:rPr>
            </w:pPr>
            <w:r>
              <w:rPr>
                <w:rFonts w:ascii="Arial" w:cs="Arial" w:eastAsia="Arial" w:hAnsi="Arial"/>
                <w:sz w:val="18"/>
                <w:szCs w:val="18"/>
                <w:color w:val="auto"/>
              </w:rPr>
              <w:t>James Corbett*</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29"/>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Sean Ekins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Interim Chief Financial Officer</w:t>
            </w:r>
          </w:p>
        </w:tc>
      </w:tr>
      <w:tr>
        <w:trPr>
          <w:trHeight w:val="230"/>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Erin Liberto</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4"/>
              </w:rPr>
              <w:t>Chief Commercial Officer</w:t>
            </w:r>
          </w:p>
        </w:tc>
      </w:tr>
      <w:tr>
        <w:trPr>
          <w:trHeight w:val="229"/>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Andrew Quick</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Chief Technology Officer</w:t>
            </w:r>
          </w:p>
        </w:tc>
      </w:tr>
      <w:tr>
        <w:trPr>
          <w:trHeight w:val="230"/>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Donna Shiroma</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ind w:left="760" w:right="1300" w:hanging="752"/>
        <w:spacing w:after="0" w:line="498" w:lineRule="auto"/>
        <w:tabs>
          <w:tab w:leader="none" w:pos="7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Mr. Corbett was appointed as President and CEO of the Company effective as of September 28, 2022. </w:t>
      </w:r>
      <w:r>
        <w:rPr>
          <w:rFonts w:ascii="Arial" w:cs="Arial" w:eastAsia="Arial" w:hAnsi="Arial"/>
          <w:sz w:val="18"/>
          <w:szCs w:val="18"/>
          <w:b w:val="1"/>
          <w:bCs w:val="1"/>
          <w:color w:val="auto"/>
        </w:rPr>
        <w:t xml:space="preserve">James Corbett </w:t>
      </w:r>
      <w:r>
        <w:rPr>
          <w:rFonts w:ascii="Arial" w:cs="Arial" w:eastAsia="Arial" w:hAnsi="Arial"/>
          <w:sz w:val="18"/>
          <w:szCs w:val="18"/>
          <w:color w:val="auto"/>
        </w:rPr>
        <w:t>is discussed above under “Identification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80"/>
        <w:spacing w:after="0" w:line="268" w:lineRule="auto"/>
        <w:rPr>
          <w:sz w:val="20"/>
          <w:szCs w:val="20"/>
          <w:color w:val="auto"/>
        </w:rPr>
      </w:pPr>
      <w:r>
        <w:rPr>
          <w:rFonts w:ascii="Arial" w:cs="Arial" w:eastAsia="Arial" w:hAnsi="Arial"/>
          <w:sz w:val="18"/>
          <w:szCs w:val="18"/>
          <w:b w:val="1"/>
          <w:bCs w:val="1"/>
          <w:color w:val="auto"/>
        </w:rPr>
        <w:t>Date First Elected or Appointed</w:t>
      </w:r>
    </w:p>
    <w:p>
      <w:pPr>
        <w:spacing w:after="0" w:line="1" w:lineRule="exact"/>
        <w:rPr>
          <w:sz w:val="20"/>
          <w:szCs w:val="20"/>
          <w:color w:val="auto"/>
        </w:rPr>
      </w:pPr>
    </w:p>
    <w:p>
      <w:pPr>
        <w:jc w:val="center"/>
        <w:ind w:left="200" w:right="100"/>
        <w:spacing w:after="0" w:line="314" w:lineRule="auto"/>
        <w:rPr>
          <w:sz w:val="20"/>
          <w:szCs w:val="20"/>
          <w:color w:val="auto"/>
        </w:rPr>
      </w:pPr>
      <w:r>
        <w:rPr>
          <w:rFonts w:ascii="Arial" w:cs="Arial" w:eastAsia="Arial" w:hAnsi="Arial"/>
          <w:sz w:val="16"/>
          <w:szCs w:val="16"/>
          <w:color w:val="auto"/>
        </w:rPr>
        <w:t>September 2022 January 2023 August 2017 April 2019 June 2018</w:t>
      </w:r>
    </w:p>
    <w:p>
      <w:pPr>
        <w:spacing w:after="0" w:line="1006" w:lineRule="exact"/>
        <w:rPr>
          <w:sz w:val="20"/>
          <w:szCs w:val="20"/>
          <w:color w:val="auto"/>
        </w:rPr>
      </w:pPr>
    </w:p>
    <w:p>
      <w:pPr>
        <w:sectPr>
          <w:pgSz w:w="11900" w:h="16838" w:orient="portrait"/>
          <w:cols w:equalWidth="0" w:num="2">
            <w:col w:w="9380" w:space="180"/>
            <w:col w:w="1680"/>
          </w:cols>
          <w:pgMar w:left="320" w:top="125" w:right="339" w:bottom="1440" w:gutter="0" w:footer="0" w:header="0"/>
          <w:type w:val="continuous"/>
        </w:sectPr>
      </w:pPr>
    </w:p>
    <w:p>
      <w:pPr>
        <w:ind w:right="20" w:firstLine="749"/>
        <w:spacing w:after="0" w:line="272" w:lineRule="auto"/>
        <w:rPr>
          <w:sz w:val="20"/>
          <w:szCs w:val="20"/>
          <w:color w:val="auto"/>
        </w:rPr>
      </w:pPr>
      <w:r>
        <w:rPr>
          <w:rFonts w:ascii="Arial" w:cs="Arial" w:eastAsia="Arial" w:hAnsi="Arial"/>
          <w:sz w:val="17"/>
          <w:szCs w:val="17"/>
          <w:b w:val="1"/>
          <w:bCs w:val="1"/>
          <w:color w:val="auto"/>
        </w:rPr>
        <w:t xml:space="preserve">Sean Ekins </w:t>
      </w:r>
      <w:r>
        <w:rPr>
          <w:rFonts w:ascii="Arial" w:cs="Arial" w:eastAsia="Arial" w:hAnsi="Arial"/>
          <w:sz w:val="17"/>
          <w:szCs w:val="17"/>
          <w:color w:val="auto"/>
        </w:rPr>
        <w:t>has served as the interim Chief Financial Officer since January 2023. A versatile financial leader with more than 20 years of</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technology, high-tech manufacturing and entertainment industries, Mr. Ekins joined AVITA Medical in 2017 and currently serves as Senior Vice President of Finance. Over the course of his career, Mr. Ekins has demonstrated expertise across all aspects of management and operational accounting, inclusive of SEC and financial reporting, systems analysis and implementation, and team development. Prior to joining the company, Mr. Ekins served as the North American Controller for IXIA, a test, visibility, and security solutions provider, where he led all accounting operations, including the transition and successful integration into Keysight Technologies following the company’s acquisition. Previously, Mr. Ekins held accounting positions with The Walt Disney Company, Countrywide Financial Corporation, and 3D Systems, Inc. Mr. Ekins is a Certified Public Accountant and earned his Bachelor Science in Accounting from the University of Southern California.</w:t>
      </w:r>
    </w:p>
    <w:p>
      <w:pPr>
        <w:spacing w:after="0" w:line="172" w:lineRule="exact"/>
        <w:rPr>
          <w:sz w:val="20"/>
          <w:szCs w:val="20"/>
          <w:color w:val="auto"/>
        </w:rPr>
      </w:pPr>
    </w:p>
    <w:p>
      <w:pPr>
        <w:ind w:right="20" w:firstLine="749"/>
        <w:spacing w:after="0" w:line="298" w:lineRule="auto"/>
        <w:rPr>
          <w:sz w:val="20"/>
          <w:szCs w:val="20"/>
          <w:color w:val="auto"/>
        </w:rPr>
      </w:pPr>
      <w:r>
        <w:rPr>
          <w:rFonts w:ascii="Arial" w:cs="Arial" w:eastAsia="Arial" w:hAnsi="Arial"/>
          <w:sz w:val="16"/>
          <w:szCs w:val="16"/>
          <w:b w:val="1"/>
          <w:bCs w:val="1"/>
          <w:color w:val="auto"/>
        </w:rPr>
        <w:t xml:space="preserve">Erin Liberto </w:t>
      </w:r>
      <w:r>
        <w:rPr>
          <w:rFonts w:ascii="Arial" w:cs="Arial" w:eastAsia="Arial" w:hAnsi="Arial"/>
          <w:sz w:val="16"/>
          <w:szCs w:val="16"/>
          <w:color w:val="auto"/>
        </w:rPr>
        <w:t>has served as Chief Commercial Officer since August 2017. Ms. Liberto has more than 20 years of multifaceted global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United States, Europe, and Asia Pacific. Ms. Liberto holds an International MBA with a concentration in Global Marketing from Thunderbird School of Global Management in Arizona and a Bachelor of Commerce from McMaster University in Canada.</w:t>
      </w:r>
    </w:p>
    <w:p>
      <w:pPr>
        <w:spacing w:after="0" w:line="154" w:lineRule="exact"/>
        <w:rPr>
          <w:sz w:val="20"/>
          <w:szCs w:val="20"/>
          <w:color w:val="auto"/>
        </w:rPr>
      </w:pPr>
    </w:p>
    <w:p>
      <w:pPr>
        <w:ind w:right="180" w:firstLine="749"/>
        <w:spacing w:after="0" w:line="294" w:lineRule="auto"/>
        <w:rPr>
          <w:sz w:val="20"/>
          <w:szCs w:val="20"/>
          <w:color w:val="auto"/>
        </w:rPr>
      </w:pPr>
      <w:r>
        <w:rPr>
          <w:rFonts w:ascii="Arial" w:cs="Arial" w:eastAsia="Arial" w:hAnsi="Arial"/>
          <w:sz w:val="16"/>
          <w:szCs w:val="16"/>
          <w:b w:val="1"/>
          <w:bCs w:val="1"/>
          <w:color w:val="auto"/>
        </w:rPr>
        <w:t xml:space="preserve">Andrew Quick </w:t>
      </w:r>
      <w:r>
        <w:rPr>
          <w:rFonts w:ascii="Arial" w:cs="Arial" w:eastAsia="Arial" w:hAnsi="Arial"/>
          <w:sz w:val="16"/>
          <w:szCs w:val="16"/>
          <w:color w:val="auto"/>
        </w:rPr>
        <w:t>was appointed Chief Technology Officer in April 2019 and previous to that served as Senior Vice President,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Mr. Quick joined the company in July of 2010 and has more than 25 years of experience in medical device design, development, clinical research and medical affairs. 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ind w:right="40" w:firstLine="749"/>
        <w:spacing w:after="0" w:line="294" w:lineRule="auto"/>
        <w:rPr>
          <w:sz w:val="20"/>
          <w:szCs w:val="20"/>
          <w:color w:val="auto"/>
        </w:rPr>
      </w:pPr>
      <w:r>
        <w:rPr>
          <w:rFonts w:ascii="Arial" w:cs="Arial" w:eastAsia="Arial" w:hAnsi="Arial"/>
          <w:sz w:val="16"/>
          <w:szCs w:val="16"/>
          <w:b w:val="1"/>
          <w:bCs w:val="1"/>
          <w:color w:val="auto"/>
        </w:rPr>
        <w:t xml:space="preserve">Donna Shiroma </w:t>
      </w:r>
      <w:r>
        <w:rPr>
          <w:rFonts w:ascii="Arial" w:cs="Arial" w:eastAsia="Arial" w:hAnsi="Arial"/>
          <w:sz w:val="16"/>
          <w:szCs w:val="16"/>
          <w:color w:val="auto"/>
        </w:rPr>
        <w:t>has served as General Counsel since June 2018. Ms. Shiroma has more than 20 years of legal and compliance experience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 and medical device industries and has played an instrumental role in transitioning companies from clinical to commercial entities. Prior to joining the Company, she served in roles of increasing responsibility as corporate counsel, general counsel, vice president of legal, chief privacy and compliance officer, and chief commercial officer for Astex Pharmaceuticals from 2017 to 2018, Ascend Therapeutics from 2008 to 2017, PDL BioPharma from 2006 to 2008, and several Johnson &amp; Johnson companies. Ms. Shiroma holds a B.S. in Environmental Sciences from University of California, Berkeley, and a Juris Doctor degree from Santa Clara University School of Law. She is licensed in the State of California as an attorney.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Our Directors are elected for a term of one year and until their respective successors are elected and qualified, or until their earlier resignation, disqualification, or removal. Our executive officers are appointed by our Board of Directors and hold office for such terms as may be prescribed by our Board of Directors and until their successors are appointed, or until their earlier resignation or removal.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no family relationships between our Directors or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 of our Directors or executive officers has been involved in any of the following events during the past ten years:</w:t>
      </w:r>
    </w:p>
    <w:p>
      <w:pPr>
        <w:spacing w:after="0" w:line="117" w:lineRule="exact"/>
        <w:rPr>
          <w:sz w:val="20"/>
          <w:szCs w:val="20"/>
          <w:color w:val="auto"/>
        </w:rPr>
      </w:pPr>
    </w:p>
    <w:p>
      <w:pPr>
        <w:ind w:left="1140" w:right="20" w:hanging="498"/>
        <w:spacing w:after="0" w:line="308"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bankruptcy petition filed by or against any business or property of such person or any partnership or business in which such person was a general partner or executive officer either at the time of the bankruptcy or within two years prior to that time;</w:t>
      </w:r>
    </w:p>
    <w:p>
      <w:pPr>
        <w:spacing w:after="0" w:line="38" w:lineRule="exact"/>
        <w:rPr>
          <w:rFonts w:ascii="Arial" w:cs="Arial" w:eastAsia="Arial" w:hAnsi="Arial"/>
          <w:sz w:val="17"/>
          <w:szCs w:val="17"/>
          <w:color w:val="auto"/>
        </w:rPr>
      </w:pPr>
    </w:p>
    <w:p>
      <w:pPr>
        <w:ind w:left="1140" w:right="160" w:hanging="498"/>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conviction in a criminal proceeding or being a named subject of a pending criminal proceeding (excluding traffic violations and other minor offences);</w:t>
      </w:r>
    </w:p>
    <w:p>
      <w:pPr>
        <w:spacing w:after="0" w:line="62" w:lineRule="exact"/>
        <w:rPr>
          <w:rFonts w:ascii="Arial" w:cs="Arial" w:eastAsia="Arial" w:hAnsi="Arial"/>
          <w:sz w:val="18"/>
          <w:szCs w:val="18"/>
          <w:color w:val="auto"/>
        </w:rPr>
      </w:pPr>
    </w:p>
    <w:p>
      <w:pPr>
        <w:ind w:left="1140" w:hanging="498"/>
        <w:spacing w:after="0" w:line="263"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the subject of any order, judgment, or decree, not subsequently reversed, suspended or vacated, of any court of competent jurisdiction, permanently or temporarily enjoining, barring, suspending or otherwise limiting his or her involvement in any type of business, securities or banking activities;</w:t>
      </w:r>
    </w:p>
    <w:p>
      <w:pPr>
        <w:spacing w:after="0" w:line="75" w:lineRule="exact"/>
        <w:rPr>
          <w:rFonts w:ascii="Arial" w:cs="Arial" w:eastAsia="Arial" w:hAnsi="Arial"/>
          <w:sz w:val="18"/>
          <w:szCs w:val="18"/>
          <w:color w:val="auto"/>
        </w:rPr>
      </w:pPr>
    </w:p>
    <w:p>
      <w:pPr>
        <w:ind w:left="1140" w:right="540" w:hanging="498"/>
        <w:spacing w:after="0" w:line="34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5" w:lineRule="exact"/>
        <w:rPr>
          <w:rFonts w:ascii="Arial" w:cs="Arial" w:eastAsia="Arial" w:hAnsi="Arial"/>
          <w:sz w:val="16"/>
          <w:szCs w:val="16"/>
          <w:color w:val="auto"/>
        </w:rPr>
      </w:pPr>
    </w:p>
    <w:p>
      <w:pPr>
        <w:ind w:left="1140" w:right="220" w:hanging="498"/>
        <w:spacing w:after="0" w:line="296"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being the subject of,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 and-desist order, or removal or prohibition order; or (iii) any law or regulation prohibiting mail or wire fraud or fraud in connection with any business entity; or</w:t>
      </w:r>
    </w:p>
    <w:p>
      <w:pPr>
        <w:spacing w:after="0" w:line="53" w:lineRule="exact"/>
        <w:rPr>
          <w:rFonts w:ascii="Arial" w:cs="Arial" w:eastAsia="Arial" w:hAnsi="Arial"/>
          <w:sz w:val="16"/>
          <w:szCs w:val="16"/>
          <w:color w:val="auto"/>
        </w:rPr>
      </w:pPr>
    </w:p>
    <w:p>
      <w:pPr>
        <w:ind w:left="1140" w:right="160" w:hanging="498"/>
        <w:spacing w:after="0" w:line="259"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the subject of, or a party to, any sanction or order, not subsequently reversed, suspended or vacated, of any self-regulatory organization (as defined in Section 3(a)(26) of the Exchange Act), any registered entity (as defined in Section 1(a)(40) of the Commodity Exchange Act), or any equivalent exchange, association, entity or organization that has disciplinary authority over its members or persons associated with a member.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Gender Diversity</w:t>
      </w:r>
    </w:p>
    <w:p>
      <w:pPr>
        <w:spacing w:after="0" w:line="229"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Under the 4</w:t>
      </w:r>
      <w:r>
        <w:rPr>
          <w:rFonts w:ascii="Arial" w:cs="Arial" w:eastAsia="Arial" w:hAnsi="Arial"/>
          <w:sz w:val="15"/>
          <w:szCs w:val="15"/>
          <w:color w:val="auto"/>
        </w:rPr>
        <w:t>th</w:t>
      </w:r>
      <w:r>
        <w:rPr>
          <w:rFonts w:ascii="Arial" w:cs="Arial" w:eastAsia="Arial" w:hAnsi="Arial"/>
          <w:sz w:val="18"/>
          <w:szCs w:val="18"/>
          <w:color w:val="auto"/>
        </w:rPr>
        <w:t xml:space="preserve"> Edition of the ASX’s Corporate Governance Principles and Recommendations the Company is required to set measurable objectives for achieving gender diversity in the composition of its board, senior executives and workforce generally.</w:t>
      </w:r>
    </w:p>
    <w:p>
      <w:pPr>
        <w:spacing w:after="0" w:line="170" w:lineRule="exact"/>
        <w:rPr>
          <w:sz w:val="20"/>
          <w:szCs w:val="20"/>
          <w:color w:val="auto"/>
        </w:rPr>
      </w:pPr>
    </w:p>
    <w:p>
      <w:pPr>
        <w:ind w:right="80" w:firstLine="749"/>
        <w:spacing w:after="0" w:line="342" w:lineRule="auto"/>
        <w:rPr>
          <w:sz w:val="20"/>
          <w:szCs w:val="20"/>
          <w:color w:val="auto"/>
        </w:rPr>
      </w:pPr>
      <w:r>
        <w:rPr>
          <w:rFonts w:ascii="Arial" w:cs="Arial" w:eastAsia="Arial" w:hAnsi="Arial"/>
          <w:sz w:val="16"/>
          <w:szCs w:val="16"/>
          <w:color w:val="auto"/>
        </w:rPr>
        <w:t>In the Company’s 2021 Form 10-KT, the Company confirmed that it had set a target of having at least 30% of its Directors being of each gender by 2024. As of the date of this Form 10-K, the Company has achieved that target as the Directors of the Company are 40% female and 60% male.</w:t>
      </w:r>
    </w:p>
    <w:p>
      <w:pPr>
        <w:spacing w:after="0" w:line="124"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The Company is also in the process of developing measurable objectives for achieving gender diversity in the composition of its senior executives and workforce generally in accordance with its Code of Ethics and Business Conduct. The Company will disclose its measurable objectives, the time period for achieving those objectives and the Company’s progress towards achieving those objectives in future reporting periods.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Evaluations</w:t>
      </w:r>
    </w:p>
    <w:p>
      <w:pPr>
        <w:spacing w:after="0" w:line="121"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At least annually, the Nominating and Corporate Governance Committee will lead the Board of Directors in a self-evaluation to determine whether the board, its committees and individual directors are functioning effectively. The board completed its last self-evaluation during the fiscal year-ended December 31, 2022.</w:t>
      </w:r>
    </w:p>
    <w:p>
      <w:pPr>
        <w:spacing w:after="0" w:line="76"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Additionally, the Nominating and Corporate Governance Committee, Compensation Committee and Audit Committee conduct an annual evaluation of each Board committee as it relates to the composition of each committee, the frequency and length of meetings, each committees primary responsibilities, and the effectiveness of the each of the committee’s duties. The Nominating and Corporate Governance Committee and Compensation Committee completed its self-evaluation during the fiscal year-ended December 31, 2022.</w:t>
      </w:r>
    </w:p>
    <w:p>
      <w:pPr>
        <w:spacing w:after="0" w:line="79"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The Company's Compensation Committee has historically undertaken a review of the performance of the Company's CEO and the executive management team annually during the first quarter of the calendar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color w:val="auto"/>
        </w:rPr>
        <w:t>We have adopted a Code of Conduct, or the Code, that constitutes a “code of ethics” as that term is defined in paragraph (b) of Item 406 of Regulation S-K and that applies to our executive officers, non-executive Directors, management and employees of the Company. A copy of the Code is available on our website at www.avitamedical.com.</w:t>
      </w:r>
    </w:p>
    <w:p>
      <w:pPr>
        <w:spacing w:after="0" w:line="184" w:lineRule="exact"/>
        <w:rPr>
          <w:sz w:val="20"/>
          <w:szCs w:val="20"/>
          <w:color w:val="auto"/>
        </w:rPr>
      </w:pPr>
    </w:p>
    <w:p>
      <w:pPr>
        <w:ind w:right="60" w:firstLine="749"/>
        <w:spacing w:after="0" w:line="308" w:lineRule="auto"/>
        <w:rPr>
          <w:sz w:val="20"/>
          <w:szCs w:val="20"/>
          <w:color w:val="auto"/>
        </w:rPr>
      </w:pPr>
      <w:r>
        <w:rPr>
          <w:rFonts w:ascii="Arial" w:cs="Arial" w:eastAsia="Arial" w:hAnsi="Arial"/>
          <w:sz w:val="17"/>
          <w:szCs w:val="17"/>
          <w:color w:val="auto"/>
        </w:rPr>
        <w:t>If we make any amendments to the Code or grant any waivers, including any implicit waiver, from a provision of the Code, we will disclose the nature of such amendment or waiver on our website. The information on our website is not incorporated by reference into this Annual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the fiscal year-ended December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Our Board of Directors consists of five members. Directors are elected at our annual general meeting of stockholders and hold office for a term of one year and until their successors have been elected and qualified or until the earlier of their resignation or removal. Our Directors were most recently elected at our 2022 annual general meeting on December 12, 2022, to hold office for a term of one year or until his or her successor is duly elected and qualified. Any newly created directorship or any vacancy occurring on our Board of Directors may be filled only by a majority of the remaining members of our Board, even if such majority is less than a quorum, and each Director so elected shall hold office until the expiration of the term of office of the Director whom he or she has replaced or until his or her successor is elected and qualified. Under ASX Listing Rule 14.4, any Directors of the Company (except a managing Director) must not hold office without re-election past the third annual general meeting following the Director’s appointment or three years, whichever is longer.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Nominees for Director</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There have been no material changes to the procedures by which stockholders may recommend nominees to the Board of Directors.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operates pursuant to a written charter adopted by our Board of Directors. Our Board of Directors may also establish other committees from time to time to assist the Board of Directors. The composition and functioning of all of our committees comply with all applicable requirements of the Sarbanes-Oxley Act, Nasdaq and SEC rules and regulations and the ASX Listing Rules and also align with the ASX Corporate Governance Council’s 4</w:t>
      </w:r>
      <w:r>
        <w:rPr>
          <w:rFonts w:ascii="Arial" w:cs="Arial" w:eastAsia="Arial" w:hAnsi="Arial"/>
          <w:sz w:val="15"/>
          <w:szCs w:val="15"/>
          <w:color w:val="auto"/>
        </w:rPr>
        <w:t>th</w:t>
      </w:r>
      <w:r>
        <w:rPr>
          <w:rFonts w:ascii="Arial" w:cs="Arial" w:eastAsia="Arial" w:hAnsi="Arial"/>
          <w:sz w:val="18"/>
          <w:szCs w:val="18"/>
          <w:color w:val="auto"/>
        </w:rPr>
        <w:t xml:space="preserve"> Edition Corporate Governance Principles and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Recommendations. Each committee has a charter, which is available on our website at www.avitamedical.com. As of the date of this report, the composition of our audit, compensation, and nominating and corporate governance committees were as follows: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2560" w:type="dxa"/>
            <w:vAlign w:val="bottom"/>
            <w:vMerge w:val="restart"/>
          </w:tcPr>
          <w:p>
            <w:pPr>
              <w:jc w:val="center"/>
              <w:ind w:left="1294"/>
              <w:spacing w:after="0"/>
              <w:rPr>
                <w:sz w:val="20"/>
                <w:szCs w:val="20"/>
                <w:color w:val="auto"/>
              </w:rPr>
            </w:pPr>
            <w:r>
              <w:rPr>
                <w:rFonts w:ascii="Arial" w:cs="Arial" w:eastAsia="Arial" w:hAnsi="Arial"/>
                <w:sz w:val="14"/>
                <w:szCs w:val="14"/>
                <w:b w:val="1"/>
                <w:bCs w:val="1"/>
                <w:color w:val="auto"/>
                <w:w w:val="93"/>
              </w:rPr>
              <w:t>Independent</w:t>
            </w:r>
          </w:p>
        </w:tc>
        <w:tc>
          <w:tcPr>
            <w:tcW w:w="128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Lou Panaccio</w:t>
            </w:r>
          </w:p>
        </w:tc>
        <w:tc>
          <w:tcPr>
            <w:tcW w:w="2560" w:type="dxa"/>
            <w:vAlign w:val="bottom"/>
            <w:shd w:val="clear" w:color="auto" w:fill="CFF0FC"/>
          </w:tcPr>
          <w:p>
            <w:pPr>
              <w:jc w:val="center"/>
              <w:ind w:left="1294"/>
              <w:spacing w:after="0"/>
              <w:rPr>
                <w:sz w:val="20"/>
                <w:szCs w:val="20"/>
                <w:color w:val="auto"/>
              </w:rPr>
            </w:pPr>
            <w:r>
              <w:rPr>
                <w:rFonts w:ascii="Arial" w:cs="Arial" w:eastAsia="Arial" w:hAnsi="Arial"/>
                <w:sz w:val="18"/>
                <w:szCs w:val="18"/>
                <w:color w:val="auto"/>
              </w:rPr>
              <w:t>X</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Member</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Member</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Jeremy Curnock Cook</w:t>
            </w:r>
          </w:p>
        </w:tc>
        <w:tc>
          <w:tcPr>
            <w:tcW w:w="2560" w:type="dxa"/>
            <w:vAlign w:val="bottom"/>
          </w:tcPr>
          <w:p>
            <w:pPr>
              <w:jc w:val="center"/>
              <w:ind w:left="1294"/>
              <w:spacing w:after="0"/>
              <w:rPr>
                <w:sz w:val="20"/>
                <w:szCs w:val="20"/>
                <w:color w:val="auto"/>
              </w:rPr>
            </w:pPr>
            <w:r>
              <w:rPr>
                <w:rFonts w:ascii="Arial" w:cs="Arial" w:eastAsia="Arial" w:hAnsi="Arial"/>
                <w:sz w:val="18"/>
                <w:szCs w:val="18"/>
                <w:color w:val="auto"/>
              </w:rPr>
              <w:t>X</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Interim Chair</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Professor Suzanne Crowe</w:t>
            </w:r>
          </w:p>
        </w:tc>
        <w:tc>
          <w:tcPr>
            <w:tcW w:w="2560" w:type="dxa"/>
            <w:vAlign w:val="bottom"/>
            <w:shd w:val="clear" w:color="auto" w:fill="CFF0FC"/>
          </w:tcPr>
          <w:p>
            <w:pPr>
              <w:jc w:val="center"/>
              <w:ind w:left="1294"/>
              <w:spacing w:after="0"/>
              <w:rPr>
                <w:sz w:val="20"/>
                <w:szCs w:val="20"/>
                <w:color w:val="auto"/>
              </w:rPr>
            </w:pPr>
            <w:r>
              <w:rPr>
                <w:rFonts w:ascii="Arial" w:cs="Arial" w:eastAsia="Arial" w:hAnsi="Arial"/>
                <w:sz w:val="18"/>
                <w:szCs w:val="18"/>
                <w:color w:val="auto"/>
              </w:rPr>
              <w:t>X</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Chair</w:t>
            </w:r>
          </w:p>
        </w:tc>
        <w:tc>
          <w:tcPr>
            <w:tcW w:w="138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Jan Stern Reed</w:t>
            </w:r>
          </w:p>
        </w:tc>
        <w:tc>
          <w:tcPr>
            <w:tcW w:w="2560" w:type="dxa"/>
            <w:vAlign w:val="bottom"/>
          </w:tcPr>
          <w:p>
            <w:pPr>
              <w:jc w:val="center"/>
              <w:ind w:left="1294"/>
              <w:spacing w:after="0"/>
              <w:rPr>
                <w:sz w:val="20"/>
                <w:szCs w:val="20"/>
                <w:color w:val="auto"/>
              </w:rPr>
            </w:pPr>
            <w:r>
              <w:rPr>
                <w:rFonts w:ascii="Arial" w:cs="Arial" w:eastAsia="Arial" w:hAnsi="Arial"/>
                <w:sz w:val="18"/>
                <w:szCs w:val="18"/>
                <w:color w:val="auto"/>
              </w:rPr>
              <w:t>X</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ASX Listing Rules and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require us to have an Audit Committee comprised of at least three members, all of whom are non-executive Directors and a majority of whom are “independent” Directors, and which is chaired by an independent Director who is not the chair of the Board.</w:t>
      </w:r>
    </w:p>
    <w:p>
      <w:pPr>
        <w:spacing w:after="0" w:line="68"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such other duties as may be directed by our Board of Directors. The Audit Committee is also required to assess risk management in conjunction with the Board of Directors.</w:t>
      </w:r>
    </w:p>
    <w:p>
      <w:pPr>
        <w:spacing w:after="0" w:line="188"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Our Audit Committee currently consists of three Board members, each of whom satisfies the “independence” requirements of the SEC, Nasdaq Marketplace Rules, the ASX Listing Rules and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Our Audit Committee is currently composed of Jeremy Curnock Cook, Lou Panaccio and Jan Stern Reed. Each qualifies as an “independent director” within the meaning of Nasdaq Marketplace Rules and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Mr. Corbett was the Chairman of the Audit Committee from February 23, 2022 through September 28, 2022. Mr. Corbett stepped down from his role on the Audit Committee following his appointment to President and CEO of the Company on September 28, 2022. Prior to his appointment to President and CEO, Mr. Corbett was an independent director. Mr. Curnock Cook is the current Interim Audit Committee Chair and was appointed to that role as of September 28, 2022, following Mr. Corbett’s transition to President and CEO of the Company. Our Board of Directors has determined that Jeremy Curnock Cook is an “audit committee financial expert,” as defined in item 407(d)(5)(ii) of Regulations S-K. The Audit Committee meets at least two times per year. See below for summary of attendance.</w:t>
      </w:r>
    </w:p>
    <w:p>
      <w:pPr>
        <w:spacing w:after="0" w:line="185"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The Audit Committee held a total of six meetings during the annual period ended December 31, 2022. The meetings attended by each Director, and the number of meetings that they were each eligible to attend, is as follows: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4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Audit Committee Meeting Attendance</w:t>
            </w:r>
          </w:p>
        </w:tc>
      </w:tr>
      <w:tr>
        <w:trPr>
          <w:trHeight w:val="223"/>
        </w:trPr>
        <w:tc>
          <w:tcPr>
            <w:tcW w:w="204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Meetings attended/Eligible to attend</w:t>
            </w:r>
          </w:p>
        </w:tc>
      </w:tr>
      <w:tr>
        <w:trPr>
          <w:trHeight w:val="223"/>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Lou Panaccio</w:t>
            </w:r>
          </w:p>
        </w:tc>
        <w:tc>
          <w:tcPr>
            <w:tcW w:w="1780" w:type="dxa"/>
            <w:vAlign w:val="bottom"/>
            <w:shd w:val="clear" w:color="auto" w:fill="CFF0FC"/>
          </w:tcPr>
          <w:p>
            <w:pPr>
              <w:spacing w:after="0"/>
              <w:rPr>
                <w:sz w:val="19"/>
                <w:szCs w:val="19"/>
                <w:color w:val="auto"/>
              </w:rPr>
            </w:pPr>
          </w:p>
        </w:tc>
        <w:tc>
          <w:tcPr>
            <w:tcW w:w="4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4/6</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Jeremy Curnock Cook</w:t>
            </w:r>
          </w:p>
        </w:tc>
        <w:tc>
          <w:tcPr>
            <w:tcW w:w="5820" w:type="dxa"/>
            <w:vAlign w:val="bottom"/>
            <w:gridSpan w:val="2"/>
          </w:tcPr>
          <w:p>
            <w:pPr>
              <w:jc w:val="center"/>
              <w:ind w:left="1670"/>
              <w:spacing w:after="0"/>
              <w:rPr>
                <w:sz w:val="20"/>
                <w:szCs w:val="20"/>
                <w:color w:val="auto"/>
              </w:rPr>
            </w:pPr>
            <w:r>
              <w:rPr>
                <w:rFonts w:ascii="Arial" w:cs="Arial" w:eastAsia="Arial" w:hAnsi="Arial"/>
                <w:sz w:val="18"/>
                <w:szCs w:val="18"/>
                <w:color w:val="auto"/>
                <w:w w:val="87"/>
              </w:rPr>
              <w:t>4/6</w:t>
            </w:r>
          </w:p>
        </w:tc>
      </w:tr>
      <w:tr>
        <w:trPr>
          <w:trHeight w:val="229"/>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Jan Stern Reed</w:t>
            </w:r>
          </w:p>
        </w:tc>
        <w:tc>
          <w:tcPr>
            <w:tcW w:w="5820" w:type="dxa"/>
            <w:vAlign w:val="bottom"/>
            <w:gridSpan w:val="2"/>
            <w:shd w:val="clear" w:color="auto" w:fill="CFF0FC"/>
          </w:tcPr>
          <w:p>
            <w:pPr>
              <w:jc w:val="center"/>
              <w:ind w:left="1670"/>
              <w:spacing w:after="0"/>
              <w:rPr>
                <w:sz w:val="20"/>
                <w:szCs w:val="20"/>
                <w:color w:val="auto"/>
              </w:rPr>
            </w:pPr>
            <w:r>
              <w:rPr>
                <w:rFonts w:ascii="Arial" w:cs="Arial" w:eastAsia="Arial" w:hAnsi="Arial"/>
                <w:sz w:val="18"/>
                <w:szCs w:val="18"/>
                <w:color w:val="auto"/>
                <w:w w:val="87"/>
              </w:rPr>
              <w:t>6/6</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James Corbett</w:t>
            </w:r>
          </w:p>
        </w:tc>
        <w:tc>
          <w:tcPr>
            <w:tcW w:w="5820" w:type="dxa"/>
            <w:vAlign w:val="bottom"/>
            <w:gridSpan w:val="2"/>
          </w:tcPr>
          <w:p>
            <w:pPr>
              <w:jc w:val="center"/>
              <w:ind w:left="1670"/>
              <w:spacing w:after="0"/>
              <w:rPr>
                <w:sz w:val="20"/>
                <w:szCs w:val="20"/>
                <w:color w:val="auto"/>
              </w:rPr>
            </w:pPr>
            <w:r>
              <w:rPr>
                <w:rFonts w:ascii="Arial" w:cs="Arial" w:eastAsia="Arial" w:hAnsi="Arial"/>
                <w:sz w:val="18"/>
                <w:szCs w:val="18"/>
                <w:color w:val="auto"/>
                <w:w w:val="87"/>
              </w:rPr>
              <w:t>6/6</w:t>
            </w: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Dr. Michael Perry</w:t>
            </w:r>
          </w:p>
        </w:tc>
        <w:tc>
          <w:tcPr>
            <w:tcW w:w="5820" w:type="dxa"/>
            <w:vAlign w:val="bottom"/>
            <w:gridSpan w:val="2"/>
            <w:shd w:val="clear" w:color="auto" w:fill="CFF0FC"/>
          </w:tcPr>
          <w:p>
            <w:pPr>
              <w:jc w:val="center"/>
              <w:ind w:left="1670"/>
              <w:spacing w:after="0"/>
              <w:rPr>
                <w:sz w:val="20"/>
                <w:szCs w:val="20"/>
                <w:color w:val="auto"/>
              </w:rPr>
            </w:pPr>
            <w:r>
              <w:rPr>
                <w:rFonts w:ascii="Arial" w:cs="Arial" w:eastAsia="Arial" w:hAnsi="Arial"/>
                <w:sz w:val="18"/>
                <w:szCs w:val="18"/>
                <w:color w:val="auto"/>
                <w:w w:val="87"/>
              </w:rPr>
              <w:t>3/3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Our Board of Directors has established a Compensation Committee, which is comprised of independent Directors, within the meaning of Nasdaq Marketplace Rules and also the 4</w:t>
      </w:r>
      <w:r>
        <w:rPr>
          <w:rFonts w:ascii="Arial" w:cs="Arial" w:eastAsia="Arial" w:hAnsi="Arial"/>
          <w:sz w:val="15"/>
          <w:szCs w:val="15"/>
          <w:color w:val="auto"/>
        </w:rPr>
        <w:t>th</w:t>
      </w:r>
      <w:r>
        <w:rPr>
          <w:rFonts w:ascii="Arial" w:cs="Arial" w:eastAsia="Arial" w:hAnsi="Arial"/>
          <w:sz w:val="18"/>
          <w:szCs w:val="18"/>
          <w:color w:val="auto"/>
        </w:rPr>
        <w:t xml:space="preserve"> Edition of the ASX’s Corporate Governance Principles and Recommendations. The Compensation Committee must be comprised solely of non-executive directors in accordance with the ASX Listing Rules and must also be chaired by an independent Director in accordance with the 4</w:t>
      </w:r>
      <w:r>
        <w:rPr>
          <w:rFonts w:ascii="Arial" w:cs="Arial" w:eastAsia="Arial" w:hAnsi="Arial"/>
          <w:sz w:val="15"/>
          <w:szCs w:val="15"/>
          <w:color w:val="auto"/>
        </w:rPr>
        <w:t>th</w:t>
      </w:r>
      <w:r>
        <w:rPr>
          <w:rFonts w:ascii="Arial" w:cs="Arial" w:eastAsia="Arial" w:hAnsi="Arial"/>
          <w:sz w:val="18"/>
          <w:szCs w:val="18"/>
          <w:color w:val="auto"/>
        </w:rPr>
        <w:t xml:space="preserve"> Edition of the ASX’s Corporate Governance Principles and Recommendations. The Compensation Committee is responsible for reviewing the salary, incentives, and other benefits of our directors, senior executive officers and employees, and to make recommendations on such matters for approval by our Board of</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3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Directors. The Compensation Committee is also responsible for overseeing and advising our Board of Directors with regard to the adoption of policies that govern our compensation programs. Professor Suzanne Crowe, Jeremy Curnock Cook, Jan Stern Reed and Lou Panaccio are the current members of the Compensation Committee, and each qualifies as an “independent Director” within the meaning of Nasdaq Marketplace Rules and the 4</w:t>
      </w:r>
      <w:r>
        <w:rPr>
          <w:rFonts w:ascii="Arial" w:cs="Arial" w:eastAsia="Arial" w:hAnsi="Arial"/>
          <w:sz w:val="15"/>
          <w:szCs w:val="15"/>
          <w:color w:val="auto"/>
        </w:rPr>
        <w:t>th</w:t>
      </w:r>
      <w:r>
        <w:rPr>
          <w:rFonts w:ascii="Arial" w:cs="Arial" w:eastAsia="Arial" w:hAnsi="Arial"/>
          <w:sz w:val="18"/>
          <w:szCs w:val="18"/>
          <w:color w:val="auto"/>
        </w:rPr>
        <w:t xml:space="preserve"> Edition of the ASX’s Corporate Governance Principles and Recommendations. Professor Suzanne Crowe is the chair of this committee (being an independent Director who is not the chair of the Board).</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Compensation Committee held a total of 10 meetings during annual period ended December 31, 2022. The meetings attended by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 and the number of meetings that they were each eligible to attend, is as follows: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19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Compensation Committee Meeting Attendance</w:t>
            </w:r>
          </w:p>
        </w:tc>
      </w:tr>
      <w:tr>
        <w:trPr>
          <w:trHeight w:val="223"/>
        </w:trPr>
        <w:tc>
          <w:tcPr>
            <w:tcW w:w="1980" w:type="dxa"/>
            <w:vAlign w:val="bottom"/>
            <w:tcBorders>
              <w:bottom w:val="single" w:sz="8" w:color="CFF0FC"/>
            </w:tcBorders>
          </w:tcPr>
          <w:p>
            <w:pPr>
              <w:spacing w:after="0"/>
              <w:rPr>
                <w:sz w:val="19"/>
                <w:szCs w:val="19"/>
                <w:color w:val="auto"/>
              </w:rPr>
            </w:pPr>
          </w:p>
        </w:tc>
        <w:tc>
          <w:tcPr>
            <w:tcW w:w="1840" w:type="dxa"/>
            <w:vAlign w:val="bottom"/>
            <w:tcBorders>
              <w:bottom w:val="single" w:sz="8" w:color="CFF0FC"/>
            </w:tcBorders>
          </w:tcPr>
          <w:p>
            <w:pPr>
              <w:spacing w:after="0"/>
              <w:rPr>
                <w:sz w:val="19"/>
                <w:szCs w:val="19"/>
                <w:color w:val="auto"/>
              </w:rPr>
            </w:pPr>
          </w:p>
        </w:tc>
        <w:tc>
          <w:tcPr>
            <w:tcW w:w="40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Meetings attended/Eligible to attend</w:t>
            </w:r>
          </w:p>
        </w:tc>
      </w:tr>
      <w:tr>
        <w:trPr>
          <w:trHeight w:val="223"/>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Lou Panaccio</w:t>
            </w:r>
          </w:p>
        </w:tc>
        <w:tc>
          <w:tcPr>
            <w:tcW w:w="1840" w:type="dxa"/>
            <w:vAlign w:val="bottom"/>
            <w:shd w:val="clear" w:color="auto" w:fill="CFF0FC"/>
          </w:tcPr>
          <w:p>
            <w:pPr>
              <w:spacing w:after="0"/>
              <w:rPr>
                <w:sz w:val="19"/>
                <w:szCs w:val="19"/>
                <w:color w:val="auto"/>
              </w:rPr>
            </w:pPr>
          </w:p>
        </w:tc>
        <w:tc>
          <w:tcPr>
            <w:tcW w:w="4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9/10</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Jeremy Curnock Cook</w:t>
            </w:r>
          </w:p>
        </w:tc>
        <w:tc>
          <w:tcPr>
            <w:tcW w:w="5880" w:type="dxa"/>
            <w:vAlign w:val="bottom"/>
            <w:gridSpan w:val="2"/>
          </w:tcPr>
          <w:p>
            <w:pPr>
              <w:jc w:val="center"/>
              <w:ind w:left="1750"/>
              <w:spacing w:after="0"/>
              <w:rPr>
                <w:sz w:val="20"/>
                <w:szCs w:val="20"/>
                <w:color w:val="auto"/>
              </w:rPr>
            </w:pPr>
            <w:r>
              <w:rPr>
                <w:rFonts w:ascii="Arial" w:cs="Arial" w:eastAsia="Arial" w:hAnsi="Arial"/>
                <w:sz w:val="18"/>
                <w:szCs w:val="18"/>
                <w:color w:val="auto"/>
                <w:w w:val="91"/>
              </w:rPr>
              <w:t>9/10</w:t>
            </w:r>
          </w:p>
        </w:tc>
      </w:tr>
      <w:tr>
        <w:trPr>
          <w:trHeight w:val="229"/>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w w:val="93"/>
              </w:rPr>
              <w:t>Professor Suzanne Crowe</w:t>
            </w:r>
          </w:p>
        </w:tc>
        <w:tc>
          <w:tcPr>
            <w:tcW w:w="5880" w:type="dxa"/>
            <w:vAlign w:val="bottom"/>
            <w:gridSpan w:val="2"/>
            <w:shd w:val="clear" w:color="auto" w:fill="CFF0FC"/>
          </w:tcPr>
          <w:p>
            <w:pPr>
              <w:jc w:val="center"/>
              <w:ind w:left="1730"/>
              <w:spacing w:after="0"/>
              <w:rPr>
                <w:sz w:val="20"/>
                <w:szCs w:val="20"/>
                <w:color w:val="auto"/>
              </w:rPr>
            </w:pPr>
            <w:r>
              <w:rPr>
                <w:rFonts w:ascii="Arial" w:cs="Arial" w:eastAsia="Arial" w:hAnsi="Arial"/>
                <w:sz w:val="18"/>
                <w:szCs w:val="18"/>
                <w:color w:val="auto"/>
                <w:w w:val="93"/>
              </w:rPr>
              <w:t>10/10</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Jan Stern Reed</w:t>
            </w:r>
          </w:p>
        </w:tc>
        <w:tc>
          <w:tcPr>
            <w:tcW w:w="5880" w:type="dxa"/>
            <w:vAlign w:val="bottom"/>
            <w:gridSpan w:val="2"/>
          </w:tcPr>
          <w:p>
            <w:pPr>
              <w:jc w:val="center"/>
              <w:ind w:left="1730"/>
              <w:spacing w:after="0"/>
              <w:rPr>
                <w:sz w:val="20"/>
                <w:szCs w:val="20"/>
                <w:color w:val="auto"/>
              </w:rPr>
            </w:pPr>
            <w:r>
              <w:rPr>
                <w:rFonts w:ascii="Arial" w:cs="Arial" w:eastAsia="Arial" w:hAnsi="Arial"/>
                <w:sz w:val="18"/>
                <w:szCs w:val="18"/>
                <w:color w:val="auto"/>
                <w:w w:val="93"/>
              </w:rPr>
              <w:t>10/10</w:t>
            </w:r>
          </w:p>
        </w:tc>
      </w:tr>
      <w:tr>
        <w:trPr>
          <w:trHeight w:val="229"/>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James Corbett</w:t>
            </w:r>
          </w:p>
        </w:tc>
        <w:tc>
          <w:tcPr>
            <w:tcW w:w="5880" w:type="dxa"/>
            <w:vAlign w:val="bottom"/>
            <w:gridSpan w:val="2"/>
            <w:shd w:val="clear" w:color="auto" w:fill="CFF0FC"/>
          </w:tcPr>
          <w:p>
            <w:pPr>
              <w:jc w:val="center"/>
              <w:ind w:left="1730"/>
              <w:spacing w:after="0"/>
              <w:rPr>
                <w:sz w:val="20"/>
                <w:szCs w:val="20"/>
                <w:color w:val="auto"/>
              </w:rPr>
            </w:pPr>
            <w:r>
              <w:rPr>
                <w:rFonts w:ascii="Arial" w:cs="Arial" w:eastAsia="Arial" w:hAnsi="Arial"/>
                <w:sz w:val="18"/>
                <w:szCs w:val="18"/>
                <w:color w:val="auto"/>
                <w:w w:val="87"/>
              </w:rPr>
              <w:t>6/6</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Dr. Michael Perry</w:t>
            </w:r>
          </w:p>
        </w:tc>
        <w:tc>
          <w:tcPr>
            <w:tcW w:w="5880" w:type="dxa"/>
            <w:vAlign w:val="bottom"/>
            <w:gridSpan w:val="2"/>
          </w:tcPr>
          <w:p>
            <w:pPr>
              <w:jc w:val="center"/>
              <w:ind w:left="1730"/>
              <w:spacing w:after="0"/>
              <w:rPr>
                <w:sz w:val="20"/>
                <w:szCs w:val="20"/>
                <w:color w:val="auto"/>
              </w:rPr>
            </w:pPr>
            <w:r>
              <w:rPr>
                <w:rFonts w:ascii="Arial" w:cs="Arial" w:eastAsia="Arial" w:hAnsi="Arial"/>
                <w:sz w:val="18"/>
                <w:szCs w:val="18"/>
                <w:color w:val="auto"/>
                <w:w w:val="87"/>
              </w:rPr>
              <w:t>4/4</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Our Board of Directors has established a Nominating and Corporate Governance Committee. Under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our Nominating and Corporate Governance Committee should have at least three members, a majority of whom are independent, and should also be chaired by an independent director. Professor Suzanne Crowe, Lou Panaccio, Jan Stern Reed and Jeremy Curnock Cook are the current members of the Nominating and Corporate Governance Committee and each qualifies as an “independent director” within the meaning of Nasdaq Marketplace Rules and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Professor Suzanne Crowe is the Chair of this committee (being an independent director). The Nominating and Corporate Governance Committee is responsible for identifying individuals qualified to become members of our Board of Directors, recommending nominees for election at the stockholders meetings or to fill vacancies that arise on our Board of Directors, and recommending qualified and experienced directors to serve on the committees of our Board of Directors. In addition, the Nominating and Corporate Governance Committee is responsible for leading the Board of Directors to complete a self-evaluation of the board, its committees, and the individual directors.</w:t>
      </w:r>
    </w:p>
    <w:p>
      <w:pPr>
        <w:spacing w:after="0" w:line="185"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The Nominating and Corporate Governance Committee held a total of four meetings during the annual period ended December 31, 2022. The meetings attended by each Director, and the number of meetings that they were each eligible to attend, is as follows:</w:t>
      </w:r>
    </w:p>
    <w:p>
      <w:pPr>
        <w:spacing w:after="0" w:line="18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Nominating and Corporate Governance Committee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Meetings attended/Eligible to attend</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Lou Panaccio</w:t>
            </w:r>
          </w:p>
        </w:tc>
        <w:tc>
          <w:tcPr>
            <w:tcW w:w="4040" w:type="dxa"/>
            <w:vAlign w:val="bottom"/>
            <w:tcBorders>
              <w:top w:val="single" w:sz="8" w:color="auto"/>
            </w:tcBorders>
            <w:shd w:val="clear" w:color="auto" w:fill="CFF0FC"/>
          </w:tcPr>
          <w:p>
            <w:pPr>
              <w:jc w:val="right"/>
              <w:ind w:right="1830"/>
              <w:spacing w:after="0"/>
              <w:rPr>
                <w:sz w:val="20"/>
                <w:szCs w:val="20"/>
                <w:color w:val="auto"/>
              </w:rPr>
            </w:pPr>
            <w:r>
              <w:rPr>
                <w:rFonts w:ascii="Arial" w:cs="Arial" w:eastAsia="Arial" w:hAnsi="Arial"/>
                <w:sz w:val="18"/>
                <w:szCs w:val="18"/>
                <w:color w:val="auto"/>
              </w:rPr>
              <w:t>2/4</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Jeremy Curnock Cook</w:t>
            </w:r>
          </w:p>
        </w:tc>
        <w:tc>
          <w:tcPr>
            <w:tcW w:w="4040" w:type="dxa"/>
            <w:vAlign w:val="bottom"/>
          </w:tcPr>
          <w:p>
            <w:pPr>
              <w:jc w:val="right"/>
              <w:ind w:right="1830"/>
              <w:spacing w:after="0"/>
              <w:rPr>
                <w:sz w:val="20"/>
                <w:szCs w:val="20"/>
                <w:color w:val="auto"/>
              </w:rPr>
            </w:pPr>
            <w:r>
              <w:rPr>
                <w:rFonts w:ascii="Arial" w:cs="Arial" w:eastAsia="Arial" w:hAnsi="Arial"/>
                <w:sz w:val="18"/>
                <w:szCs w:val="18"/>
                <w:color w:val="auto"/>
              </w:rPr>
              <w:t>4/4</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Professor Suzanne Crowe</w:t>
            </w:r>
          </w:p>
        </w:tc>
        <w:tc>
          <w:tcPr>
            <w:tcW w:w="4040" w:type="dxa"/>
            <w:vAlign w:val="bottom"/>
            <w:shd w:val="clear" w:color="auto" w:fill="CFF0FC"/>
          </w:tcPr>
          <w:p>
            <w:pPr>
              <w:jc w:val="right"/>
              <w:ind w:right="1830"/>
              <w:spacing w:after="0"/>
              <w:rPr>
                <w:sz w:val="20"/>
                <w:szCs w:val="20"/>
                <w:color w:val="auto"/>
              </w:rPr>
            </w:pPr>
            <w:r>
              <w:rPr>
                <w:rFonts w:ascii="Arial" w:cs="Arial" w:eastAsia="Arial" w:hAnsi="Arial"/>
                <w:sz w:val="18"/>
                <w:szCs w:val="18"/>
                <w:color w:val="auto"/>
              </w:rPr>
              <w:t>4/4</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Jan Stern Reed</w:t>
            </w:r>
          </w:p>
        </w:tc>
        <w:tc>
          <w:tcPr>
            <w:tcW w:w="4040" w:type="dxa"/>
            <w:vAlign w:val="bottom"/>
          </w:tcPr>
          <w:p>
            <w:pPr>
              <w:jc w:val="right"/>
              <w:ind w:right="1830"/>
              <w:spacing w:after="0"/>
              <w:rPr>
                <w:sz w:val="20"/>
                <w:szCs w:val="20"/>
                <w:color w:val="auto"/>
              </w:rPr>
            </w:pPr>
            <w:r>
              <w:rPr>
                <w:rFonts w:ascii="Arial" w:cs="Arial" w:eastAsia="Arial" w:hAnsi="Arial"/>
                <w:sz w:val="18"/>
                <w:szCs w:val="18"/>
                <w:color w:val="auto"/>
              </w:rPr>
              <w:t>4/4</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James Corbett</w:t>
            </w:r>
          </w:p>
        </w:tc>
        <w:tc>
          <w:tcPr>
            <w:tcW w:w="4040" w:type="dxa"/>
            <w:vAlign w:val="bottom"/>
            <w:shd w:val="clear" w:color="auto" w:fill="CFF0FC"/>
          </w:tcPr>
          <w:p>
            <w:pPr>
              <w:jc w:val="right"/>
              <w:ind w:right="1830"/>
              <w:spacing w:after="0"/>
              <w:rPr>
                <w:sz w:val="20"/>
                <w:szCs w:val="20"/>
                <w:color w:val="auto"/>
              </w:rPr>
            </w:pPr>
            <w:r>
              <w:rPr>
                <w:rFonts w:ascii="Arial" w:cs="Arial" w:eastAsia="Arial" w:hAnsi="Arial"/>
                <w:sz w:val="18"/>
                <w:szCs w:val="18"/>
                <w:color w:val="auto"/>
              </w:rPr>
              <w:t>4/4</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Dr. Michael Perry</w:t>
            </w:r>
          </w:p>
        </w:tc>
        <w:tc>
          <w:tcPr>
            <w:tcW w:w="4040" w:type="dxa"/>
            <w:vAlign w:val="bottom"/>
          </w:tcPr>
          <w:p>
            <w:pPr>
              <w:jc w:val="right"/>
              <w:ind w:right="1830"/>
              <w:spacing w:after="0"/>
              <w:rPr>
                <w:sz w:val="20"/>
                <w:szCs w:val="20"/>
                <w:color w:val="auto"/>
              </w:rPr>
            </w:pPr>
            <w:r>
              <w:rPr>
                <w:rFonts w:ascii="Arial" w:cs="Arial" w:eastAsia="Arial" w:hAnsi="Arial"/>
                <w:sz w:val="18"/>
                <w:szCs w:val="18"/>
                <w:color w:val="auto"/>
              </w:rPr>
              <w:t>3/3</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w:t>
      </w:r>
    </w:p>
    <w:p>
      <w:pPr>
        <w:spacing w:after="0" w:line="229"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Board of Directors held a total of 12 meetings during the annual period ended December 31, 2022. The meetings attended by each Director, and the number of meetings that they were each eligible to attend,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5740" w:type="dxa"/>
            <w:vAlign w:val="bottom"/>
            <w:tcBorders>
              <w:bottom w:val="single" w:sz="8" w:color="auto"/>
            </w:tcBorders>
            <w:gridSpan w:val="2"/>
          </w:tcPr>
          <w:p>
            <w:pPr>
              <w:jc w:val="center"/>
              <w:ind w:right="2050"/>
              <w:spacing w:after="0"/>
              <w:rPr>
                <w:sz w:val="20"/>
                <w:szCs w:val="20"/>
                <w:color w:val="auto"/>
              </w:rPr>
            </w:pPr>
            <w:r>
              <w:rPr>
                <w:rFonts w:ascii="Arial" w:cs="Arial" w:eastAsia="Arial" w:hAnsi="Arial"/>
                <w:sz w:val="18"/>
                <w:szCs w:val="18"/>
                <w:b w:val="1"/>
                <w:bCs w:val="1"/>
                <w:color w:val="auto"/>
                <w:w w:val="91"/>
              </w:rPr>
              <w:t>Board of Directors' Meeting Attendance</w:t>
            </w:r>
          </w:p>
        </w:tc>
        <w:tc>
          <w:tcPr>
            <w:tcW w:w="168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212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40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Meetings attended/Eligible to attend</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Lou Panaccio</w:t>
            </w:r>
          </w:p>
        </w:tc>
        <w:tc>
          <w:tcPr>
            <w:tcW w:w="1700" w:type="dxa"/>
            <w:vAlign w:val="bottom"/>
            <w:shd w:val="clear" w:color="auto" w:fill="CFF0FC"/>
          </w:tcPr>
          <w:p>
            <w:pPr>
              <w:spacing w:after="0"/>
              <w:rPr>
                <w:sz w:val="19"/>
                <w:szCs w:val="19"/>
                <w:color w:val="auto"/>
              </w:rPr>
            </w:pPr>
          </w:p>
        </w:tc>
        <w:tc>
          <w:tcPr>
            <w:tcW w:w="4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10/12</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Jeremy Curnock Cook</w:t>
            </w:r>
          </w:p>
        </w:tc>
        <w:tc>
          <w:tcPr>
            <w:tcW w:w="5740" w:type="dxa"/>
            <w:vAlign w:val="bottom"/>
            <w:gridSpan w:val="2"/>
          </w:tcPr>
          <w:p>
            <w:pPr>
              <w:jc w:val="center"/>
              <w:ind w:left="1610"/>
              <w:spacing w:after="0"/>
              <w:rPr>
                <w:sz w:val="20"/>
                <w:szCs w:val="20"/>
                <w:color w:val="auto"/>
              </w:rPr>
            </w:pPr>
            <w:r>
              <w:rPr>
                <w:rFonts w:ascii="Arial" w:cs="Arial" w:eastAsia="Arial" w:hAnsi="Arial"/>
                <w:sz w:val="18"/>
                <w:szCs w:val="18"/>
                <w:color w:val="auto"/>
                <w:w w:val="88"/>
              </w:rPr>
              <w:t>11/12</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w w:val="99"/>
              </w:rPr>
              <w:t>Professor Suzanne Crowe</w:t>
            </w:r>
          </w:p>
        </w:tc>
        <w:tc>
          <w:tcPr>
            <w:tcW w:w="5740" w:type="dxa"/>
            <w:vAlign w:val="bottom"/>
            <w:gridSpan w:val="2"/>
            <w:shd w:val="clear" w:color="auto" w:fill="CFF0FC"/>
          </w:tcPr>
          <w:p>
            <w:pPr>
              <w:jc w:val="center"/>
              <w:ind w:left="1590"/>
              <w:spacing w:after="0"/>
              <w:rPr>
                <w:sz w:val="20"/>
                <w:szCs w:val="20"/>
                <w:color w:val="auto"/>
              </w:rPr>
            </w:pPr>
            <w:r>
              <w:rPr>
                <w:rFonts w:ascii="Arial" w:cs="Arial" w:eastAsia="Arial" w:hAnsi="Arial"/>
                <w:sz w:val="18"/>
                <w:szCs w:val="18"/>
                <w:color w:val="auto"/>
                <w:w w:val="93"/>
              </w:rPr>
              <w:t>12/12</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Jan Stern Reed</w:t>
            </w:r>
          </w:p>
        </w:tc>
        <w:tc>
          <w:tcPr>
            <w:tcW w:w="5740" w:type="dxa"/>
            <w:vAlign w:val="bottom"/>
            <w:gridSpan w:val="2"/>
          </w:tcPr>
          <w:p>
            <w:pPr>
              <w:jc w:val="center"/>
              <w:ind w:left="1590"/>
              <w:spacing w:after="0"/>
              <w:rPr>
                <w:sz w:val="20"/>
                <w:szCs w:val="20"/>
                <w:color w:val="auto"/>
              </w:rPr>
            </w:pPr>
            <w:r>
              <w:rPr>
                <w:rFonts w:ascii="Arial" w:cs="Arial" w:eastAsia="Arial" w:hAnsi="Arial"/>
                <w:sz w:val="18"/>
                <w:szCs w:val="18"/>
                <w:color w:val="auto"/>
                <w:w w:val="93"/>
              </w:rPr>
              <w:t>12/12</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James Corbett</w:t>
            </w:r>
          </w:p>
        </w:tc>
        <w:tc>
          <w:tcPr>
            <w:tcW w:w="5740" w:type="dxa"/>
            <w:vAlign w:val="bottom"/>
            <w:gridSpan w:val="2"/>
            <w:shd w:val="clear" w:color="auto" w:fill="CFF0FC"/>
          </w:tcPr>
          <w:p>
            <w:pPr>
              <w:jc w:val="center"/>
              <w:ind w:left="1590"/>
              <w:spacing w:after="0"/>
              <w:rPr>
                <w:sz w:val="20"/>
                <w:szCs w:val="20"/>
                <w:color w:val="auto"/>
              </w:rPr>
            </w:pPr>
            <w:r>
              <w:rPr>
                <w:rFonts w:ascii="Arial" w:cs="Arial" w:eastAsia="Arial" w:hAnsi="Arial"/>
                <w:sz w:val="18"/>
                <w:szCs w:val="18"/>
                <w:color w:val="auto"/>
                <w:w w:val="93"/>
              </w:rPr>
              <w:t>12/12</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Dr. Michael Perry</w:t>
            </w:r>
          </w:p>
        </w:tc>
        <w:tc>
          <w:tcPr>
            <w:tcW w:w="5740" w:type="dxa"/>
            <w:vAlign w:val="bottom"/>
            <w:gridSpan w:val="2"/>
          </w:tcPr>
          <w:p>
            <w:pPr>
              <w:jc w:val="center"/>
              <w:ind w:left="1610"/>
              <w:spacing w:after="0"/>
              <w:rPr>
                <w:sz w:val="20"/>
                <w:szCs w:val="20"/>
                <w:color w:val="auto"/>
              </w:rPr>
            </w:pPr>
            <w:r>
              <w:rPr>
                <w:rFonts w:ascii="Arial" w:cs="Arial" w:eastAsia="Arial" w:hAnsi="Arial"/>
                <w:sz w:val="18"/>
                <w:szCs w:val="18"/>
                <w:color w:val="auto"/>
                <w:w w:val="91"/>
              </w:rPr>
              <w:t>9/12</w:t>
            </w:r>
          </w:p>
        </w:tc>
        <w:tc>
          <w:tcPr>
            <w:tcW w:w="1680" w:type="dxa"/>
            <w:vAlign w:val="bottom"/>
          </w:tcPr>
          <w:p>
            <w:pPr>
              <w:spacing w:after="0"/>
              <w:rPr>
                <w:sz w:val="20"/>
                <w:szCs w:val="20"/>
                <w:color w:val="auto"/>
              </w:rPr>
            </w:pPr>
          </w:p>
        </w:tc>
      </w:tr>
      <w:tr>
        <w:trPr>
          <w:trHeight w:val="431"/>
        </w:trPr>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40" w:type="dxa"/>
            <w:vAlign w:val="bottom"/>
            <w:gridSpan w:val="2"/>
          </w:tcPr>
          <w:p>
            <w:pPr>
              <w:jc w:val="right"/>
              <w:ind w:right="3750"/>
              <w:spacing w:after="0"/>
              <w:rPr>
                <w:sz w:val="20"/>
                <w:szCs w:val="20"/>
                <w:color w:val="auto"/>
              </w:rPr>
            </w:pPr>
            <w:r>
              <w:rPr>
                <w:rFonts w:ascii="Arial" w:cs="Arial" w:eastAsia="Arial" w:hAnsi="Arial"/>
                <w:sz w:val="18"/>
                <w:szCs w:val="18"/>
                <w:color w:val="auto"/>
              </w:rPr>
              <w:t>44</w:t>
            </w: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particulars of the compensation paid to the below listed “named executive officers” of our company are set out in the summary compensation below.</w:t>
      </w:r>
    </w:p>
    <w:p>
      <w:pPr>
        <w:spacing w:after="0" w:line="140" w:lineRule="exact"/>
        <w:rPr>
          <w:sz w:val="20"/>
          <w:szCs w:val="20"/>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James Corbett, </w:t>
      </w:r>
      <w:r>
        <w:rPr>
          <w:rFonts w:ascii="Arial" w:cs="Arial" w:eastAsia="Arial" w:hAnsi="Arial"/>
          <w:sz w:val="18"/>
          <w:szCs w:val="18"/>
          <w:i w:val="1"/>
          <w:iCs w:val="1"/>
          <w:color w:val="auto"/>
        </w:rPr>
        <w:t>Chief Executive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Michael Holder, </w:t>
      </w:r>
      <w:r>
        <w:rPr>
          <w:rFonts w:ascii="Arial" w:cs="Arial" w:eastAsia="Arial" w:hAnsi="Arial"/>
          <w:sz w:val="18"/>
          <w:szCs w:val="18"/>
          <w:i w:val="1"/>
          <w:iCs w:val="1"/>
          <w:color w:val="auto"/>
        </w:rPr>
        <w:t>Chief Financial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Erin Liberto, </w:t>
      </w:r>
      <w:r>
        <w:rPr>
          <w:rFonts w:ascii="Arial" w:cs="Arial" w:eastAsia="Arial" w:hAnsi="Arial"/>
          <w:sz w:val="18"/>
          <w:szCs w:val="18"/>
          <w:i w:val="1"/>
          <w:iCs w:val="1"/>
          <w:color w:val="auto"/>
        </w:rPr>
        <w:t>Chief Commercial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Michael Perry, </w:t>
      </w:r>
      <w:r>
        <w:rPr>
          <w:rFonts w:ascii="Arial" w:cs="Arial" w:eastAsia="Arial" w:hAnsi="Arial"/>
          <w:sz w:val="18"/>
          <w:szCs w:val="18"/>
          <w:i w:val="1"/>
          <w:iCs w:val="1"/>
          <w:color w:val="auto"/>
        </w:rPr>
        <w:t>Former Chief Executive Officer</w:t>
      </w:r>
    </w:p>
    <w:p>
      <w:pPr>
        <w:spacing w:after="0" w:line="144"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Pursuant to the listing requirements of ASX, we are also providing the particulars of the compensation paid to the following executive officers of the Company.</w:t>
      </w:r>
    </w:p>
    <w:p>
      <w:pPr>
        <w:spacing w:after="0" w:line="62"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Andrew Quick, </w:t>
      </w:r>
      <w:r>
        <w:rPr>
          <w:rFonts w:ascii="Arial" w:cs="Arial" w:eastAsia="Arial" w:hAnsi="Arial"/>
          <w:sz w:val="18"/>
          <w:szCs w:val="18"/>
          <w:i w:val="1"/>
          <w:iCs w:val="1"/>
          <w:color w:val="auto"/>
        </w:rPr>
        <w:t>Chief Technology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Donna Shiroma, </w:t>
      </w:r>
      <w:r>
        <w:rPr>
          <w:rFonts w:ascii="Arial" w:cs="Arial" w:eastAsia="Arial" w:hAnsi="Arial"/>
          <w:sz w:val="18"/>
          <w:szCs w:val="18"/>
          <w:i w:val="1"/>
          <w:iCs w:val="1"/>
          <w:color w:val="auto"/>
        </w:rPr>
        <w:t>General Counsel</w:t>
      </w:r>
    </w:p>
    <w:p>
      <w:pPr>
        <w:spacing w:after="0" w:line="144" w:lineRule="exact"/>
        <w:rPr>
          <w:rFonts w:ascii="Arial" w:cs="Arial" w:eastAsia="Arial" w:hAnsi="Arial"/>
          <w:sz w:val="18"/>
          <w:szCs w:val="18"/>
          <w:color w:val="auto"/>
        </w:rPr>
      </w:pPr>
    </w:p>
    <w:p>
      <w:pPr>
        <w:ind w:left="760" w:right="6580" w:hanging="10"/>
        <w:spacing w:after="0" w:line="472" w:lineRule="auto"/>
        <w:tabs>
          <w:tab w:leader="none" w:pos="1118"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Kathy McGee, </w:t>
      </w:r>
      <w:r>
        <w:rPr>
          <w:rFonts w:ascii="Arial" w:cs="Arial" w:eastAsia="Arial" w:hAnsi="Arial"/>
          <w:sz w:val="16"/>
          <w:szCs w:val="16"/>
          <w:i w:val="1"/>
          <w:iCs w:val="1"/>
          <w:color w:val="auto"/>
        </w:rPr>
        <w:t>Chief Operating Officer</w:t>
      </w:r>
      <w:r>
        <w:rPr>
          <w:rFonts w:ascii="Arial" w:cs="Arial" w:eastAsia="Arial" w:hAnsi="Arial"/>
          <w:sz w:val="16"/>
          <w:szCs w:val="16"/>
          <w:color w:val="auto"/>
        </w:rPr>
        <w:t>* *Ceased to be Executive Officers on January 19,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The following table sets forth for our named executive officers the following information for the annual period ended December 31, 2022 and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Arial" w:cs="Arial" w:eastAsia="Arial" w:hAnsi="Arial"/>
                <w:sz w:val="14"/>
                <w:szCs w:val="14"/>
                <w:b w:val="1"/>
                <w:bCs w:val="1"/>
                <w:color w:val="auto"/>
              </w:rPr>
              <w:t>Name and</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Year</w:t>
            </w: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Bonus</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Awards (1)</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Awards (2)</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Compensation (3)</w:t>
            </w:r>
          </w:p>
        </w:tc>
        <w:tc>
          <w:tcPr>
            <w:tcW w:w="680" w:type="dxa"/>
            <w:vAlign w:val="bottom"/>
          </w:tcPr>
          <w:p>
            <w:pPr>
              <w:spacing w:after="0"/>
              <w:rPr>
                <w:sz w:val="14"/>
                <w:szCs w:val="14"/>
                <w:color w:val="auto"/>
              </w:rPr>
            </w:pPr>
          </w:p>
        </w:tc>
        <w:tc>
          <w:tcPr>
            <w:tcW w:w="118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r>
      <w:tr>
        <w:trPr>
          <w:trHeight w:val="156"/>
        </w:trPr>
        <w:tc>
          <w:tcPr>
            <w:tcW w:w="24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3"/>
                <w:szCs w:val="13"/>
                <w:color w:val="auto"/>
              </w:rPr>
            </w:pPr>
          </w:p>
        </w:tc>
        <w:tc>
          <w:tcPr>
            <w:tcW w:w="1060" w:type="dxa"/>
            <w:vAlign w:val="bottom"/>
            <w:tcBorders>
              <w:top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r>
      <w:tr>
        <w:trPr>
          <w:trHeight w:val="229"/>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James Corbett</w:t>
            </w:r>
          </w:p>
        </w:tc>
        <w:tc>
          <w:tcPr>
            <w:tcW w:w="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156,992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100,726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1,232,747</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5,119</w:t>
            </w:r>
          </w:p>
        </w:tc>
        <w:tc>
          <w:tcPr>
            <w:tcW w:w="6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(4)</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1,495,584</w:t>
            </w:r>
          </w:p>
        </w:tc>
        <w:tc>
          <w:tcPr>
            <w:tcW w:w="120" w:type="dxa"/>
            <w:vAlign w:val="bottom"/>
            <w:shd w:val="clear" w:color="auto" w:fill="CFF0FC"/>
          </w:tcPr>
          <w:p>
            <w:pPr>
              <w:spacing w:after="0"/>
              <w:rPr>
                <w:sz w:val="19"/>
                <w:szCs w:val="19"/>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Chief Executive Officer</w:t>
            </w:r>
          </w:p>
        </w:tc>
        <w:tc>
          <w:tcPr>
            <w:tcW w:w="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Michael Holder</w:t>
            </w:r>
          </w:p>
        </w:tc>
        <w:tc>
          <w:tcPr>
            <w:tcW w:w="7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430,128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184,900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178,672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82,524</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48,988</w:t>
            </w:r>
          </w:p>
        </w:tc>
        <w:tc>
          <w:tcPr>
            <w:tcW w:w="680" w:type="dxa"/>
            <w:vAlign w:val="bottom"/>
          </w:tcPr>
          <w:p>
            <w:pPr>
              <w:ind w:left="100"/>
              <w:spacing w:after="0"/>
              <w:rPr>
                <w:sz w:val="20"/>
                <w:szCs w:val="20"/>
                <w:color w:val="auto"/>
              </w:rPr>
            </w:pPr>
            <w:r>
              <w:rPr>
                <w:rFonts w:ascii="Arial" w:cs="Arial" w:eastAsia="Arial" w:hAnsi="Arial"/>
                <w:sz w:val="18"/>
                <w:szCs w:val="18"/>
                <w:color w:val="auto"/>
              </w:rPr>
              <w:t>(5)</w:t>
            </w:r>
          </w:p>
        </w:tc>
        <w:tc>
          <w:tcPr>
            <w:tcW w:w="1060" w:type="dxa"/>
            <w:vAlign w:val="bottom"/>
          </w:tcPr>
          <w:p>
            <w:pPr>
              <w:jc w:val="right"/>
              <w:spacing w:after="0"/>
              <w:rPr>
                <w:sz w:val="20"/>
                <w:szCs w:val="20"/>
                <w:color w:val="auto"/>
              </w:rPr>
            </w:pPr>
            <w:r>
              <w:rPr>
                <w:rFonts w:ascii="Arial" w:cs="Arial" w:eastAsia="Arial" w:hAnsi="Arial"/>
                <w:sz w:val="18"/>
                <w:szCs w:val="18"/>
                <w:color w:val="auto"/>
              </w:rPr>
              <w:t>925,212</w:t>
            </w:r>
          </w:p>
        </w:tc>
        <w:tc>
          <w:tcPr>
            <w:tcW w:w="12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335,064</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148,668</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97,020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2,056,809</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65,333</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2,702,894</w:t>
            </w:r>
          </w:p>
        </w:tc>
        <w:tc>
          <w:tcPr>
            <w:tcW w:w="120" w:type="dxa"/>
            <w:vAlign w:val="bottom"/>
          </w:tcPr>
          <w:p>
            <w:pPr>
              <w:spacing w:after="0"/>
              <w:rPr>
                <w:sz w:val="20"/>
                <w:szCs w:val="20"/>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Kathy McGee</w:t>
            </w:r>
          </w:p>
        </w:tc>
        <w:tc>
          <w:tcPr>
            <w:tcW w:w="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411,434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176,451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178,672</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82,524</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46,946</w:t>
            </w:r>
          </w:p>
        </w:tc>
        <w:tc>
          <w:tcPr>
            <w:tcW w:w="6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(6)</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896,027</w:t>
            </w:r>
          </w:p>
        </w:tc>
        <w:tc>
          <w:tcPr>
            <w:tcW w:w="120" w:type="dxa"/>
            <w:vAlign w:val="bottom"/>
            <w:shd w:val="clear" w:color="auto" w:fill="CFF0FC"/>
          </w:tcPr>
          <w:p>
            <w:pPr>
              <w:spacing w:after="0"/>
              <w:rPr>
                <w:sz w:val="19"/>
                <w:szCs w:val="19"/>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Chief Operating Officer</w:t>
            </w:r>
          </w:p>
        </w:tc>
        <w:tc>
          <w:tcPr>
            <w:tcW w:w="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353,872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119,398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1,983,811</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52,490</w:t>
            </w: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2,606,591</w:t>
            </w:r>
          </w:p>
        </w:tc>
        <w:tc>
          <w:tcPr>
            <w:tcW w:w="120" w:type="dxa"/>
            <w:vAlign w:val="bottom"/>
            <w:shd w:val="clear" w:color="auto" w:fill="CFF0FC"/>
          </w:tcPr>
          <w:p>
            <w:pPr>
              <w:spacing w:after="0"/>
              <w:rPr>
                <w:sz w:val="19"/>
                <w:szCs w:val="19"/>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Erin Liberto,</w:t>
            </w:r>
          </w:p>
        </w:tc>
        <w:tc>
          <w:tcPr>
            <w:tcW w:w="7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421,999</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180,812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178,672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82,524</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42,286</w:t>
            </w:r>
          </w:p>
        </w:tc>
        <w:tc>
          <w:tcPr>
            <w:tcW w:w="680" w:type="dxa"/>
            <w:vAlign w:val="bottom"/>
          </w:tcPr>
          <w:p>
            <w:pPr>
              <w:ind w:left="100"/>
              <w:spacing w:after="0"/>
              <w:rPr>
                <w:sz w:val="20"/>
                <w:szCs w:val="20"/>
                <w:color w:val="auto"/>
              </w:rPr>
            </w:pPr>
            <w:r>
              <w:rPr>
                <w:rFonts w:ascii="Arial" w:cs="Arial" w:eastAsia="Arial" w:hAnsi="Arial"/>
                <w:sz w:val="18"/>
                <w:szCs w:val="18"/>
                <w:color w:val="auto"/>
              </w:rPr>
              <w:t>(7)</w:t>
            </w:r>
          </w:p>
        </w:tc>
        <w:tc>
          <w:tcPr>
            <w:tcW w:w="1060" w:type="dxa"/>
            <w:vAlign w:val="bottom"/>
          </w:tcPr>
          <w:p>
            <w:pPr>
              <w:jc w:val="right"/>
              <w:spacing w:after="0"/>
              <w:rPr>
                <w:sz w:val="20"/>
                <w:szCs w:val="20"/>
                <w:color w:val="auto"/>
              </w:rPr>
            </w:pPr>
            <w:r>
              <w:rPr>
                <w:rFonts w:ascii="Arial" w:cs="Arial" w:eastAsia="Arial" w:hAnsi="Arial"/>
                <w:sz w:val="18"/>
                <w:szCs w:val="18"/>
                <w:color w:val="auto"/>
              </w:rPr>
              <w:t>906,293</w:t>
            </w:r>
          </w:p>
        </w:tc>
        <w:tc>
          <w:tcPr>
            <w:tcW w:w="12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Chief Commercial Officer</w:t>
            </w:r>
          </w:p>
        </w:tc>
        <w:tc>
          <w:tcPr>
            <w:tcW w:w="7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342,063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115,413</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97,020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90,337</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33,088</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677,921</w:t>
            </w:r>
          </w:p>
        </w:tc>
        <w:tc>
          <w:tcPr>
            <w:tcW w:w="120" w:type="dxa"/>
            <w:vAlign w:val="bottom"/>
          </w:tcPr>
          <w:p>
            <w:pPr>
              <w:spacing w:after="0"/>
              <w:rPr>
                <w:sz w:val="20"/>
                <w:szCs w:val="20"/>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Andrew Quick</w:t>
            </w:r>
          </w:p>
        </w:tc>
        <w:tc>
          <w:tcPr>
            <w:tcW w:w="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411,857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176,484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178,672</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82,524</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27,518</w:t>
            </w:r>
          </w:p>
        </w:tc>
        <w:tc>
          <w:tcPr>
            <w:tcW w:w="6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(8)</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877,055</w:t>
            </w:r>
          </w:p>
        </w:tc>
        <w:tc>
          <w:tcPr>
            <w:tcW w:w="120" w:type="dxa"/>
            <w:vAlign w:val="bottom"/>
            <w:shd w:val="clear" w:color="auto" w:fill="CFF0FC"/>
          </w:tcPr>
          <w:p>
            <w:pPr>
              <w:spacing w:after="0"/>
              <w:rPr>
                <w:sz w:val="19"/>
                <w:szCs w:val="19"/>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Chief Technology Officer</w:t>
            </w:r>
          </w:p>
        </w:tc>
        <w:tc>
          <w:tcPr>
            <w:tcW w:w="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336,024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113,376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90,337</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18,665</w:t>
            </w: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655,422</w:t>
            </w:r>
          </w:p>
        </w:tc>
        <w:tc>
          <w:tcPr>
            <w:tcW w:w="120" w:type="dxa"/>
            <w:vAlign w:val="bottom"/>
            <w:shd w:val="clear" w:color="auto" w:fill="CFF0FC"/>
          </w:tcPr>
          <w:p>
            <w:pPr>
              <w:spacing w:after="0"/>
              <w:rPr>
                <w:sz w:val="19"/>
                <w:szCs w:val="19"/>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Donna Shiroma</w:t>
            </w:r>
          </w:p>
        </w:tc>
        <w:tc>
          <w:tcPr>
            <w:tcW w:w="7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416,902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178,662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178,672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82,524</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47,155</w:t>
            </w:r>
          </w:p>
        </w:tc>
        <w:tc>
          <w:tcPr>
            <w:tcW w:w="680" w:type="dxa"/>
            <w:vAlign w:val="bottom"/>
          </w:tcPr>
          <w:p>
            <w:pPr>
              <w:ind w:left="100"/>
              <w:spacing w:after="0"/>
              <w:rPr>
                <w:sz w:val="20"/>
                <w:szCs w:val="20"/>
                <w:color w:val="auto"/>
              </w:rPr>
            </w:pPr>
            <w:r>
              <w:rPr>
                <w:rFonts w:ascii="Arial" w:cs="Arial" w:eastAsia="Arial" w:hAnsi="Arial"/>
                <w:sz w:val="18"/>
                <w:szCs w:val="18"/>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903,915</w:t>
            </w:r>
          </w:p>
        </w:tc>
        <w:tc>
          <w:tcPr>
            <w:tcW w:w="12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General Counsel</w:t>
            </w:r>
          </w:p>
        </w:tc>
        <w:tc>
          <w:tcPr>
            <w:tcW w:w="7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342,063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115,413</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97,020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90,337</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18,688</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663,521</w:t>
            </w:r>
          </w:p>
        </w:tc>
        <w:tc>
          <w:tcPr>
            <w:tcW w:w="120" w:type="dxa"/>
            <w:vAlign w:val="bottom"/>
          </w:tcPr>
          <w:p>
            <w:pPr>
              <w:spacing w:after="0"/>
              <w:rPr>
                <w:sz w:val="20"/>
                <w:szCs w:val="20"/>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Michael Perry</w:t>
            </w:r>
          </w:p>
        </w:tc>
        <w:tc>
          <w:tcPr>
            <w:tcW w:w="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461,512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342,986</w:t>
            </w:r>
          </w:p>
        </w:tc>
        <w:tc>
          <w:tcPr>
            <w:tcW w:w="6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804,498</w:t>
            </w:r>
          </w:p>
        </w:tc>
        <w:tc>
          <w:tcPr>
            <w:tcW w:w="120" w:type="dxa"/>
            <w:vAlign w:val="bottom"/>
            <w:shd w:val="clear" w:color="auto" w:fill="CFF0FC"/>
          </w:tcPr>
          <w:p>
            <w:pPr>
              <w:spacing w:after="0"/>
              <w:rPr>
                <w:sz w:val="19"/>
                <w:szCs w:val="19"/>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w w:val="97"/>
              </w:rPr>
              <w:t>Former Chief Executive Officer</w:t>
            </w:r>
          </w:p>
        </w:tc>
        <w:tc>
          <w:tcPr>
            <w:tcW w:w="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537,006</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424,637</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772,244</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323,137</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183,365</w:t>
            </w: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2,240,389</w:t>
            </w:r>
          </w:p>
        </w:tc>
        <w:tc>
          <w:tcPr>
            <w:tcW w:w="12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jc w:val="both"/>
        <w:ind w:left="880" w:right="100" w:hanging="508"/>
        <w:spacing w:after="0" w:line="25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are subject to various performance or related criteria, including continuation of employment over the relevant vesting period.</w:t>
      </w:r>
    </w:p>
    <w:p>
      <w:pPr>
        <w:spacing w:after="0" w:line="2" w:lineRule="exact"/>
        <w:rPr>
          <w:rFonts w:ascii="Arial" w:cs="Arial" w:eastAsia="Arial" w:hAnsi="Arial"/>
          <w:sz w:val="18"/>
          <w:szCs w:val="18"/>
          <w:color w:val="auto"/>
        </w:rPr>
      </w:pPr>
    </w:p>
    <w:p>
      <w:pPr>
        <w:ind w:left="880" w:right="20" w:hanging="508"/>
        <w:spacing w:after="0" w:line="265"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our Consolidated Financial Statements included in Part II, Item 8. “Financial Statements and Supplementary Data” for the assumptions used in determining the grant date fair value of option awards. The vesting of these option awards are subject to various performance or tenure related criteria.</w:t>
      </w:r>
    </w:p>
    <w:p>
      <w:pPr>
        <w:ind w:left="880" w:right="280" w:hanging="508"/>
        <w:spacing w:after="0" w:line="25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 this column represent all other compensation for the covered fiscal year that the smaller reporting company could not properly report in any other column of the Summary Compensation Table. This includes the non-qualified deferred compensation, employer match, 401(k) match, and fringe benefits such as relocation costs, car allowance, accommodations and medical benefits, along with related taxes on grossed up fringe benefits.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880" w:right="300" w:hanging="508"/>
        <w:spacing w:after="0" w:line="258"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Relates to accommodation costs associated with the executive commuting from his home to our offices in Valencia, California (including an amount necessary to gross up these cost for income tax purposes under U.S. federal and California State laws).</w:t>
      </w:r>
    </w:p>
    <w:p>
      <w:pPr>
        <w:spacing w:after="0" w:line="1" w:lineRule="exact"/>
        <w:rPr>
          <w:rFonts w:ascii="Arial" w:cs="Arial" w:eastAsia="Arial" w:hAnsi="Arial"/>
          <w:sz w:val="18"/>
          <w:szCs w:val="18"/>
          <w:color w:val="auto"/>
        </w:rPr>
      </w:pPr>
    </w:p>
    <w:p>
      <w:pPr>
        <w:ind w:left="880" w:hanging="508"/>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Comprised of (a) $30,688 in non-qualified deferred compensation employer match and (b) $18,300 in 401(k) employer match contribution.</w:t>
      </w:r>
    </w:p>
    <w:p>
      <w:pPr>
        <w:spacing w:after="0" w:line="20" w:lineRule="exact"/>
        <w:rPr>
          <w:rFonts w:ascii="Arial" w:cs="Arial" w:eastAsia="Arial" w:hAnsi="Arial"/>
          <w:sz w:val="17"/>
          <w:szCs w:val="17"/>
          <w:color w:val="auto"/>
        </w:rPr>
      </w:pPr>
    </w:p>
    <w:p>
      <w:pPr>
        <w:ind w:left="880" w:hanging="508"/>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Comprised of (a) $28,646 in non-qualified deferred compensation employer match and (b) $18,300 in 401(k) employer match contribution.</w:t>
      </w:r>
    </w:p>
    <w:p>
      <w:pPr>
        <w:spacing w:after="0" w:line="20" w:lineRule="exact"/>
        <w:rPr>
          <w:rFonts w:ascii="Arial" w:cs="Arial" w:eastAsia="Arial" w:hAnsi="Arial"/>
          <w:sz w:val="17"/>
          <w:szCs w:val="17"/>
          <w:color w:val="auto"/>
        </w:rPr>
      </w:pPr>
    </w:p>
    <w:p>
      <w:pPr>
        <w:ind w:left="880" w:right="480" w:hanging="508"/>
        <w:spacing w:after="0" w:line="250"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Comprised of (a) $14,400 in car allowance, (b) $9,586 in non-qualified deferred compensation employer match and (c) $18,300 in 401(k) employer match.</w:t>
      </w:r>
    </w:p>
    <w:p>
      <w:pPr>
        <w:ind w:left="880" w:hanging="508"/>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Comprised of (a) $18,300 in 401(k) employer match contribution and (b) $9,218 in non-qualified deferred compensation employer match.</w:t>
      </w:r>
    </w:p>
    <w:p>
      <w:pPr>
        <w:spacing w:after="0" w:line="20" w:lineRule="exact"/>
        <w:rPr>
          <w:rFonts w:ascii="Arial" w:cs="Arial" w:eastAsia="Arial" w:hAnsi="Arial"/>
          <w:sz w:val="17"/>
          <w:szCs w:val="17"/>
          <w:color w:val="auto"/>
        </w:rPr>
      </w:pPr>
    </w:p>
    <w:p>
      <w:pPr>
        <w:ind w:left="880" w:hanging="508"/>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Comprised of (a) $28,855 in non-qualified deferred compensation employer match and (b) $18,300 in 401(k) employer match contribution.</w:t>
      </w:r>
    </w:p>
    <w:p>
      <w:pPr>
        <w:spacing w:after="0" w:line="20" w:lineRule="exact"/>
        <w:rPr>
          <w:rFonts w:ascii="Arial" w:cs="Arial" w:eastAsia="Arial" w:hAnsi="Arial"/>
          <w:sz w:val="17"/>
          <w:szCs w:val="17"/>
          <w:color w:val="auto"/>
        </w:rPr>
      </w:pPr>
    </w:p>
    <w:p>
      <w:pPr>
        <w:ind w:left="880" w:right="80" w:hanging="508"/>
        <w:spacing w:after="0" w:line="271"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Comprised of (a) $145,585 in relation to the travel, flight and accommodation costs associated with the executive commuting from his home to our offices in Valencia, California (including an amount necessary to gross up these cost for income tax purposes under U.S. federal, California and Colorado State laws); (b) $47,359 associated with medical benefits (including an amount necessary to gross up these cost for income tax purposes under U.S. federal, California and Colorado State laws), (c) $96,154 in vacation buy-out (d) $35,588 associated with deferred compensation employer matching contributions and (e) $18,300 in employer 401(k) match contribution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121"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The following table outlines the specified terms of the relevant employment contracts for the named executive officers of the Company. For compensation information of named executives refer to the table above.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Role</w:t>
            </w:r>
          </w:p>
        </w:tc>
        <w:tc>
          <w:tcPr>
            <w:tcW w:w="180" w:type="dxa"/>
            <w:vAlign w:val="bottom"/>
          </w:tcPr>
          <w:p>
            <w:pPr>
              <w:spacing w:after="0"/>
              <w:rPr>
                <w:sz w:val="14"/>
                <w:szCs w:val="14"/>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Name</w:t>
            </w:r>
          </w:p>
        </w:tc>
        <w:tc>
          <w:tcPr>
            <w:tcW w:w="14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Contract Duration</w:t>
            </w:r>
          </w:p>
        </w:tc>
        <w:tc>
          <w:tcPr>
            <w:tcW w:w="160" w:type="dxa"/>
            <w:vAlign w:val="bottom"/>
          </w:tcPr>
          <w:p>
            <w:pPr>
              <w:spacing w:after="0"/>
              <w:rPr>
                <w:sz w:val="14"/>
                <w:szCs w:val="14"/>
                <w:color w:val="auto"/>
              </w:rPr>
            </w:pPr>
          </w:p>
        </w:tc>
        <w:tc>
          <w:tcPr>
            <w:tcW w:w="490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 xml:space="preserve">Period of Notice </w:t>
            </w:r>
            <w:r>
              <w:rPr>
                <w:rFonts w:ascii="Arial" w:cs="Arial" w:eastAsia="Arial" w:hAnsi="Arial"/>
                <w:sz w:val="14"/>
                <w:szCs w:val="14"/>
                <w:color w:val="auto"/>
              </w:rPr>
              <w:t>(2) (3)</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Termination</w:t>
            </w:r>
          </w:p>
        </w:tc>
        <w:tc>
          <w:tcPr>
            <w:tcW w:w="0" w:type="dxa"/>
            <w:vAlign w:val="bottom"/>
          </w:tcPr>
          <w:p>
            <w:pPr>
              <w:spacing w:after="0"/>
              <w:rPr>
                <w:sz w:val="1"/>
                <w:szCs w:val="1"/>
                <w:color w:val="auto"/>
              </w:rPr>
            </w:pPr>
          </w:p>
        </w:tc>
      </w:tr>
      <w:tr>
        <w:trPr>
          <w:trHeight w:val="149"/>
        </w:trPr>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90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payments</w:t>
            </w:r>
          </w:p>
        </w:tc>
        <w:tc>
          <w:tcPr>
            <w:tcW w:w="0" w:type="dxa"/>
            <w:vAlign w:val="bottom"/>
          </w:tcPr>
          <w:p>
            <w:pPr>
              <w:spacing w:after="0"/>
              <w:rPr>
                <w:sz w:val="1"/>
                <w:szCs w:val="1"/>
                <w:color w:val="auto"/>
              </w:rPr>
            </w:pPr>
          </w:p>
        </w:tc>
      </w:tr>
      <w:tr>
        <w:trPr>
          <w:trHeight w:val="30"/>
        </w:trPr>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60" w:type="dxa"/>
            <w:vAlign w:val="bottom"/>
            <w:gridSpan w:val="3"/>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rPr>
              <w:t>provided for</w:t>
            </w:r>
          </w:p>
        </w:tc>
        <w:tc>
          <w:tcPr>
            <w:tcW w:w="0" w:type="dxa"/>
            <w:vAlign w:val="bottom"/>
          </w:tcPr>
          <w:p>
            <w:pPr>
              <w:spacing w:after="0"/>
              <w:rPr>
                <w:sz w:val="1"/>
                <w:szCs w:val="1"/>
                <w:color w:val="auto"/>
              </w:rPr>
            </w:pPr>
          </w:p>
        </w:tc>
      </w:tr>
      <w:tr>
        <w:trPr>
          <w:trHeight w:val="99"/>
        </w:trPr>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0"/>
              </w:rPr>
              <w:t>by contract</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gridSpan w:val="2"/>
          </w:tcPr>
          <w:p>
            <w:pPr>
              <w:jc w:val="center"/>
              <w:ind w:left="108"/>
              <w:spacing w:after="0"/>
              <w:rPr>
                <w:sz w:val="20"/>
                <w:szCs w:val="20"/>
                <w:color w:val="auto"/>
              </w:rPr>
            </w:pPr>
            <w:r>
              <w:rPr>
                <w:rFonts w:ascii="Arial" w:cs="Arial" w:eastAsia="Arial" w:hAnsi="Arial"/>
                <w:sz w:val="14"/>
                <w:szCs w:val="14"/>
                <w:color w:val="auto"/>
                <w:w w:val="93"/>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Chief</w:t>
            </w: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James Corbett</w:t>
            </w:r>
          </w:p>
        </w:tc>
        <w:tc>
          <w:tcPr>
            <w:tcW w:w="1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Three years with</w:t>
            </w:r>
          </w:p>
        </w:tc>
        <w:tc>
          <w:tcPr>
            <w:tcW w:w="160" w:type="dxa"/>
            <w:vAlign w:val="bottom"/>
            <w:shd w:val="clear" w:color="auto" w:fill="CFF0FC"/>
          </w:tcPr>
          <w:p>
            <w:pPr>
              <w:spacing w:after="0"/>
              <w:rPr>
                <w:sz w:val="16"/>
                <w:szCs w:val="16"/>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5"/>
              </w:rPr>
              <w:t>Termination by the Company with or without Cause– No notice period.</w:t>
            </w:r>
          </w:p>
        </w:tc>
        <w:tc>
          <w:tcPr>
            <w:tcW w:w="1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FF0FC"/>
          </w:tcPr>
          <w:p>
            <w:pPr>
              <w:ind w:left="220"/>
              <w:spacing w:after="0"/>
              <w:rPr>
                <w:sz w:val="20"/>
                <w:szCs w:val="20"/>
                <w:color w:val="auto"/>
              </w:rPr>
            </w:pPr>
            <w:r>
              <w:rPr>
                <w:rFonts w:ascii="Arial" w:cs="Arial" w:eastAsia="Arial" w:hAnsi="Arial"/>
                <w:sz w:val="16"/>
                <w:szCs w:val="16"/>
                <w:b w:val="1"/>
                <w:bCs w:val="1"/>
                <w:color w:val="auto"/>
              </w:rPr>
              <w:t>Executive</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6"/>
              </w:rPr>
              <w:t>automatic one-year</w:t>
            </w:r>
          </w:p>
        </w:tc>
        <w:tc>
          <w:tcPr>
            <w:tcW w:w="160" w:type="dxa"/>
            <w:vAlign w:val="bottom"/>
            <w:shd w:val="clear" w:color="auto" w:fill="CFF0FC"/>
          </w:tcPr>
          <w:p>
            <w:pPr>
              <w:spacing w:after="0"/>
              <w:rPr>
                <w:sz w:val="17"/>
                <w:szCs w:val="17"/>
                <w:color w:val="auto"/>
              </w:rPr>
            </w:pPr>
          </w:p>
        </w:tc>
        <w:tc>
          <w:tcPr>
            <w:tcW w:w="63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Termination by executive- with or without Good Reason - 90 days prior written notice.</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Officer(CEO)</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5"/>
              </w:rPr>
              <w:t>extensions on each</w:t>
            </w:r>
          </w:p>
        </w:tc>
        <w:tc>
          <w:tcPr>
            <w:tcW w:w="160" w:type="dxa"/>
            <w:vAlign w:val="bottom"/>
            <w:shd w:val="clear" w:color="auto" w:fill="CFF0FC"/>
          </w:tcPr>
          <w:p>
            <w:pPr>
              <w:spacing w:after="0"/>
              <w:rPr>
                <w:sz w:val="17"/>
                <w:szCs w:val="17"/>
                <w:color w:val="auto"/>
              </w:rPr>
            </w:pPr>
          </w:p>
        </w:tc>
        <w:tc>
          <w:tcPr>
            <w:tcW w:w="49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anniversary.</w:t>
            </w:r>
          </w:p>
        </w:tc>
        <w:tc>
          <w:tcPr>
            <w:tcW w:w="160" w:type="dxa"/>
            <w:vAlign w:val="bottom"/>
            <w:shd w:val="clear" w:color="auto" w:fill="CFF0FC"/>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20" w:type="dxa"/>
            <w:vAlign w:val="bottom"/>
            <w:gridSpan w:val="4"/>
          </w:tcPr>
          <w:p>
            <w:pPr>
              <w:spacing w:after="0"/>
              <w:rPr>
                <w:sz w:val="20"/>
                <w:szCs w:val="20"/>
                <w:color w:val="auto"/>
              </w:rPr>
            </w:pPr>
            <w:r>
              <w:rPr>
                <w:rFonts w:ascii="Arial" w:cs="Arial" w:eastAsia="Arial" w:hAnsi="Arial"/>
                <w:sz w:val="16"/>
                <w:szCs w:val="16"/>
                <w:b w:val="1"/>
                <w:bCs w:val="1"/>
                <w:color w:val="auto"/>
              </w:rPr>
              <w:t xml:space="preserve">Chief Financial </w:t>
            </w:r>
            <w:r>
              <w:rPr>
                <w:rFonts w:ascii="Arial" w:cs="Arial" w:eastAsia="Arial" w:hAnsi="Arial"/>
                <w:sz w:val="16"/>
                <w:szCs w:val="16"/>
                <w:color w:val="auto"/>
              </w:rPr>
              <w:t>Michael Holder</w:t>
            </w:r>
          </w:p>
        </w:tc>
        <w:tc>
          <w:tcPr>
            <w:tcW w:w="1460" w:type="dxa"/>
            <w:vAlign w:val="bottom"/>
          </w:tcPr>
          <w:p>
            <w:pPr>
              <w:ind w:left="120"/>
              <w:spacing w:after="0"/>
              <w:rPr>
                <w:sz w:val="20"/>
                <w:szCs w:val="20"/>
                <w:color w:val="auto"/>
              </w:rPr>
            </w:pPr>
            <w:r>
              <w:rPr>
                <w:rFonts w:ascii="Arial" w:cs="Arial" w:eastAsia="Arial" w:hAnsi="Arial"/>
                <w:sz w:val="16"/>
                <w:szCs w:val="16"/>
                <w:color w:val="auto"/>
                <w:w w:val="88"/>
              </w:rPr>
              <w:t>Open ended contract</w:t>
            </w:r>
          </w:p>
        </w:tc>
        <w:tc>
          <w:tcPr>
            <w:tcW w:w="160" w:type="dxa"/>
            <w:vAlign w:val="bottom"/>
          </w:tcPr>
          <w:p>
            <w:pPr>
              <w:spacing w:after="0"/>
              <w:rPr>
                <w:sz w:val="16"/>
                <w:szCs w:val="16"/>
                <w:color w:val="auto"/>
              </w:rPr>
            </w:pPr>
          </w:p>
        </w:tc>
        <w:tc>
          <w:tcPr>
            <w:tcW w:w="4900" w:type="dxa"/>
            <w:vAlign w:val="bottom"/>
          </w:tcPr>
          <w:p>
            <w:pPr>
              <w:ind w:left="120"/>
              <w:spacing w:after="0"/>
              <w:rPr>
                <w:sz w:val="20"/>
                <w:szCs w:val="20"/>
                <w:color w:val="auto"/>
              </w:rPr>
            </w:pPr>
            <w:r>
              <w:rPr>
                <w:rFonts w:ascii="Arial" w:cs="Arial" w:eastAsia="Arial" w:hAnsi="Arial"/>
                <w:sz w:val="16"/>
                <w:szCs w:val="16"/>
                <w:color w:val="auto"/>
                <w:w w:val="93"/>
              </w:rPr>
              <w:t>Involuntary termination without Cause or resignation with Good Reason:</w:t>
            </w:r>
          </w:p>
        </w:tc>
        <w:tc>
          <w:tcPr>
            <w:tcW w:w="1480" w:type="dxa"/>
            <w:vAlign w:val="bottom"/>
          </w:tcPr>
          <w:p>
            <w:pPr>
              <w:ind w:left="40"/>
              <w:spacing w:after="0"/>
              <w:rPr>
                <w:sz w:val="20"/>
                <w:szCs w:val="20"/>
                <w:color w:val="auto"/>
              </w:rPr>
            </w:pPr>
            <w:r>
              <w:rPr>
                <w:rFonts w:ascii="Arial" w:cs="Arial" w:eastAsia="Arial" w:hAnsi="Arial"/>
                <w:sz w:val="16"/>
                <w:szCs w:val="16"/>
                <w:color w:val="auto"/>
                <w:w w:val="91"/>
              </w:rPr>
              <w:t>3-month notice period</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6"/>
                <w:szCs w:val="16"/>
                <w:b w:val="1"/>
                <w:bCs w:val="1"/>
                <w:color w:val="auto"/>
              </w:rPr>
              <w:t>Officer</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Chief</w:t>
            </w: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Kathy McGee</w:t>
            </w:r>
          </w:p>
        </w:tc>
        <w:tc>
          <w:tcPr>
            <w:tcW w:w="146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8"/>
              </w:rPr>
              <w:t>Open ended contract</w:t>
            </w:r>
          </w:p>
        </w:tc>
        <w:tc>
          <w:tcPr>
            <w:tcW w:w="160" w:type="dxa"/>
            <w:vAlign w:val="bottom"/>
            <w:shd w:val="clear" w:color="auto" w:fill="CFF0FC"/>
          </w:tcPr>
          <w:p>
            <w:pPr>
              <w:spacing w:after="0"/>
              <w:rPr>
                <w:sz w:val="16"/>
                <w:szCs w:val="16"/>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3"/>
              </w:rPr>
              <w:t>Involuntary termination without Cause or resignation with Good Reason:</w:t>
            </w:r>
          </w:p>
        </w:tc>
        <w:tc>
          <w:tcPr>
            <w:tcW w:w="1480" w:type="dxa"/>
            <w:vAlign w:val="bottom"/>
            <w:shd w:val="clear" w:color="auto" w:fill="CFF0FC"/>
          </w:tcPr>
          <w:p>
            <w:pPr>
              <w:ind w:left="40"/>
              <w:spacing w:after="0"/>
              <w:rPr>
                <w:sz w:val="20"/>
                <w:szCs w:val="20"/>
                <w:color w:val="auto"/>
              </w:rPr>
            </w:pPr>
            <w:r>
              <w:rPr>
                <w:rFonts w:ascii="Arial" w:cs="Arial" w:eastAsia="Arial" w:hAnsi="Arial"/>
                <w:sz w:val="16"/>
                <w:szCs w:val="16"/>
                <w:color w:val="auto"/>
                <w:w w:val="91"/>
              </w:rPr>
              <w:t>3-month notice period</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FF0FC"/>
          </w:tcPr>
          <w:p>
            <w:pPr>
              <w:ind w:left="220"/>
              <w:spacing w:after="0"/>
              <w:rPr>
                <w:sz w:val="20"/>
                <w:szCs w:val="20"/>
                <w:color w:val="auto"/>
              </w:rPr>
            </w:pPr>
            <w:r>
              <w:rPr>
                <w:rFonts w:ascii="Arial" w:cs="Arial" w:eastAsia="Arial" w:hAnsi="Arial"/>
                <w:sz w:val="16"/>
                <w:szCs w:val="16"/>
                <w:b w:val="1"/>
                <w:bCs w:val="1"/>
                <w:color w:val="auto"/>
              </w:rPr>
              <w:t>Operating</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9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Officer (COO)</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9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20"/>
                <w:szCs w:val="20"/>
                <w:color w:val="auto"/>
              </w:rPr>
            </w:pPr>
            <w:r>
              <w:rPr>
                <w:rFonts w:ascii="Arial" w:cs="Arial" w:eastAsia="Arial" w:hAnsi="Arial"/>
                <w:sz w:val="16"/>
                <w:szCs w:val="16"/>
                <w:b w:val="1"/>
                <w:bCs w:val="1"/>
                <w:color w:val="auto"/>
              </w:rPr>
              <w:t>Chief</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Erin Liberto</w:t>
            </w:r>
          </w:p>
        </w:tc>
        <w:tc>
          <w:tcPr>
            <w:tcW w:w="1460" w:type="dxa"/>
            <w:vAlign w:val="bottom"/>
          </w:tcPr>
          <w:p>
            <w:pPr>
              <w:ind w:left="120"/>
              <w:spacing w:after="0"/>
              <w:rPr>
                <w:sz w:val="20"/>
                <w:szCs w:val="20"/>
                <w:color w:val="auto"/>
              </w:rPr>
            </w:pPr>
            <w:r>
              <w:rPr>
                <w:rFonts w:ascii="Arial" w:cs="Arial" w:eastAsia="Arial" w:hAnsi="Arial"/>
                <w:sz w:val="16"/>
                <w:szCs w:val="16"/>
                <w:color w:val="auto"/>
                <w:w w:val="88"/>
              </w:rPr>
              <w:t>Open ended contract</w:t>
            </w:r>
          </w:p>
        </w:tc>
        <w:tc>
          <w:tcPr>
            <w:tcW w:w="160" w:type="dxa"/>
            <w:vAlign w:val="bottom"/>
          </w:tcPr>
          <w:p>
            <w:pPr>
              <w:spacing w:after="0"/>
              <w:rPr>
                <w:sz w:val="16"/>
                <w:szCs w:val="16"/>
                <w:color w:val="auto"/>
              </w:rPr>
            </w:pPr>
          </w:p>
        </w:tc>
        <w:tc>
          <w:tcPr>
            <w:tcW w:w="4900" w:type="dxa"/>
            <w:vAlign w:val="bottom"/>
          </w:tcPr>
          <w:p>
            <w:pPr>
              <w:ind w:left="120"/>
              <w:spacing w:after="0"/>
              <w:rPr>
                <w:sz w:val="20"/>
                <w:szCs w:val="20"/>
                <w:color w:val="auto"/>
              </w:rPr>
            </w:pPr>
            <w:r>
              <w:rPr>
                <w:rFonts w:ascii="Arial" w:cs="Arial" w:eastAsia="Arial" w:hAnsi="Arial"/>
                <w:sz w:val="16"/>
                <w:szCs w:val="16"/>
                <w:color w:val="auto"/>
                <w:w w:val="93"/>
              </w:rPr>
              <w:t>Involuntary termination without Cause or resignation with Good Reason:</w:t>
            </w:r>
          </w:p>
        </w:tc>
        <w:tc>
          <w:tcPr>
            <w:tcW w:w="1480" w:type="dxa"/>
            <w:vAlign w:val="bottom"/>
          </w:tcPr>
          <w:p>
            <w:pPr>
              <w:ind w:left="40"/>
              <w:spacing w:after="0"/>
              <w:rPr>
                <w:sz w:val="20"/>
                <w:szCs w:val="20"/>
                <w:color w:val="auto"/>
              </w:rPr>
            </w:pPr>
            <w:r>
              <w:rPr>
                <w:rFonts w:ascii="Arial" w:cs="Arial" w:eastAsia="Arial" w:hAnsi="Arial"/>
                <w:sz w:val="16"/>
                <w:szCs w:val="16"/>
                <w:color w:val="auto"/>
                <w:w w:val="91"/>
              </w:rPr>
              <w:t>3-month notice period</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20"/>
              <w:spacing w:after="0"/>
              <w:rPr>
                <w:sz w:val="20"/>
                <w:szCs w:val="20"/>
                <w:color w:val="auto"/>
              </w:rPr>
            </w:pPr>
            <w:r>
              <w:rPr>
                <w:rFonts w:ascii="Arial" w:cs="Arial" w:eastAsia="Arial" w:hAnsi="Arial"/>
                <w:sz w:val="16"/>
                <w:szCs w:val="16"/>
                <w:b w:val="1"/>
                <w:bCs w:val="1"/>
                <w:color w:val="auto"/>
                <w:w w:val="91"/>
              </w:rPr>
              <w:t>Commercial</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6"/>
                <w:szCs w:val="16"/>
                <w:b w:val="1"/>
                <w:bCs w:val="1"/>
                <w:color w:val="auto"/>
              </w:rPr>
              <w:t>Officer (CCO)</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Chief</w:t>
            </w: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Andrew Quick</w:t>
            </w:r>
          </w:p>
        </w:tc>
        <w:tc>
          <w:tcPr>
            <w:tcW w:w="146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8"/>
              </w:rPr>
              <w:t>Open ended contract</w:t>
            </w:r>
          </w:p>
        </w:tc>
        <w:tc>
          <w:tcPr>
            <w:tcW w:w="160" w:type="dxa"/>
            <w:vAlign w:val="bottom"/>
            <w:shd w:val="clear" w:color="auto" w:fill="CFF0FC"/>
          </w:tcPr>
          <w:p>
            <w:pPr>
              <w:spacing w:after="0"/>
              <w:rPr>
                <w:sz w:val="16"/>
                <w:szCs w:val="16"/>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3"/>
              </w:rPr>
              <w:t>Involuntary termination without Cause or resignation with Good Reason:</w:t>
            </w:r>
          </w:p>
        </w:tc>
        <w:tc>
          <w:tcPr>
            <w:tcW w:w="1480" w:type="dxa"/>
            <w:vAlign w:val="bottom"/>
            <w:shd w:val="clear" w:color="auto" w:fill="CFF0FC"/>
          </w:tcPr>
          <w:p>
            <w:pPr>
              <w:ind w:left="40"/>
              <w:spacing w:after="0"/>
              <w:rPr>
                <w:sz w:val="20"/>
                <w:szCs w:val="20"/>
                <w:color w:val="auto"/>
              </w:rPr>
            </w:pPr>
            <w:r>
              <w:rPr>
                <w:rFonts w:ascii="Arial" w:cs="Arial" w:eastAsia="Arial" w:hAnsi="Arial"/>
                <w:sz w:val="16"/>
                <w:szCs w:val="16"/>
                <w:color w:val="auto"/>
                <w:w w:val="91"/>
              </w:rPr>
              <w:t>3-month notice period</w:t>
            </w: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FF0FC"/>
          </w:tcPr>
          <w:p>
            <w:pPr>
              <w:ind w:left="220"/>
              <w:spacing w:after="0"/>
              <w:rPr>
                <w:sz w:val="20"/>
                <w:szCs w:val="20"/>
                <w:color w:val="auto"/>
              </w:rPr>
            </w:pPr>
            <w:r>
              <w:rPr>
                <w:rFonts w:ascii="Arial" w:cs="Arial" w:eastAsia="Arial" w:hAnsi="Arial"/>
                <w:sz w:val="16"/>
                <w:szCs w:val="16"/>
                <w:b w:val="1"/>
                <w:bCs w:val="1"/>
                <w:color w:val="auto"/>
                <w:w w:val="93"/>
              </w:rPr>
              <w:t>Technology</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9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Officer (CTO)</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9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20"/>
                <w:szCs w:val="20"/>
                <w:color w:val="auto"/>
              </w:rPr>
            </w:pPr>
            <w:r>
              <w:rPr>
                <w:rFonts w:ascii="Arial" w:cs="Arial" w:eastAsia="Arial" w:hAnsi="Arial"/>
                <w:sz w:val="16"/>
                <w:szCs w:val="16"/>
                <w:b w:val="1"/>
                <w:bCs w:val="1"/>
                <w:color w:val="auto"/>
              </w:rPr>
              <w:t>General</w:t>
            </w: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w w:val="95"/>
              </w:rPr>
              <w:t>Donna Shiroma</w:t>
            </w:r>
          </w:p>
        </w:tc>
        <w:tc>
          <w:tcPr>
            <w:tcW w:w="1460" w:type="dxa"/>
            <w:vAlign w:val="bottom"/>
          </w:tcPr>
          <w:p>
            <w:pPr>
              <w:ind w:left="120"/>
              <w:spacing w:after="0"/>
              <w:rPr>
                <w:sz w:val="20"/>
                <w:szCs w:val="20"/>
                <w:color w:val="auto"/>
              </w:rPr>
            </w:pPr>
            <w:r>
              <w:rPr>
                <w:rFonts w:ascii="Arial" w:cs="Arial" w:eastAsia="Arial" w:hAnsi="Arial"/>
                <w:sz w:val="16"/>
                <w:szCs w:val="16"/>
                <w:color w:val="auto"/>
                <w:w w:val="88"/>
              </w:rPr>
              <w:t>Open ended contract</w:t>
            </w:r>
          </w:p>
        </w:tc>
        <w:tc>
          <w:tcPr>
            <w:tcW w:w="160" w:type="dxa"/>
            <w:vAlign w:val="bottom"/>
          </w:tcPr>
          <w:p>
            <w:pPr>
              <w:spacing w:after="0"/>
              <w:rPr>
                <w:sz w:val="16"/>
                <w:szCs w:val="16"/>
                <w:color w:val="auto"/>
              </w:rPr>
            </w:pPr>
          </w:p>
        </w:tc>
        <w:tc>
          <w:tcPr>
            <w:tcW w:w="4900" w:type="dxa"/>
            <w:vAlign w:val="bottom"/>
          </w:tcPr>
          <w:p>
            <w:pPr>
              <w:ind w:left="120"/>
              <w:spacing w:after="0"/>
              <w:rPr>
                <w:sz w:val="20"/>
                <w:szCs w:val="20"/>
                <w:color w:val="auto"/>
              </w:rPr>
            </w:pPr>
            <w:r>
              <w:rPr>
                <w:rFonts w:ascii="Arial" w:cs="Arial" w:eastAsia="Arial" w:hAnsi="Arial"/>
                <w:sz w:val="16"/>
                <w:szCs w:val="16"/>
                <w:color w:val="auto"/>
                <w:w w:val="93"/>
              </w:rPr>
              <w:t>Involuntary termination without Cause or resignation with Good Reason:</w:t>
            </w:r>
          </w:p>
        </w:tc>
        <w:tc>
          <w:tcPr>
            <w:tcW w:w="1480" w:type="dxa"/>
            <w:vAlign w:val="bottom"/>
          </w:tcPr>
          <w:p>
            <w:pPr>
              <w:ind w:left="40"/>
              <w:spacing w:after="0"/>
              <w:rPr>
                <w:sz w:val="20"/>
                <w:szCs w:val="20"/>
                <w:color w:val="auto"/>
              </w:rPr>
            </w:pPr>
            <w:r>
              <w:rPr>
                <w:rFonts w:ascii="Arial" w:cs="Arial" w:eastAsia="Arial" w:hAnsi="Arial"/>
                <w:sz w:val="16"/>
                <w:szCs w:val="16"/>
                <w:color w:val="auto"/>
                <w:w w:val="91"/>
              </w:rPr>
              <w:t>3-month notice period</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 months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20"/>
              <w:spacing w:after="0"/>
              <w:rPr>
                <w:sz w:val="20"/>
                <w:szCs w:val="20"/>
                <w:color w:val="auto"/>
              </w:rPr>
            </w:pPr>
            <w:r>
              <w:rPr>
                <w:rFonts w:ascii="Arial" w:cs="Arial" w:eastAsia="Arial" w:hAnsi="Arial"/>
                <w:sz w:val="16"/>
                <w:szCs w:val="16"/>
                <w:b w:val="1"/>
                <w:bCs w:val="1"/>
                <w:color w:val="auto"/>
              </w:rPr>
              <w:t>Counsel</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6"/>
                <w:szCs w:val="16"/>
                <w:b w:val="1"/>
                <w:bCs w:val="1"/>
                <w:color w:val="auto"/>
              </w:rPr>
              <w:t>(GC)</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540" w:right="20" w:hanging="5168"/>
        <w:spacing w:after="0" w:line="700" w:lineRule="auto"/>
        <w:tabs>
          <w:tab w:leader="none" w:pos="8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payments only in the event of employment termination for involuntary termination without cause or termination for “good reason.”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880" w:hanging="508"/>
        <w:spacing w:after="0" w:line="287"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“Cause” - For the Former CFO, Former COO, CCO, CTO and GC, Cause is defined as: conviction of, or a plea of guilty or nolo contendere to, a felony or crime involving moral turpitude; participation in an act of fraud or theft; willful and material breach of any contractual, statutory, fiduciary or common law duty owed to the Company; intentional and repeated failure of Executive to perform Executive's job duties after receiving notice of the stated deficiencies and Executive willfully falling to address the deficiencies and deliberately continuing to not perform stated job duties; or any willful, deliberate, premeditated act by Executive that materially and demonstrably injures the reputation, business or a business relationship of the Company. For the CEO, "Cause" shall mean the occurrence of any of the following events: (i) Executive's unauthorized misuse of the Company's trade secrets or proprietary information, (ii) Executive's conviction or plea of nolo contendere to a felony or a crime involving moral turpitude, (iii) Executive's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w:t>
      </w:r>
    </w:p>
    <w:p>
      <w:pPr>
        <w:spacing w:after="0" w:line="104" w:lineRule="exact"/>
        <w:rPr>
          <w:rFonts w:ascii="Arial" w:cs="Arial" w:eastAsia="Arial" w:hAnsi="Arial"/>
          <w:sz w:val="16"/>
          <w:szCs w:val="16"/>
          <w:color w:val="auto"/>
        </w:rPr>
      </w:pPr>
    </w:p>
    <w:p>
      <w:pPr>
        <w:ind w:left="880" w:right="20" w:hanging="508"/>
        <w:spacing w:after="0" w:line="269"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“Good Reason” - For the Former CFO, Former COO, CCO, CTO and GC, Good Reason is defined as (i) a material diminution in executive’s authority, duties or responsibilities in effect at the time of this agreement; (ii) any reduction in the executive’s then-current base salary, (iii) relocation of executive’s principal place of work by a distance of fifty miles or more from the executive’s then current principal place of work without the executive’s consent; (iv) material breach by the company of any provision of the executive’s employment agreement or (v) the occurrence of a change in control provided (i) through (iv) if such conduct is not cured within thirty days of receipt of written notice by the executive. For the CEO, Good Reason is defined as (i) 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by the Company of any material provision of this Agreement, or (iv) a material diminution in the nature or scope of Executive's authority or responsibilities from those applicable to Executive as of the Effective Date (date of hire).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Principles</w:t>
      </w:r>
    </w:p>
    <w:p>
      <w:pPr>
        <w:spacing w:after="0" w:line="229"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The Compensation Committee has a formal Compensation Governance Framework which, at the core, consists of a Compensation Committee Charter (the “Charter”). The Charter outlines responsibilities and duties of the members, sets forth the frequency of meetings, establishes and reviews the overall compensation policies and practices of the Company and also sets forth the process to review and approve the executive compensation program for the Chief Executive Officer and other executive officers, and make appropriate recommendations to the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320" w:firstLine="749"/>
        <w:spacing w:after="0" w:line="257" w:lineRule="auto"/>
        <w:rPr>
          <w:sz w:val="20"/>
          <w:szCs w:val="20"/>
          <w:color w:val="auto"/>
        </w:rPr>
      </w:pPr>
      <w:r>
        <w:rPr>
          <w:rFonts w:ascii="Arial" w:cs="Arial" w:eastAsia="Arial" w:hAnsi="Arial"/>
          <w:sz w:val="18"/>
          <w:szCs w:val="18"/>
          <w:color w:val="auto"/>
        </w:rPr>
        <w:t>The Compensation Committee approves or makes recommendations to our Board of Directors on decisions concerning compensation of the executive management team and Board of Directors on a periodic basis to ensure that it is consistent with our short-term and long-term goals. The Compensation Committee assess the appropriateness of the nature and amount of compensation of our executives by reference to relevant employment market conditions with the overall objective of ensuring maximum stakeholder benefit from the recruitment and retention of a high-quality board and executive team.</w:t>
      </w:r>
    </w:p>
    <w:p>
      <w:pPr>
        <w:spacing w:after="0" w:line="188"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Additionally, the Compensation Committee is responsible for evaluating the performance of the Company’s key senior executives. The Company’s Chief Executive Officer and other members of management regularly discuss the Company’s compensation issues with Compensation Committee members. The Compensation Committee reviews and recommends to the Board of Directors the overall bonus and equity incentive awards for employees of the Company Additionally, the Company’s Chief Executive Officer makes recommendations to the Compensation Committee for review, modification (if applicable) and approval in relation to bonuses and equity incentive awards for members of the executive management team.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Retirement, Termination for Cause, or Resignation without Good Reason Arrangements</w:t>
      </w:r>
    </w:p>
    <w:p>
      <w:pPr>
        <w:spacing w:after="0" w:line="121"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Company does not have any agreements or plans other than the current employment contracts in place for the named executive officers that would provide additional compensation in connection with a retirement.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Involuntary Termination, Resignation without Good Reason or Change-In-Control</w:t>
      </w:r>
    </w:p>
    <w:p>
      <w:pPr>
        <w:spacing w:after="0" w:line="229"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The employment contract provides for the following severance payments upon termination by us without cause or by the employee for good reason (as defined in the particular employment agreement): (i) payment of the employee’s then-current base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salary for a period of nine months or twelve months (in the case of the CEO), following termination; (ii) a pro-rated target bonus for the period during which the employee was employed in the year of termination; and (iii) continued coverage under our group health and benefits plan consistent with the term of the base salary; and (iv) immediate acceleration of unvested stock options. Further, in the case of the Chief Executive Officer, if his employment terminates as a result of disability or death, he or his representative will be entitled to receive: (i) a lump sum payment equal to 12 months of the employee’s then-current base salary, (ii) unpaid annual bonus, and (iii) any unpaid vacation. Payment in each case is subject to the employee’s, or representative’s execution of a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following table presents information regarding outstanding equity awards held by our named executive officers as of December 31, 2022 (in US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3"/>
          </w:tcPr>
          <w:p>
            <w:pPr>
              <w:jc w:val="right"/>
              <w:ind w:right="828"/>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Pr>
          <w:p>
            <w:pPr>
              <w:spacing w:after="0"/>
              <w:rPr>
                <w:sz w:val="16"/>
                <w:szCs w:val="16"/>
                <w:color w:val="auto"/>
              </w:rPr>
            </w:pPr>
          </w:p>
        </w:tc>
        <w:tc>
          <w:tcPr>
            <w:tcW w:w="3380" w:type="dxa"/>
            <w:vAlign w:val="bottom"/>
            <w:gridSpan w:val="4"/>
          </w:tcPr>
          <w:p>
            <w:pPr>
              <w:ind w:left="12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80"/>
        </w:trPr>
        <w:tc>
          <w:tcPr>
            <w:tcW w:w="2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48"/>
              <w:spacing w:after="0" w:line="133" w:lineRule="exact"/>
              <w:rPr>
                <w:sz w:val="20"/>
                <w:szCs w:val="20"/>
                <w:color w:val="auto"/>
              </w:rPr>
            </w:pPr>
            <w:r>
              <w:rPr>
                <w:rFonts w:ascii="Arial" w:cs="Arial" w:eastAsia="Arial" w:hAnsi="Arial"/>
                <w:sz w:val="14"/>
                <w:szCs w:val="14"/>
                <w:b w:val="1"/>
                <w:bCs w:val="1"/>
                <w:color w:val="auto"/>
              </w:rPr>
              <w:t>Market 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1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w:t>
            </w:r>
          </w:p>
        </w:tc>
        <w:tc>
          <w:tcPr>
            <w:tcW w:w="26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securities</w:t>
            </w:r>
          </w:p>
        </w:tc>
        <w:tc>
          <w:tcPr>
            <w:tcW w:w="240" w:type="dxa"/>
            <w:vAlign w:val="bottom"/>
          </w:tcPr>
          <w:p>
            <w:pPr>
              <w:spacing w:after="0"/>
              <w:rPr>
                <w:sz w:val="12"/>
                <w:szCs w:val="12"/>
                <w:color w:val="auto"/>
              </w:rPr>
            </w:pPr>
          </w:p>
        </w:tc>
        <w:tc>
          <w:tcPr>
            <w:tcW w:w="11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88"/>
              </w:rPr>
              <w:t>securities</w:t>
            </w:r>
          </w:p>
        </w:tc>
        <w:tc>
          <w:tcPr>
            <w:tcW w:w="220" w:type="dxa"/>
            <w:vAlign w:val="bottom"/>
          </w:tcPr>
          <w:p>
            <w:pPr>
              <w:spacing w:after="0"/>
              <w:rPr>
                <w:sz w:val="12"/>
                <w:szCs w:val="12"/>
                <w:color w:val="auto"/>
              </w:rPr>
            </w:pPr>
          </w:p>
        </w:tc>
        <w:tc>
          <w:tcPr>
            <w:tcW w:w="1140" w:type="dxa"/>
            <w:vAlign w:val="bottom"/>
            <w:vMerge w:val="restart"/>
          </w:tcPr>
          <w:p>
            <w:pPr>
              <w:jc w:val="center"/>
              <w:ind w:right="348"/>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units</w:t>
            </w:r>
          </w:p>
        </w:tc>
        <w:tc>
          <w:tcPr>
            <w:tcW w:w="26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underlying</w:t>
            </w:r>
          </w:p>
        </w:tc>
        <w:tc>
          <w:tcPr>
            <w:tcW w:w="240" w:type="dxa"/>
            <w:vAlign w:val="bottom"/>
          </w:tcPr>
          <w:p>
            <w:pPr>
              <w:spacing w:after="0"/>
              <w:rPr>
                <w:sz w:val="12"/>
                <w:szCs w:val="12"/>
                <w:color w:val="auto"/>
              </w:rPr>
            </w:pPr>
          </w:p>
        </w:tc>
        <w:tc>
          <w:tcPr>
            <w:tcW w:w="11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or other rights</w:t>
            </w:r>
          </w:p>
        </w:tc>
        <w:tc>
          <w:tcPr>
            <w:tcW w:w="26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or other rights</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unexercised</w:t>
            </w:r>
          </w:p>
        </w:tc>
        <w:tc>
          <w:tcPr>
            <w:tcW w:w="24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14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85"/>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expiration</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have not</w:t>
            </w:r>
          </w:p>
        </w:tc>
        <w:tc>
          <w:tcPr>
            <w:tcW w:w="26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9"/>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options (#)</w:t>
            </w:r>
          </w:p>
        </w:tc>
        <w:tc>
          <w:tcPr>
            <w:tcW w:w="240" w:type="dxa"/>
            <w:vAlign w:val="bottom"/>
          </w:tcPr>
          <w:p>
            <w:pPr>
              <w:spacing w:after="0"/>
              <w:rPr>
                <w:sz w:val="12"/>
                <w:szCs w:val="12"/>
                <w:color w:val="auto"/>
              </w:rPr>
            </w:pPr>
          </w:p>
        </w:tc>
        <w:tc>
          <w:tcPr>
            <w:tcW w:w="11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unearned</w:t>
            </w:r>
          </w:p>
        </w:tc>
        <w:tc>
          <w:tcPr>
            <w:tcW w:w="220" w:type="dxa"/>
            <w:vAlign w:val="bottom"/>
          </w:tcPr>
          <w:p>
            <w:pPr>
              <w:spacing w:after="0"/>
              <w:rPr>
                <w:sz w:val="12"/>
                <w:szCs w:val="12"/>
                <w:color w:val="auto"/>
              </w:rPr>
            </w:pPr>
          </w:p>
        </w:tc>
        <w:tc>
          <w:tcPr>
            <w:tcW w:w="114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5"/>
              </w:rPr>
              <w:t>price ($)</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date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26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vested ($)</w:t>
            </w: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86"/>
              </w:rPr>
              <w:t>exercisable</w:t>
            </w:r>
          </w:p>
        </w:tc>
        <w:tc>
          <w:tcPr>
            <w:tcW w:w="240" w:type="dxa"/>
            <w:vAlign w:val="bottom"/>
          </w:tcPr>
          <w:p>
            <w:pPr>
              <w:spacing w:after="0"/>
              <w:rPr>
                <w:sz w:val="14"/>
                <w:szCs w:val="14"/>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options (#)</w:t>
            </w:r>
          </w:p>
        </w:tc>
        <w:tc>
          <w:tcPr>
            <w:tcW w:w="220" w:type="dxa"/>
            <w:vAlign w:val="bottom"/>
          </w:tcPr>
          <w:p>
            <w:pPr>
              <w:spacing w:after="0"/>
              <w:rPr>
                <w:sz w:val="14"/>
                <w:szCs w:val="14"/>
                <w:color w:val="auto"/>
              </w:rPr>
            </w:pPr>
          </w:p>
        </w:tc>
        <w:tc>
          <w:tcPr>
            <w:tcW w:w="1140" w:type="dxa"/>
            <w:vAlign w:val="bottom"/>
          </w:tcPr>
          <w:p>
            <w:pPr>
              <w:jc w:val="center"/>
              <w:ind w:right="348"/>
              <w:spacing w:after="0"/>
              <w:rPr>
                <w:sz w:val="20"/>
                <w:szCs w:val="20"/>
                <w:color w:val="auto"/>
              </w:rPr>
            </w:pPr>
            <w:r>
              <w:rPr>
                <w:rFonts w:ascii="Arial" w:cs="Arial" w:eastAsia="Arial" w:hAnsi="Arial"/>
                <w:sz w:val="14"/>
                <w:szCs w:val="14"/>
                <w:b w:val="1"/>
                <w:bCs w:val="1"/>
                <w:color w:val="auto"/>
                <w:w w:val="93"/>
              </w:rPr>
              <w:t>(2)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James Corbett, Chief Executive Officer</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4,192</w:t>
            </w:r>
          </w:p>
        </w:tc>
        <w:tc>
          <w:tcPr>
            <w:tcW w:w="1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3,283</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12.18</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12/12/2031</w:t>
            </w: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5,783</w:t>
            </w:r>
          </w:p>
        </w:tc>
        <w:tc>
          <w:tcPr>
            <w:tcW w:w="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226,296</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5.64</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9/28/2032</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Michael Holder, Chief Financial Officer</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9,375</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28,125</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22.25</w:t>
            </w:r>
          </w:p>
        </w:tc>
        <w:tc>
          <w:tcPr>
            <w:tcW w:w="1140" w:type="dxa"/>
            <w:vAlign w:val="bottom"/>
          </w:tcPr>
          <w:p>
            <w:pPr>
              <w:jc w:val="right"/>
              <w:spacing w:after="0"/>
              <w:rPr>
                <w:sz w:val="20"/>
                <w:szCs w:val="20"/>
                <w:color w:val="auto"/>
              </w:rPr>
            </w:pPr>
            <w:r>
              <w:rPr>
                <w:rFonts w:ascii="Arial" w:cs="Arial" w:eastAsia="Arial" w:hAnsi="Arial"/>
                <w:sz w:val="14"/>
                <w:szCs w:val="14"/>
                <w:color w:val="auto"/>
              </w:rPr>
              <w:t>3/22/2031</w:t>
            </w:r>
          </w:p>
        </w:tc>
        <w:tc>
          <w:tcPr>
            <w:tcW w:w="1680" w:type="dxa"/>
            <w:vAlign w:val="bottom"/>
          </w:tcPr>
          <w:p>
            <w:pPr>
              <w:jc w:val="right"/>
              <w:spacing w:after="0"/>
              <w:rPr>
                <w:sz w:val="20"/>
                <w:szCs w:val="20"/>
                <w:color w:val="auto"/>
              </w:rPr>
            </w:pPr>
            <w:r>
              <w:rPr>
                <w:rFonts w:ascii="Arial" w:cs="Arial" w:eastAsia="Arial" w:hAnsi="Arial"/>
                <w:sz w:val="14"/>
                <w:szCs w:val="14"/>
                <w:color w:val="auto"/>
              </w:rPr>
              <w:t>43,825</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289,245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22,500</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90,000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19.91</w:t>
            </w:r>
          </w:p>
        </w:tc>
        <w:tc>
          <w:tcPr>
            <w:tcW w:w="1140" w:type="dxa"/>
            <w:vAlign w:val="bottom"/>
          </w:tcPr>
          <w:p>
            <w:pPr>
              <w:jc w:val="right"/>
              <w:spacing w:after="0"/>
              <w:rPr>
                <w:sz w:val="20"/>
                <w:szCs w:val="20"/>
                <w:color w:val="auto"/>
              </w:rPr>
            </w:pPr>
            <w:r>
              <w:rPr>
                <w:rFonts w:ascii="Arial" w:cs="Arial" w:eastAsia="Arial" w:hAnsi="Arial"/>
                <w:sz w:val="14"/>
                <w:szCs w:val="14"/>
                <w:color w:val="auto"/>
              </w:rPr>
              <w:t>5/11/2031</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1,731</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5,194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20.21</w:t>
            </w:r>
          </w:p>
        </w:tc>
        <w:tc>
          <w:tcPr>
            <w:tcW w:w="1140" w:type="dxa"/>
            <w:vAlign w:val="bottom"/>
          </w:tcPr>
          <w:p>
            <w:pPr>
              <w:jc w:val="right"/>
              <w:spacing w:after="0"/>
              <w:rPr>
                <w:sz w:val="20"/>
                <w:szCs w:val="20"/>
                <w:color w:val="auto"/>
              </w:rPr>
            </w:pPr>
            <w:r>
              <w:rPr>
                <w:rFonts w:ascii="Arial" w:cs="Arial" w:eastAsia="Arial" w:hAnsi="Arial"/>
                <w:sz w:val="14"/>
                <w:szCs w:val="14"/>
                <w:color w:val="auto"/>
              </w:rPr>
              <w:t>7/6/2031</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20,650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4.97</w:t>
            </w:r>
          </w:p>
        </w:tc>
        <w:tc>
          <w:tcPr>
            <w:tcW w:w="1140" w:type="dxa"/>
            <w:vAlign w:val="bottom"/>
          </w:tcPr>
          <w:p>
            <w:pPr>
              <w:jc w:val="right"/>
              <w:spacing w:after="0"/>
              <w:rPr>
                <w:sz w:val="20"/>
                <w:szCs w:val="20"/>
                <w:color w:val="auto"/>
              </w:rPr>
            </w:pPr>
            <w:r>
              <w:rPr>
                <w:rFonts w:ascii="Arial" w:cs="Arial" w:eastAsia="Arial" w:hAnsi="Arial"/>
                <w:sz w:val="14"/>
                <w:szCs w:val="14"/>
                <w:color w:val="auto"/>
              </w:rPr>
              <w:t>7/1/2032</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Kathy McGee, Chief Operating Officer</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65,250</w:t>
            </w:r>
          </w:p>
        </w:tc>
        <w:tc>
          <w:tcPr>
            <w:tcW w:w="1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62,750</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21.88</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3/4/2031</w:t>
            </w: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43,825</w:t>
            </w:r>
          </w:p>
        </w:tc>
        <w:tc>
          <w:tcPr>
            <w:tcW w:w="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289,245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1,731</w:t>
            </w:r>
          </w:p>
        </w:tc>
        <w:tc>
          <w:tcPr>
            <w:tcW w:w="1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5,194</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20.21</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7/6/2031</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20,650</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4.97</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7/1/2032</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Erin Liberto, Chief Commercial Officer</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40,000</w:t>
            </w:r>
          </w:p>
        </w:tc>
        <w:tc>
          <w:tcPr>
            <w:tcW w:w="24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5.03</w:t>
            </w:r>
          </w:p>
        </w:tc>
        <w:tc>
          <w:tcPr>
            <w:tcW w:w="1140" w:type="dxa"/>
            <w:vAlign w:val="bottom"/>
          </w:tcPr>
          <w:p>
            <w:pPr>
              <w:jc w:val="right"/>
              <w:spacing w:after="0"/>
              <w:rPr>
                <w:sz w:val="20"/>
                <w:szCs w:val="20"/>
                <w:color w:val="auto"/>
              </w:rPr>
            </w:pPr>
            <w:r>
              <w:rPr>
                <w:rFonts w:ascii="Arial" w:cs="Arial" w:eastAsia="Arial" w:hAnsi="Arial"/>
                <w:sz w:val="14"/>
                <w:szCs w:val="14"/>
                <w:color w:val="auto"/>
              </w:rPr>
              <w:t>9/6/2027</w:t>
            </w:r>
          </w:p>
        </w:tc>
        <w:tc>
          <w:tcPr>
            <w:tcW w:w="1680" w:type="dxa"/>
            <w:vAlign w:val="bottom"/>
          </w:tcPr>
          <w:p>
            <w:pPr>
              <w:jc w:val="right"/>
              <w:spacing w:after="0"/>
              <w:rPr>
                <w:sz w:val="20"/>
                <w:szCs w:val="20"/>
                <w:color w:val="auto"/>
              </w:rPr>
            </w:pPr>
            <w:r>
              <w:rPr>
                <w:rFonts w:ascii="Arial" w:cs="Arial" w:eastAsia="Arial" w:hAnsi="Arial"/>
                <w:sz w:val="14"/>
                <w:szCs w:val="14"/>
                <w:color w:val="auto"/>
              </w:rPr>
              <w:t>43,825</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289,245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21,100</w:t>
            </w:r>
          </w:p>
        </w:tc>
        <w:tc>
          <w:tcPr>
            <w:tcW w:w="240" w:type="dxa"/>
            <w:vAlign w:val="bottom"/>
          </w:tcPr>
          <w:p>
            <w:pPr>
              <w:spacing w:after="0"/>
              <w:rPr>
                <w:sz w:val="20"/>
                <w:szCs w:val="20"/>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6.38</w:t>
            </w:r>
          </w:p>
        </w:tc>
        <w:tc>
          <w:tcPr>
            <w:tcW w:w="1140" w:type="dxa"/>
            <w:vAlign w:val="bottom"/>
          </w:tcPr>
          <w:p>
            <w:pPr>
              <w:jc w:val="right"/>
              <w:spacing w:after="0"/>
              <w:rPr>
                <w:sz w:val="20"/>
                <w:szCs w:val="20"/>
                <w:color w:val="auto"/>
              </w:rPr>
            </w:pPr>
            <w:r>
              <w:rPr>
                <w:rFonts w:ascii="Arial" w:cs="Arial" w:eastAsia="Arial" w:hAnsi="Arial"/>
                <w:sz w:val="14"/>
                <w:szCs w:val="14"/>
                <w:color w:val="auto"/>
              </w:rPr>
              <w:t>11/1/2028</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59,700</w:t>
            </w:r>
          </w:p>
        </w:tc>
        <w:tc>
          <w:tcPr>
            <w:tcW w:w="24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5.99</w:t>
            </w:r>
          </w:p>
        </w:tc>
        <w:tc>
          <w:tcPr>
            <w:tcW w:w="1140" w:type="dxa"/>
            <w:vAlign w:val="bottom"/>
          </w:tcPr>
          <w:p>
            <w:pPr>
              <w:jc w:val="right"/>
              <w:spacing w:after="0"/>
              <w:rPr>
                <w:sz w:val="20"/>
                <w:szCs w:val="20"/>
                <w:color w:val="auto"/>
              </w:rPr>
            </w:pPr>
            <w:r>
              <w:rPr>
                <w:rFonts w:ascii="Arial" w:cs="Arial" w:eastAsia="Arial" w:hAnsi="Arial"/>
                <w:sz w:val="14"/>
                <w:szCs w:val="14"/>
                <w:color w:val="auto"/>
              </w:rPr>
              <w:t>11/30/2028</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1,731</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5,194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20.21</w:t>
            </w:r>
          </w:p>
        </w:tc>
        <w:tc>
          <w:tcPr>
            <w:tcW w:w="1140" w:type="dxa"/>
            <w:vAlign w:val="bottom"/>
          </w:tcPr>
          <w:p>
            <w:pPr>
              <w:jc w:val="right"/>
              <w:spacing w:after="0"/>
              <w:rPr>
                <w:sz w:val="20"/>
                <w:szCs w:val="20"/>
                <w:color w:val="auto"/>
              </w:rPr>
            </w:pPr>
            <w:r>
              <w:rPr>
                <w:rFonts w:ascii="Arial" w:cs="Arial" w:eastAsia="Arial" w:hAnsi="Arial"/>
                <w:sz w:val="14"/>
                <w:szCs w:val="14"/>
                <w:color w:val="auto"/>
              </w:rPr>
              <w:t>7/6/2031</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20,650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4.97</w:t>
            </w:r>
          </w:p>
        </w:tc>
        <w:tc>
          <w:tcPr>
            <w:tcW w:w="1140" w:type="dxa"/>
            <w:vAlign w:val="bottom"/>
          </w:tcPr>
          <w:p>
            <w:pPr>
              <w:jc w:val="right"/>
              <w:spacing w:after="0"/>
              <w:rPr>
                <w:sz w:val="20"/>
                <w:szCs w:val="20"/>
                <w:color w:val="auto"/>
              </w:rPr>
            </w:pPr>
            <w:r>
              <w:rPr>
                <w:rFonts w:ascii="Arial" w:cs="Arial" w:eastAsia="Arial" w:hAnsi="Arial"/>
                <w:sz w:val="14"/>
                <w:szCs w:val="14"/>
                <w:color w:val="auto"/>
              </w:rPr>
              <w:t>7/1/2032</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Andrew Quick, Chief Technology Officer</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45,187</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6.32</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5/18/2027</w:t>
            </w: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43,825</w:t>
            </w:r>
          </w:p>
        </w:tc>
        <w:tc>
          <w:tcPr>
            <w:tcW w:w="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289,245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6.38</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11/1/2028</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30,212</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5.99</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11/30/2028</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30,300</w:t>
            </w:r>
          </w:p>
        </w:tc>
        <w:tc>
          <w:tcPr>
            <w:tcW w:w="1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10,100</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21.35</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4/1/2029</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1,731</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5,194</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20.21</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7/6/2031</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20,650</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4.97</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7/1/2032</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20"/>
                <w:szCs w:val="20"/>
                <w:color w:val="auto"/>
              </w:rPr>
            </w:pPr>
            <w:r>
              <w:rPr>
                <w:rFonts w:ascii="Arial" w:cs="Arial" w:eastAsia="Arial" w:hAnsi="Arial"/>
                <w:sz w:val="14"/>
                <w:szCs w:val="14"/>
                <w:color w:val="auto"/>
              </w:rPr>
              <w:t>Donna Shiroma, General Counsel</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17,000</w:t>
            </w:r>
          </w:p>
        </w:tc>
        <w:tc>
          <w:tcPr>
            <w:tcW w:w="24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4.38</w:t>
            </w:r>
          </w:p>
        </w:tc>
        <w:tc>
          <w:tcPr>
            <w:tcW w:w="1140" w:type="dxa"/>
            <w:vAlign w:val="bottom"/>
          </w:tcPr>
          <w:p>
            <w:pPr>
              <w:jc w:val="right"/>
              <w:spacing w:after="0"/>
              <w:rPr>
                <w:sz w:val="20"/>
                <w:szCs w:val="20"/>
                <w:color w:val="auto"/>
              </w:rPr>
            </w:pPr>
            <w:r>
              <w:rPr>
                <w:rFonts w:ascii="Arial" w:cs="Arial" w:eastAsia="Arial" w:hAnsi="Arial"/>
                <w:sz w:val="14"/>
                <w:szCs w:val="14"/>
                <w:color w:val="auto"/>
              </w:rPr>
              <w:t>6/25/2028</w:t>
            </w:r>
          </w:p>
        </w:tc>
        <w:tc>
          <w:tcPr>
            <w:tcW w:w="1680" w:type="dxa"/>
            <w:vAlign w:val="bottom"/>
          </w:tcPr>
          <w:p>
            <w:pPr>
              <w:jc w:val="right"/>
              <w:spacing w:after="0"/>
              <w:rPr>
                <w:sz w:val="20"/>
                <w:szCs w:val="20"/>
                <w:color w:val="auto"/>
              </w:rPr>
            </w:pPr>
            <w:r>
              <w:rPr>
                <w:rFonts w:ascii="Arial" w:cs="Arial" w:eastAsia="Arial" w:hAnsi="Arial"/>
                <w:sz w:val="14"/>
                <w:szCs w:val="14"/>
                <w:color w:val="auto"/>
              </w:rPr>
              <w:t>43,825</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289,245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26,100</w:t>
            </w:r>
          </w:p>
        </w:tc>
        <w:tc>
          <w:tcPr>
            <w:tcW w:w="240" w:type="dxa"/>
            <w:vAlign w:val="bottom"/>
          </w:tcPr>
          <w:p>
            <w:pPr>
              <w:spacing w:after="0"/>
              <w:rPr>
                <w:sz w:val="20"/>
                <w:szCs w:val="20"/>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6.38</w:t>
            </w:r>
          </w:p>
        </w:tc>
        <w:tc>
          <w:tcPr>
            <w:tcW w:w="1140" w:type="dxa"/>
            <w:vAlign w:val="bottom"/>
          </w:tcPr>
          <w:p>
            <w:pPr>
              <w:jc w:val="right"/>
              <w:spacing w:after="0"/>
              <w:rPr>
                <w:sz w:val="20"/>
                <w:szCs w:val="20"/>
                <w:color w:val="auto"/>
              </w:rPr>
            </w:pPr>
            <w:r>
              <w:rPr>
                <w:rFonts w:ascii="Arial" w:cs="Arial" w:eastAsia="Arial" w:hAnsi="Arial"/>
                <w:sz w:val="14"/>
                <w:szCs w:val="14"/>
                <w:color w:val="auto"/>
              </w:rPr>
              <w:t>11/1/2028</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64,700</w:t>
            </w:r>
          </w:p>
        </w:tc>
        <w:tc>
          <w:tcPr>
            <w:tcW w:w="24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5.99</w:t>
            </w:r>
          </w:p>
        </w:tc>
        <w:tc>
          <w:tcPr>
            <w:tcW w:w="1140" w:type="dxa"/>
            <w:vAlign w:val="bottom"/>
          </w:tcPr>
          <w:p>
            <w:pPr>
              <w:jc w:val="right"/>
              <w:spacing w:after="0"/>
              <w:rPr>
                <w:sz w:val="20"/>
                <w:szCs w:val="20"/>
                <w:color w:val="auto"/>
              </w:rPr>
            </w:pPr>
            <w:r>
              <w:rPr>
                <w:rFonts w:ascii="Arial" w:cs="Arial" w:eastAsia="Arial" w:hAnsi="Arial"/>
                <w:sz w:val="14"/>
                <w:szCs w:val="14"/>
                <w:color w:val="auto"/>
              </w:rPr>
              <w:t>11/30/2028</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1,731</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5,194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20.21</w:t>
            </w:r>
          </w:p>
        </w:tc>
        <w:tc>
          <w:tcPr>
            <w:tcW w:w="1140" w:type="dxa"/>
            <w:vAlign w:val="bottom"/>
          </w:tcPr>
          <w:p>
            <w:pPr>
              <w:jc w:val="right"/>
              <w:spacing w:after="0"/>
              <w:rPr>
                <w:sz w:val="20"/>
                <w:szCs w:val="20"/>
                <w:color w:val="auto"/>
              </w:rPr>
            </w:pPr>
            <w:r>
              <w:rPr>
                <w:rFonts w:ascii="Arial" w:cs="Arial" w:eastAsia="Arial" w:hAnsi="Arial"/>
                <w:sz w:val="14"/>
                <w:szCs w:val="14"/>
                <w:color w:val="auto"/>
              </w:rPr>
              <w:t>7/6/2031</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auto"/>
              </w:rPr>
              <w:t>20,650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4.97</w:t>
            </w:r>
          </w:p>
        </w:tc>
        <w:tc>
          <w:tcPr>
            <w:tcW w:w="1140" w:type="dxa"/>
            <w:vAlign w:val="bottom"/>
          </w:tcPr>
          <w:p>
            <w:pPr>
              <w:jc w:val="right"/>
              <w:spacing w:after="0"/>
              <w:rPr>
                <w:sz w:val="20"/>
                <w:szCs w:val="20"/>
                <w:color w:val="auto"/>
              </w:rPr>
            </w:pPr>
            <w:r>
              <w:rPr>
                <w:rFonts w:ascii="Arial" w:cs="Arial" w:eastAsia="Arial" w:hAnsi="Arial"/>
                <w:sz w:val="14"/>
                <w:szCs w:val="14"/>
                <w:color w:val="auto"/>
              </w:rPr>
              <w:t>7/1/2032</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880" w:right="20" w:hanging="508"/>
        <w:spacing w:after="0" w:line="258"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in this column are calculated by multiplying the closing market price of the Company’s stock as of December 31, 2022 by the number of shares or units of stock awards.</w:t>
      </w:r>
    </w:p>
    <w:p>
      <w:pPr>
        <w:spacing w:after="0" w:line="1" w:lineRule="exact"/>
        <w:rPr>
          <w:rFonts w:ascii="Arial" w:cs="Arial" w:eastAsia="Arial" w:hAnsi="Arial"/>
          <w:sz w:val="18"/>
          <w:szCs w:val="18"/>
          <w:color w:val="auto"/>
        </w:rPr>
      </w:pPr>
    </w:p>
    <w:p>
      <w:pPr>
        <w:ind w:left="880" w:hanging="50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range of exercise price and expiration dates as options were granted on different dates throughout their tenure.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The following table sets forth certain information regarding the compensation earned by or awarded to each non-employee Director who served on our Board during the fiscal year-ended December 31, 2022 (in US dollars). We do not provide separate compensation to our executive Directors, such as Dr. Michael Perry, who served as our Chief Executive Officer during the fiscal year-ended December 31, 2022 until September 28, 2022, except in the case of Mr. James Corbett who served as a non-executive director only until his appointment as Chief Executive Officer effective as at September 28,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ind w:left="140"/>
              <w:spacing w:after="0"/>
              <w:rPr>
                <w:sz w:val="20"/>
                <w:szCs w:val="20"/>
                <w:color w:val="auto"/>
              </w:rPr>
            </w:pPr>
            <w:r>
              <w:rPr>
                <w:rFonts w:ascii="Arial" w:cs="Arial" w:eastAsia="Arial" w:hAnsi="Arial"/>
                <w:sz w:val="14"/>
                <w:szCs w:val="14"/>
                <w:b w:val="1"/>
                <w:bCs w:val="1"/>
                <w:color w:val="auto"/>
              </w:rPr>
              <w:t>Fees earned in cash</w:t>
            </w:r>
          </w:p>
        </w:tc>
        <w:tc>
          <w:tcPr>
            <w:tcW w:w="160" w:type="dxa"/>
            <w:vAlign w:val="bottom"/>
          </w:tcPr>
          <w:p>
            <w:pPr>
              <w:spacing w:after="0"/>
              <w:rPr>
                <w:sz w:val="14"/>
                <w:szCs w:val="14"/>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w w:val="99"/>
              </w:rPr>
              <w:t>Stock awards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Pr>
          <w:p>
            <w:pPr>
              <w:spacing w:after="0"/>
              <w:rPr>
                <w:sz w:val="14"/>
                <w:szCs w:val="14"/>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171"/>
        </w:trPr>
        <w:tc>
          <w:tcPr>
            <w:tcW w:w="4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 (1)</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(2)</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(3)</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4"/>
                <w:szCs w:val="14"/>
                <w:color w:val="auto"/>
              </w:rPr>
            </w:pPr>
          </w:p>
        </w:tc>
      </w:tr>
      <w:tr>
        <w:trPr>
          <w:trHeight w:val="156"/>
        </w:trPr>
        <w:tc>
          <w:tcPr>
            <w:tcW w:w="42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Non-Executive Directors</w:t>
            </w:r>
          </w:p>
        </w:tc>
        <w:tc>
          <w:tcPr>
            <w:tcW w:w="20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L Panaccio - Chairman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126,250</w:t>
            </w:r>
          </w:p>
        </w:tc>
        <w:tc>
          <w:tcPr>
            <w:tcW w:w="2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87,494</w:t>
            </w:r>
          </w:p>
        </w:tc>
        <w:tc>
          <w:tcPr>
            <w:tcW w:w="4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31,248</w:t>
            </w:r>
          </w:p>
        </w:tc>
        <w:tc>
          <w:tcPr>
            <w:tcW w:w="26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244,992</w:t>
            </w:r>
          </w:p>
        </w:tc>
        <w:tc>
          <w:tcPr>
            <w:tcW w:w="100" w:type="dxa"/>
            <w:vAlign w:val="bottom"/>
          </w:tcPr>
          <w:p>
            <w:pPr>
              <w:spacing w:after="0"/>
              <w:rPr>
                <w:sz w:val="14"/>
                <w:szCs w:val="14"/>
                <w:color w:val="auto"/>
              </w:rPr>
            </w:pPr>
          </w:p>
        </w:tc>
      </w:tr>
      <w:tr>
        <w:trPr>
          <w:trHeight w:val="162"/>
        </w:trPr>
        <w:tc>
          <w:tcPr>
            <w:tcW w:w="4200" w:type="dxa"/>
            <w:vAlign w:val="bottom"/>
            <w:shd w:val="clear" w:color="auto" w:fill="CFF0FC"/>
          </w:tcPr>
          <w:p>
            <w:pPr>
              <w:spacing w:after="0"/>
              <w:rPr>
                <w:sz w:val="20"/>
                <w:szCs w:val="20"/>
                <w:color w:val="auto"/>
              </w:rPr>
            </w:pPr>
            <w:r>
              <w:rPr>
                <w:rFonts w:ascii="Arial" w:cs="Arial" w:eastAsia="Arial" w:hAnsi="Arial"/>
                <w:sz w:val="14"/>
                <w:szCs w:val="14"/>
                <w:color w:val="auto"/>
              </w:rPr>
              <w:t>J Curnock Cook</w:t>
            </w:r>
          </w:p>
        </w:tc>
        <w:tc>
          <w:tcPr>
            <w:tcW w:w="200" w:type="dxa"/>
            <w:vAlign w:val="bottom"/>
            <w:shd w:val="clear" w:color="auto" w:fill="CFF0FC"/>
          </w:tcPr>
          <w:p>
            <w:pPr>
              <w:spacing w:after="0"/>
              <w:rPr>
                <w:sz w:val="14"/>
                <w:szCs w:val="14"/>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90,833</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87,494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31,248</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209,575</w:t>
            </w:r>
          </w:p>
        </w:tc>
        <w:tc>
          <w:tcPr>
            <w:tcW w:w="100" w:type="dxa"/>
            <w:vAlign w:val="bottom"/>
            <w:shd w:val="clear" w:color="auto" w:fill="CFF0FC"/>
          </w:tcPr>
          <w:p>
            <w:pPr>
              <w:spacing w:after="0"/>
              <w:rPr>
                <w:sz w:val="14"/>
                <w:szCs w:val="14"/>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L Drapeau*</w:t>
            </w:r>
          </w:p>
        </w:tc>
        <w:tc>
          <w:tcPr>
            <w:tcW w:w="2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26,667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26,667</w:t>
            </w:r>
          </w:p>
        </w:tc>
        <w:tc>
          <w:tcPr>
            <w:tcW w:w="100" w:type="dxa"/>
            <w:vAlign w:val="bottom"/>
          </w:tcPr>
          <w:p>
            <w:pPr>
              <w:spacing w:after="0"/>
              <w:rPr>
                <w:sz w:val="14"/>
                <w:szCs w:val="14"/>
                <w:color w:val="auto"/>
              </w:rPr>
            </w:pPr>
          </w:p>
        </w:tc>
      </w:tr>
      <w:tr>
        <w:trPr>
          <w:trHeight w:val="162"/>
        </w:trPr>
        <w:tc>
          <w:tcPr>
            <w:tcW w:w="4200" w:type="dxa"/>
            <w:vAlign w:val="bottom"/>
            <w:shd w:val="clear" w:color="auto" w:fill="CFF0FC"/>
          </w:tcPr>
          <w:p>
            <w:pPr>
              <w:spacing w:after="0"/>
              <w:rPr>
                <w:sz w:val="20"/>
                <w:szCs w:val="20"/>
                <w:color w:val="auto"/>
              </w:rPr>
            </w:pPr>
            <w:r>
              <w:rPr>
                <w:rFonts w:ascii="Arial" w:cs="Arial" w:eastAsia="Arial" w:hAnsi="Arial"/>
                <w:sz w:val="14"/>
                <w:szCs w:val="14"/>
                <w:color w:val="auto"/>
              </w:rPr>
              <w:t>S Crowe</w:t>
            </w:r>
          </w:p>
        </w:tc>
        <w:tc>
          <w:tcPr>
            <w:tcW w:w="200" w:type="dxa"/>
            <w:vAlign w:val="bottom"/>
            <w:shd w:val="clear" w:color="auto" w:fill="CFF0FC"/>
          </w:tcPr>
          <w:p>
            <w:pPr>
              <w:spacing w:after="0"/>
              <w:rPr>
                <w:sz w:val="14"/>
                <w:szCs w:val="14"/>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95,000</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87,494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31,248</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213,742</w:t>
            </w:r>
          </w:p>
        </w:tc>
        <w:tc>
          <w:tcPr>
            <w:tcW w:w="100" w:type="dxa"/>
            <w:vAlign w:val="bottom"/>
            <w:shd w:val="clear" w:color="auto" w:fill="CFF0FC"/>
          </w:tcPr>
          <w:p>
            <w:pPr>
              <w:spacing w:after="0"/>
              <w:rPr>
                <w:sz w:val="14"/>
                <w:szCs w:val="14"/>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J Corbett</w:t>
            </w:r>
          </w:p>
        </w:tc>
        <w:tc>
          <w:tcPr>
            <w:tcW w:w="2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73,542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73,542</w:t>
            </w:r>
          </w:p>
        </w:tc>
        <w:tc>
          <w:tcPr>
            <w:tcW w:w="100" w:type="dxa"/>
            <w:vAlign w:val="bottom"/>
          </w:tcPr>
          <w:p>
            <w:pPr>
              <w:spacing w:after="0"/>
              <w:rPr>
                <w:sz w:val="14"/>
                <w:szCs w:val="14"/>
                <w:color w:val="auto"/>
              </w:rPr>
            </w:pPr>
          </w:p>
        </w:tc>
      </w:tr>
      <w:tr>
        <w:trPr>
          <w:trHeight w:val="162"/>
        </w:trPr>
        <w:tc>
          <w:tcPr>
            <w:tcW w:w="4200" w:type="dxa"/>
            <w:vAlign w:val="bottom"/>
            <w:shd w:val="clear" w:color="auto" w:fill="CFF0FC"/>
          </w:tcPr>
          <w:p>
            <w:pPr>
              <w:spacing w:after="0"/>
              <w:rPr>
                <w:sz w:val="20"/>
                <w:szCs w:val="20"/>
                <w:color w:val="auto"/>
              </w:rPr>
            </w:pPr>
            <w:r>
              <w:rPr>
                <w:rFonts w:ascii="Arial" w:cs="Arial" w:eastAsia="Arial" w:hAnsi="Arial"/>
                <w:sz w:val="14"/>
                <w:szCs w:val="14"/>
                <w:color w:val="auto"/>
              </w:rPr>
              <w:t>J Reed</w:t>
            </w:r>
          </w:p>
        </w:tc>
        <w:tc>
          <w:tcPr>
            <w:tcW w:w="200" w:type="dxa"/>
            <w:vAlign w:val="bottom"/>
            <w:tcBorders>
              <w:bottom w:val="single" w:sz="8" w:color="auto"/>
            </w:tcBorders>
            <w:shd w:val="clear" w:color="auto" w:fill="CFF0FC"/>
          </w:tcPr>
          <w:p>
            <w:pPr>
              <w:spacing w:after="0"/>
              <w:rPr>
                <w:sz w:val="14"/>
                <w:szCs w:val="1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92,500</w:t>
            </w:r>
          </w:p>
        </w:tc>
        <w:tc>
          <w:tcPr>
            <w:tcW w:w="2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87,494</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31,248</w:t>
            </w:r>
          </w:p>
        </w:tc>
        <w:tc>
          <w:tcPr>
            <w:tcW w:w="2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211,242</w:t>
            </w:r>
          </w:p>
        </w:tc>
        <w:tc>
          <w:tcPr>
            <w:tcW w:w="100" w:type="dxa"/>
            <w:vAlign w:val="bottom"/>
            <w:shd w:val="clear" w:color="auto" w:fill="CFF0FC"/>
          </w:tcPr>
          <w:p>
            <w:pPr>
              <w:spacing w:after="0"/>
              <w:rPr>
                <w:sz w:val="14"/>
                <w:szCs w:val="14"/>
                <w:color w:val="auto"/>
              </w:rPr>
            </w:pPr>
          </w:p>
        </w:tc>
      </w:tr>
      <w:tr>
        <w:trPr>
          <w:trHeight w:val="156"/>
        </w:trPr>
        <w:tc>
          <w:tcPr>
            <w:tcW w:w="4200" w:type="dxa"/>
            <w:vAlign w:val="bottom"/>
          </w:tcPr>
          <w:p>
            <w:pPr>
              <w:spacing w:after="0" w:line="155" w:lineRule="exact"/>
              <w:rPr>
                <w:sz w:val="20"/>
                <w:szCs w:val="20"/>
                <w:color w:val="auto"/>
              </w:rPr>
            </w:pPr>
            <w:r>
              <w:rPr>
                <w:rFonts w:ascii="Arial" w:cs="Arial" w:eastAsia="Arial" w:hAnsi="Arial"/>
                <w:sz w:val="14"/>
                <w:szCs w:val="14"/>
                <w:b w:val="1"/>
                <w:bCs w:val="1"/>
                <w:color w:val="auto"/>
              </w:rPr>
              <w:t>Total Non-Executive Directors</w:t>
            </w: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504,792</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349,976</w:t>
            </w:r>
          </w:p>
        </w:tc>
        <w:tc>
          <w:tcPr>
            <w:tcW w:w="28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124,992</w:t>
            </w:r>
          </w:p>
        </w:tc>
        <w:tc>
          <w:tcPr>
            <w:tcW w:w="26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979,760</w:t>
            </w:r>
          </w:p>
        </w:tc>
        <w:tc>
          <w:tcPr>
            <w:tcW w:w="100" w:type="dxa"/>
            <w:vAlign w:val="bottom"/>
          </w:tcPr>
          <w:p>
            <w:pPr>
              <w:spacing w:after="0"/>
              <w:rPr>
                <w:sz w:val="13"/>
                <w:szCs w:val="13"/>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120" w:hanging="112"/>
        <w:spacing w:after="0"/>
        <w:tabs>
          <w:tab w:leader="none" w:pos="1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Drapeau retired from the Board of Directors during April 2022.</w:t>
      </w:r>
    </w:p>
    <w:p>
      <w:pPr>
        <w:spacing w:after="0" w:line="7" w:lineRule="exact"/>
        <w:rPr>
          <w:rFonts w:ascii="Arial" w:cs="Arial" w:eastAsia="Arial" w:hAnsi="Arial"/>
          <w:sz w:val="14"/>
          <w:szCs w:val="14"/>
          <w:color w:val="auto"/>
        </w:rPr>
      </w:pPr>
    </w:p>
    <w:p>
      <w:pPr>
        <w:ind w:left="880" w:right="200" w:hanging="508"/>
        <w:spacing w:after="0" w:line="281" w:lineRule="auto"/>
        <w:tabs>
          <w:tab w:leader="none" w:pos="8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Amounts are composed of the following: $70,00 for fees as a Board Member, $35,000 for Chair of the Board, $20,000 for Audit Committee Chair, $15,000 for Compensation Committee Chair, $10,000 for Nominating and Corporate Governance Chair, $10,000 for Audit Committee Member, $7,500 for Compensation Committee Member, and $5,000 for Nominating and Corporate Governance Member. Note that Mr.</w:t>
      </w:r>
    </w:p>
    <w:p>
      <w:pPr>
        <w:ind w:left="880"/>
        <w:spacing w:after="0"/>
        <w:rPr>
          <w:rFonts w:ascii="Arial" w:cs="Arial" w:eastAsia="Arial" w:hAnsi="Arial"/>
          <w:sz w:val="16"/>
          <w:szCs w:val="16"/>
          <w:color w:val="auto"/>
        </w:rPr>
      </w:pPr>
      <w:r>
        <w:rPr>
          <w:rFonts w:ascii="Arial" w:cs="Arial" w:eastAsia="Arial" w:hAnsi="Arial"/>
          <w:sz w:val="18"/>
          <w:szCs w:val="18"/>
          <w:color w:val="auto"/>
        </w:rPr>
        <w:t>Drapeau's and Mr. Corbett's fees are prorated based on his terms as non-executive Directors.</w:t>
      </w:r>
    </w:p>
    <w:p>
      <w:pPr>
        <w:spacing w:after="0" w:line="9" w:lineRule="exact"/>
        <w:rPr>
          <w:rFonts w:ascii="Arial" w:cs="Arial" w:eastAsia="Arial" w:hAnsi="Arial"/>
          <w:sz w:val="16"/>
          <w:szCs w:val="16"/>
          <w:color w:val="auto"/>
        </w:rPr>
      </w:pPr>
    </w:p>
    <w:p>
      <w:pPr>
        <w:jc w:val="both"/>
        <w:ind w:left="880" w:right="100" w:hanging="508"/>
        <w:spacing w:after="0" w:line="250"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are subject to various performance or related criteria, including continuation of employment over the relevant vesting period.</w:t>
      </w:r>
    </w:p>
    <w:p>
      <w:pPr>
        <w:spacing w:after="0" w:line="1" w:lineRule="exact"/>
        <w:rPr>
          <w:rFonts w:ascii="Arial" w:cs="Arial" w:eastAsia="Arial" w:hAnsi="Arial"/>
          <w:sz w:val="18"/>
          <w:szCs w:val="18"/>
          <w:color w:val="auto"/>
        </w:rPr>
      </w:pPr>
    </w:p>
    <w:p>
      <w:pPr>
        <w:ind w:left="880" w:right="20" w:hanging="508"/>
        <w:spacing w:after="0" w:line="271" w:lineRule="auto"/>
        <w:tabs>
          <w:tab w:leader="none" w:pos="8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our Consolidated Financial Statements included in Part II, Item 8. “Financial Statements and Supplementary Data” for the assumptions used in determining the grant date fair value of option awards. The vesting of these option awards are subject to various performance or tenure related criteria.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Equity Compensation Plan Information as of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2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warrants and rights</w:t>
            </w:r>
          </w:p>
        </w:tc>
        <w:tc>
          <w:tcPr>
            <w:tcW w:w="2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207"/>
        </w:trPr>
        <w:tc>
          <w:tcPr>
            <w:tcW w:w="43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(a)</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7"/>
              </w:rPr>
              <w:t>(b)</w:t>
            </w:r>
          </w:p>
        </w:tc>
        <w:tc>
          <w:tcPr>
            <w:tcW w:w="120" w:type="dxa"/>
            <w:vAlign w:val="bottom"/>
          </w:tcPr>
          <w:p>
            <w:pPr>
              <w:spacing w:after="0"/>
              <w:rPr>
                <w:sz w:val="17"/>
                <w:szCs w:val="17"/>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9"/>
              </w:rPr>
              <w:t>Equity compensation plans approved by security holders</w:t>
            </w: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Arial" w:cs="Arial" w:eastAsia="Arial" w:hAnsi="Arial"/>
                <w:sz w:val="16"/>
                <w:szCs w:val="16"/>
                <w:b w:val="1"/>
                <w:bCs w:val="1"/>
                <w:color w:val="auto"/>
              </w:rPr>
              <w:t>2016 Equity Incentive Plan</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w w:val="81"/>
              </w:rPr>
              <w:t>(2)</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ind w:left="2000"/>
              <w:spacing w:after="0"/>
              <w:rPr>
                <w:sz w:val="20"/>
                <w:szCs w:val="20"/>
                <w:color w:val="auto"/>
              </w:rPr>
            </w:pPr>
            <w:r>
              <w:rPr>
                <w:rFonts w:ascii="Arial" w:cs="Arial" w:eastAsia="Arial" w:hAnsi="Arial"/>
                <w:sz w:val="16"/>
                <w:szCs w:val="16"/>
                <w:color w:val="auto"/>
              </w:rPr>
              <w:t>—  (1)</w:t>
            </w: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Options</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885,095</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w:t>
            </w:r>
          </w:p>
        </w:tc>
        <w:tc>
          <w:tcPr>
            <w:tcW w:w="1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Arial" w:cs="Arial" w:eastAsia="Arial" w:hAnsi="Arial"/>
                <w:sz w:val="16"/>
                <w:szCs w:val="16"/>
                <w:b w:val="1"/>
                <w:bCs w:val="1"/>
                <w:color w:val="auto"/>
              </w:rPr>
              <w:t>2020 Equity Incentive Plan</w:t>
            </w: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244,675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Options</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1,079,875</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w:t>
            </w:r>
          </w:p>
        </w:tc>
        <w:tc>
          <w:tcPr>
            <w:tcW w:w="1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380"/>
              <w:spacing w:after="0"/>
              <w:rPr>
                <w:sz w:val="20"/>
                <w:szCs w:val="20"/>
                <w:color w:val="auto"/>
              </w:rPr>
            </w:pPr>
            <w:r>
              <w:rPr>
                <w:rFonts w:ascii="Arial" w:cs="Arial" w:eastAsia="Arial" w:hAnsi="Arial"/>
                <w:sz w:val="16"/>
                <w:szCs w:val="16"/>
                <w:color w:val="auto"/>
              </w:rPr>
              <w:t>RSUs</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398,596</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2021 AGM Awards</w:t>
            </w: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380"/>
              <w:spacing w:after="0"/>
              <w:rPr>
                <w:sz w:val="20"/>
                <w:szCs w:val="20"/>
                <w:color w:val="auto"/>
              </w:rPr>
            </w:pPr>
            <w:r>
              <w:rPr>
                <w:rFonts w:ascii="Arial" w:cs="Arial" w:eastAsia="Arial" w:hAnsi="Arial"/>
                <w:sz w:val="16"/>
                <w:szCs w:val="16"/>
                <w:color w:val="auto"/>
              </w:rPr>
              <w:t>Stock Options</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22,600</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12.18</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RSUs</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11,566</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Arial" w:cs="Arial" w:eastAsia="Arial" w:hAnsi="Arial"/>
                <w:sz w:val="16"/>
                <w:szCs w:val="16"/>
                <w:b w:val="1"/>
                <w:bCs w:val="1"/>
                <w:color w:val="auto"/>
              </w:rPr>
              <w:t>2022 AGM Awards</w:t>
            </w: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Options</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247,876</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380"/>
              <w:spacing w:after="0"/>
              <w:rPr>
                <w:sz w:val="20"/>
                <w:szCs w:val="20"/>
                <w:color w:val="auto"/>
              </w:rPr>
            </w:pPr>
            <w:r>
              <w:rPr>
                <w:rFonts w:ascii="Arial" w:cs="Arial" w:eastAsia="Arial" w:hAnsi="Arial"/>
                <w:sz w:val="16"/>
                <w:szCs w:val="16"/>
                <w:color w:val="auto"/>
              </w:rPr>
              <w:t>RSUs</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50,356</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Equity compensation plans not approved by</w:t>
            </w:r>
          </w:p>
        </w:tc>
        <w:tc>
          <w:tcPr>
            <w:tcW w:w="3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security holders</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6"/>
                <w:szCs w:val="16"/>
                <w:color w:val="auto"/>
              </w:rPr>
              <w:t>Total</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2,695,964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244,675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880" w:right="280" w:hanging="508"/>
        <w:spacing w:after="0" w:line="258"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closing of the Redomiciliation, the 2016 Plans were terminated with respect to future grants and accordingly, there are no more shares available to be issued under the 2016 Plans.</w:t>
      </w:r>
    </w:p>
    <w:p>
      <w:pPr>
        <w:spacing w:after="0" w:line="1" w:lineRule="exact"/>
        <w:rPr>
          <w:rFonts w:ascii="Arial" w:cs="Arial" w:eastAsia="Arial" w:hAnsi="Arial"/>
          <w:sz w:val="18"/>
          <w:szCs w:val="18"/>
          <w:color w:val="auto"/>
        </w:rPr>
      </w:pPr>
    </w:p>
    <w:p>
      <w:pPr>
        <w:ind w:left="880" w:hanging="508"/>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2016 Plans were previously approved and adopted by the shareholders of AVITA Australia, the former parent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Stockholders and Management</w:t>
      </w:r>
    </w:p>
    <w:p>
      <w:pPr>
        <w:spacing w:after="0" w:line="121" w:lineRule="exact"/>
        <w:rPr>
          <w:sz w:val="20"/>
          <w:szCs w:val="20"/>
          <w:color w:val="auto"/>
        </w:rPr>
      </w:pPr>
    </w:p>
    <w:p>
      <w:pPr>
        <w:jc w:val="both"/>
        <w:ind w:right="60" w:firstLine="749"/>
        <w:spacing w:after="0" w:line="275" w:lineRule="auto"/>
        <w:rPr>
          <w:sz w:val="20"/>
          <w:szCs w:val="20"/>
          <w:color w:val="auto"/>
        </w:rPr>
      </w:pPr>
      <w:r>
        <w:rPr>
          <w:rFonts w:ascii="Arial" w:cs="Arial" w:eastAsia="Arial" w:hAnsi="Arial"/>
          <w:sz w:val="17"/>
          <w:szCs w:val="17"/>
          <w:color w:val="auto"/>
        </w:rPr>
        <w:t xml:space="preserve">The following table provides certain information regarding the ownership of our common stock (including our CDIs), as of January 31, 2023 by each person or group of affiliated persons known to us to be the beneficial owner of more than 5% of our common stock (including our CDIs); each of our named executive officers; each of our Directors; and all of our executive officers and Directors as a group. The table also sets out the names of all persons (of which the Company is aware) who have disclosed pursuant to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 xml:space="preserve"> (Cth) that they are “substantial shareholders” of the Company and carry 5% or more of the voting rights attached to the issued securities of the Company.</w:t>
      </w:r>
    </w:p>
    <w:p>
      <w:pPr>
        <w:spacing w:after="0" w:line="176"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Unless otherwise indicated in the table or the related notes, the address for each person named in the table is c/o AVITA Medical, Inc., 28159 Avenue Stanford Suite 220, Valencia, CA 91355.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760" w:type="dxa"/>
            <w:vAlign w:val="bottom"/>
          </w:tcPr>
          <w:p>
            <w:pPr>
              <w:jc w:val="center"/>
              <w:ind w:left="1199"/>
              <w:spacing w:after="0"/>
              <w:rPr>
                <w:sz w:val="20"/>
                <w:szCs w:val="20"/>
                <w:color w:val="auto"/>
              </w:rPr>
            </w:pPr>
            <w:r>
              <w:rPr>
                <w:rFonts w:ascii="Arial" w:cs="Arial" w:eastAsia="Arial" w:hAnsi="Arial"/>
                <w:sz w:val="16"/>
                <w:szCs w:val="16"/>
                <w:b w:val="1"/>
                <w:bCs w:val="1"/>
                <w:color w:val="auto"/>
                <w:w w:val="94"/>
              </w:rPr>
              <w:t>Amount and Nature</w:t>
            </w:r>
          </w:p>
        </w:tc>
        <w:tc>
          <w:tcPr>
            <w:tcW w:w="660" w:type="dxa"/>
            <w:vAlign w:val="bottom"/>
          </w:tcPr>
          <w:p>
            <w:pPr>
              <w:spacing w:after="0"/>
              <w:rPr>
                <w:sz w:val="17"/>
                <w:szCs w:val="17"/>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7"/>
              </w:rPr>
              <w:t>Percentage</w:t>
            </w:r>
          </w:p>
        </w:tc>
        <w:tc>
          <w:tcPr>
            <w:tcW w:w="0" w:type="dxa"/>
            <w:vAlign w:val="bottom"/>
          </w:tcPr>
          <w:p>
            <w:pPr>
              <w:spacing w:after="0"/>
              <w:rPr>
                <w:sz w:val="1"/>
                <w:szCs w:val="1"/>
                <w:color w:val="auto"/>
              </w:rPr>
            </w:pPr>
          </w:p>
        </w:tc>
      </w:tr>
      <w:tr>
        <w:trPr>
          <w:trHeight w:val="91"/>
        </w:trPr>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720" w:type="dxa"/>
            <w:vAlign w:val="bottom"/>
          </w:tcPr>
          <w:p>
            <w:pPr>
              <w:spacing w:after="0"/>
              <w:rPr>
                <w:sz w:val="7"/>
                <w:szCs w:val="7"/>
                <w:color w:val="auto"/>
              </w:rPr>
            </w:pPr>
          </w:p>
        </w:tc>
        <w:tc>
          <w:tcPr>
            <w:tcW w:w="2760" w:type="dxa"/>
            <w:vAlign w:val="bottom"/>
            <w:vMerge w:val="restart"/>
          </w:tcPr>
          <w:p>
            <w:pPr>
              <w:jc w:val="center"/>
              <w:ind w:left="1219"/>
              <w:spacing w:after="0"/>
              <w:rPr>
                <w:sz w:val="20"/>
                <w:szCs w:val="20"/>
                <w:color w:val="auto"/>
              </w:rPr>
            </w:pPr>
            <w:r>
              <w:rPr>
                <w:rFonts w:ascii="Arial" w:cs="Arial" w:eastAsia="Arial" w:hAnsi="Arial"/>
                <w:sz w:val="16"/>
                <w:szCs w:val="16"/>
                <w:b w:val="1"/>
                <w:bCs w:val="1"/>
                <w:color w:val="auto"/>
                <w:w w:val="90"/>
              </w:rPr>
              <w:t>of Beneficial</w:t>
            </w:r>
          </w:p>
        </w:tc>
        <w:tc>
          <w:tcPr>
            <w:tcW w:w="6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gridSpan w:val="2"/>
            <w:vMerge w:val="restart"/>
          </w:tcPr>
          <w:p>
            <w:pPr>
              <w:spacing w:after="0" w:line="273" w:lineRule="exact"/>
              <w:rPr>
                <w:sz w:val="20"/>
                <w:szCs w:val="20"/>
                <w:color w:val="auto"/>
              </w:rPr>
            </w:pPr>
            <w:r>
              <w:rPr>
                <w:rFonts w:ascii="Arial" w:cs="Arial" w:eastAsia="Arial" w:hAnsi="Arial"/>
                <w:sz w:val="16"/>
                <w:szCs w:val="16"/>
                <w:b w:val="1"/>
                <w:bCs w:val="1"/>
                <w:color w:val="auto"/>
                <w:w w:val="94"/>
              </w:rPr>
              <w:t xml:space="preserve">of Class </w:t>
            </w:r>
            <w:r>
              <w:rPr>
                <w:rFonts w:ascii="Arial" w:cs="Arial" w:eastAsia="Arial" w:hAnsi="Arial"/>
                <w:sz w:val="27"/>
                <w:szCs w:val="27"/>
                <w:b w:val="1"/>
                <w:bCs w:val="1"/>
                <w:color w:val="auto"/>
                <w:w w:val="94"/>
                <w:vertAlign w:val="superscript"/>
              </w:rPr>
              <w:t>(2)</w:t>
            </w:r>
          </w:p>
        </w:tc>
        <w:tc>
          <w:tcPr>
            <w:tcW w:w="0" w:type="dxa"/>
            <w:vAlign w:val="bottom"/>
          </w:tcPr>
          <w:p>
            <w:pPr>
              <w:spacing w:after="0"/>
              <w:rPr>
                <w:sz w:val="1"/>
                <w:szCs w:val="1"/>
                <w:color w:val="auto"/>
              </w:rPr>
            </w:pPr>
          </w:p>
        </w:tc>
      </w:tr>
      <w:tr>
        <w:trPr>
          <w:trHeight w:val="166"/>
        </w:trPr>
        <w:tc>
          <w:tcPr>
            <w:tcW w:w="1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Title of Class</w:t>
            </w:r>
          </w:p>
        </w:tc>
        <w:tc>
          <w:tcPr>
            <w:tcW w:w="57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Name and Address of Beneficial Owner</w:t>
            </w:r>
          </w:p>
        </w:tc>
        <w:tc>
          <w:tcPr>
            <w:tcW w:w="2760" w:type="dxa"/>
            <w:vAlign w:val="bottom"/>
            <w:vMerge w:val="restart"/>
          </w:tcPr>
          <w:p>
            <w:pPr>
              <w:jc w:val="center"/>
              <w:ind w:left="1199"/>
              <w:spacing w:after="0" w:line="220" w:lineRule="exact"/>
              <w:rPr>
                <w:sz w:val="20"/>
                <w:szCs w:val="20"/>
                <w:color w:val="auto"/>
              </w:rPr>
            </w:pPr>
            <w:r>
              <w:rPr>
                <w:rFonts w:ascii="Arial" w:cs="Arial" w:eastAsia="Arial" w:hAnsi="Arial"/>
                <w:sz w:val="15"/>
                <w:szCs w:val="15"/>
                <w:b w:val="1"/>
                <w:bCs w:val="1"/>
                <w:color w:val="auto"/>
                <w:w w:val="94"/>
              </w:rPr>
              <w:t xml:space="preserve">Ownership </w:t>
            </w:r>
            <w:r>
              <w:rPr>
                <w:rFonts w:ascii="Arial" w:cs="Arial" w:eastAsia="Arial" w:hAnsi="Arial"/>
                <w:sz w:val="25"/>
                <w:szCs w:val="25"/>
                <w:b w:val="1"/>
                <w:bCs w:val="1"/>
                <w:color w:val="auto"/>
                <w:w w:val="94"/>
                <w:vertAlign w:val="superscript"/>
              </w:rPr>
              <w:t>(1)</w:t>
            </w:r>
          </w:p>
        </w:tc>
        <w:tc>
          <w:tcPr>
            <w:tcW w:w="6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40" w:type="dxa"/>
            <w:vAlign w:val="bottom"/>
            <w:gridSpan w:val="2"/>
            <w:vMerge w:val="continue"/>
          </w:tcPr>
          <w:p>
            <w:pPr>
              <w:spacing w:after="0"/>
              <w:rPr>
                <w:sz w:val="4"/>
                <w:szCs w:val="4"/>
                <w:color w:val="auto"/>
              </w:rPr>
            </w:pPr>
          </w:p>
        </w:tc>
        <w:tc>
          <w:tcPr>
            <w:tcW w:w="5720" w:type="dxa"/>
            <w:vAlign w:val="bottom"/>
            <w:vMerge w:val="continue"/>
          </w:tcPr>
          <w:p>
            <w:pPr>
              <w:spacing w:after="0"/>
              <w:rPr>
                <w:sz w:val="4"/>
                <w:szCs w:val="4"/>
                <w:color w:val="auto"/>
              </w:rPr>
            </w:pPr>
          </w:p>
        </w:tc>
        <w:tc>
          <w:tcPr>
            <w:tcW w:w="2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auto"/>
              </w:rPr>
              <w:t>More than 5% stockholders:</w:t>
            </w:r>
          </w:p>
        </w:tc>
        <w:tc>
          <w:tcPr>
            <w:tcW w:w="276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None</w:t>
            </w:r>
          </w:p>
        </w:tc>
        <w:tc>
          <w:tcPr>
            <w:tcW w:w="27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Arial" w:cs="Arial" w:eastAsia="Arial" w:hAnsi="Arial"/>
                <w:sz w:val="16"/>
                <w:szCs w:val="16"/>
                <w:b w:val="1"/>
                <w:bCs w:val="1"/>
                <w:i w:val="1"/>
                <w:iCs w:val="1"/>
                <w:color w:val="auto"/>
              </w:rPr>
              <w:t>Directors and named executive officers:</w:t>
            </w:r>
          </w:p>
        </w:tc>
        <w:tc>
          <w:tcPr>
            <w:tcW w:w="2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5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Lou Panaccio</w:t>
            </w:r>
          </w:p>
        </w:tc>
        <w:tc>
          <w:tcPr>
            <w:tcW w:w="2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26,964</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(3)</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720" w:type="dxa"/>
            <w:vAlign w:val="bottom"/>
          </w:tcPr>
          <w:p>
            <w:pPr>
              <w:ind w:left="360"/>
              <w:spacing w:after="0"/>
              <w:rPr>
                <w:sz w:val="20"/>
                <w:szCs w:val="20"/>
                <w:color w:val="auto"/>
              </w:rPr>
            </w:pPr>
            <w:r>
              <w:rPr>
                <w:rFonts w:ascii="Arial" w:cs="Arial" w:eastAsia="Arial" w:hAnsi="Arial"/>
                <w:sz w:val="16"/>
                <w:szCs w:val="16"/>
                <w:color w:val="auto"/>
              </w:rPr>
              <w:t>Lou Drapeau</w:t>
            </w:r>
          </w:p>
        </w:tc>
        <w:tc>
          <w:tcPr>
            <w:tcW w:w="2760" w:type="dxa"/>
            <w:vAlign w:val="bottom"/>
          </w:tcPr>
          <w:p>
            <w:pPr>
              <w:jc w:val="right"/>
              <w:spacing w:after="0"/>
              <w:rPr>
                <w:sz w:val="20"/>
                <w:szCs w:val="20"/>
                <w:color w:val="auto"/>
              </w:rPr>
            </w:pPr>
            <w:r>
              <w:rPr>
                <w:rFonts w:ascii="Arial" w:cs="Arial" w:eastAsia="Arial" w:hAnsi="Arial"/>
                <w:sz w:val="16"/>
                <w:szCs w:val="16"/>
                <w:color w:val="auto"/>
              </w:rPr>
              <w:t>339</w:t>
            </w:r>
          </w:p>
        </w:tc>
        <w:tc>
          <w:tcPr>
            <w:tcW w:w="66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5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Jeremy Curnock Cook</w:t>
            </w:r>
          </w:p>
        </w:tc>
        <w:tc>
          <w:tcPr>
            <w:tcW w:w="2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6,900</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(5)</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720" w:type="dxa"/>
            <w:vAlign w:val="bottom"/>
          </w:tcPr>
          <w:p>
            <w:pPr>
              <w:ind w:left="360"/>
              <w:spacing w:after="0"/>
              <w:rPr>
                <w:sz w:val="20"/>
                <w:szCs w:val="20"/>
                <w:color w:val="auto"/>
              </w:rPr>
            </w:pPr>
            <w:r>
              <w:rPr>
                <w:rFonts w:ascii="Arial" w:cs="Arial" w:eastAsia="Arial" w:hAnsi="Arial"/>
                <w:sz w:val="16"/>
                <w:szCs w:val="16"/>
                <w:color w:val="auto"/>
              </w:rPr>
              <w:t>Professor Suzanne Crowe</w:t>
            </w:r>
          </w:p>
        </w:tc>
        <w:tc>
          <w:tcPr>
            <w:tcW w:w="2760" w:type="dxa"/>
            <w:vAlign w:val="bottom"/>
          </w:tcPr>
          <w:p>
            <w:pPr>
              <w:jc w:val="right"/>
              <w:spacing w:after="0"/>
              <w:rPr>
                <w:sz w:val="20"/>
                <w:szCs w:val="20"/>
                <w:color w:val="auto"/>
              </w:rPr>
            </w:pPr>
            <w:r>
              <w:rPr>
                <w:rFonts w:ascii="Arial" w:cs="Arial" w:eastAsia="Arial" w:hAnsi="Arial"/>
                <w:sz w:val="16"/>
                <w:szCs w:val="16"/>
                <w:color w:val="auto"/>
              </w:rPr>
              <w:t>11,012</w:t>
            </w:r>
          </w:p>
        </w:tc>
        <w:tc>
          <w:tcPr>
            <w:tcW w:w="660" w:type="dxa"/>
            <w:vAlign w:val="bottom"/>
          </w:tcPr>
          <w:p>
            <w:pPr>
              <w:jc w:val="center"/>
              <w:spacing w:after="0"/>
              <w:rPr>
                <w:sz w:val="20"/>
                <w:szCs w:val="20"/>
                <w:color w:val="auto"/>
              </w:rPr>
            </w:pPr>
            <w:r>
              <w:rPr>
                <w:rFonts w:ascii="Arial" w:cs="Arial" w:eastAsia="Arial" w:hAnsi="Arial"/>
                <w:sz w:val="16"/>
                <w:szCs w:val="16"/>
                <w:color w:val="auto"/>
                <w:w w:val="91"/>
              </w:rPr>
              <w:t>(6)</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5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Jan Stern Reed</w:t>
            </w:r>
          </w:p>
        </w:tc>
        <w:tc>
          <w:tcPr>
            <w:tcW w:w="2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11,434</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(7)</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720" w:type="dxa"/>
            <w:vAlign w:val="bottom"/>
          </w:tcPr>
          <w:p>
            <w:pPr>
              <w:ind w:left="360"/>
              <w:spacing w:after="0"/>
              <w:rPr>
                <w:sz w:val="20"/>
                <w:szCs w:val="20"/>
                <w:color w:val="auto"/>
              </w:rPr>
            </w:pPr>
            <w:r>
              <w:rPr>
                <w:rFonts w:ascii="Arial" w:cs="Arial" w:eastAsia="Arial" w:hAnsi="Arial"/>
                <w:sz w:val="16"/>
                <w:szCs w:val="16"/>
                <w:color w:val="auto"/>
              </w:rPr>
              <w:t>James Corbett</w:t>
            </w:r>
          </w:p>
        </w:tc>
        <w:tc>
          <w:tcPr>
            <w:tcW w:w="2760" w:type="dxa"/>
            <w:vAlign w:val="bottom"/>
          </w:tcPr>
          <w:p>
            <w:pPr>
              <w:jc w:val="right"/>
              <w:spacing w:after="0"/>
              <w:rPr>
                <w:sz w:val="20"/>
                <w:szCs w:val="20"/>
                <w:color w:val="auto"/>
              </w:rPr>
            </w:pPr>
            <w:r>
              <w:rPr>
                <w:rFonts w:ascii="Arial" w:cs="Arial" w:eastAsia="Arial" w:hAnsi="Arial"/>
                <w:sz w:val="16"/>
                <w:szCs w:val="16"/>
                <w:color w:val="auto"/>
              </w:rPr>
              <w:t>11,434</w:t>
            </w:r>
          </w:p>
        </w:tc>
        <w:tc>
          <w:tcPr>
            <w:tcW w:w="660" w:type="dxa"/>
            <w:vAlign w:val="bottom"/>
          </w:tcPr>
          <w:p>
            <w:pPr>
              <w:jc w:val="center"/>
              <w:spacing w:after="0"/>
              <w:rPr>
                <w:sz w:val="20"/>
                <w:szCs w:val="20"/>
                <w:color w:val="auto"/>
              </w:rPr>
            </w:pPr>
            <w:r>
              <w:rPr>
                <w:rFonts w:ascii="Arial" w:cs="Arial" w:eastAsia="Arial" w:hAnsi="Arial"/>
                <w:sz w:val="16"/>
                <w:szCs w:val="16"/>
                <w:color w:val="auto"/>
                <w:w w:val="91"/>
              </w:rPr>
              <w:t>(7)</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5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Sean Ekins</w:t>
            </w:r>
          </w:p>
        </w:tc>
        <w:tc>
          <w:tcPr>
            <w:tcW w:w="2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38,735</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(8)</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720" w:type="dxa"/>
            <w:vAlign w:val="bottom"/>
          </w:tcPr>
          <w:p>
            <w:pPr>
              <w:ind w:left="360"/>
              <w:spacing w:after="0"/>
              <w:rPr>
                <w:sz w:val="20"/>
                <w:szCs w:val="20"/>
                <w:color w:val="auto"/>
              </w:rPr>
            </w:pPr>
            <w:r>
              <w:rPr>
                <w:rFonts w:ascii="Arial" w:cs="Arial" w:eastAsia="Arial" w:hAnsi="Arial"/>
                <w:sz w:val="16"/>
                <w:szCs w:val="16"/>
                <w:color w:val="auto"/>
              </w:rPr>
              <w:t>Erin Liberto</w:t>
            </w:r>
          </w:p>
        </w:tc>
        <w:tc>
          <w:tcPr>
            <w:tcW w:w="2760" w:type="dxa"/>
            <w:vAlign w:val="bottom"/>
          </w:tcPr>
          <w:p>
            <w:pPr>
              <w:jc w:val="right"/>
              <w:spacing w:after="0"/>
              <w:rPr>
                <w:sz w:val="20"/>
                <w:szCs w:val="20"/>
                <w:color w:val="auto"/>
              </w:rPr>
            </w:pPr>
            <w:r>
              <w:rPr>
                <w:rFonts w:ascii="Arial" w:cs="Arial" w:eastAsia="Arial" w:hAnsi="Arial"/>
                <w:sz w:val="16"/>
                <w:szCs w:val="16"/>
                <w:color w:val="auto"/>
              </w:rPr>
              <w:t>125,156</w:t>
            </w:r>
          </w:p>
        </w:tc>
        <w:tc>
          <w:tcPr>
            <w:tcW w:w="660" w:type="dxa"/>
            <w:vAlign w:val="bottom"/>
          </w:tcPr>
          <w:p>
            <w:pPr>
              <w:jc w:val="center"/>
              <w:spacing w:after="0"/>
              <w:rPr>
                <w:sz w:val="20"/>
                <w:szCs w:val="20"/>
                <w:color w:val="auto"/>
              </w:rPr>
            </w:pPr>
            <w:r>
              <w:rPr>
                <w:rFonts w:ascii="Arial" w:cs="Arial" w:eastAsia="Arial" w:hAnsi="Arial"/>
                <w:sz w:val="16"/>
                <w:szCs w:val="16"/>
                <w:color w:val="auto"/>
                <w:w w:val="91"/>
              </w:rPr>
              <w:t>(9)</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5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Andrew Quick</w:t>
            </w:r>
          </w:p>
        </w:tc>
        <w:tc>
          <w:tcPr>
            <w:tcW w:w="2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125,155</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(10)</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720" w:type="dxa"/>
            <w:vAlign w:val="bottom"/>
          </w:tcPr>
          <w:p>
            <w:pPr>
              <w:ind w:left="360"/>
              <w:spacing w:after="0"/>
              <w:rPr>
                <w:sz w:val="20"/>
                <w:szCs w:val="20"/>
                <w:color w:val="auto"/>
              </w:rPr>
            </w:pPr>
            <w:r>
              <w:rPr>
                <w:rFonts w:ascii="Arial" w:cs="Arial" w:eastAsia="Arial" w:hAnsi="Arial"/>
                <w:sz w:val="16"/>
                <w:szCs w:val="16"/>
                <w:color w:val="auto"/>
              </w:rPr>
              <w:t>Donna Shiroma</w:t>
            </w:r>
          </w:p>
        </w:tc>
        <w:tc>
          <w:tcPr>
            <w:tcW w:w="2760" w:type="dxa"/>
            <w:vAlign w:val="bottom"/>
          </w:tcPr>
          <w:p>
            <w:pPr>
              <w:jc w:val="right"/>
              <w:spacing w:after="0"/>
              <w:rPr>
                <w:sz w:val="20"/>
                <w:szCs w:val="20"/>
                <w:color w:val="auto"/>
              </w:rPr>
            </w:pPr>
            <w:r>
              <w:rPr>
                <w:rFonts w:ascii="Arial" w:cs="Arial" w:eastAsia="Arial" w:hAnsi="Arial"/>
                <w:sz w:val="16"/>
                <w:szCs w:val="16"/>
                <w:color w:val="auto"/>
              </w:rPr>
              <w:t>112,156</w:t>
            </w:r>
          </w:p>
        </w:tc>
        <w:tc>
          <w:tcPr>
            <w:tcW w:w="660" w:type="dxa"/>
            <w:vAlign w:val="bottom"/>
          </w:tcPr>
          <w:p>
            <w:pPr>
              <w:jc w:val="center"/>
              <w:spacing w:after="0"/>
              <w:rPr>
                <w:sz w:val="20"/>
                <w:szCs w:val="20"/>
                <w:color w:val="auto"/>
              </w:rPr>
            </w:pPr>
            <w:r>
              <w:rPr>
                <w:rFonts w:ascii="Arial" w:cs="Arial" w:eastAsia="Arial" w:hAnsi="Arial"/>
                <w:sz w:val="16"/>
                <w:szCs w:val="16"/>
                <w:color w:val="auto"/>
                <w:w w:val="91"/>
              </w:rPr>
              <w:t>(11)</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5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Michael Perry</w:t>
            </w:r>
          </w:p>
        </w:tc>
        <w:tc>
          <w:tcPr>
            <w:tcW w:w="2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256,232</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(12)</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720" w:type="dxa"/>
            <w:vAlign w:val="bottom"/>
          </w:tcPr>
          <w:p>
            <w:pPr>
              <w:ind w:left="360"/>
              <w:spacing w:after="0"/>
              <w:rPr>
                <w:sz w:val="20"/>
                <w:szCs w:val="20"/>
                <w:color w:val="auto"/>
              </w:rPr>
            </w:pPr>
            <w:r>
              <w:rPr>
                <w:rFonts w:ascii="Arial" w:cs="Arial" w:eastAsia="Arial" w:hAnsi="Arial"/>
                <w:sz w:val="16"/>
                <w:szCs w:val="16"/>
                <w:color w:val="auto"/>
              </w:rPr>
              <w:t>Michael Holder</w:t>
            </w:r>
          </w:p>
        </w:tc>
        <w:tc>
          <w:tcPr>
            <w:tcW w:w="2760" w:type="dxa"/>
            <w:vAlign w:val="bottom"/>
          </w:tcPr>
          <w:p>
            <w:pPr>
              <w:jc w:val="right"/>
              <w:spacing w:after="0"/>
              <w:rPr>
                <w:sz w:val="20"/>
                <w:szCs w:val="20"/>
                <w:color w:val="auto"/>
              </w:rPr>
            </w:pPr>
            <w:r>
              <w:rPr>
                <w:rFonts w:ascii="Arial" w:cs="Arial" w:eastAsia="Arial" w:hAnsi="Arial"/>
                <w:sz w:val="16"/>
                <w:szCs w:val="16"/>
                <w:color w:val="auto"/>
              </w:rPr>
              <w:t>180,200</w:t>
            </w:r>
          </w:p>
        </w:tc>
        <w:tc>
          <w:tcPr>
            <w:tcW w:w="660" w:type="dxa"/>
            <w:vAlign w:val="bottom"/>
          </w:tcPr>
          <w:p>
            <w:pPr>
              <w:jc w:val="center"/>
              <w:spacing w:after="0"/>
              <w:rPr>
                <w:sz w:val="20"/>
                <w:szCs w:val="20"/>
                <w:color w:val="auto"/>
              </w:rPr>
            </w:pPr>
            <w:r>
              <w:rPr>
                <w:rFonts w:ascii="Arial" w:cs="Arial" w:eastAsia="Arial" w:hAnsi="Arial"/>
                <w:sz w:val="16"/>
                <w:szCs w:val="16"/>
                <w:color w:val="auto"/>
                <w:w w:val="91"/>
              </w:rPr>
              <w:t>(13)</w:t>
            </w:r>
          </w:p>
        </w:tc>
        <w:tc>
          <w:tcPr>
            <w:tcW w:w="76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5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Kathy McGee</w:t>
            </w:r>
          </w:p>
        </w:tc>
        <w:tc>
          <w:tcPr>
            <w:tcW w:w="2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158,200</w:t>
            </w: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(14)</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Arial" w:cs="Arial" w:eastAsia="Arial" w:hAnsi="Arial"/>
                <w:sz w:val="16"/>
                <w:szCs w:val="16"/>
                <w:b w:val="1"/>
                <w:bCs w:val="1"/>
                <w:color w:val="auto"/>
              </w:rPr>
              <w:t>All executive officers and directors as a group (13 persons)</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auto"/>
              </w:rPr>
              <w:t>1,063,917</w:t>
            </w:r>
          </w:p>
        </w:tc>
        <w:tc>
          <w:tcPr>
            <w:tcW w:w="6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common stock.</w:t>
      </w:r>
    </w:p>
    <w:p>
      <w:pPr>
        <w:spacing w:after="0" w:line="23" w:lineRule="exact"/>
        <w:rPr>
          <w:sz w:val="20"/>
          <w:szCs w:val="20"/>
          <w:color w:val="auto"/>
        </w:rPr>
      </w:pPr>
    </w:p>
    <w:p>
      <w:pPr>
        <w:ind w:left="500" w:right="420" w:hanging="492"/>
        <w:spacing w:after="0" w:line="281"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otherwise indicated, we believe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1" w:lineRule="exact"/>
        <w:rPr>
          <w:rFonts w:ascii="Arial" w:cs="Arial" w:eastAsia="Arial" w:hAnsi="Arial"/>
          <w:sz w:val="16"/>
          <w:szCs w:val="16"/>
          <w:color w:val="auto"/>
        </w:rPr>
      </w:pPr>
    </w:p>
    <w:p>
      <w:pPr>
        <w:jc w:val="both"/>
        <w:ind w:left="500" w:right="80" w:hanging="492"/>
        <w:spacing w:after="0" w:line="281"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Percentage of ownership is based on 25,296,086 shares of our common stock issued and outstanding as of January 31, 2023. Common stock subject to options or RSUs exercisable within 60 days of January 31, 2023, are deemed outstanding for purposes of computing the percentage ownership of the person holding such option or RSUs but are not deemed outstanding for purposes of computing the percentage ownership of any other person.</w:t>
      </w:r>
    </w:p>
    <w:p>
      <w:pPr>
        <w:spacing w:after="0" w:line="1" w:lineRule="exact"/>
        <w:rPr>
          <w:rFonts w:ascii="Arial" w:cs="Arial" w:eastAsia="Arial" w:hAnsi="Arial"/>
          <w:sz w:val="16"/>
          <w:szCs w:val="16"/>
          <w:color w:val="auto"/>
        </w:rPr>
      </w:pPr>
    </w:p>
    <w:p>
      <w:pPr>
        <w:ind w:left="500" w:right="140" w:hanging="492"/>
        <w:spacing w:after="0" w:line="265"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Reflects 4,350 shares of common stock, 100,320 CDIs, which translates into 20,064 shares of the common stock. CDIs include 29,860 CDIs which translates into 5,972 shares of common stock that are held by The Panaccio Superannuation Fund. In addition, amount includes 2,550 shares of stock options to acquire 2,550 shares of our common stock exercisable within 60 days of January 31, 2023.</w:t>
      </w: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1,695 CDIs which translates into 339 shares of our common stock.</w:t>
      </w:r>
    </w:p>
    <w:p>
      <w:pPr>
        <w:spacing w:after="0" w:line="9"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4,350 shares of common stock and 2,550 shares of stock options to acquire 2,550 shares of our common stock exercisable within 60 days of January 31, 2023.</w:t>
      </w:r>
    </w:p>
    <w:p>
      <w:pPr>
        <w:ind w:left="500" w:right="520" w:hanging="492"/>
        <w:spacing w:after="0" w:line="25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4,350 shares of common stock, 20,560 CDIs, which represent 4,112 shares of our common stock and 2,550 shares of stock options to acquire 2,550 shares of our common stock exercisable within 60 days of January 31, 2023.</w:t>
      </w:r>
    </w:p>
    <w:p>
      <w:pPr>
        <w:ind w:left="500" w:right="20" w:hanging="492"/>
        <w:spacing w:after="0" w:line="25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7,242 shares of common stock and 4,192 shares of stock options to acquire 4,192 shares of our common stock exercisable within 60 days of January 31, 2023.</w:t>
      </w: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represents stock options to acquire shares of our common stock exercisable within 60 days of January 31, 2023.</w:t>
      </w:r>
    </w:p>
    <w:p>
      <w:pPr>
        <w:spacing w:after="0" w:line="9" w:lineRule="exact"/>
        <w:rPr>
          <w:rFonts w:ascii="Arial" w:cs="Arial" w:eastAsia="Arial" w:hAnsi="Arial"/>
          <w:sz w:val="18"/>
          <w:szCs w:val="18"/>
          <w:color w:val="auto"/>
        </w:rPr>
      </w:pPr>
    </w:p>
    <w:p>
      <w:pPr>
        <w:ind w:left="500" w:right="240" w:hanging="492"/>
        <w:spacing w:after="0" w:line="26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2,625 shares of common stock and 122,531 shares of stock options to acquire 122,531 shares of our common stock exercisable within 60 days of January 31, 2023.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500" w:right="200" w:hanging="492"/>
        <w:spacing w:after="0" w:line="258"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2,625 shares of common stock and 122,530 shares of stock options to acquire 122,530 shares of our common stock exercisable within 60 days of January 31, 2023.</w:t>
      </w:r>
    </w:p>
    <w:p>
      <w:pPr>
        <w:spacing w:after="0" w:line="1"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2,625 shares of common stock and 109,531 shares of stock options to acquire 109,531 shares of our common stock exercisable within 60 days of January 31, 2023.</w:t>
      </w: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of 634,602 CDI’s which translates into 126,920 shares of common stock, 129,312 shares of common stock.</w:t>
      </w:r>
    </w:p>
    <w:p>
      <w:pPr>
        <w:spacing w:after="0" w:line="9"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2,625 shares of common stock and 177,575 shares of stock options to acquire 177,575 shares of our common stock exercisable within 60 days of January 31, 2023.</w:t>
      </w:r>
    </w:p>
    <w:p>
      <w:pPr>
        <w:ind w:left="500" w:right="200" w:hanging="492"/>
        <w:spacing w:after="0" w:line="26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2,625 shares of common stock and 155,575 shares of stock options to acquire 155,575 shares of our common stock exercisable within 60 days of January 31,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Australian Disclosure Requirements</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In addition to the Company’s primary listing on the Nasdaq Capital Market, the Company’s shares of common stock are also quoted in the form of CDIs on the ASX and trade under the ticker symbol “AVH”. As part of our ASX listing, we are required to comply with the various disclosure requirements as set out under the ASX Listing Rules. The following information is intended to comply with the ASX Listing Rules (where that information has not been provided elsewhere in this Annual Report).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Jurisdiction of incorporation and restrictions on the acquisition of securities</w:t>
      </w:r>
    </w:p>
    <w:p>
      <w:pPr>
        <w:spacing w:after="0" w:line="11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 xml:space="preserve">The Company is incorporated in the State of Delaware in the United States of America. As a foreign company registered in Australia, the Company is not subject to Chapters 6, 6A, 6B and 6C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dealing with the acquisition of its shares (including substantial holdings and takeovers).</w:t>
      </w:r>
    </w:p>
    <w:p>
      <w:pPr>
        <w:spacing w:after="0" w:line="184"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Under the Delaware General Corporation Law, the Company’s shares are generally freely transferable, subject to restrictions imposed by United States federal or state securities laws, by the Company’s certificate of incorporation or by-laws or by an agreement signed with the holders of shares on issue. The Company’s certificate of incorporation and bylaws do not impose any specific restrictions on the transfer of its shares. Repurchases of the Company’s securities are governed by the safe harbor provisions set forth in Rule 10b-18 of the Securities Exchange Act of 1934. However, provisions of the Delaware General Corporation Law,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Company’s board may consider inadequate and encourage persons seeking to acquire control of the Company to first negotiate with the board.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Corporate Governance Statement</w:t>
      </w:r>
    </w:p>
    <w:p>
      <w:pPr>
        <w:spacing w:after="0" w:line="121"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The Board of Directors and employees of the Company are committed to developing, promoting and maintaining a strong culture of good corporate governance and ethical conduct. The Board of Directors confirm that the Company’s corporate governance framework is generally consistent with the ASX’s Corporate Governance Council’s “Corporate Governance Principles and Recommendations” (4th Edition) (“</w:t>
      </w:r>
      <w:r>
        <w:rPr>
          <w:rFonts w:ascii="Arial" w:cs="Arial" w:eastAsia="Arial" w:hAnsi="Arial"/>
          <w:sz w:val="16"/>
          <w:szCs w:val="16"/>
          <w:b w:val="1"/>
          <w:bCs w:val="1"/>
          <w:color w:val="auto"/>
        </w:rPr>
        <w:t>ASX Governance</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Recommendations</w:t>
      </w:r>
      <w:r>
        <w:rPr>
          <w:rFonts w:ascii="Arial" w:cs="Arial" w:eastAsia="Arial" w:hAnsi="Arial"/>
          <w:sz w:val="16"/>
          <w:szCs w:val="16"/>
          <w:color w:val="auto"/>
        </w:rPr>
        <w:t>”). The Company’s Corporate Governance Statement is available for viewing at https://ir.avitamedical.com/corporate-governance.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Governance Statement sets out the ASX Governance Recommendations and the Company’s response as to how and whether it follows those recommendations. Where the Company’s practices depart from a recommendation, the Board of Directors have disclosed in the Corporate Governance Statement the departure along with reasons for the adoption of its own practices. The Company’s most recent Corporate Governance Statement, dated February 23, 2023 and approved by the Board of Directors remains accurate as of the date of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capital</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January 31, 2023, the Company’s issued share capital was as follows:</w:t>
      </w:r>
    </w:p>
    <w:p>
      <w:pPr>
        <w:spacing w:after="0" w:line="117" w:lineRule="exact"/>
        <w:rPr>
          <w:sz w:val="20"/>
          <w:szCs w:val="20"/>
          <w:color w:val="auto"/>
        </w:rPr>
      </w:pPr>
    </w:p>
    <w:p>
      <w:pPr>
        <w:ind w:left="1120" w:hanging="37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25,296,086 shares of common stock, of which:</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10,691,469 shares of common stock were held by 78 stockholders and quoted on Nasdaq; and</w:t>
      </w:r>
    </w:p>
    <w:p>
      <w:pPr>
        <w:spacing w:after="0" w:line="117" w:lineRule="exact"/>
        <w:rPr>
          <w:rFonts w:ascii="Arial" w:cs="Arial" w:eastAsia="Arial" w:hAnsi="Arial"/>
          <w:sz w:val="18"/>
          <w:szCs w:val="18"/>
          <w:color w:val="auto"/>
        </w:rPr>
      </w:pPr>
    </w:p>
    <w:p>
      <w:pPr>
        <w:ind w:left="1120" w:right="40" w:hanging="370"/>
        <w:spacing w:after="0" w:line="277"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14,604,617 shares of common stock were held by CHESS Depositary Nominees Pty Limited (“Authorized Nominee”) (on behalf of 23,120 CDI holders) representing 73,023,085 CDIs quoted on ASX.</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387" w:lineRule="exact"/>
        <w:rPr>
          <w:sz w:val="20"/>
          <w:szCs w:val="20"/>
          <w:color w:val="auto"/>
        </w:rPr>
      </w:pPr>
    </w:p>
    <w:p>
      <w:pPr>
        <w:ind w:right="600" w:firstLine="749"/>
        <w:spacing w:after="0" w:line="308" w:lineRule="auto"/>
        <w:rPr>
          <w:sz w:val="20"/>
          <w:szCs w:val="20"/>
          <w:color w:val="auto"/>
        </w:rPr>
      </w:pPr>
      <w:r>
        <w:rPr>
          <w:rFonts w:ascii="Arial" w:cs="Arial" w:eastAsia="Arial" w:hAnsi="Arial"/>
          <w:sz w:val="17"/>
          <w:szCs w:val="17"/>
          <w:color w:val="auto"/>
        </w:rPr>
        <w:t>As of January 31, 2023, the following unquoted securities are on issue, which entitle the holders of those securities, upon vesting of their conversion rights, to be issued shares of common stock (including in certain cases in the form of CDIs) of the Company:</w:t>
      </w:r>
    </w:p>
    <w:p>
      <w:pPr>
        <w:spacing w:after="0" w:line="38" w:lineRule="exact"/>
        <w:rPr>
          <w:sz w:val="20"/>
          <w:szCs w:val="20"/>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equivalent of 2,262,246 unquoted options held amongst 129 option holders. Specifically:</w:t>
      </w:r>
    </w:p>
    <w:p>
      <w:pPr>
        <w:spacing w:after="0" w:line="117" w:lineRule="exact"/>
        <w:rPr>
          <w:rFonts w:ascii="Arial" w:cs="Arial" w:eastAsia="Arial" w:hAnsi="Arial"/>
          <w:sz w:val="18"/>
          <w:szCs w:val="18"/>
          <w:color w:val="auto"/>
        </w:rPr>
      </w:pPr>
    </w:p>
    <w:p>
      <w:pPr>
        <w:ind w:left="1500" w:hanging="372"/>
        <w:spacing w:after="0"/>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equivalent of 233,771 options are on issue to Mr. James Corbett, CEO;</w:t>
      </w:r>
    </w:p>
    <w:p>
      <w:pPr>
        <w:spacing w:after="0" w:line="117" w:lineRule="exact"/>
        <w:rPr>
          <w:rFonts w:ascii="Arial" w:cs="Arial" w:eastAsia="Arial" w:hAnsi="Arial"/>
          <w:sz w:val="18"/>
          <w:szCs w:val="18"/>
          <w:color w:val="auto"/>
        </w:rPr>
      </w:pPr>
    </w:p>
    <w:p>
      <w:pPr>
        <w:ind w:left="1500" w:right="480" w:hanging="372"/>
        <w:spacing w:after="0" w:line="342"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equivalent of 2,028,475 options were granted (and are on issue) to 128 employees and directors of the Company under Avita Australia's 2016 Equity Incentive Plan and 2020 Equity Incentive Plan and the Company's 2021 and 2022 AGM Awards; and</w:t>
      </w:r>
    </w:p>
    <w:p>
      <w:pPr>
        <w:spacing w:after="0" w:line="11" w:lineRule="exact"/>
        <w:rPr>
          <w:rFonts w:ascii="Arial" w:cs="Arial" w:eastAsia="Arial" w:hAnsi="Arial"/>
          <w:sz w:val="16"/>
          <w:szCs w:val="16"/>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equivalent of 372,868 unquoted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held as follows:</w:t>
      </w:r>
    </w:p>
    <w:p>
      <w:pPr>
        <w:spacing w:after="0" w:line="121" w:lineRule="exact"/>
        <w:rPr>
          <w:rFonts w:ascii="Arial" w:cs="Arial" w:eastAsia="Arial" w:hAnsi="Arial"/>
          <w:sz w:val="18"/>
          <w:szCs w:val="18"/>
          <w:color w:val="auto"/>
        </w:rPr>
      </w:pPr>
    </w:p>
    <w:p>
      <w:pPr>
        <w:ind w:left="1500" w:hanging="372"/>
        <w:spacing w:after="0"/>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equivalent of 5,783 RSUs held by Mr. Corbett, CEO; and</w:t>
      </w:r>
    </w:p>
    <w:p>
      <w:pPr>
        <w:spacing w:after="0" w:line="117" w:lineRule="exact"/>
        <w:rPr>
          <w:rFonts w:ascii="Arial" w:cs="Arial" w:eastAsia="Arial" w:hAnsi="Arial"/>
          <w:sz w:val="18"/>
          <w:szCs w:val="18"/>
          <w:color w:val="auto"/>
        </w:rPr>
      </w:pPr>
    </w:p>
    <w:p>
      <w:pPr>
        <w:ind w:left="1500" w:right="60" w:hanging="372"/>
        <w:spacing w:after="0" w:line="277"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equivalent of 367,085 RSUs held by 37 employees of the Company under Avita Australia's 2020 Employee Incentive Plan and the Company's 2021 and 2022 AGM Awards.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The Company’s bylaws provide that each stockholder has one vote for every share of common stock entitled to vote held of record by such stockholder. If holders of CDIs wish to attend and vote at the Company’s general meetings, they will be able to do so, provided, in case of voting, that the relevant steps as set out below are complied with by the CDI holder. Under the ASX Listing Rules and ASX Settlement Operating Rules, the Company must allow CDI holders to attend any meeting of the holders of the underlying securities, unless relevant United States laws at the time of the meeting prevent CDI holders from attending those meetings.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order to vote at such meetings, CDI holders have the following options:</w:t>
      </w:r>
    </w:p>
    <w:p>
      <w:pPr>
        <w:spacing w:after="0" w:line="117" w:lineRule="exact"/>
        <w:rPr>
          <w:sz w:val="20"/>
          <w:szCs w:val="20"/>
          <w:color w:val="auto"/>
        </w:rPr>
      </w:pPr>
    </w:p>
    <w:p>
      <w:pPr>
        <w:ind w:left="1120" w:hanging="370"/>
        <w:spacing w:after="0" w:line="257"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instruct the Authorized Nominee (as the legal owner of the shares of common stock) to vote the common stock represented by their CDIs in a particular manner. A voting instruction form will be sent to CDI holders with the notice of meeting or proxy statement for the meeting and that instruction form must be completed and returned to the Company’s registry prior to the record date fixed for the relevant meeting (“</w:t>
      </w:r>
      <w:r>
        <w:rPr>
          <w:rFonts w:ascii="Arial" w:cs="Arial" w:eastAsia="Arial" w:hAnsi="Arial"/>
          <w:sz w:val="18"/>
          <w:szCs w:val="18"/>
          <w:b w:val="1"/>
          <w:bCs w:val="1"/>
          <w:color w:val="auto"/>
        </w:rPr>
        <w:t>CDI Voting Instruction Receipt Time</w:t>
      </w:r>
      <w:r>
        <w:rPr>
          <w:rFonts w:ascii="Arial" w:cs="Arial" w:eastAsia="Arial" w:hAnsi="Arial"/>
          <w:sz w:val="18"/>
          <w:szCs w:val="18"/>
          <w:color w:val="auto"/>
        </w:rPr>
        <w:t>”), which is notified to the CDI holder in the voting instructions included in the notice of meeting; or</w:t>
      </w:r>
    </w:p>
    <w:p>
      <w:pPr>
        <w:spacing w:after="0" w:line="79" w:lineRule="exact"/>
        <w:rPr>
          <w:rFonts w:ascii="Arial" w:cs="Arial" w:eastAsia="Arial" w:hAnsi="Arial"/>
          <w:sz w:val="18"/>
          <w:szCs w:val="18"/>
          <w:color w:val="auto"/>
        </w:rPr>
      </w:pPr>
    </w:p>
    <w:p>
      <w:pPr>
        <w:ind w:left="1120" w:hanging="370"/>
        <w:spacing w:after="0" w:line="263"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 the Company that they wish to nominate themselves or a third party to be appointed as the Authorized Nominee’s proxy with respect to their common stock underlying their CDIs for the purposes of attending and voting at the meeting. The instruction form must be completed and returned to the Company’s registry prior to the CDI Voting Instruction Receipt Time.</w:t>
      </w:r>
    </w:p>
    <w:p>
      <w:pPr>
        <w:spacing w:after="0" w:line="184"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Alternatively, a CDI holder can convert their CDIs into a holding of common stock and vote those shares of common stock at a meeting of stockholders. Such a conversion must be undertaken prior to the record date fixed by the Company’s Board of Directors for determining the entitlement of stockholders to attend and vote at the meeting. However, if the former CDI holder later wishes to sell their investment on the ASX, it would be necessary to convert those shares of common stock back to CDIs.</w:t>
      </w:r>
    </w:p>
    <w:p>
      <w:pPr>
        <w:spacing w:after="0" w:line="187" w:lineRule="exact"/>
        <w:rPr>
          <w:sz w:val="20"/>
          <w:szCs w:val="20"/>
          <w:color w:val="auto"/>
        </w:rPr>
      </w:pPr>
    </w:p>
    <w:p>
      <w:pPr>
        <w:jc w:val="both"/>
        <w:ind w:right="120" w:firstLine="749"/>
        <w:spacing w:after="0" w:line="311" w:lineRule="auto"/>
        <w:rPr>
          <w:sz w:val="20"/>
          <w:szCs w:val="20"/>
          <w:color w:val="auto"/>
        </w:rPr>
      </w:pPr>
      <w:r>
        <w:rPr>
          <w:rFonts w:ascii="Arial" w:cs="Arial" w:eastAsia="Arial" w:hAnsi="Arial"/>
          <w:sz w:val="16"/>
          <w:szCs w:val="16"/>
          <w:color w:val="auto"/>
        </w:rPr>
        <w:t>As CDI holders will not appear on the Company’s register as the legal holders of the underlying common stock, they will not be entitled to vote at a stockholder meeting unless one of the above steps is undertaken. As each CDI represents 1/5 of a share of common stock, if the CDI holder takes one of the steps noted above to allow it to vote at a stockholder meeting, the CDI holder will be entitled to one vote for every five CDIs it holds.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Holders of options, warrants and RSUs are not entitled to vote.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Stockholders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information required in relation to the substantial shareholders of the Company is included in this Annual Report at Item 12 of Part III.</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of Common Stock and CDI Holders at January 31, 2023</w:t>
      </w:r>
    </w:p>
    <w:p>
      <w:pPr>
        <w:spacing w:after="0" w:line="117"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Below is a distribution schedule of the number of holders of CDIs, categorized by the size of their holdings, based on the Company’s registers as at January 31, 2023 (assuming all issued shares of common stock are held as CDIs).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20" w:type="dxa"/>
            <w:vAlign w:val="bottom"/>
            <w:tcBorders>
              <w:bottom w:val="single" w:sz="8" w:color="auto"/>
            </w:tcBorders>
            <w:gridSpan w:val="3"/>
          </w:tcPr>
          <w:p>
            <w:pPr>
              <w:ind w:left="1720"/>
              <w:spacing w:after="0"/>
              <w:rPr>
                <w:sz w:val="20"/>
                <w:szCs w:val="20"/>
                <w:color w:val="auto"/>
              </w:rPr>
            </w:pPr>
            <w:r>
              <w:rPr>
                <w:rFonts w:ascii="Arial" w:cs="Arial" w:eastAsia="Arial" w:hAnsi="Arial"/>
                <w:sz w:val="18"/>
                <w:szCs w:val="18"/>
                <w:color w:val="auto"/>
              </w:rPr>
              <w:t>CDIs</w:t>
            </w:r>
          </w:p>
        </w:tc>
        <w:tc>
          <w:tcPr>
            <w:tcW w:w="1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20" w:type="dxa"/>
            <w:vAlign w:val="bottom"/>
            <w:gridSpan w:val="3"/>
          </w:tcPr>
          <w:p>
            <w:pPr>
              <w:ind w:left="200"/>
              <w:spacing w:after="0"/>
              <w:rPr>
                <w:sz w:val="20"/>
                <w:szCs w:val="20"/>
                <w:color w:val="auto"/>
              </w:rPr>
            </w:pPr>
            <w:r>
              <w:rPr>
                <w:rFonts w:ascii="Arial" w:cs="Arial" w:eastAsia="Arial" w:hAnsi="Arial"/>
                <w:sz w:val="18"/>
                <w:szCs w:val="18"/>
                <w:color w:val="auto"/>
              </w:rPr>
              <w:t>Number of Holders</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Number of CDIs</w:t>
            </w:r>
          </w:p>
        </w:tc>
        <w:tc>
          <w:tcPr>
            <w:tcW w:w="80" w:type="dxa"/>
            <w:vAlign w:val="bottom"/>
          </w:tcPr>
          <w:p>
            <w:pPr>
              <w:spacing w:after="0"/>
              <w:rPr>
                <w:sz w:val="19"/>
                <w:szCs w:val="19"/>
                <w:color w:val="auto"/>
              </w:rPr>
            </w:pPr>
          </w:p>
        </w:tc>
      </w:tr>
      <w:tr>
        <w:trPr>
          <w:trHeight w:val="223"/>
        </w:trPr>
        <w:tc>
          <w:tcPr>
            <w:tcW w:w="3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1 - 1,000</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5,374,180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20" w:type="dxa"/>
            <w:vAlign w:val="bottom"/>
          </w:tcPr>
          <w:p>
            <w:pPr>
              <w:spacing w:after="0"/>
              <w:rPr>
                <w:sz w:val="20"/>
                <w:szCs w:val="20"/>
                <w:color w:val="auto"/>
              </w:rPr>
            </w:pPr>
            <w:r>
              <w:rPr>
                <w:rFonts w:ascii="Arial" w:cs="Arial" w:eastAsia="Arial" w:hAnsi="Arial"/>
                <w:sz w:val="18"/>
                <w:szCs w:val="18"/>
                <w:color w:val="auto"/>
                <w:w w:val="88"/>
              </w:rPr>
              <w:t>1,001</w:t>
            </w:r>
          </w:p>
        </w:tc>
        <w:tc>
          <w:tcPr>
            <w:tcW w:w="3540" w:type="dxa"/>
            <w:vAlign w:val="bottom"/>
          </w:tcPr>
          <w:p>
            <w:pPr>
              <w:ind w:left="20"/>
              <w:spacing w:after="0"/>
              <w:rPr>
                <w:sz w:val="20"/>
                <w:szCs w:val="20"/>
                <w:color w:val="auto"/>
              </w:rPr>
            </w:pPr>
            <w:r>
              <w:rPr>
                <w:rFonts w:ascii="Arial" w:cs="Arial" w:eastAsia="Arial" w:hAnsi="Arial"/>
                <w:sz w:val="18"/>
                <w:szCs w:val="18"/>
                <w:color w:val="auto"/>
              </w:rPr>
              <w:t>- 5,000</w:t>
            </w:r>
          </w:p>
        </w:tc>
        <w:tc>
          <w:tcPr>
            <w:tcW w:w="1820" w:type="dxa"/>
            <w:vAlign w:val="bottom"/>
          </w:tcPr>
          <w:p>
            <w:pPr>
              <w:jc w:val="right"/>
              <w:spacing w:after="0"/>
              <w:rPr>
                <w:sz w:val="20"/>
                <w:szCs w:val="20"/>
                <w:color w:val="auto"/>
              </w:rPr>
            </w:pPr>
            <w:r>
              <w:rPr>
                <w:rFonts w:ascii="Arial" w:cs="Arial" w:eastAsia="Arial" w:hAnsi="Arial"/>
                <w:sz w:val="18"/>
                <w:szCs w:val="18"/>
                <w:color w:val="auto"/>
              </w:rPr>
              <w:t>5,806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14,130,360</w:t>
            </w:r>
          </w:p>
        </w:tc>
        <w:tc>
          <w:tcPr>
            <w:tcW w:w="80" w:type="dxa"/>
            <w:vAlign w:val="bottom"/>
          </w:tcPr>
          <w:p>
            <w:pPr>
              <w:spacing w:after="0"/>
              <w:rPr>
                <w:sz w:val="19"/>
                <w:szCs w:val="19"/>
                <w:color w:val="auto"/>
              </w:rPr>
            </w:pPr>
          </w:p>
        </w:tc>
      </w:tr>
      <w:tr>
        <w:trPr>
          <w:trHeight w:val="230"/>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5,001</w:t>
            </w:r>
          </w:p>
        </w:tc>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- 10,000</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9,209,515</w:t>
            </w:r>
          </w:p>
        </w:tc>
        <w:tc>
          <w:tcPr>
            <w:tcW w:w="80" w:type="dxa"/>
            <w:vAlign w:val="bottom"/>
            <w:shd w:val="clear" w:color="auto" w:fill="CFF0FC"/>
          </w:tcPr>
          <w:p>
            <w:pPr>
              <w:spacing w:after="0"/>
              <w:rPr>
                <w:sz w:val="19"/>
                <w:szCs w:val="19"/>
                <w:color w:val="auto"/>
              </w:rPr>
            </w:pPr>
          </w:p>
        </w:tc>
      </w:tr>
      <w:tr>
        <w:trPr>
          <w:trHeight w:val="229"/>
        </w:trPr>
        <w:tc>
          <w:tcPr>
            <w:tcW w:w="3960" w:type="dxa"/>
            <w:vAlign w:val="bottom"/>
            <w:gridSpan w:val="2"/>
          </w:tcPr>
          <w:p>
            <w:pPr>
              <w:spacing w:after="0"/>
              <w:rPr>
                <w:sz w:val="20"/>
                <w:szCs w:val="20"/>
                <w:color w:val="auto"/>
              </w:rPr>
            </w:pPr>
            <w:r>
              <w:rPr>
                <w:rFonts w:ascii="Arial" w:cs="Arial" w:eastAsia="Arial" w:hAnsi="Arial"/>
                <w:sz w:val="18"/>
                <w:szCs w:val="18"/>
                <w:color w:val="auto"/>
              </w:rPr>
              <w:t>10,001 - 100,000</w:t>
            </w:r>
          </w:p>
        </w:tc>
        <w:tc>
          <w:tcPr>
            <w:tcW w:w="1820" w:type="dxa"/>
            <w:vAlign w:val="bottom"/>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25,505,825</w:t>
            </w:r>
          </w:p>
        </w:tc>
        <w:tc>
          <w:tcPr>
            <w:tcW w:w="80" w:type="dxa"/>
            <w:vAlign w:val="bottom"/>
          </w:tcPr>
          <w:p>
            <w:pPr>
              <w:spacing w:after="0"/>
              <w:rPr>
                <w:sz w:val="19"/>
                <w:szCs w:val="19"/>
                <w:color w:val="auto"/>
              </w:rPr>
            </w:pP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100,001 - and over</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72,260,550</w:t>
            </w:r>
          </w:p>
        </w:tc>
        <w:tc>
          <w:tcPr>
            <w:tcW w:w="80" w:type="dxa"/>
            <w:vAlign w:val="bottom"/>
            <w:shd w:val="clear" w:color="auto" w:fill="CFF0FC"/>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23,190</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126,480,430</w:t>
            </w:r>
          </w:p>
        </w:tc>
        <w:tc>
          <w:tcPr>
            <w:tcW w:w="8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The number of stockholders and/or CDI holders holding less than a marketable parcel of shares of common stock and/or CDIs (where a “marketable parcel” means a parcel of securities worth at least A$500, pursuant to the ASX Operating Rules) was 5,750 based on the closing market price of the Company’s common stock and CDIs as of January 31, 2023.</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is no current on-market buy-back of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Twenty Largest CDI Holders as of January 31, 2023</w:t>
      </w:r>
    </w:p>
    <w:p>
      <w:pPr>
        <w:spacing w:after="0" w:line="117" w:lineRule="exact"/>
        <w:rPr>
          <w:sz w:val="20"/>
          <w:szCs w:val="20"/>
          <w:color w:val="auto"/>
        </w:rPr>
      </w:pPr>
    </w:p>
    <w:p>
      <w:pPr>
        <w:ind w:right="240" w:firstLine="749"/>
        <w:spacing w:after="0" w:line="263" w:lineRule="auto"/>
        <w:rPr>
          <w:sz w:val="20"/>
          <w:szCs w:val="20"/>
          <w:color w:val="auto"/>
        </w:rPr>
      </w:pPr>
      <w:r>
        <w:rPr>
          <w:rFonts w:ascii="Arial" w:cs="Arial" w:eastAsia="Arial" w:hAnsi="Arial"/>
          <w:sz w:val="18"/>
          <w:szCs w:val="18"/>
          <w:color w:val="auto"/>
        </w:rPr>
        <w:t>Below is a statement of the 20 largest holders of CDIs, and the number and percentage of issued CDIs held by those holders, based on the Company’s registers as January 31, 2023 (assuming all shares of common stock of the Company are held as CDIs, with 5 CDIs representing a beneficial ownership interest in one share of common stock in the Company).</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Rank</w:t>
            </w:r>
          </w:p>
        </w:tc>
        <w:tc>
          <w:tcPr>
            <w:tcW w:w="200" w:type="dxa"/>
            <w:vAlign w:val="bottom"/>
            <w:vMerge w:val="restart"/>
          </w:tcPr>
          <w:p>
            <w:pPr>
              <w:spacing w:after="0"/>
              <w:rPr>
                <w:sz w:val="14"/>
                <w:szCs w:val="14"/>
                <w:color w:val="auto"/>
              </w:rPr>
            </w:pPr>
          </w:p>
        </w:tc>
        <w:tc>
          <w:tcPr>
            <w:tcW w:w="450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4"/>
                <w:szCs w:val="14"/>
                <w:color w:val="auto"/>
              </w:rPr>
            </w:pPr>
          </w:p>
        </w:tc>
        <w:tc>
          <w:tcPr>
            <w:tcW w:w="2600" w:type="dxa"/>
            <w:vAlign w:val="bottom"/>
            <w:gridSpan w:val="2"/>
          </w:tcPr>
          <w:p>
            <w:pPr>
              <w:ind w:left="720"/>
              <w:spacing w:after="0"/>
              <w:rPr>
                <w:sz w:val="20"/>
                <w:szCs w:val="20"/>
                <w:color w:val="auto"/>
              </w:rPr>
            </w:pPr>
            <w:r>
              <w:rPr>
                <w:rFonts w:ascii="Arial" w:cs="Arial" w:eastAsia="Arial" w:hAnsi="Arial"/>
                <w:sz w:val="14"/>
                <w:szCs w:val="14"/>
                <w:b w:val="1"/>
                <w:bCs w:val="1"/>
                <w:color w:val="auto"/>
              </w:rPr>
              <w:t>Number of</w:t>
            </w: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of CDIs</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45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2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CDIs Held  (1)</w:t>
            </w:r>
          </w:p>
        </w:tc>
        <w:tc>
          <w:tcPr>
            <w:tcW w:w="4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The Vanguard Group, Inc.</w:t>
            </w:r>
          </w:p>
        </w:tc>
        <w:tc>
          <w:tcPr>
            <w:tcW w:w="20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5,738,820</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Pura Vida Investments, LLC</w:t>
            </w:r>
          </w:p>
        </w:tc>
        <w:tc>
          <w:tcPr>
            <w:tcW w:w="2120" w:type="dxa"/>
            <w:vAlign w:val="bottom"/>
          </w:tcPr>
          <w:p>
            <w:pPr>
              <w:jc w:val="right"/>
              <w:spacing w:after="0"/>
              <w:rPr>
                <w:sz w:val="20"/>
                <w:szCs w:val="20"/>
                <w:color w:val="auto"/>
              </w:rPr>
            </w:pPr>
            <w:r>
              <w:rPr>
                <w:rFonts w:ascii="Arial" w:cs="Arial" w:eastAsia="Arial" w:hAnsi="Arial"/>
                <w:sz w:val="18"/>
                <w:szCs w:val="18"/>
                <w:color w:val="auto"/>
              </w:rPr>
              <w:t>4,337,590</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BlackRock Institutional Trust Company, N.A.</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2,341,715</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Michael Perry</w:t>
            </w:r>
          </w:p>
        </w:tc>
        <w:tc>
          <w:tcPr>
            <w:tcW w:w="2120" w:type="dxa"/>
            <w:vAlign w:val="bottom"/>
          </w:tcPr>
          <w:p>
            <w:pPr>
              <w:jc w:val="right"/>
              <w:spacing w:after="0"/>
              <w:rPr>
                <w:sz w:val="20"/>
                <w:szCs w:val="20"/>
                <w:color w:val="auto"/>
              </w:rPr>
            </w:pPr>
            <w:r>
              <w:rPr>
                <w:rFonts w:ascii="Arial" w:cs="Arial" w:eastAsia="Arial" w:hAnsi="Arial"/>
                <w:sz w:val="18"/>
                <w:szCs w:val="18"/>
                <w:color w:val="auto"/>
              </w:rPr>
              <w:t>1,779,235</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Thorney Investment Group</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1,500,000</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Australian Eagle Asset Management Pty Ltd</w:t>
            </w:r>
          </w:p>
        </w:tc>
        <w:tc>
          <w:tcPr>
            <w:tcW w:w="2120" w:type="dxa"/>
            <w:vAlign w:val="bottom"/>
          </w:tcPr>
          <w:p>
            <w:pPr>
              <w:jc w:val="right"/>
              <w:spacing w:after="0"/>
              <w:rPr>
                <w:sz w:val="20"/>
                <w:szCs w:val="20"/>
                <w:color w:val="auto"/>
              </w:rPr>
            </w:pPr>
            <w:r>
              <w:rPr>
                <w:rFonts w:ascii="Arial" w:cs="Arial" w:eastAsia="Arial" w:hAnsi="Arial"/>
                <w:sz w:val="18"/>
                <w:szCs w:val="18"/>
                <w:color w:val="auto"/>
              </w:rPr>
              <w:t>1,295,235</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Geode Capital Management, L.L.C.</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1,259,790</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Renaissance Technologies LLC</w:t>
            </w:r>
          </w:p>
        </w:tc>
        <w:tc>
          <w:tcPr>
            <w:tcW w:w="2120" w:type="dxa"/>
            <w:vAlign w:val="bottom"/>
          </w:tcPr>
          <w:p>
            <w:pPr>
              <w:jc w:val="right"/>
              <w:spacing w:after="0"/>
              <w:rPr>
                <w:sz w:val="20"/>
                <w:szCs w:val="20"/>
                <w:color w:val="auto"/>
              </w:rPr>
            </w:pPr>
            <w:r>
              <w:rPr>
                <w:rFonts w:ascii="Arial" w:cs="Arial" w:eastAsia="Arial" w:hAnsi="Arial"/>
                <w:sz w:val="18"/>
                <w:szCs w:val="18"/>
                <w:color w:val="auto"/>
              </w:rPr>
              <w:t>1,192,900</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 Clients of Hub24</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904,150</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Millennium Management LLC</w:t>
            </w:r>
          </w:p>
        </w:tc>
        <w:tc>
          <w:tcPr>
            <w:tcW w:w="2120" w:type="dxa"/>
            <w:vAlign w:val="bottom"/>
          </w:tcPr>
          <w:p>
            <w:pPr>
              <w:jc w:val="right"/>
              <w:spacing w:after="0"/>
              <w:rPr>
                <w:sz w:val="20"/>
                <w:szCs w:val="20"/>
                <w:color w:val="auto"/>
              </w:rPr>
            </w:pPr>
            <w:r>
              <w:rPr>
                <w:rFonts w:ascii="Arial" w:cs="Arial" w:eastAsia="Arial" w:hAnsi="Arial"/>
                <w:sz w:val="18"/>
                <w:szCs w:val="18"/>
                <w:color w:val="auto"/>
              </w:rPr>
              <w:t>901,210</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Norges Bank Investment Management (NBIM)</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855,815</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Polar Asset Management Partners Inc.</w:t>
            </w:r>
          </w:p>
        </w:tc>
        <w:tc>
          <w:tcPr>
            <w:tcW w:w="2120" w:type="dxa"/>
            <w:vAlign w:val="bottom"/>
          </w:tcPr>
          <w:p>
            <w:pPr>
              <w:jc w:val="right"/>
              <w:spacing w:after="0"/>
              <w:rPr>
                <w:sz w:val="20"/>
                <w:szCs w:val="20"/>
                <w:color w:val="auto"/>
              </w:rPr>
            </w:pPr>
            <w:r>
              <w:rPr>
                <w:rFonts w:ascii="Arial" w:cs="Arial" w:eastAsia="Arial" w:hAnsi="Arial"/>
                <w:sz w:val="18"/>
                <w:szCs w:val="18"/>
                <w:color w:val="auto"/>
              </w:rPr>
              <w:t>768,000</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Columbia Threadneedle Investments (US)</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748,435</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XY Capital Limited</w:t>
            </w:r>
          </w:p>
        </w:tc>
        <w:tc>
          <w:tcPr>
            <w:tcW w:w="2120" w:type="dxa"/>
            <w:vAlign w:val="bottom"/>
          </w:tcPr>
          <w:p>
            <w:pPr>
              <w:jc w:val="right"/>
              <w:spacing w:after="0"/>
              <w:rPr>
                <w:sz w:val="20"/>
                <w:szCs w:val="20"/>
                <w:color w:val="auto"/>
              </w:rPr>
            </w:pPr>
            <w:r>
              <w:rPr>
                <w:rFonts w:ascii="Arial" w:cs="Arial" w:eastAsia="Arial" w:hAnsi="Arial"/>
                <w:sz w:val="18"/>
                <w:szCs w:val="18"/>
                <w:color w:val="auto"/>
              </w:rPr>
              <w:t>706,830</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Goldman Sachs International</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662,080</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Arlene Perry</w:t>
            </w:r>
          </w:p>
        </w:tc>
        <w:tc>
          <w:tcPr>
            <w:tcW w:w="2120" w:type="dxa"/>
            <w:vAlign w:val="bottom"/>
          </w:tcPr>
          <w:p>
            <w:pPr>
              <w:jc w:val="right"/>
              <w:spacing w:after="0"/>
              <w:rPr>
                <w:sz w:val="20"/>
                <w:szCs w:val="20"/>
                <w:color w:val="auto"/>
              </w:rPr>
            </w:pPr>
            <w:r>
              <w:rPr>
                <w:rFonts w:ascii="Arial" w:cs="Arial" w:eastAsia="Arial" w:hAnsi="Arial"/>
                <w:sz w:val="18"/>
                <w:szCs w:val="18"/>
                <w:color w:val="auto"/>
              </w:rPr>
              <w:t>631,525</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MLC Navigator Platform</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592,810</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Evan Clucas &amp; Leanne Weston</w:t>
            </w:r>
          </w:p>
        </w:tc>
        <w:tc>
          <w:tcPr>
            <w:tcW w:w="2120" w:type="dxa"/>
            <w:vAlign w:val="bottom"/>
          </w:tcPr>
          <w:p>
            <w:pPr>
              <w:jc w:val="right"/>
              <w:spacing w:after="0"/>
              <w:rPr>
                <w:sz w:val="20"/>
                <w:szCs w:val="20"/>
                <w:color w:val="auto"/>
              </w:rPr>
            </w:pPr>
            <w:r>
              <w:rPr>
                <w:rFonts w:ascii="Arial" w:cs="Arial" w:eastAsia="Arial" w:hAnsi="Arial"/>
                <w:sz w:val="18"/>
                <w:szCs w:val="18"/>
                <w:color w:val="auto"/>
              </w:rPr>
              <w:t>560,535</w:t>
            </w:r>
          </w:p>
        </w:tc>
        <w:tc>
          <w:tcPr>
            <w:tcW w:w="4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Caption Management, LLC</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534,795</w:t>
            </w:r>
          </w:p>
        </w:tc>
        <w:tc>
          <w:tcPr>
            <w:tcW w:w="4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David Deelen</w:t>
            </w:r>
          </w:p>
        </w:tc>
        <w:tc>
          <w:tcPr>
            <w:tcW w:w="2120" w:type="dxa"/>
            <w:vAlign w:val="bottom"/>
          </w:tcPr>
          <w:p>
            <w:pPr>
              <w:jc w:val="right"/>
              <w:spacing w:after="0"/>
              <w:rPr>
                <w:sz w:val="20"/>
                <w:szCs w:val="20"/>
                <w:color w:val="auto"/>
              </w:rPr>
            </w:pPr>
            <w:r>
              <w:rPr>
                <w:rFonts w:ascii="Arial" w:cs="Arial" w:eastAsia="Arial" w:hAnsi="Arial"/>
                <w:sz w:val="18"/>
                <w:szCs w:val="18"/>
                <w:color w:val="auto"/>
              </w:rPr>
              <w:t>530,605</w:t>
            </w:r>
          </w:p>
        </w:tc>
        <w:tc>
          <w:tcPr>
            <w:tcW w:w="4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880" w:hanging="508"/>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Including shares of common stock represented as though they are held as CDIs (with 5 CDIs representing a beneficial ownership interest in one share of common stock in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name of our Secretary is Donna Shiroma.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ASX liaison officer who is responsible for communications with the ASX is Mark Licciardo.</w:t>
      </w:r>
    </w:p>
    <w:p>
      <w:pPr>
        <w:sectPr>
          <w:pgSz w:w="11900" w:h="16838" w:orient="portrait"/>
          <w:cols w:equalWidth="0" w:num="1">
            <w:col w:w="11220"/>
          </w:cols>
          <w:pgMar w:left="320" w:top="125"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left="760" w:right="220"/>
        <w:spacing w:after="0" w:line="277" w:lineRule="auto"/>
        <w:rPr>
          <w:sz w:val="20"/>
          <w:szCs w:val="20"/>
          <w:color w:val="auto"/>
        </w:rPr>
      </w:pPr>
      <w:r>
        <w:rPr>
          <w:rFonts w:ascii="Arial" w:cs="Arial" w:eastAsia="Arial" w:hAnsi="Arial"/>
          <w:sz w:val="18"/>
          <w:szCs w:val="18"/>
          <w:color w:val="auto"/>
        </w:rPr>
        <w:t>The complete mailing address, including zip code, of our principal executive office is 28159 Avenue Stanford, Suite 220, Valencia, CA 91355, USA. The telephone number is +1(661) 367-9170.</w:t>
      </w:r>
    </w:p>
    <w:p>
      <w:pPr>
        <w:spacing w:after="0" w:line="170" w:lineRule="exact"/>
        <w:rPr>
          <w:sz w:val="20"/>
          <w:szCs w:val="20"/>
          <w:color w:val="auto"/>
        </w:rPr>
      </w:pPr>
    </w:p>
    <w:p>
      <w:pPr>
        <w:ind w:left="760" w:right="680"/>
        <w:spacing w:after="0" w:line="277" w:lineRule="auto"/>
        <w:rPr>
          <w:sz w:val="20"/>
          <w:szCs w:val="20"/>
          <w:color w:val="auto"/>
        </w:rPr>
      </w:pPr>
      <w:r>
        <w:rPr>
          <w:rFonts w:ascii="Arial" w:cs="Arial" w:eastAsia="Arial" w:hAnsi="Arial"/>
          <w:sz w:val="18"/>
          <w:szCs w:val="18"/>
          <w:color w:val="auto"/>
        </w:rPr>
        <w:t>The address of our registered office in Australia is c/o Acclime Ltd (formerly Merton’s Corporate Services), Level 7, 330 Collins Street, Melbourne VIC 3000, Australia and our telephone number there is +61 3 8689 9997.</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Registers of securities are held as follows:</w:t>
      </w:r>
    </w:p>
    <w:p>
      <w:pPr>
        <w:spacing w:after="0" w:line="117" w:lineRule="exact"/>
        <w:rPr>
          <w:sz w:val="20"/>
          <w:szCs w:val="20"/>
          <w:color w:val="auto"/>
        </w:rPr>
      </w:pPr>
    </w:p>
    <w:p>
      <w:pPr>
        <w:ind w:left="1140" w:right="160" w:hanging="376"/>
        <w:spacing w:after="0" w:line="277"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CDIs in Australia at Computershare Investor Services Pty Limited, Level 2, 45 St Georges Terrace, Perth WA 6000 Australia, Investor Enquiries +61 8 9323 2000 (within Australia) +61 3 9415 4677 (outside Australia); and</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common stock in the United States at Computershare Investor Services, 250 Royall Street, Canton, MA 02021 USA, Tel: 866-644-4127.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funds</w:t>
      </w:r>
    </w:p>
    <w:p>
      <w:pPr>
        <w:spacing w:after="0" w:line="117"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 Company advises that it has used the cash and assets in a form readily convertible to cash that it had at the time of the Company’s admission to the Official List of ASX in a way that is consistent with its business objectives.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Declaration</w:t>
      </w:r>
    </w:p>
    <w:p>
      <w:pPr>
        <w:spacing w:after="0" w:line="117" w:lineRule="exact"/>
        <w:rPr>
          <w:sz w:val="20"/>
          <w:szCs w:val="20"/>
          <w:color w:val="auto"/>
        </w:rPr>
      </w:pPr>
    </w:p>
    <w:p>
      <w:pPr>
        <w:ind w:right="40" w:firstLine="749"/>
        <w:spacing w:after="0" w:line="311" w:lineRule="auto"/>
        <w:rPr>
          <w:sz w:val="20"/>
          <w:szCs w:val="20"/>
          <w:color w:val="auto"/>
        </w:rPr>
      </w:pPr>
      <w:r>
        <w:rPr>
          <w:rFonts w:ascii="Arial" w:cs="Arial" w:eastAsia="Arial" w:hAnsi="Arial"/>
          <w:sz w:val="16"/>
          <w:szCs w:val="16"/>
          <w:color w:val="auto"/>
        </w:rPr>
        <w:t>As at the date of this Annual Report, the directors confirm that they are of the opinion that there are reasonable grounds to believe that the members of the “extended closed group” identified in Note 19, being the Company and the Australian Subsidiaries that are party to the deed of cross guarantee that is detailed in Note 19, will be able to meet any liabilities to which they are, or may become, subject, by virtue of the deed of cross guarantee.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ind w:right="1800"/>
        <w:spacing w:after="0" w:line="407" w:lineRule="auto"/>
        <w:rPr>
          <w:sz w:val="20"/>
          <w:szCs w:val="20"/>
          <w:color w:val="auto"/>
        </w:rPr>
      </w:pPr>
      <w:r>
        <w:rPr>
          <w:rFonts w:ascii="Arial" w:cs="Arial" w:eastAsia="Arial" w:hAnsi="Arial"/>
          <w:sz w:val="18"/>
          <w:szCs w:val="18"/>
          <w:b w:val="1"/>
          <w:bCs w:val="1"/>
          <w:color w:val="auto"/>
        </w:rPr>
        <w:t>Item 13. CERTAIN RELATIONSHIPS AND RELATED PARTY TRANSACTIONS, AND DIRECTOR INDEPENDENCE Transactions with Related Persons</w:t>
      </w:r>
    </w:p>
    <w:p>
      <w:pPr>
        <w:spacing w:after="0" w:line="58"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January 1, 2021, the Company has not participated in any such related party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The Company’s Board of Directors has determined that all members of our Board of Directors, except Mr. James Corbett, are independent directors for purposes of the rules of Nasdaq and the SEC and for the purposes of the ASX Listing Rules and the ASX Corporate Governance Council’s 4</w:t>
      </w:r>
      <w:r>
        <w:rPr>
          <w:rFonts w:ascii="Arial" w:cs="Arial" w:eastAsia="Arial" w:hAnsi="Arial"/>
          <w:sz w:val="14"/>
          <w:szCs w:val="14"/>
          <w:color w:val="auto"/>
        </w:rPr>
        <w:t>th</w:t>
      </w:r>
      <w:r>
        <w:rPr>
          <w:rFonts w:ascii="Arial" w:cs="Arial" w:eastAsia="Arial" w:hAnsi="Arial"/>
          <w:sz w:val="17"/>
          <w:szCs w:val="17"/>
          <w:color w:val="auto"/>
        </w:rPr>
        <w:t xml:space="preserve"> Edition Corporate Governance Principles and Recommendations. In making this determination, our Board of Directors considered the relationships that each non-executive director has with us and all other facts and circumstances that our Board of Directors deemed relevant, including the beneficial ownership of our common stock by each non-executive director and Mr. Corbett’s executive role within AVITA Medical.</w:t>
      </w:r>
    </w:p>
    <w:p>
      <w:pPr>
        <w:spacing w:after="0" w:line="176"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composition and functioning of the Company’s Board of Directors and each of its committees complies with all applicable requirements of Nasdaq and the rules and regulations of the SEC as well as the ASX Listing Rules and the ASX Corporate Governance Council’s 4</w:t>
      </w:r>
      <w:r>
        <w:rPr>
          <w:rFonts w:ascii="Arial" w:cs="Arial" w:eastAsia="Arial" w:hAnsi="Arial"/>
          <w:sz w:val="15"/>
          <w:szCs w:val="15"/>
          <w:color w:val="auto"/>
        </w:rPr>
        <w:t>th</w:t>
      </w:r>
      <w:r>
        <w:rPr>
          <w:rFonts w:ascii="Arial" w:cs="Arial" w:eastAsia="Arial" w:hAnsi="Arial"/>
          <w:sz w:val="18"/>
          <w:szCs w:val="18"/>
          <w:color w:val="auto"/>
        </w:rPr>
        <w:t xml:space="preserve"> Edition Corporate Governance Principles and Recommendations.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89" w:lineRule="exact"/>
        <w:rPr>
          <w:sz w:val="20"/>
          <w:szCs w:val="20"/>
          <w:color w:val="auto"/>
        </w:rPr>
      </w:pPr>
    </w:p>
    <w:p>
      <w:pPr>
        <w:ind w:right="220" w:firstLine="749"/>
        <w:spacing w:after="0" w:line="275" w:lineRule="auto"/>
        <w:rPr>
          <w:sz w:val="20"/>
          <w:szCs w:val="20"/>
          <w:color w:val="auto"/>
        </w:rPr>
      </w:pPr>
      <w:r>
        <w:rPr>
          <w:rFonts w:ascii="Arial" w:cs="Arial" w:eastAsia="Arial" w:hAnsi="Arial"/>
          <w:sz w:val="17"/>
          <w:szCs w:val="17"/>
          <w:color w:val="auto"/>
        </w:rPr>
        <w:t>Grant Thornton LLP, the U.S. member of Grant Thornton International Ltd, independent registered public accountants have served as our independent public accountant for the year-ended December 31, 2022, the transition period ended December 31, 2021 and the year-ended June 30, 2021. Grant Thornton Audit Pty Ltd, a subsidiary of Grant Thornton Australia Ltd, independent registered public accountants served as our independent public accountant prior to the Redomiciliation. The following table sets forth fees billed or accrued by our independent registered public accountants during the year-ended December 31, 2022, the transition period ended December 31, 2021 and the year-ended June 30, 2021.</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ind w:left="400"/>
              <w:spacing w:after="0"/>
              <w:rPr>
                <w:sz w:val="20"/>
                <w:szCs w:val="20"/>
                <w:color w:val="auto"/>
              </w:rPr>
            </w:pPr>
            <w:r>
              <w:rPr>
                <w:rFonts w:ascii="Arial" w:cs="Arial" w:eastAsia="Arial" w:hAnsi="Arial"/>
                <w:sz w:val="18"/>
                <w:szCs w:val="18"/>
                <w:b w:val="1"/>
                <w:bCs w:val="1"/>
                <w:color w:val="auto"/>
              </w:rPr>
              <w:t>Year-Ended</w:t>
            </w:r>
          </w:p>
        </w:tc>
        <w:tc>
          <w:tcPr>
            <w:tcW w:w="12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Transition Period Ended</w:t>
            </w:r>
          </w:p>
        </w:tc>
        <w:tc>
          <w:tcPr>
            <w:tcW w:w="300" w:type="dxa"/>
            <w:vAlign w:val="bottom"/>
          </w:tcPr>
          <w:p>
            <w:pPr>
              <w:spacing w:after="0"/>
              <w:rPr>
                <w:sz w:val="20"/>
                <w:szCs w:val="20"/>
                <w:color w:val="auto"/>
              </w:rPr>
            </w:pPr>
          </w:p>
        </w:tc>
        <w:tc>
          <w:tcPr>
            <w:tcW w:w="184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Year-Ended</w:t>
            </w:r>
          </w:p>
        </w:tc>
      </w:tr>
      <w:tr>
        <w:trPr>
          <w:trHeight w:val="223"/>
        </w:trPr>
        <w:tc>
          <w:tcPr>
            <w:tcW w:w="4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c>
          <w:tcPr>
            <w:tcW w:w="3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December 31, 2021</w:t>
            </w:r>
          </w:p>
        </w:tc>
        <w:tc>
          <w:tcPr>
            <w:tcW w:w="3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Audit fees - Grant Thornton LLP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605,900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1,038,645</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ind w:left="140"/>
              <w:spacing w:after="0"/>
              <w:rPr>
                <w:sz w:val="20"/>
                <w:szCs w:val="20"/>
                <w:color w:val="auto"/>
              </w:rPr>
            </w:pPr>
            <w:r>
              <w:rPr>
                <w:rFonts w:ascii="Arial" w:cs="Arial" w:eastAsia="Arial" w:hAnsi="Arial"/>
                <w:sz w:val="18"/>
                <w:szCs w:val="18"/>
                <w:color w:val="auto"/>
              </w:rPr>
              <w:t>Audit fees - Grant Thornton Audit Pty Ltd (1)</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25,845</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Grant Thornton UK LLP (1)</w:t>
            </w:r>
          </w:p>
        </w:tc>
        <w:tc>
          <w:tcPr>
            <w:tcW w:w="2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Tax fees - Grant Thornton LLP (2)</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87,281</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147,222</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126,929</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fees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740,013</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591,920</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1,191,419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40" w:hanging="492"/>
        <w:spacing w:after="0" w:line="255"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by the principal accountant for the audit of the registrant’s annual financial statements and review of financial statements included in the registrant’s Form 10-K or services that are normally provided by the accountant in connection with statutory and regulatory filings or engagements.</w:t>
      </w:r>
    </w:p>
    <w:p>
      <w:pPr>
        <w:spacing w:after="0" w:line="2" w:lineRule="exact"/>
        <w:rPr>
          <w:rFonts w:ascii="Arial" w:cs="Arial" w:eastAsia="Arial" w:hAnsi="Arial"/>
          <w:sz w:val="18"/>
          <w:szCs w:val="18"/>
          <w:color w:val="auto"/>
        </w:rPr>
      </w:pPr>
    </w:p>
    <w:p>
      <w:pPr>
        <w:ind w:left="500" w:right="280" w:hanging="492"/>
        <w:spacing w:after="0" w:line="260"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fees include the aggregate fees billed in each of the last two fiscal years for professional services rendered by the principal accountant for tax compliance, tax advice, and tax planning.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The Audit Committee’s policy is for the Audit Committee to approve all audit and non-audit services prior to such services being performed by the independent registered public accounting firm. Before engaging an independent registered public accountant firm to render audit or non-audit services, the engagement is approved by the Company’s Audit Committee or the engagement to render services is entered into pursuant to pre-approval policies and procedures established by the audit committee. The Audit Committee pre-approved all audit services provided by independent registered public accountants during the year-ended December 31, 2022, the transition period ended December 31, 2021 and the year-ended June 30,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17" w:lineRule="exact"/>
        <w:rPr>
          <w:rFonts w:ascii="Arial" w:cs="Arial" w:eastAsia="Arial" w:hAnsi="Arial"/>
          <w:sz w:val="18"/>
          <w:szCs w:val="18"/>
          <w:color w:val="auto"/>
        </w:rPr>
      </w:pPr>
    </w:p>
    <w:p>
      <w:pPr>
        <w:ind w:left="1140" w:hanging="498"/>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Financial Statements</w:t>
      </w:r>
    </w:p>
    <w:p>
      <w:pPr>
        <w:spacing w:after="0" w:line="11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See Index to Financial Statements in Part II, Item 8 of this Annual Report.</w:t>
      </w:r>
    </w:p>
    <w:p>
      <w:pPr>
        <w:spacing w:after="0" w:line="117" w:lineRule="exact"/>
        <w:rPr>
          <w:rFonts w:ascii="Arial" w:cs="Arial" w:eastAsia="Arial" w:hAnsi="Arial"/>
          <w:sz w:val="18"/>
          <w:szCs w:val="18"/>
          <w:color w:val="auto"/>
        </w:rPr>
      </w:pPr>
    </w:p>
    <w:p>
      <w:pPr>
        <w:ind w:left="1140" w:hanging="498"/>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160" w:right="540"/>
        <w:spacing w:after="0" w:line="263"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since the required information was not applicable or was not present in amounts sufficient to require submission of the schedules, or because the information required is included in the financial statements or the accompanying notes.</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7"/>
          <w:szCs w:val="17"/>
          <w:color w:val="auto"/>
        </w:rPr>
        <w:t>The exhibits listed in the following Index to Exhibits are filed, furnished or incorporated by reference as part of this Annual Report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80" w:type="dxa"/>
            <w:vAlign w:val="bottom"/>
            <w:gridSpan w:val="20"/>
          </w:tcPr>
          <w:p>
            <w:pPr>
              <w:ind w:left="82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10100" w:type="dxa"/>
            <w:vAlign w:val="bottom"/>
            <w:gridSpan w:val="25"/>
          </w:tcPr>
          <w:p>
            <w:pPr>
              <w:spacing w:after="0"/>
              <w:rPr>
                <w:sz w:val="20"/>
                <w:szCs w:val="20"/>
                <w:color w:val="auto"/>
              </w:rPr>
            </w:pPr>
            <w:r>
              <w:rPr>
                <w:rFonts w:ascii="Arial" w:cs="Arial" w:eastAsia="Arial" w:hAnsi="Arial"/>
                <w:sz w:val="18"/>
                <w:szCs w:val="18"/>
                <w:b w:val="1"/>
                <w:bCs w:val="1"/>
                <w:color w:val="auto"/>
              </w:rPr>
              <w:t>Exhibit</w:t>
            </w:r>
          </w:p>
        </w:tc>
      </w:tr>
      <w:tr>
        <w:trPr>
          <w:trHeight w:val="234"/>
        </w:trPr>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0100" w:type="dxa"/>
            <w:vAlign w:val="bottom"/>
            <w:gridSpan w:val="25"/>
          </w:tcPr>
          <w:p>
            <w:pPr>
              <w:spacing w:after="0"/>
              <w:rPr>
                <w:sz w:val="20"/>
                <w:szCs w:val="20"/>
                <w:color w:val="auto"/>
              </w:rPr>
            </w:pPr>
            <w:r>
              <w:rPr>
                <w:rFonts w:ascii="Arial" w:cs="Arial" w:eastAsia="Arial" w:hAnsi="Arial"/>
                <w:sz w:val="18"/>
                <w:szCs w:val="18"/>
                <w:b w:val="1"/>
                <w:bCs w:val="1"/>
                <w:color w:val="auto"/>
              </w:rPr>
              <w:t>Description</w:t>
            </w:r>
          </w:p>
        </w:tc>
      </w:tr>
      <w:tr>
        <w:trPr>
          <w:trHeight w:val="263"/>
        </w:trPr>
        <w:tc>
          <w:tcPr>
            <w:tcW w:w="10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0100" w:type="dxa"/>
            <w:vAlign w:val="bottom"/>
            <w:tcBorders>
              <w:top w:val="single" w:sz="8" w:color="auto"/>
            </w:tcBorders>
            <w:gridSpan w:val="25"/>
          </w:tcPr>
          <w:p>
            <w:pPr>
              <w:spacing w:after="0"/>
              <w:rPr>
                <w:rFonts w:ascii="Arial" w:cs="Arial" w:eastAsia="Arial" w:hAnsi="Arial"/>
                <w:sz w:val="18"/>
                <w:szCs w:val="18"/>
                <w:color w:val="0000EE"/>
                <w:w w:val="97"/>
              </w:rPr>
            </w:pPr>
            <w:hyperlink r:id="rId80">
              <w:r>
                <w:rPr>
                  <w:rFonts w:ascii="Arial" w:cs="Arial" w:eastAsia="Arial" w:hAnsi="Arial"/>
                  <w:sz w:val="18"/>
                  <w:szCs w:val="18"/>
                  <w:color w:val="0000EE"/>
                  <w:w w:val="97"/>
                </w:rPr>
                <w:t>Scheme Implementation Agreement (incorporated by reference to Exhibit 99.2 of Form 6-K of Avita Medical Limited dated April 20,</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0">
              <w:r>
                <w:rPr>
                  <w:rFonts w:ascii="Arial" w:cs="Arial" w:eastAsia="Arial" w:hAnsi="Arial"/>
                  <w:sz w:val="18"/>
                  <w:szCs w:val="18"/>
                  <w:color w:val="0000EE"/>
                  <w:w w:val="86"/>
                </w:rPr>
                <w:t>2020)</w:t>
              </w:r>
            </w:hyperlink>
          </w:p>
        </w:tc>
        <w:tc>
          <w:tcPr>
            <w:tcW w:w="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rPr>
            </w:pPr>
            <w:hyperlink r:id="rId81">
              <w:r>
                <w:rPr>
                  <w:rFonts w:ascii="Arial" w:cs="Arial" w:eastAsia="Arial" w:hAnsi="Arial"/>
                  <w:sz w:val="18"/>
                  <w:szCs w:val="18"/>
                  <w:color w:val="0000EE"/>
                </w:rPr>
                <w:t>Certificate of Incorporation (incorporated by reference to Exhibit 3.1 to the registrant’s Form 8-K12B filed on June 30,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w w:val="94"/>
              </w:rPr>
            </w:pPr>
            <w:hyperlink r:id="rId82">
              <w:r>
                <w:rPr>
                  <w:rFonts w:ascii="Arial" w:cs="Arial" w:eastAsia="Arial" w:hAnsi="Arial"/>
                  <w:sz w:val="18"/>
                  <w:szCs w:val="18"/>
                  <w:color w:val="0000EE"/>
                  <w:w w:val="94"/>
                </w:rPr>
                <w:t>Certificate of Amendment of Certificate of Incorporation (incorporated by reference to Exhibit 3.2 to the registrant’s Form 10-KT filed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February 28, 2022)</w:t>
              </w:r>
            </w:hyperlink>
          </w:p>
        </w:tc>
        <w:tc>
          <w:tcPr>
            <w:tcW w:w="160" w:type="dxa"/>
            <w:vAlign w:val="bottom"/>
            <w:gridSpan w:val="5"/>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w w:val="96"/>
              </w:rPr>
            </w:pPr>
            <w:hyperlink r:id="rId83">
              <w:r>
                <w:rPr>
                  <w:rFonts w:ascii="Arial" w:cs="Arial" w:eastAsia="Arial" w:hAnsi="Arial"/>
                  <w:sz w:val="18"/>
                  <w:szCs w:val="18"/>
                  <w:color w:val="0000EE"/>
                  <w:w w:val="96"/>
                </w:rPr>
                <w:t>Amended and Restated Bylaws (incorporated by reference to Exhibit 3.3 to the registrant’s Form 10-KT filed on February 28, 2022)</w:t>
              </w:r>
            </w:hyperlink>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4"/>
              </w:rPr>
              <w:t>Description of Capital Stock**</w:t>
            </w:r>
          </w:p>
        </w:tc>
        <w:tc>
          <w:tcPr>
            <w:tcW w:w="7280" w:type="dxa"/>
            <w:vAlign w:val="bottom"/>
            <w:tcBorders>
              <w:top w:val="single" w:sz="8" w:color="0000EE"/>
            </w:tcBorders>
            <w:gridSpan w:val="9"/>
          </w:tcPr>
          <w:p>
            <w:pPr>
              <w:spacing w:after="0"/>
              <w:rPr>
                <w:sz w:val="24"/>
                <w:szCs w:val="24"/>
                <w:color w:val="auto"/>
              </w:rPr>
            </w:pPr>
          </w:p>
        </w:tc>
        <w:tc>
          <w:tcPr>
            <w:tcW w:w="580" w:type="dxa"/>
            <w:vAlign w:val="bottom"/>
            <w:gridSpan w:val="12"/>
          </w:tcPr>
          <w:p>
            <w:pPr>
              <w:spacing w:after="0"/>
              <w:rPr>
                <w:sz w:val="24"/>
                <w:szCs w:val="24"/>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960" w:type="dxa"/>
            <w:vAlign w:val="bottom"/>
            <w:tcBorders>
              <w:bottom w:val="single" w:sz="8" w:color="0000EE"/>
            </w:tcBorders>
            <w:gridSpan w:val="21"/>
          </w:tcPr>
          <w:p>
            <w:pPr>
              <w:spacing w:after="0"/>
              <w:rPr>
                <w:rFonts w:ascii="Arial" w:cs="Arial" w:eastAsia="Arial" w:hAnsi="Arial"/>
                <w:sz w:val="18"/>
                <w:szCs w:val="18"/>
                <w:color w:val="0000EE"/>
                <w:w w:val="92"/>
              </w:rPr>
            </w:pPr>
            <w:hyperlink r:id="rId84">
              <w:r>
                <w:rPr>
                  <w:rFonts w:ascii="Arial" w:cs="Arial" w:eastAsia="Arial" w:hAnsi="Arial"/>
                  <w:sz w:val="18"/>
                  <w:szCs w:val="18"/>
                  <w:color w:val="0000EE"/>
                  <w:w w:val="92"/>
                </w:rPr>
                <w:t>Employee Incentive Option Plan (incorporated by reference to Exhibit 4.1 of the Form 20-F of Avita Medical Limited filed September 27,</w:t>
              </w:r>
            </w:hyperlink>
          </w:p>
        </w:tc>
        <w:tc>
          <w:tcPr>
            <w:tcW w:w="1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2019)</w:t>
              </w:r>
              <w:r>
                <w:rPr>
                  <w:rFonts w:ascii="Arial" w:cs="Arial" w:eastAsia="Arial" w:hAnsi="Arial"/>
                  <w:sz w:val="18"/>
                  <w:szCs w:val="18"/>
                  <w:u w:val="single" w:color="auto"/>
                  <w:color w:val="0000EE"/>
                  <w:w w:val="89"/>
                </w:rPr>
                <w:t>†</w:t>
              </w:r>
            </w:hyperlink>
          </w:p>
        </w:tc>
        <w:tc>
          <w:tcPr>
            <w:tcW w:w="9580" w:type="dxa"/>
            <w:vAlign w:val="bottom"/>
            <w:gridSpan w:val="23"/>
          </w:tcPr>
          <w:p>
            <w:pPr>
              <w:spacing w:after="0"/>
              <w:rPr>
                <w:sz w:val="17"/>
                <w:szCs w:val="17"/>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w w:val="95"/>
              </w:rPr>
            </w:pPr>
            <w:hyperlink r:id="rId85">
              <w:r>
                <w:rPr>
                  <w:rFonts w:ascii="Arial" w:cs="Arial" w:eastAsia="Arial" w:hAnsi="Arial"/>
                  <w:sz w:val="18"/>
                  <w:szCs w:val="18"/>
                  <w:color w:val="0000EE"/>
                  <w:w w:val="95"/>
                </w:rPr>
                <w:t>Employee Share Plan (incorporated by reference to Exhibit 4.2 of the Form 20-F of Avita Medical Limited filed September 27, 2019)†</w:t>
              </w:r>
            </w:hyperlink>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3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Award Contract dated September 29, 2015 by and between the registrant and the U.S. Department of Health and Human Services</w:t>
              </w:r>
            </w:hyperlink>
          </w:p>
        </w:tc>
        <w:tc>
          <w:tcPr>
            <w:tcW w:w="340" w:type="dxa"/>
            <w:vAlign w:val="bottom"/>
            <w:tcBorders>
              <w:top w:val="single" w:sz="8" w:color="0000EE"/>
            </w:tcBorders>
            <w:gridSpan w:val="4"/>
          </w:tcPr>
          <w:p>
            <w:pPr>
              <w:spacing w:after="0"/>
              <w:rPr>
                <w:sz w:val="24"/>
                <w:szCs w:val="24"/>
                <w:color w:val="auto"/>
              </w:rPr>
            </w:pPr>
          </w:p>
        </w:tc>
        <w:tc>
          <w:tcPr>
            <w:tcW w:w="40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Biomedical Advanced Research and Development Authority (BARDA) (incorporated by reference to Exhibit 4.3 of the Form 20-F of Avita</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Medical Limited filed September 27, 2019)*</w:t>
              </w:r>
            </w:hyperlink>
          </w:p>
        </w:tc>
        <w:tc>
          <w:tcPr>
            <w:tcW w:w="6880" w:type="dxa"/>
            <w:vAlign w:val="bottom"/>
            <w:gridSpan w:val="20"/>
          </w:tcPr>
          <w:p>
            <w:pPr>
              <w:spacing w:after="0"/>
              <w:rPr>
                <w:sz w:val="17"/>
                <w:szCs w:val="17"/>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Award Contract dated September 29, 2015 by and between the registrant and BARDA (incorporated by reference to Exhibit 4.4 of the Form</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20-F of Avita Medical Limited filed September 27, 2019) *</w:t>
              </w:r>
            </w:hyperlink>
          </w:p>
        </w:tc>
        <w:tc>
          <w:tcPr>
            <w:tcW w:w="580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w w:val="95"/>
              </w:rPr>
            </w:pPr>
            <w:hyperlink r:id="rId88">
              <w:r>
                <w:rPr>
                  <w:rFonts w:ascii="Arial" w:cs="Arial" w:eastAsia="Arial" w:hAnsi="Arial"/>
                  <w:sz w:val="18"/>
                  <w:szCs w:val="18"/>
                  <w:color w:val="0000EE"/>
                  <w:w w:val="95"/>
                </w:rPr>
                <w:t>Amendment of Solicitation/Modification of Contract dated June 24, 2016 by and between the registrant and BARDA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reference to Exhibit 4.5 of the Form 20-F of Avita Medical Limited filed September 27, 2019) *</w:t>
              </w:r>
            </w:hyperlink>
          </w:p>
        </w:tc>
        <w:tc>
          <w:tcPr>
            <w:tcW w:w="2800" w:type="dxa"/>
            <w:vAlign w:val="bottom"/>
            <w:tcBorders>
              <w:top w:val="single" w:sz="8" w:color="0000EE"/>
            </w:tcBorders>
            <w:gridSpan w:val="8"/>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900" w:type="dxa"/>
            <w:vAlign w:val="bottom"/>
            <w:tcBorders>
              <w:bottom w:val="single" w:sz="8" w:color="0000EE"/>
            </w:tcBorders>
            <w:gridSpan w:val="19"/>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Amendment of Solicitation/Modification of Contract dated September 28, 2017 by and between the registrant and BARDA (incorporated</w:t>
              </w:r>
            </w:hyperlink>
          </w:p>
        </w:tc>
        <w:tc>
          <w:tcPr>
            <w:tcW w:w="20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by reference to Exhibit 4.6 of the Form 20-F of Avita Medical Limited filed September 27, 2019) *</w:t>
              </w:r>
            </w:hyperlink>
          </w:p>
        </w:tc>
        <w:tc>
          <w:tcPr>
            <w:tcW w:w="2960" w:type="dxa"/>
            <w:vAlign w:val="bottom"/>
            <w:gridSpan w:val="15"/>
          </w:tcPr>
          <w:p>
            <w:pPr>
              <w:spacing w:after="0"/>
              <w:rPr>
                <w:sz w:val="17"/>
                <w:szCs w:val="17"/>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w w:val="97"/>
              </w:rPr>
            </w:pPr>
            <w:hyperlink r:id="rId90">
              <w:r>
                <w:rPr>
                  <w:rFonts w:ascii="Arial" w:cs="Arial" w:eastAsia="Arial" w:hAnsi="Arial"/>
                  <w:sz w:val="18"/>
                  <w:szCs w:val="18"/>
                  <w:color w:val="0000EE"/>
                  <w:w w:val="97"/>
                </w:rPr>
                <w:t>Amendment of Solicitation/Modification of Contract dated July 2, 2018 by and between the registrant and BARDA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reference to Exhibit 4.7 of the Form 20-F of Avita Medical Limited filed September 27, 2019) *</w:t>
              </w:r>
            </w:hyperlink>
          </w:p>
        </w:tc>
        <w:tc>
          <w:tcPr>
            <w:tcW w:w="2680" w:type="dxa"/>
            <w:vAlign w:val="bottom"/>
            <w:tcBorders>
              <w:top w:val="single" w:sz="8" w:color="0000EE"/>
            </w:tcBorders>
            <w:gridSpan w:val="5"/>
          </w:tcPr>
          <w:p>
            <w:pPr>
              <w:spacing w:after="0"/>
              <w:rPr>
                <w:sz w:val="17"/>
                <w:szCs w:val="17"/>
                <w:color w:val="auto"/>
              </w:rPr>
            </w:pPr>
          </w:p>
        </w:tc>
        <w:tc>
          <w:tcPr>
            <w:tcW w:w="500" w:type="dxa"/>
            <w:vAlign w:val="bottom"/>
            <w:gridSpan w:val="11"/>
          </w:tcPr>
          <w:p>
            <w:pPr>
              <w:spacing w:after="0"/>
              <w:rPr>
                <w:sz w:val="17"/>
                <w:szCs w:val="17"/>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Lease Agreement between the registrant and Hartco Ventura Inc. dated January 25, 2018 (incorporated by reference to Exhibit 4.8 of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Form 20-F of Avita Medical Limited filed September 27, 2019)</w:t>
              </w:r>
            </w:hyperlink>
          </w:p>
        </w:tc>
        <w:tc>
          <w:tcPr>
            <w:tcW w:w="5280" w:type="dxa"/>
            <w:vAlign w:val="bottom"/>
            <w:tcBorders>
              <w:top w:val="single" w:sz="8" w:color="0000EE"/>
            </w:tcBorders>
            <w:gridSpan w:val="11"/>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04"/>
        </w:trPr>
        <w:tc>
          <w:tcPr>
            <w:tcW w:w="1020" w:type="dxa"/>
            <w:vAlign w:val="bottom"/>
          </w:tcPr>
          <w:p>
            <w:pPr>
              <w:jc w:val="right"/>
              <w:ind w:right="47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000" w:type="dxa"/>
            <w:vAlign w:val="bottom"/>
            <w:tcBorders>
              <w:bottom w:val="single" w:sz="8" w:color="0000EE"/>
            </w:tcBorders>
            <w:gridSpan w:val="22"/>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Lease Agreement between the registrant and RIF-Avenue Stanford LLC, dated October 3, 2016, as amended (incorporated by reference to</w:t>
              </w:r>
            </w:hyperlink>
          </w:p>
        </w:tc>
        <w:tc>
          <w:tcPr>
            <w:tcW w:w="10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5"/>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Exhibit 4.9 of the Form 20-F of Avita Medical Limited filed September 27, 2019)</w:t>
              </w:r>
            </w:hyperlink>
          </w:p>
        </w:tc>
      </w:tr>
      <w:tr>
        <w:trPr>
          <w:trHeight w:val="453"/>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tcBorders>
              <w:top w:val="single" w:sz="8" w:color="0000EE"/>
            </w:tcBorders>
            <w:gridSpan w:val="7"/>
          </w:tcPr>
          <w:p>
            <w:pPr>
              <w:ind w:left="4400"/>
              <w:spacing w:after="0"/>
              <w:rPr>
                <w:sz w:val="20"/>
                <w:szCs w:val="20"/>
                <w:color w:val="auto"/>
              </w:rPr>
            </w:pPr>
            <w:r>
              <w:rPr>
                <w:rFonts w:ascii="Arial" w:cs="Arial" w:eastAsia="Arial" w:hAnsi="Arial"/>
                <w:sz w:val="18"/>
                <w:szCs w:val="18"/>
                <w:color w:val="auto"/>
                <w:w w:val="79"/>
              </w:rPr>
              <w:t>57</w:t>
            </w:r>
          </w:p>
        </w:tc>
        <w:tc>
          <w:tcPr>
            <w:tcW w:w="130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w:t>
            </w:r>
          </w:p>
        </w:tc>
        <w:tc>
          <w:tcPr>
            <w:tcW w:w="10100" w:type="dxa"/>
            <w:vAlign w:val="bottom"/>
            <w:gridSpan w:val="32"/>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4"/>
        </w:trPr>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3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63"/>
        </w:trPr>
        <w:tc>
          <w:tcPr>
            <w:tcW w:w="10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9440" w:type="dxa"/>
            <w:vAlign w:val="bottom"/>
            <w:tcBorders>
              <w:top w:val="single" w:sz="8" w:color="auto"/>
              <w:bottom w:val="single" w:sz="8" w:color="0000EE"/>
            </w:tcBorders>
            <w:gridSpan w:val="19"/>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Third Amendment to the Lease Agreement between the registrant and RIF III-Avenue Stanford LLC, dated November 17, 2020, as</w:t>
              </w:r>
            </w:hyperlink>
          </w:p>
        </w:tc>
        <w:tc>
          <w:tcPr>
            <w:tcW w:w="660" w:type="dxa"/>
            <w:vAlign w:val="bottom"/>
            <w:tcBorders>
              <w:top w:val="single" w:sz="8" w:color="auto"/>
            </w:tcBorders>
            <w:gridSpan w:val="1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amended) (incorporated by reference to Exhibit 10.10 to the registrant’s Form 10-KT filed on February 28, 2022)</w:t>
              </w:r>
            </w:hyperlink>
          </w:p>
        </w:tc>
        <w:tc>
          <w:tcPr>
            <w:tcW w:w="19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Executive Employment Agreement between the registrant and Dr. Michael Perry, dated November 12, 2019 (incorporated by reference to</w:t>
              </w:r>
            </w:hyperlink>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00" w:type="dxa"/>
            <w:vAlign w:val="bottom"/>
            <w:tcBorders>
              <w:top w:val="single" w:sz="8" w:color="0000EE"/>
            </w:tcBorders>
            <w:gridSpan w:val="26"/>
          </w:tcPr>
          <w:p>
            <w:pPr>
              <w:spacing w:after="0"/>
              <w:rPr>
                <w:rFonts w:ascii="Arial" w:cs="Arial" w:eastAsia="Arial" w:hAnsi="Arial"/>
                <w:sz w:val="18"/>
                <w:szCs w:val="18"/>
                <w:color w:val="0000EE"/>
              </w:rPr>
            </w:pPr>
            <w:hyperlink r:id="rId96">
              <w:r>
                <w:rPr>
                  <w:rFonts w:ascii="Arial" w:cs="Arial" w:eastAsia="Arial" w:hAnsi="Arial"/>
                  <w:sz w:val="18"/>
                  <w:szCs w:val="18"/>
                  <w:color w:val="0000EE"/>
                </w:rPr>
                <w:t xml:space="preserve">Exhibit 10.11 to the registrant’s Form 10-KT filed on February 28, 2022) </w:t>
              </w:r>
              <w:r>
                <w:rPr>
                  <w:rFonts w:ascii="Arial" w:cs="Arial" w:eastAsia="Arial" w:hAnsi="Arial"/>
                  <w:sz w:val="18"/>
                  <w:szCs w:val="18"/>
                  <w:color w:val="000000"/>
                </w:rPr>
                <w:t>†</w:t>
              </w:r>
            </w:hyperlink>
          </w:p>
        </w:tc>
        <w:tc>
          <w:tcPr>
            <w:tcW w:w="2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9960" w:type="dxa"/>
            <w:vAlign w:val="bottom"/>
            <w:tcBorders>
              <w:bottom w:val="single" w:sz="8" w:color="0000EE"/>
            </w:tcBorders>
            <w:gridSpan w:val="28"/>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RSUs – Confirmatory Deed between the registrant and Dr. Michael Perry, dated November 12, 2019 (incorporated by reference to Exhibit</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32"/>
          </w:tcPr>
          <w:p>
            <w:pPr>
              <w:spacing w:after="0"/>
              <w:rPr>
                <w:rFonts w:ascii="Arial" w:cs="Arial" w:eastAsia="Arial" w:hAnsi="Arial"/>
                <w:sz w:val="18"/>
                <w:szCs w:val="18"/>
                <w:color w:val="0000EE"/>
              </w:rPr>
            </w:pPr>
            <w:hyperlink r:id="rId97">
              <w:r>
                <w:rPr>
                  <w:rFonts w:ascii="Arial" w:cs="Arial" w:eastAsia="Arial" w:hAnsi="Arial"/>
                  <w:sz w:val="18"/>
                  <w:szCs w:val="18"/>
                  <w:color w:val="0000EE"/>
                </w:rPr>
                <w:t>10.</w:t>
              </w:r>
              <w:r>
                <w:rPr>
                  <w:rFonts w:ascii="Arial" w:cs="Arial" w:eastAsia="Arial" w:hAnsi="Arial"/>
                  <w:sz w:val="18"/>
                  <w:szCs w:val="18"/>
                  <w:u w:val="single" w:color="auto"/>
                  <w:color w:val="0000EE"/>
                </w:rPr>
                <w:t>12</w:t>
              </w:r>
              <w:r>
                <w:rPr>
                  <w:rFonts w:ascii="Arial" w:cs="Arial" w:eastAsia="Arial" w:hAnsi="Arial"/>
                  <w:sz w:val="18"/>
                  <w:szCs w:val="18"/>
                  <w:color w:val="0000EE"/>
                </w:rPr>
                <w:t xml:space="preserve"> to the registrant’s Form 10-KT filed on February 28, 2022)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Option Confirmatory Deed between the registrant and Dr. Michael Perry, dated November 12, 2019 (incorporated by reference to Exhibit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32"/>
          </w:tcPr>
          <w:p>
            <w:pPr>
              <w:spacing w:after="0"/>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13</w:t>
              </w:r>
              <w:r>
                <w:rPr>
                  <w:rFonts w:ascii="Arial" w:cs="Arial" w:eastAsia="Arial" w:hAnsi="Arial"/>
                  <w:sz w:val="18"/>
                  <w:szCs w:val="18"/>
                  <w:color w:val="0000EE"/>
                </w:rPr>
                <w:t xml:space="preserve"> to the registrant’s Form 10-KT filed on February 28, 2022)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10100" w:type="dxa"/>
            <w:vAlign w:val="bottom"/>
            <w:tcBorders>
              <w:bottom w:val="single" w:sz="8" w:color="0000EE"/>
            </w:tcBorders>
            <w:gridSpan w:val="32"/>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Executive Employment Agreement between the registrant and Michael Holder, dated effective March 22, 2021 (incorporated by reference</w:t>
              </w:r>
            </w:hyperlink>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32"/>
          </w:tcPr>
          <w:p>
            <w:pPr>
              <w:spacing w:after="0"/>
              <w:rPr>
                <w:rFonts w:ascii="Arial" w:cs="Arial" w:eastAsia="Arial" w:hAnsi="Arial"/>
                <w:sz w:val="18"/>
                <w:szCs w:val="18"/>
                <w:color w:val="0000EE"/>
              </w:rPr>
            </w:pPr>
            <w:hyperlink r:id="rId99">
              <w:r>
                <w:rPr>
                  <w:rFonts w:ascii="Arial" w:cs="Arial" w:eastAsia="Arial" w:hAnsi="Arial"/>
                  <w:sz w:val="18"/>
                  <w:szCs w:val="18"/>
                  <w:color w:val="0000EE"/>
                </w:rPr>
                <w:t xml:space="preserve">to Exhibit 10.14 to the registrant’s Form 10-KT filed on February 28, 2022)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10020" w:type="dxa"/>
            <w:vAlign w:val="bottom"/>
            <w:tcBorders>
              <w:bottom w:val="single" w:sz="8" w:color="0000EE"/>
            </w:tcBorders>
            <w:gridSpan w:val="30"/>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Executive Employment Agreement between the registrant and Kathy McGee, dated effective December 1, 2020 (incorporated by reference</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32"/>
          </w:tcPr>
          <w:p>
            <w:pPr>
              <w:spacing w:after="0"/>
              <w:rPr>
                <w:rFonts w:ascii="Arial" w:cs="Arial" w:eastAsia="Arial" w:hAnsi="Arial"/>
                <w:sz w:val="18"/>
                <w:szCs w:val="18"/>
                <w:color w:val="0000EE"/>
              </w:rPr>
            </w:pPr>
            <w:hyperlink r:id="rId100">
              <w:r>
                <w:rPr>
                  <w:rFonts w:ascii="Arial" w:cs="Arial" w:eastAsia="Arial" w:hAnsi="Arial"/>
                  <w:sz w:val="18"/>
                  <w:szCs w:val="18"/>
                  <w:color w:val="0000EE"/>
                </w:rPr>
                <w:t xml:space="preserve">to Exhibit 10.15 to the registrant’s Form 10-KT filed on February 28, 2022)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9940" w:type="dxa"/>
            <w:vAlign w:val="bottom"/>
            <w:tcBorders>
              <w:bottom w:val="single" w:sz="8" w:color="0000EE"/>
            </w:tcBorders>
            <w:gridSpan w:val="27"/>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Executive Employment Agreement between the registrant and Erin Liberto, dated effective August 28, 2017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32"/>
          </w:tcPr>
          <w:p>
            <w:pPr>
              <w:spacing w:after="0"/>
              <w:rPr>
                <w:rFonts w:ascii="Arial" w:cs="Arial" w:eastAsia="Arial" w:hAnsi="Arial"/>
                <w:sz w:val="18"/>
                <w:szCs w:val="18"/>
                <w:color w:val="0000EE"/>
              </w:rPr>
            </w:pPr>
            <w:hyperlink r:id="rId101">
              <w:r>
                <w:rPr>
                  <w:rFonts w:ascii="Arial" w:cs="Arial" w:eastAsia="Arial" w:hAnsi="Arial"/>
                  <w:sz w:val="18"/>
                  <w:szCs w:val="18"/>
                  <w:color w:val="0000EE"/>
                </w:rPr>
                <w:t xml:space="preserve">Exhibit 10.16 to the registrant’s Form 10-KT filed on February 28, 2022)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9900" w:type="dxa"/>
            <w:vAlign w:val="bottom"/>
            <w:tcBorders>
              <w:bottom w:val="single" w:sz="8" w:color="0000EE"/>
            </w:tcBorders>
            <w:gridSpan w:val="25"/>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Executive Employment Agreement between the registrant and Andrew Quick, dated effective April 1, 2019 (incorporated by reference to</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32"/>
          </w:tcPr>
          <w:p>
            <w:pPr>
              <w:spacing w:after="0"/>
              <w:rPr>
                <w:rFonts w:ascii="Arial" w:cs="Arial" w:eastAsia="Arial" w:hAnsi="Arial"/>
                <w:sz w:val="18"/>
                <w:szCs w:val="18"/>
                <w:color w:val="0000EE"/>
              </w:rPr>
            </w:pPr>
            <w:hyperlink r:id="rId102">
              <w:r>
                <w:rPr>
                  <w:rFonts w:ascii="Arial" w:cs="Arial" w:eastAsia="Arial" w:hAnsi="Arial"/>
                  <w:sz w:val="18"/>
                  <w:szCs w:val="18"/>
                  <w:color w:val="0000EE"/>
                </w:rPr>
                <w:t xml:space="preserve">Exhibit 10.17 to the registrant’s Form 10-KT filed on February 28, 2022)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10000" w:type="dxa"/>
            <w:vAlign w:val="bottom"/>
            <w:tcBorders>
              <w:bottom w:val="single" w:sz="8" w:color="0000EE"/>
            </w:tcBorders>
            <w:gridSpan w:val="29"/>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Executive Employment Agreement between the registrant and Donna Shiroma, dated effective June 25, 2018 (incorporated by reference to</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32"/>
          </w:tcPr>
          <w:p>
            <w:pPr>
              <w:spacing w:after="0"/>
              <w:rPr>
                <w:rFonts w:ascii="Arial" w:cs="Arial" w:eastAsia="Arial" w:hAnsi="Arial"/>
                <w:sz w:val="18"/>
                <w:szCs w:val="18"/>
                <w:color w:val="0000EE"/>
              </w:rPr>
            </w:pPr>
            <w:hyperlink r:id="rId103">
              <w:r>
                <w:rPr>
                  <w:rFonts w:ascii="Arial" w:cs="Arial" w:eastAsia="Arial" w:hAnsi="Arial"/>
                  <w:sz w:val="18"/>
                  <w:szCs w:val="18"/>
                  <w:color w:val="0000EE"/>
                </w:rPr>
                <w:t xml:space="preserve">Exhibit 10.18 to the registrant’s Form 10-KT filed on February 28, 2022)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4"/>
              </w:rPr>
              <w:t>Form of Stock Option Grant**†</w:t>
            </w:r>
          </w:p>
        </w:tc>
        <w:tc>
          <w:tcPr>
            <w:tcW w:w="2940" w:type="dxa"/>
            <w:vAlign w:val="bottom"/>
            <w:tcBorders>
              <w:top w:val="single" w:sz="8" w:color="0000EE"/>
            </w:tcBorders>
            <w:gridSpan w:val="6"/>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7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21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3"/>
              </w:rPr>
              <w:t>Form of RSU Agreement**†</w:t>
            </w:r>
          </w:p>
        </w:tc>
        <w:tc>
          <w:tcPr>
            <w:tcW w:w="8000" w:type="dxa"/>
            <w:vAlign w:val="bottom"/>
            <w:gridSpan w:val="31"/>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EE"/>
                <w:w w:val="95"/>
              </w:rPr>
            </w:pPr>
            <w:hyperlink r:id="rId104">
              <w:r>
                <w:rPr>
                  <w:rFonts w:ascii="Arial" w:cs="Arial" w:eastAsia="Arial" w:hAnsi="Arial"/>
                  <w:sz w:val="18"/>
                  <w:szCs w:val="18"/>
                  <w:color w:val="0000EE"/>
                  <w:w w:val="95"/>
                </w:rPr>
                <w:t xml:space="preserve">2020 Omnibus Incentive Plan (incorporated by reference to Exhibit 10.29 to the registrant’s Form 10-KT filed on February 28, 2022) </w:t>
              </w:r>
            </w:hyperlink>
            <w:r>
              <w:rPr>
                <w:rFonts w:ascii="Arial" w:cs="Arial" w:eastAsia="Arial" w:hAnsi="Arial"/>
                <w:sz w:val="18"/>
                <w:szCs w:val="18"/>
                <w:color w:val="000000"/>
                <w:w w:val="95"/>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10040" w:type="dxa"/>
            <w:vAlign w:val="bottom"/>
            <w:tcBorders>
              <w:bottom w:val="single" w:sz="8" w:color="0000EE"/>
            </w:tcBorders>
            <w:gridSpan w:val="31"/>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Fourth Amendment to the Lease Agreement between the registrant and RIF III-Avenue Stanford LLC, dated August 25, 2021, as amended)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(incorporated by reference to Exhibit 10.30 to the registrant’s Form 10-KT filed on February 28, 2022)</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1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Stock Option Grant Agreement between the registrant and James Corbett, dated effective September 28, 2022.** †</w:t>
            </w:r>
          </w:p>
        </w:tc>
        <w:tc>
          <w:tcPr>
            <w:tcW w:w="18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98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1"/>
              </w:rPr>
              <w:t>Fifth Amendment to the Lease Agreement between the registrant and 28159 Avenue Stanford Properties, LLC, (formerly RIF III-Avenue</w:t>
            </w:r>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2"/>
          </w:tcPr>
          <w:p>
            <w:pPr>
              <w:spacing w:after="0" w:line="196" w:lineRule="exact"/>
              <w:rPr>
                <w:sz w:val="20"/>
                <w:szCs w:val="20"/>
                <w:color w:val="auto"/>
              </w:rPr>
            </w:pPr>
            <w:r>
              <w:rPr>
                <w:rFonts w:ascii="Arial" w:cs="Arial" w:eastAsia="Arial" w:hAnsi="Arial"/>
                <w:sz w:val="18"/>
                <w:szCs w:val="18"/>
                <w:color w:val="0000EE"/>
              </w:rPr>
              <w:t>Stanford LLC), dated January 26, 2023, as amended) **</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ind w:left="1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0100" w:type="dxa"/>
            <w:vAlign w:val="bottom"/>
            <w:gridSpan w:val="32"/>
          </w:tcPr>
          <w:p>
            <w:pPr>
              <w:spacing w:after="0"/>
              <w:rPr>
                <w:rFonts w:ascii="Arial" w:cs="Arial" w:eastAsia="Arial" w:hAnsi="Arial"/>
                <w:sz w:val="18"/>
                <w:szCs w:val="18"/>
                <w:color w:val="0000EE"/>
                <w:w w:val="97"/>
              </w:rPr>
            </w:pPr>
            <w:hyperlink r:id="rId106">
              <w:r>
                <w:rPr>
                  <w:rFonts w:ascii="Arial" w:cs="Arial" w:eastAsia="Arial" w:hAnsi="Arial"/>
                  <w:sz w:val="18"/>
                  <w:szCs w:val="18"/>
                  <w:color w:val="0000EE"/>
                  <w:w w:val="97"/>
                </w:rPr>
                <w:t>Subsidiaries of the Registrant (incorporated by reference to Exhibit 21.1 to the registrant’s Form 10-KT filed on February 28, 2022)</w:t>
              </w:r>
            </w:hyperlink>
          </w:p>
        </w:tc>
        <w:tc>
          <w:tcPr>
            <w:tcW w:w="0" w:type="dxa"/>
            <w:vAlign w:val="bottom"/>
          </w:tcPr>
          <w:p>
            <w:pPr>
              <w:spacing w:after="0"/>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5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1"/>
              </w:rPr>
              <w:t>Consent of Independent Registered Public Accounting Firm**</w:t>
            </w:r>
          </w:p>
        </w:tc>
        <w:tc>
          <w:tcPr>
            <w:tcW w:w="4980" w:type="dxa"/>
            <w:vAlign w:val="bottom"/>
            <w:tcBorders>
              <w:top w:val="single" w:sz="8" w:color="0000EE"/>
            </w:tcBorders>
            <w:gridSpan w:val="16"/>
          </w:tcPr>
          <w:p>
            <w:pPr>
              <w:spacing w:after="0"/>
              <w:rPr>
                <w:sz w:val="24"/>
                <w:szCs w:val="24"/>
                <w:color w:val="auto"/>
              </w:rPr>
            </w:pPr>
          </w:p>
        </w:tc>
        <w:tc>
          <w:tcPr>
            <w:tcW w:w="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61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Certification of CEO pursuant to Section 302 of The Sarbanes-Oxley Act of 2002 **</w:t>
            </w:r>
          </w:p>
        </w:tc>
        <w:tc>
          <w:tcPr>
            <w:tcW w:w="39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1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Certification of CFO pursuant to Section 302 of The Sarbanes-Oxley Act of 2002 **</w:t>
            </w:r>
          </w:p>
        </w:tc>
        <w:tc>
          <w:tcPr>
            <w:tcW w:w="40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32"/>
          </w:tcPr>
          <w:p>
            <w:pPr>
              <w:spacing w:after="0"/>
              <w:rPr>
                <w:sz w:val="20"/>
                <w:szCs w:val="20"/>
                <w:color w:val="auto"/>
              </w:rPr>
            </w:pPr>
            <w:r>
              <w:rPr>
                <w:rFonts w:ascii="Arial" w:cs="Arial" w:eastAsia="Arial" w:hAnsi="Arial"/>
                <w:sz w:val="18"/>
                <w:szCs w:val="18"/>
                <w:color w:val="0000EE"/>
              </w:rPr>
              <w:t>Certification of CEO and CFO pursuant to Section 906 of The Sarbanes-Oxley Act of 2002***</w:t>
            </w:r>
          </w:p>
        </w:tc>
        <w:tc>
          <w:tcPr>
            <w:tcW w:w="0" w:type="dxa"/>
            <w:vAlign w:val="bottom"/>
          </w:tcPr>
          <w:p>
            <w:pPr>
              <w:spacing w:after="0"/>
              <w:rPr>
                <w:sz w:val="1"/>
                <w:szCs w:val="1"/>
                <w:color w:val="auto"/>
              </w:rPr>
            </w:pPr>
          </w:p>
        </w:tc>
      </w:tr>
      <w:tr>
        <w:trPr>
          <w:trHeight w:val="345"/>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101.INS</w:t>
            </w:r>
          </w:p>
        </w:tc>
        <w:tc>
          <w:tcPr>
            <w:tcW w:w="684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auto"/>
              </w:rPr>
              <w:t>Inline XBRL Instance Document.</w:t>
            </w:r>
          </w:p>
        </w:tc>
        <w:tc>
          <w:tcPr>
            <w:tcW w:w="32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101.SCH</w:t>
            </w:r>
          </w:p>
        </w:tc>
        <w:tc>
          <w:tcPr>
            <w:tcW w:w="10100" w:type="dxa"/>
            <w:vAlign w:val="bottom"/>
            <w:gridSpan w:val="3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101.CAL</w:t>
            </w:r>
          </w:p>
        </w:tc>
        <w:tc>
          <w:tcPr>
            <w:tcW w:w="10100" w:type="dxa"/>
            <w:vAlign w:val="bottom"/>
            <w:gridSpan w:val="3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101.DEF</w:t>
            </w:r>
          </w:p>
        </w:tc>
        <w:tc>
          <w:tcPr>
            <w:tcW w:w="10100" w:type="dxa"/>
            <w:vAlign w:val="bottom"/>
            <w:gridSpan w:val="3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5"/>
          </w:tcPr>
          <w:p>
            <w:pPr>
              <w:ind w:left="440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10100" w:type="dxa"/>
            <w:vAlign w:val="bottom"/>
          </w:tcPr>
          <w:p>
            <w:pPr>
              <w:spacing w:after="0"/>
              <w:rPr>
                <w:sz w:val="20"/>
                <w:szCs w:val="20"/>
                <w:color w:val="auto"/>
              </w:rPr>
            </w:pPr>
            <w:r>
              <w:rPr>
                <w:rFonts w:ascii="Arial" w:cs="Arial" w:eastAsia="Arial" w:hAnsi="Arial"/>
                <w:sz w:val="18"/>
                <w:szCs w:val="18"/>
                <w:b w:val="1"/>
                <w:bCs w:val="1"/>
                <w:color w:val="auto"/>
              </w:rPr>
              <w:t>Exhibit</w:t>
            </w:r>
          </w:p>
        </w:tc>
      </w:tr>
      <w:tr>
        <w:trPr>
          <w:trHeight w:val="234"/>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0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30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101.LAB</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101.PRE</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94" w:lineRule="exact"/>
        <w:rPr>
          <w:sz w:val="20"/>
          <w:szCs w:val="20"/>
          <w:color w:val="auto"/>
        </w:rPr>
      </w:pPr>
    </w:p>
    <w:p>
      <w:pPr>
        <w:ind w:left="1140" w:hanging="1002"/>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23" w:lineRule="exact"/>
        <w:rPr>
          <w:sz w:val="20"/>
          <w:szCs w:val="20"/>
          <w:color w:val="auto"/>
        </w:rPr>
      </w:pPr>
    </w:p>
    <w:p>
      <w:pPr>
        <w:ind w:left="500" w:right="380" w:hanging="492"/>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identified confidential information has been redacted from this exhibit because it is both (i) not material and (ii) would be competitively harmful if publicly disclosed.</w:t>
      </w:r>
    </w:p>
    <w:p>
      <w:pPr>
        <w:spacing w:after="0" w:line="1"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AVITA Medical, Inc.</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February 23, 2023</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Corbett</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James Corbett</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February 23, 2023</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Ekins</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Sean Ekins</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Interim Chief Financial Officer</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Name</w:t>
            </w:r>
          </w:p>
        </w:tc>
        <w:tc>
          <w:tcPr>
            <w:tcW w:w="120" w:type="dxa"/>
            <w:vAlign w:val="bottom"/>
          </w:tcPr>
          <w:p>
            <w:pPr>
              <w:spacing w:after="0"/>
              <w:rPr>
                <w:sz w:val="20"/>
                <w:szCs w:val="20"/>
                <w:color w:val="auto"/>
              </w:rPr>
            </w:pPr>
          </w:p>
        </w:tc>
        <w:tc>
          <w:tcPr>
            <w:tcW w:w="4460" w:type="dxa"/>
            <w:vAlign w:val="bottom"/>
            <w:gridSpan w:val="2"/>
          </w:tcPr>
          <w:p>
            <w:pPr>
              <w:ind w:left="2040"/>
              <w:spacing w:after="0"/>
              <w:rPr>
                <w:sz w:val="20"/>
                <w:szCs w:val="20"/>
                <w:color w:val="auto"/>
              </w:rPr>
            </w:pPr>
            <w:r>
              <w:rPr>
                <w:rFonts w:ascii="Arial" w:cs="Arial" w:eastAsia="Arial" w:hAnsi="Arial"/>
                <w:sz w:val="18"/>
                <w:szCs w:val="18"/>
                <w:b w:val="1"/>
                <w:bCs w:val="1"/>
                <w:color w:val="auto"/>
              </w:rPr>
              <w:t>Title</w:t>
            </w:r>
          </w:p>
        </w:tc>
        <w:tc>
          <w:tcPr>
            <w:tcW w:w="3020" w:type="dxa"/>
            <w:vAlign w:val="bottom"/>
          </w:tcPr>
          <w:p>
            <w:pPr>
              <w:ind w:left="1380"/>
              <w:spacing w:after="0"/>
              <w:rPr>
                <w:sz w:val="20"/>
                <w:szCs w:val="20"/>
                <w:color w:val="auto"/>
              </w:rPr>
            </w:pPr>
            <w:r>
              <w:rPr>
                <w:rFonts w:ascii="Arial" w:cs="Arial" w:eastAsia="Arial" w:hAnsi="Arial"/>
                <w:sz w:val="18"/>
                <w:szCs w:val="18"/>
                <w:b w:val="1"/>
                <w:bCs w:val="1"/>
                <w:color w:val="auto"/>
              </w:rPr>
              <w:t>Date</w:t>
            </w:r>
          </w:p>
        </w:tc>
      </w:tr>
      <w:tr>
        <w:trPr>
          <w:trHeight w:val="209"/>
        </w:trPr>
        <w:tc>
          <w:tcPr>
            <w:tcW w:w="3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/s/ James Corbett</w:t>
            </w:r>
          </w:p>
        </w:tc>
        <w:tc>
          <w:tcPr>
            <w:tcW w:w="120" w:type="dxa"/>
            <w:vAlign w:val="bottom"/>
          </w:tcPr>
          <w:p>
            <w:pPr>
              <w:spacing w:after="0"/>
              <w:rPr>
                <w:sz w:val="18"/>
                <w:szCs w:val="18"/>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20" w:type="dxa"/>
            <w:vAlign w:val="bottom"/>
          </w:tcPr>
          <w:p>
            <w:pPr>
              <w:spacing w:after="0"/>
              <w:rPr>
                <w:sz w:val="18"/>
                <w:szCs w:val="18"/>
                <w:color w:val="auto"/>
              </w:rPr>
            </w:pPr>
          </w:p>
        </w:tc>
        <w:tc>
          <w:tcPr>
            <w:tcW w:w="30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February 23, 2023</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7"/>
              </w:rPr>
              <w:t>James Corbett</w:t>
            </w:r>
          </w:p>
        </w:tc>
        <w:tc>
          <w:tcPr>
            <w:tcW w:w="120" w:type="dxa"/>
            <w:vAlign w:val="bottom"/>
          </w:tcPr>
          <w:p>
            <w:pPr>
              <w:spacing w:after="0"/>
              <w:rPr>
                <w:sz w:val="19"/>
                <w:szCs w:val="19"/>
                <w:color w:val="auto"/>
              </w:rPr>
            </w:pPr>
          </w:p>
        </w:tc>
        <w:tc>
          <w:tcPr>
            <w:tcW w:w="44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Sean Ekins</w:t>
            </w:r>
          </w:p>
        </w:tc>
        <w:tc>
          <w:tcPr>
            <w:tcW w:w="120" w:type="dxa"/>
            <w:vAlign w:val="bottom"/>
          </w:tcPr>
          <w:p>
            <w:pPr>
              <w:spacing w:after="0"/>
              <w:rPr>
                <w:sz w:val="24"/>
                <w:szCs w:val="24"/>
                <w:color w:val="auto"/>
              </w:rPr>
            </w:pPr>
          </w:p>
        </w:tc>
        <w:tc>
          <w:tcPr>
            <w:tcW w:w="44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Interim Chief Financial Officer</w:t>
            </w:r>
          </w:p>
        </w:tc>
        <w:tc>
          <w:tcPr>
            <w:tcW w:w="3020" w:type="dxa"/>
            <w:vAlign w:val="bottom"/>
          </w:tcPr>
          <w:p>
            <w:pPr>
              <w:ind w:left="860"/>
              <w:spacing w:after="0"/>
              <w:rPr>
                <w:sz w:val="20"/>
                <w:szCs w:val="20"/>
                <w:color w:val="auto"/>
              </w:rPr>
            </w:pPr>
            <w:r>
              <w:rPr>
                <w:rFonts w:ascii="Arial" w:cs="Arial" w:eastAsia="Arial" w:hAnsi="Arial"/>
                <w:sz w:val="18"/>
                <w:szCs w:val="18"/>
                <w:color w:val="auto"/>
              </w:rPr>
              <w:t>February 23, 2023</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7"/>
              </w:rPr>
              <w:t>Sean Ekins</w:t>
            </w:r>
          </w:p>
        </w:tc>
        <w:tc>
          <w:tcPr>
            <w:tcW w:w="120" w:type="dxa"/>
            <w:vAlign w:val="bottom"/>
          </w:tcPr>
          <w:p>
            <w:pPr>
              <w:spacing w:after="0"/>
              <w:rPr>
                <w:sz w:val="19"/>
                <w:szCs w:val="19"/>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Financial and Accounting Officer)</w:t>
            </w: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Lou Panaccio</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860"/>
              <w:spacing w:after="0"/>
              <w:rPr>
                <w:sz w:val="20"/>
                <w:szCs w:val="20"/>
                <w:color w:val="auto"/>
              </w:rPr>
            </w:pPr>
            <w:r>
              <w:rPr>
                <w:rFonts w:ascii="Arial" w:cs="Arial" w:eastAsia="Arial" w:hAnsi="Arial"/>
                <w:sz w:val="18"/>
                <w:szCs w:val="18"/>
                <w:color w:val="auto"/>
              </w:rPr>
              <w:t>February 23, 2023</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Lou Panaccio</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Jeremy Curnock Cook</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860"/>
              <w:spacing w:after="0"/>
              <w:rPr>
                <w:sz w:val="20"/>
                <w:szCs w:val="20"/>
                <w:color w:val="auto"/>
              </w:rPr>
            </w:pPr>
            <w:r>
              <w:rPr>
                <w:rFonts w:ascii="Arial" w:cs="Arial" w:eastAsia="Arial" w:hAnsi="Arial"/>
                <w:sz w:val="18"/>
                <w:szCs w:val="18"/>
                <w:color w:val="auto"/>
              </w:rPr>
              <w:t>February 23, 2023</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0"/>
              </w:rPr>
              <w:t>Jeremy Curnock Cook</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Suzanne Crowe</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860"/>
              <w:spacing w:after="0"/>
              <w:rPr>
                <w:sz w:val="20"/>
                <w:szCs w:val="20"/>
                <w:color w:val="auto"/>
              </w:rPr>
            </w:pPr>
            <w:r>
              <w:rPr>
                <w:rFonts w:ascii="Arial" w:cs="Arial" w:eastAsia="Arial" w:hAnsi="Arial"/>
                <w:sz w:val="18"/>
                <w:szCs w:val="18"/>
                <w:color w:val="auto"/>
              </w:rPr>
              <w:t>February 23, 2023</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Suzanne Crowe</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Jan Stern Reed</w:t>
            </w:r>
          </w:p>
        </w:tc>
        <w:tc>
          <w:tcPr>
            <w:tcW w:w="120" w:type="dxa"/>
            <w:vAlign w:val="bottom"/>
          </w:tcPr>
          <w:p>
            <w:pPr>
              <w:spacing w:after="0"/>
              <w:rPr>
                <w:sz w:val="24"/>
                <w:szCs w:val="24"/>
                <w:color w:val="auto"/>
              </w:rPr>
            </w:pPr>
          </w:p>
        </w:tc>
        <w:tc>
          <w:tcPr>
            <w:tcW w:w="4460" w:type="dxa"/>
            <w:vAlign w:val="bottom"/>
            <w:gridSpan w:val="2"/>
          </w:tcPr>
          <w:p>
            <w:pPr>
              <w:ind w:left="194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920"/>
              <w:spacing w:after="0"/>
              <w:rPr>
                <w:sz w:val="20"/>
                <w:szCs w:val="20"/>
                <w:color w:val="auto"/>
              </w:rPr>
            </w:pPr>
            <w:r>
              <w:rPr>
                <w:rFonts w:ascii="Arial" w:cs="Arial" w:eastAsia="Arial" w:hAnsi="Arial"/>
                <w:sz w:val="18"/>
                <w:szCs w:val="18"/>
                <w:color w:val="auto"/>
              </w:rPr>
              <w:t>February 23, 2023</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6"/>
              </w:rPr>
              <w:t>Jan Stern Reed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u w:val="single" w:color="auto"/>
          <w:color w:val="0000EE"/>
        </w:rPr>
        <w:t>Report of Independent Registered Public Accounting Firm</w:t>
      </w:r>
      <w:r>
        <w:rPr>
          <w:sz w:val="20"/>
          <w:szCs w:val="20"/>
          <w:color w:val="auto"/>
        </w:rPr>
        <w:tab/>
      </w:r>
      <w:r>
        <w:rPr>
          <w:rFonts w:ascii="Arial" w:cs="Arial" w:eastAsia="Arial" w:hAnsi="Arial"/>
          <w:sz w:val="16"/>
          <w:szCs w:val="16"/>
          <w:color w:val="auto"/>
        </w:rPr>
        <w:t>(PCAOB ID Number 248)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Consolidated Balance Sheets as of December 31, 2022, December 31, 2021 and June 30, 2021</w:t>
      </w:r>
    </w:p>
    <w:p>
      <w:pPr>
        <w:spacing w:after="0" w:line="23" w:lineRule="exact"/>
        <w:rPr>
          <w:sz w:val="20"/>
          <w:szCs w:val="20"/>
          <w:color w:val="auto"/>
        </w:rPr>
      </w:pPr>
    </w:p>
    <w:p>
      <w:pPr>
        <w:ind w:left="220" w:right="60" w:hanging="215"/>
        <w:spacing w:after="0" w:line="250" w:lineRule="auto"/>
        <w:rPr>
          <w:sz w:val="20"/>
          <w:szCs w:val="20"/>
          <w:color w:val="auto"/>
        </w:rPr>
      </w:pPr>
      <w:r>
        <w:rPr>
          <w:rFonts w:ascii="Arial" w:cs="Arial" w:eastAsia="Arial" w:hAnsi="Arial"/>
          <w:sz w:val="18"/>
          <w:szCs w:val="18"/>
          <w:u w:val="single" w:color="auto"/>
          <w:color w:val="0000EE"/>
        </w:rPr>
        <w:t>Consolidated Statements of Operations for the Year-Ended December 31, 2022, the Transition Period Ended December 31, 2021, and the Year-Ended June 30, 2021</w:t>
      </w:r>
    </w:p>
    <w:p>
      <w:pPr>
        <w:spacing w:after="0" w:line="1" w:lineRule="exact"/>
        <w:rPr>
          <w:sz w:val="20"/>
          <w:szCs w:val="20"/>
          <w:color w:val="auto"/>
        </w:rPr>
      </w:pPr>
    </w:p>
    <w:p>
      <w:pPr>
        <w:ind w:left="220" w:right="20" w:hanging="215"/>
        <w:spacing w:after="0" w:line="250" w:lineRule="auto"/>
        <w:rPr>
          <w:sz w:val="20"/>
          <w:szCs w:val="20"/>
          <w:color w:val="auto"/>
        </w:rPr>
      </w:pPr>
      <w:r>
        <w:rPr>
          <w:rFonts w:ascii="Arial" w:cs="Arial" w:eastAsia="Arial" w:hAnsi="Arial"/>
          <w:sz w:val="18"/>
          <w:szCs w:val="18"/>
          <w:u w:val="single" w:color="auto"/>
          <w:color w:val="0000EE"/>
        </w:rPr>
        <w:t>Consolidated Statements of Comprehensive Loss for the Year-Ended December 31, 2022, the Transition Period Ended December 31, 2021, and the Year-Ended June 30, 2021</w:t>
      </w:r>
    </w:p>
    <w:p>
      <w:pPr>
        <w:spacing w:after="0" w:line="1" w:lineRule="exact"/>
        <w:rPr>
          <w:sz w:val="20"/>
          <w:szCs w:val="20"/>
          <w:color w:val="auto"/>
        </w:rPr>
      </w:pPr>
    </w:p>
    <w:p>
      <w:pPr>
        <w:ind w:left="220" w:right="60" w:hanging="215"/>
        <w:spacing w:after="0" w:line="250" w:lineRule="auto"/>
        <w:rPr>
          <w:sz w:val="20"/>
          <w:szCs w:val="20"/>
          <w:color w:val="auto"/>
        </w:rPr>
      </w:pPr>
      <w:r>
        <w:rPr>
          <w:rFonts w:ascii="Arial" w:cs="Arial" w:eastAsia="Arial" w:hAnsi="Arial"/>
          <w:sz w:val="18"/>
          <w:szCs w:val="18"/>
          <w:u w:val="single" w:color="auto"/>
          <w:color w:val="0000EE"/>
        </w:rPr>
        <w:t>Consolidated Statements of Shareholders’ Equity for the Year-Ended December 31, 2022, the Transition Period Ended December 31, 2021 and the Year-Ended June 30, 2021</w:t>
      </w:r>
    </w:p>
    <w:p>
      <w:pPr>
        <w:spacing w:after="0" w:line="1" w:lineRule="exact"/>
        <w:rPr>
          <w:sz w:val="20"/>
          <w:szCs w:val="20"/>
          <w:color w:val="auto"/>
        </w:rPr>
      </w:pPr>
    </w:p>
    <w:p>
      <w:pPr>
        <w:ind w:left="220" w:hanging="215"/>
        <w:spacing w:after="0" w:line="250" w:lineRule="auto"/>
        <w:rPr>
          <w:sz w:val="20"/>
          <w:szCs w:val="20"/>
          <w:color w:val="auto"/>
        </w:rPr>
      </w:pPr>
      <w:r>
        <w:rPr>
          <w:rFonts w:ascii="Arial" w:cs="Arial" w:eastAsia="Arial" w:hAnsi="Arial"/>
          <w:sz w:val="18"/>
          <w:szCs w:val="18"/>
          <w:u w:val="single" w:color="auto"/>
          <w:color w:val="0000EE"/>
        </w:rPr>
        <w:t>Consolidated Statements of Cash Flows for the Year-Ended December 31, 2022, the Transition Period Ended December 31, 2021, and the Year-Ended June 30,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6350</wp:posOffset>
            </wp:positionV>
            <wp:extent cx="4114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ectPr>
          <w:pgSz w:w="11900" w:h="16838" w:orient="portrait"/>
          <w:cols w:equalWidth="0" w:num="2">
            <w:col w:w="10360" w:space="400"/>
            <w:col w:w="48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audited the accompanying consolidated balance sheets of AVITA Medical, Inc. (a Delaware corporation) and subsidiaries (the “Company”) as of December 31, 2022, December 31, 2021 and June 30, 2021, the related consolidated statements of operations, comprehensive loss, changes in shareholders’ equity, and cash flows for the year ended December 31, 2022, the six-month period ended December 31, 2021, and the fiscal year ended June 30, 2021, and the related notes (collectively referred to as the “financial statements”). In our opinion, the financial statements present fairly, in all material respects, the financial position of the Company as of December 31, 2022, December 31, 2021 and June 30, 2021, and the results of its operations and its cash flows for the year ended December 31, 2022, the six-month period ended December 31, 2021, and the fiscal year ended June 30, 2021, in conformity with accounting principles generally accepted in the United States of America.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110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6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December 31, 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w w:val="95"/>
              </w:rPr>
              <w:t>December 31, 2021</w:t>
            </w:r>
          </w:p>
        </w:tc>
        <w:tc>
          <w:tcPr>
            <w:tcW w:w="120" w:type="dxa"/>
            <w:vAlign w:val="bottom"/>
          </w:tcPr>
          <w:p>
            <w:pPr>
              <w:spacing w:after="0"/>
              <w:rPr>
                <w:sz w:val="13"/>
                <w:szCs w:val="13"/>
                <w:color w:val="auto"/>
              </w:rPr>
            </w:pPr>
          </w:p>
        </w:tc>
        <w:tc>
          <w:tcPr>
            <w:tcW w:w="106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w w:val="94"/>
              </w:rPr>
              <w:t>June 30, 2021</w:t>
            </w:r>
          </w:p>
        </w:tc>
        <w:tc>
          <w:tcPr>
            <w:tcW w:w="80" w:type="dxa"/>
            <w:vAlign w:val="bottom"/>
          </w:tcPr>
          <w:p>
            <w:pPr>
              <w:spacing w:after="0"/>
              <w:rPr>
                <w:sz w:val="13"/>
                <w:szCs w:val="13"/>
                <w:color w:val="auto"/>
              </w:rPr>
            </w:pPr>
          </w:p>
        </w:tc>
      </w:tr>
      <w:tr>
        <w:trPr>
          <w:trHeight w:val="223"/>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18,164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55,511</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110,746</w:t>
            </w: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3,467</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BARDA receivables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w:t>
            </w:r>
          </w:p>
        </w:tc>
        <w:tc>
          <w:tcPr>
            <w:tcW w:w="8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Prepaids and other current assets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92,132</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121,330</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Marketable securities long-term</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19,692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Plant and equipment, net</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Corporate-owned life insurance asset</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4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98,264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116,015</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125,501</w:t>
            </w:r>
          </w:p>
        </w:tc>
        <w:tc>
          <w:tcPr>
            <w:tcW w:w="8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3,120</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wages and fringe benefits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5,363</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80" w:type="dxa"/>
            <w:vAlign w:val="bottom"/>
            <w:shd w:val="clear" w:color="auto" w:fill="CFF0FC"/>
          </w:tcPr>
          <w:p>
            <w:pPr>
              <w:spacing w:after="0"/>
              <w:rPr>
                <w:sz w:val="19"/>
                <w:szCs w:val="19"/>
                <w:color w:val="auto"/>
              </w:rPr>
            </w:pPr>
          </w:p>
        </w:tc>
      </w:tr>
      <w:tr>
        <w:trPr>
          <w:trHeight w:val="230"/>
        </w:trPr>
        <w:tc>
          <w:tcPr>
            <w:tcW w:w="6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8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7,390</w:t>
            </w:r>
          </w:p>
        </w:tc>
        <w:tc>
          <w:tcPr>
            <w:tcW w:w="8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Non-qualified deferred compensation liability</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Operating lease liabilities, long term</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11,391</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8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Non-qualified deferred compensation plan share awards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Contingencies (Note 12)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6300" w:type="dxa"/>
            <w:vAlign w:val="bottom"/>
          </w:tcPr>
          <w:p>
            <w:pPr>
              <w:ind w:left="260"/>
              <w:spacing w:after="0"/>
              <w:rPr>
                <w:sz w:val="20"/>
                <w:szCs w:val="20"/>
                <w:color w:val="auto"/>
              </w:rPr>
            </w:pPr>
            <w:r>
              <w:rPr>
                <w:rFonts w:ascii="Arial" w:cs="Arial" w:eastAsia="Arial" w:hAnsi="Arial"/>
                <w:sz w:val="18"/>
                <w:szCs w:val="18"/>
                <w:color w:val="auto"/>
                <w:w w:val="97"/>
              </w:rPr>
              <w:t>Common stock, $0.0001 par value per share, 200,000,000 shares authorized,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00" w:type="dxa"/>
            <w:vAlign w:val="bottom"/>
          </w:tcPr>
          <w:p>
            <w:pPr>
              <w:ind w:left="260"/>
              <w:spacing w:after="0"/>
              <w:rPr>
                <w:sz w:val="20"/>
                <w:szCs w:val="20"/>
                <w:color w:val="auto"/>
              </w:rPr>
            </w:pPr>
            <w:r>
              <w:rPr>
                <w:rFonts w:ascii="Arial" w:cs="Arial" w:eastAsia="Arial" w:hAnsi="Arial"/>
                <w:sz w:val="18"/>
                <w:szCs w:val="18"/>
                <w:color w:val="auto"/>
              </w:rPr>
              <w:t>25,208,436, 24,925,743 and 24,895,864 shares issued and outstanding at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December 31, 2022, December 31, 2021 and June 30, 2021, respectively</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r>
      <w:tr>
        <w:trPr>
          <w:trHeight w:val="215"/>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Preferred stock, $0.0001 par value per share, 10,000,000 shares authorized, no</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shares issued or outstanding at December 31, 2022, December 31, 2021 and June</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30, 2021.</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w w:val="95"/>
              </w:rPr>
              <w:t>Company common stock held by the non-qualified deferred compensation plan</w:t>
            </w: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332,484</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328,889</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8,060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8,259</w:t>
            </w: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(262,588)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(235,923)</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(221,496)</w:t>
            </w: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84,740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104,624</w:t>
            </w:r>
          </w:p>
        </w:tc>
        <w:tc>
          <w:tcPr>
            <w:tcW w:w="4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115,655</w:t>
            </w:r>
          </w:p>
        </w:tc>
        <w:tc>
          <w:tcPr>
            <w:tcW w:w="80" w:type="dxa"/>
            <w:vAlign w:val="bottom"/>
            <w:tcBorders>
              <w:bottom w:val="single" w:sz="8" w:color="CFF0FC"/>
            </w:tcBorders>
          </w:tcPr>
          <w:p>
            <w:pPr>
              <w:spacing w:after="0"/>
              <w:rPr>
                <w:sz w:val="19"/>
                <w:szCs w:val="19"/>
                <w:color w:val="auto"/>
              </w:rPr>
            </w:pPr>
          </w:p>
        </w:tc>
      </w:tr>
      <w:tr>
        <w:trPr>
          <w:trHeight w:val="20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non-qualified deferred compensation plan share awards and</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98,264</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116,015</w:t>
            </w: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125,501</w:t>
            </w:r>
          </w:p>
        </w:tc>
        <w:tc>
          <w:tcPr>
            <w:tcW w:w="80" w:type="dxa"/>
            <w:vAlign w:val="bottom"/>
            <w:shd w:val="clear" w:color="auto" w:fill="CFF0FC"/>
          </w:tcPr>
          <w:p>
            <w:pPr>
              <w:spacing w:after="0"/>
              <w:rPr>
                <w:sz w:val="20"/>
                <w:szCs w:val="20"/>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Year-Ended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Transition Period</w:t>
            </w:r>
          </w:p>
        </w:tc>
        <w:tc>
          <w:tcPr>
            <w:tcW w:w="18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Year-Ended</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December 31, 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8"/>
              </w:rPr>
              <w:t>July 1 - December 31, 2021</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7"/>
              </w:rPr>
              <w:t>June 30, 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12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34,421</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13,956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Cost of sales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(6,041)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260"/>
              <w:spacing w:after="0"/>
              <w:rPr>
                <w:sz w:val="20"/>
                <w:szCs w:val="20"/>
                <w:color w:val="auto"/>
              </w:rPr>
            </w:pPr>
            <w:r>
              <w:rPr>
                <w:rFonts w:ascii="Arial" w:cs="Arial" w:eastAsia="Arial" w:hAnsi="Arial"/>
                <w:sz w:val="16"/>
                <w:szCs w:val="16"/>
                <w:color w:val="auto"/>
              </w:rPr>
              <w:t>(1,905)</w:t>
            </w: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(5,949)</w:t>
            </w:r>
          </w:p>
        </w:tc>
        <w:tc>
          <w:tcPr>
            <w:tcW w:w="0" w:type="dxa"/>
            <w:vAlign w:val="bottom"/>
          </w:tcPr>
          <w:p>
            <w:pPr>
              <w:spacing w:after="0"/>
              <w:rPr>
                <w:sz w:val="1"/>
                <w:szCs w:val="1"/>
                <w:color w:val="auto"/>
              </w:rPr>
            </w:pPr>
          </w:p>
        </w:tc>
      </w:tr>
      <w:tr>
        <w:trPr>
          <w:trHeight w:val="212"/>
        </w:trPr>
        <w:tc>
          <w:tcPr>
            <w:tcW w:w="3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Gross profit</w:t>
            </w:r>
          </w:p>
        </w:tc>
        <w:tc>
          <w:tcPr>
            <w:tcW w:w="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28,380</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2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12,051</w:t>
            </w: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23,283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Arial" w:cs="Arial" w:eastAsia="Arial" w:hAnsi="Arial"/>
                <w:sz w:val="16"/>
                <w:szCs w:val="16"/>
                <w:color w:val="auto"/>
              </w:rPr>
              <w:t>BARDA income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580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60"/>
              <w:spacing w:after="0"/>
              <w:rPr>
                <w:sz w:val="20"/>
                <w:szCs w:val="20"/>
                <w:color w:val="auto"/>
              </w:rPr>
            </w:pPr>
            <w:r>
              <w:rPr>
                <w:rFonts w:ascii="Arial" w:cs="Arial" w:eastAsia="Arial" w:hAnsi="Arial"/>
                <w:sz w:val="16"/>
                <w:szCs w:val="16"/>
                <w:color w:val="auto"/>
              </w:rPr>
              <w:t>Sales and marketing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(21,913)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260"/>
              <w:spacing w:after="0"/>
              <w:rPr>
                <w:sz w:val="20"/>
                <w:szCs w:val="20"/>
                <w:color w:val="auto"/>
              </w:rPr>
            </w:pPr>
            <w:r>
              <w:rPr>
                <w:rFonts w:ascii="Arial" w:cs="Arial" w:eastAsia="Arial" w:hAnsi="Arial"/>
                <w:sz w:val="16"/>
                <w:szCs w:val="16"/>
                <w:color w:val="auto"/>
              </w:rPr>
              <w:t>(8,472)</w:t>
            </w: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(14,660)</w:t>
            </w:r>
          </w:p>
        </w:tc>
        <w:tc>
          <w:tcPr>
            <w:tcW w:w="0" w:type="dxa"/>
            <w:vAlign w:val="bottom"/>
          </w:tcPr>
          <w:p>
            <w:pPr>
              <w:spacing w:after="0"/>
              <w:rPr>
                <w:sz w:val="1"/>
                <w:szCs w:val="1"/>
                <w:color w:val="auto"/>
              </w:rPr>
            </w:pPr>
          </w:p>
        </w:tc>
      </w:tr>
      <w:tr>
        <w:trPr>
          <w:trHeight w:val="219"/>
        </w:trPr>
        <w:tc>
          <w:tcPr>
            <w:tcW w:w="3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(23,330)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(10,996)</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(22,400)</w:t>
            </w:r>
          </w:p>
        </w:tc>
        <w:tc>
          <w:tcPr>
            <w:tcW w:w="0" w:type="dxa"/>
            <w:vAlign w:val="bottom"/>
          </w:tcPr>
          <w:p>
            <w:pPr>
              <w:spacing w:after="0"/>
              <w:rPr>
                <w:sz w:val="1"/>
                <w:szCs w:val="1"/>
                <w:color w:val="auto"/>
              </w:rPr>
            </w:pPr>
          </w:p>
        </w:tc>
      </w:tr>
      <w:tr>
        <w:trPr>
          <w:trHeight w:val="213"/>
        </w:trPr>
        <w:tc>
          <w:tcPr>
            <w:tcW w:w="3560" w:type="dxa"/>
            <w:vAlign w:val="bottom"/>
          </w:tcPr>
          <w:p>
            <w:pPr>
              <w:ind w:left="260"/>
              <w:spacing w:after="0"/>
              <w:rPr>
                <w:sz w:val="20"/>
                <w:szCs w:val="20"/>
                <w:color w:val="auto"/>
              </w:rPr>
            </w:pPr>
            <w:r>
              <w:rPr>
                <w:rFonts w:ascii="Arial" w:cs="Arial" w:eastAsia="Arial" w:hAnsi="Arial"/>
                <w:sz w:val="16"/>
                <w:szCs w:val="16"/>
                <w:color w:val="auto"/>
              </w:rPr>
              <w:t>Research and development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(13,857)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260"/>
              <w:spacing w:after="0"/>
              <w:rPr>
                <w:sz w:val="20"/>
                <w:szCs w:val="20"/>
                <w:color w:val="auto"/>
              </w:rPr>
            </w:pPr>
            <w:r>
              <w:rPr>
                <w:rFonts w:ascii="Arial" w:cs="Arial" w:eastAsia="Arial" w:hAnsi="Arial"/>
                <w:sz w:val="16"/>
                <w:szCs w:val="16"/>
                <w:color w:val="auto"/>
              </w:rPr>
              <w:t>(7,586)</w:t>
            </w: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(14,818)</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6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(59,100)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(27,054)</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(51,878)</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(27,505)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2"/>
          </w:tcPr>
          <w:p>
            <w:pPr>
              <w:jc w:val="right"/>
              <w:ind w:right="260"/>
              <w:spacing w:after="0"/>
              <w:rPr>
                <w:sz w:val="20"/>
                <w:szCs w:val="20"/>
                <w:color w:val="auto"/>
              </w:rPr>
            </w:pPr>
            <w:r>
              <w:rPr>
                <w:rFonts w:ascii="Arial" w:cs="Arial" w:eastAsia="Arial" w:hAnsi="Arial"/>
                <w:sz w:val="16"/>
                <w:szCs w:val="16"/>
                <w:color w:val="auto"/>
              </w:rPr>
              <w:t>(14,423)</w:t>
            </w:r>
          </w:p>
        </w:tc>
        <w:tc>
          <w:tcPr>
            <w:tcW w:w="18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(26,540)</w:t>
            </w:r>
          </w:p>
        </w:tc>
        <w:tc>
          <w:tcPr>
            <w:tcW w:w="0" w:type="dxa"/>
            <w:vAlign w:val="bottom"/>
          </w:tcPr>
          <w:p>
            <w:pPr>
              <w:spacing w:after="0"/>
              <w:rPr>
                <w:sz w:val="1"/>
                <w:szCs w:val="1"/>
                <w:color w:val="auto"/>
              </w:rPr>
            </w:pPr>
          </w:p>
        </w:tc>
      </w:tr>
      <w:tr>
        <w:trPr>
          <w:trHeight w:val="21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w:t>
            </w:r>
          </w:p>
        </w:tc>
        <w:tc>
          <w:tcPr>
            <w:tcW w:w="9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(26,629)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(14,402)</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(26,545)</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Provision for income tax</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260"/>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w:t>
            </w:r>
          </w:p>
        </w:tc>
        <w:tc>
          <w:tcPr>
            <w:tcW w:w="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(26,665)</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(14,427)</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(26,583)</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common share:</w:t>
            </w:r>
          </w:p>
        </w:tc>
        <w:tc>
          <w:tcPr>
            <w:tcW w:w="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112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(1.07)</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(0.58)</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3"/>
        </w:trPr>
        <w:tc>
          <w:tcPr>
            <w:tcW w:w="3560" w:type="dxa"/>
            <w:vAlign w:val="bottom"/>
          </w:tcPr>
          <w:p>
            <w:pPr>
              <w:ind w:left="260"/>
              <w:spacing w:after="0"/>
              <w:rPr>
                <w:sz w:val="20"/>
                <w:szCs w:val="20"/>
                <w:color w:val="auto"/>
              </w:rPr>
            </w:pPr>
            <w:r>
              <w:rPr>
                <w:rFonts w:ascii="Arial" w:cs="Arial" w:eastAsia="Arial" w:hAnsi="Arial"/>
                <w:sz w:val="16"/>
                <w:szCs w:val="16"/>
                <w:color w:val="auto"/>
              </w:rPr>
              <w:t>Diluted</w:t>
            </w:r>
          </w:p>
        </w:tc>
        <w:tc>
          <w:tcPr>
            <w:tcW w:w="11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140"/>
              <w:spacing w:after="0"/>
              <w:rPr>
                <w:sz w:val="20"/>
                <w:szCs w:val="20"/>
                <w:color w:val="auto"/>
              </w:rPr>
            </w:pPr>
            <w:r>
              <w:rPr>
                <w:rFonts w:ascii="Arial" w:cs="Arial" w:eastAsia="Arial" w:hAnsi="Arial"/>
                <w:sz w:val="16"/>
                <w:szCs w:val="16"/>
                <w:color w:val="auto"/>
              </w:rPr>
              <w:t>(1.07)</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720" w:type="dxa"/>
            <w:vAlign w:val="bottom"/>
            <w:gridSpan w:val="2"/>
          </w:tcPr>
          <w:p>
            <w:pPr>
              <w:jc w:val="right"/>
              <w:ind w:right="260"/>
              <w:spacing w:after="0"/>
              <w:rPr>
                <w:sz w:val="20"/>
                <w:szCs w:val="20"/>
                <w:color w:val="auto"/>
              </w:rPr>
            </w:pPr>
            <w:r>
              <w:rPr>
                <w:rFonts w:ascii="Arial" w:cs="Arial" w:eastAsia="Arial" w:hAnsi="Arial"/>
                <w:sz w:val="16"/>
                <w:szCs w:val="16"/>
                <w:color w:val="auto"/>
              </w:rPr>
              <w:t>(0.58)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26"/>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common shares:</w:t>
            </w:r>
          </w:p>
        </w:tc>
        <w:tc>
          <w:tcPr>
            <w:tcW w:w="9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60"/>
              <w:spacing w:after="0"/>
              <w:rPr>
                <w:sz w:val="20"/>
                <w:szCs w:val="20"/>
                <w:color w:val="auto"/>
              </w:rPr>
            </w:pPr>
            <w:r>
              <w:rPr>
                <w:rFonts w:ascii="Arial" w:cs="Arial" w:eastAsia="Arial" w:hAnsi="Arial"/>
                <w:sz w:val="16"/>
                <w:szCs w:val="16"/>
                <w:color w:val="auto"/>
              </w:rPr>
              <w:t>Basic</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25,000,180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24,915,414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22,674,313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25,000,180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24,915,414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22,674,313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Year-Ended</w:t>
            </w:r>
          </w:p>
        </w:tc>
        <w:tc>
          <w:tcPr>
            <w:tcW w:w="140" w:type="dxa"/>
            <w:vAlign w:val="bottom"/>
          </w:tcPr>
          <w:p>
            <w:pPr>
              <w:spacing w:after="0"/>
              <w:rPr>
                <w:sz w:val="18"/>
                <w:szCs w:val="18"/>
                <w:color w:val="auto"/>
              </w:rPr>
            </w:pPr>
          </w:p>
        </w:tc>
        <w:tc>
          <w:tcPr>
            <w:tcW w:w="240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Transition Period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Year-Ended</w:t>
            </w:r>
          </w:p>
        </w:tc>
      </w:tr>
      <w:tr>
        <w:trPr>
          <w:trHeight w:val="210"/>
        </w:trPr>
        <w:tc>
          <w:tcPr>
            <w:tcW w:w="50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2"/>
              </w:rPr>
              <w:t>December 31, 2022</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2"/>
              </w:rPr>
              <w:t>July 1 - December 31, 2021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7"/>
              </w:rPr>
              <w:t>June 30, 2021</w:t>
            </w:r>
          </w:p>
        </w:tc>
        <w:tc>
          <w:tcPr>
            <w:tcW w:w="100" w:type="dxa"/>
            <w:vAlign w:val="bottom"/>
          </w:tcPr>
          <w:p>
            <w:pPr>
              <w:spacing w:after="0"/>
              <w:rPr>
                <w:sz w:val="18"/>
                <w:szCs w:val="18"/>
                <w:color w:val="auto"/>
              </w:rPr>
            </w:pPr>
          </w:p>
        </w:tc>
      </w:tr>
      <w:tr>
        <w:trPr>
          <w:trHeight w:val="158"/>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(26,665)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(14,427)</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(26,583)</w:t>
            </w: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Foreign currency translation gain/(loss)</w:t>
            </w:r>
          </w:p>
        </w:tc>
        <w:tc>
          <w:tcPr>
            <w:tcW w:w="14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240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loss on marketable securities, net of tax</w:t>
            </w:r>
          </w:p>
        </w:tc>
        <w:tc>
          <w:tcPr>
            <w:tcW w:w="1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FF0FC"/>
          </w:tcPr>
          <w:p>
            <w:pPr>
              <w:spacing w:after="0"/>
              <w:rPr>
                <w:sz w:val="19"/>
                <w:szCs w:val="19"/>
                <w:color w:val="auto"/>
              </w:rPr>
            </w:pPr>
          </w:p>
        </w:tc>
        <w:tc>
          <w:tcPr>
            <w:tcW w:w="2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(27,098)</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(26,470)</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Company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6"/>
              </w:rPr>
              <w:t>common stock</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9"/>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held by the</w:t>
            </w:r>
          </w:p>
        </w:tc>
        <w:tc>
          <w:tcPr>
            <w:tcW w:w="12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Paid-in</w:t>
            </w:r>
          </w:p>
        </w:tc>
        <w:tc>
          <w:tcPr>
            <w:tcW w:w="1300" w:type="dxa"/>
            <w:vAlign w:val="bottom"/>
            <w:gridSpan w:val="4"/>
          </w:tcPr>
          <w:p>
            <w:pPr>
              <w:ind w:left="100"/>
              <w:spacing w:after="0"/>
              <w:rPr>
                <w:sz w:val="20"/>
                <w:szCs w:val="20"/>
                <w:color w:val="auto"/>
              </w:rPr>
            </w:pPr>
            <w:r>
              <w:rPr>
                <w:rFonts w:ascii="Arial" w:cs="Arial" w:eastAsia="Arial" w:hAnsi="Arial"/>
                <w:sz w:val="16"/>
                <w:szCs w:val="16"/>
                <w:b w:val="1"/>
                <w:bCs w:val="1"/>
                <w:color w:val="auto"/>
                <w:w w:val="98"/>
              </w:rPr>
              <w:t>Comprehensive</w:t>
            </w:r>
          </w:p>
        </w:tc>
        <w:tc>
          <w:tcPr>
            <w:tcW w:w="118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w w:val="99"/>
              </w:rPr>
              <w:t>Shareholders'</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NQDC</w:t>
            </w: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Gain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53"/>
        </w:trPr>
        <w:tc>
          <w:tcPr>
            <w:tcW w:w="32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June 30,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21,467,912</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259,165</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8,146</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(194,913</w:t>
            </w:r>
          </w:p>
        </w:tc>
        <w:tc>
          <w:tcPr>
            <w:tcW w:w="180" w:type="dxa"/>
            <w:vAlign w:val="bottom"/>
            <w:tcBorders>
              <w:bottom w:val="single" w:sz="8" w:color="CFF0FC"/>
            </w:tcBorders>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72,401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(26,583)</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(26,583)</w:t>
            </w:r>
          </w:p>
        </w:tc>
        <w:tc>
          <w:tcPr>
            <w:tcW w:w="0" w:type="dxa"/>
            <w:vAlign w:val="bottom"/>
          </w:tcPr>
          <w:p>
            <w:pPr>
              <w:spacing w:after="0"/>
              <w:rPr>
                <w:sz w:val="1"/>
                <w:szCs w:val="1"/>
                <w:color w:val="auto"/>
              </w:rPr>
            </w:pPr>
          </w:p>
        </w:tc>
      </w:tr>
      <w:tr>
        <w:trPr>
          <w:trHeight w:val="206"/>
        </w:trPr>
        <w:tc>
          <w:tcPr>
            <w:tcW w:w="3220" w:type="dxa"/>
            <w:vAlign w:val="bottom"/>
          </w:tcPr>
          <w:p>
            <w:pPr>
              <w:spacing w:after="0"/>
              <w:rPr>
                <w:sz w:val="20"/>
                <w:szCs w:val="20"/>
                <w:color w:val="auto"/>
              </w:rPr>
            </w:pPr>
            <w:r>
              <w:rPr>
                <w:rFonts w:ascii="Arial" w:cs="Arial" w:eastAsia="Arial" w:hAnsi="Arial"/>
                <w:sz w:val="16"/>
                <w:szCs w:val="16"/>
                <w:color w:val="auto"/>
              </w:rPr>
              <w:t>Issuance of common stock under direct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6"/>
                <w:szCs w:val="16"/>
                <w:color w:val="auto"/>
              </w:rPr>
              <w:t>placement</w:t>
            </w:r>
          </w:p>
        </w:tc>
        <w:tc>
          <w:tcPr>
            <w:tcW w:w="900" w:type="dxa"/>
            <w:vAlign w:val="bottom"/>
          </w:tcPr>
          <w:p>
            <w:pPr>
              <w:jc w:val="right"/>
              <w:spacing w:after="0"/>
              <w:rPr>
                <w:sz w:val="20"/>
                <w:szCs w:val="20"/>
                <w:color w:val="auto"/>
              </w:rPr>
            </w:pPr>
            <w:r>
              <w:rPr>
                <w:rFonts w:ascii="Arial" w:cs="Arial" w:eastAsia="Arial" w:hAnsi="Arial"/>
                <w:sz w:val="16"/>
                <w:szCs w:val="16"/>
                <w:color w:val="auto"/>
              </w:rPr>
              <w:t>3,214,250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w w:val="93"/>
              </w:rPr>
              <w:t>Issuance costs associated with direct placement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(5,109)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(5,109)</w:t>
            </w: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6"/>
                <w:szCs w:val="16"/>
                <w:color w:val="auto"/>
              </w:rPr>
              <w:t>199,343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Translation gain</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2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June 30,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24,895,864</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328,889</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8,259</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(221,496</w:t>
            </w:r>
          </w:p>
        </w:tc>
        <w:tc>
          <w:tcPr>
            <w:tcW w:w="180" w:type="dxa"/>
            <w:vAlign w:val="bottom"/>
            <w:tcBorders>
              <w:bottom w:val="single" w:sz="8" w:color="CFF0FC"/>
            </w:tcBorders>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115,655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(14,427)</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(14,427)</w:t>
            </w: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6"/>
                <w:szCs w:val="16"/>
                <w:color w:val="auto"/>
              </w:rPr>
              <w:t>28,754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Translation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6"/>
        </w:trPr>
        <w:tc>
          <w:tcPr>
            <w:tcW w:w="3220" w:type="dxa"/>
            <w:vAlign w:val="bottom"/>
          </w:tcPr>
          <w:p>
            <w:pPr>
              <w:spacing w:after="0"/>
              <w:rPr>
                <w:sz w:val="20"/>
                <w:szCs w:val="20"/>
                <w:color w:val="auto"/>
              </w:rPr>
            </w:pPr>
            <w:r>
              <w:rPr>
                <w:rFonts w:ascii="Arial" w:cs="Arial" w:eastAsia="Arial" w:hAnsi="Arial"/>
                <w:sz w:val="16"/>
                <w:szCs w:val="16"/>
                <w:color w:val="auto"/>
              </w:rPr>
              <w:t>Net unrealized loss on marketable securities,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6"/>
                <w:szCs w:val="16"/>
                <w:color w:val="auto"/>
              </w:rPr>
              <w:t>net of tax</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0"/>
        </w:trPr>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2021</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24,925,743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332,484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8,060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(235,923</w:t>
            </w:r>
          </w:p>
        </w:tc>
        <w:tc>
          <w:tcPr>
            <w:tcW w:w="18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104,624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(26,665)</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(26,665)</w:t>
            </w: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150,125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Company common stock held by the NQDC</w:t>
            </w:r>
          </w:p>
        </w:tc>
        <w:tc>
          <w:tcPr>
            <w:tcW w:w="900" w:type="dxa"/>
            <w:vAlign w:val="bottom"/>
          </w:tcPr>
          <w:p>
            <w:pPr>
              <w:jc w:val="right"/>
              <w:spacing w:after="0"/>
              <w:rPr>
                <w:sz w:val="20"/>
                <w:szCs w:val="20"/>
                <w:color w:val="auto"/>
              </w:rPr>
            </w:pPr>
            <w:r>
              <w:rPr>
                <w:rFonts w:ascii="Arial" w:cs="Arial" w:eastAsia="Arial" w:hAnsi="Arial"/>
                <w:sz w:val="16"/>
                <w:szCs w:val="16"/>
                <w:color w:val="auto"/>
              </w:rPr>
              <w:t>17,927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Change in classification of deferred</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compensation share awards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6"/>
        </w:trPr>
        <w:tc>
          <w:tcPr>
            <w:tcW w:w="3220" w:type="dxa"/>
            <w:vAlign w:val="bottom"/>
          </w:tcPr>
          <w:p>
            <w:pPr>
              <w:spacing w:after="0"/>
              <w:rPr>
                <w:sz w:val="20"/>
                <w:szCs w:val="20"/>
                <w:color w:val="auto"/>
              </w:rPr>
            </w:pPr>
            <w:r>
              <w:rPr>
                <w:rFonts w:ascii="Arial" w:cs="Arial" w:eastAsia="Arial" w:hAnsi="Arial"/>
                <w:sz w:val="16"/>
                <w:szCs w:val="16"/>
                <w:color w:val="auto"/>
                <w:w w:val="95"/>
              </w:rPr>
              <w:t>Change in redemption value of share awards in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6"/>
                <w:szCs w:val="16"/>
                <w:color w:val="auto"/>
              </w:rPr>
              <w:t>NQDC plan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20"/>
                <w:szCs w:val="20"/>
                <w:color w:val="auto"/>
              </w:rPr>
            </w:pPr>
            <w:r>
              <w:rPr>
                <w:rFonts w:ascii="Arial" w:cs="Arial" w:eastAsia="Arial" w:hAnsi="Arial"/>
                <w:sz w:val="16"/>
                <w:szCs w:val="16"/>
                <w:b w:val="1"/>
                <w:bCs w:val="1"/>
                <w:color w:val="auto"/>
              </w:rPr>
              <w:t>Balance at December 31,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25,208,436</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339,825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(262,588</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84,740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Year-Ended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1"/>
              </w:rPr>
              <w:t>Transition Period Ended</w:t>
            </w: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Year-Ended</w:t>
            </w:r>
          </w:p>
        </w:tc>
        <w:tc>
          <w:tcPr>
            <w:tcW w:w="0" w:type="dxa"/>
            <w:vAlign w:val="bottom"/>
          </w:tcPr>
          <w:p>
            <w:pPr>
              <w:spacing w:after="0"/>
              <w:rPr>
                <w:sz w:val="1"/>
                <w:szCs w:val="1"/>
                <w:color w:val="auto"/>
              </w:rPr>
            </w:pPr>
          </w:p>
        </w:tc>
      </w:tr>
      <w:tr>
        <w:trPr>
          <w:trHeight w:val="202"/>
        </w:trPr>
        <w:tc>
          <w:tcPr>
            <w:tcW w:w="67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(26,665)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(14,427)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(26,583)</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Non-cash lease expense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fixed asset disposal</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Patent impairment loss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Remeasurement and foreign currency transaction (gain)/loss</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Excess and obsolete inventory related charges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BARDA deferred costs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Contract cost amortization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(benefit) for doubtful accounts</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Amortization of (premium)/discount of marketable securities</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changes in the fair value of NQDC plan</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6"/>
                <w:szCs w:val="16"/>
                <w:b w:val="1"/>
                <w:bCs w:val="1"/>
                <w:color w:val="auto"/>
              </w:rPr>
              <w:t>Changes in operating assets and liabilities: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Trade and other receivables</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BARDA receivables</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Prepaids and other current assets</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Inventory</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liability</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Corporate-owned life insurance asset</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assets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wages and fringe benefits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Non-qualified deferred compensation plan liability</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Contract liabilities</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liabilities</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500"/>
              <w:spacing w:after="0"/>
              <w:rPr>
                <w:sz w:val="20"/>
                <w:szCs w:val="20"/>
                <w:color w:val="auto"/>
              </w:rPr>
            </w:pPr>
            <w:r>
              <w:rPr>
                <w:rFonts w:ascii="Arial" w:cs="Arial" w:eastAsia="Arial" w:hAnsi="Arial"/>
                <w:sz w:val="16"/>
                <w:szCs w:val="16"/>
                <w:color w:val="auto"/>
              </w:rPr>
              <w:t>Net cash used in operations</w:t>
            </w: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(19,090)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(5,501)</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(25,901)</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Purchase of marketable securities</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(74,362)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(49,550)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Maturities of marketable securities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Cash paid for property and equipment</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patent filing fees</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(19,332)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(49,682)</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Proceeds from direct placement of common stock</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cost associated with direct placement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(5,109)</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Principal repayment of finance lease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60" w:type="dxa"/>
            <w:vAlign w:val="bottom"/>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64,049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Effect of foreign exchange rate on cash and restricted cash</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6"/>
                <w:szCs w:val="16"/>
                <w:b w:val="1"/>
                <w:bCs w:val="1"/>
                <w:color w:val="auto"/>
              </w:rPr>
              <w:t>Net increase/(decrease) in cash and cash equivalents and restricted cash</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(37,548)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(55,235)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 beginning of the period</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55,712</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110,947</w:t>
            </w: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73,840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760" w:type="dxa"/>
            <w:vAlign w:val="bottom"/>
          </w:tcPr>
          <w:p>
            <w:pPr>
              <w:spacing w:after="0"/>
              <w:rPr>
                <w:sz w:val="20"/>
                <w:szCs w:val="20"/>
                <w:color w:val="auto"/>
              </w:rPr>
            </w:pPr>
            <w:r>
              <w:rPr>
                <w:rFonts w:ascii="Arial" w:cs="Arial" w:eastAsia="Arial" w:hAnsi="Arial"/>
                <w:sz w:val="16"/>
                <w:szCs w:val="16"/>
                <w:b w:val="1"/>
                <w:bCs w:val="1"/>
                <w:color w:val="auto"/>
              </w:rPr>
              <w:t>Cash and cash equivalents and restricted cash end of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18,164</w:t>
            </w:r>
          </w:p>
        </w:tc>
        <w:tc>
          <w:tcPr>
            <w:tcW w:w="18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55,712</w:t>
            </w:r>
          </w:p>
        </w:tc>
        <w:tc>
          <w:tcPr>
            <w:tcW w:w="3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110,947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6"/>
                <w:szCs w:val="16"/>
                <w:color w:val="auto"/>
              </w:rPr>
              <w:t>Plant and equipment purchases not yet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211"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These financial statements include the assets, liabilities, revenues and expenses of all wholly-owned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221"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AVITA Medical, Inc. and its subsidiaries (collectively, “</w:t>
      </w:r>
      <w:r>
        <w:rPr>
          <w:rFonts w:ascii="Arial" w:cs="Arial" w:eastAsia="Arial" w:hAnsi="Arial"/>
          <w:sz w:val="17"/>
          <w:szCs w:val="17"/>
          <w:b w:val="1"/>
          <w:bCs w:val="1"/>
          <w:color w:val="auto"/>
        </w:rPr>
        <w:t>AVITA Medical</w:t>
      </w:r>
      <w:r>
        <w:rPr>
          <w:rFonts w:ascii="Arial" w:cs="Arial" w:eastAsia="Arial" w:hAnsi="Arial"/>
          <w:sz w:val="17"/>
          <w:szCs w:val="17"/>
          <w:color w:val="auto"/>
        </w:rPr>
        <w:t>”,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our</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Company</w:t>
      </w:r>
      <w:r>
        <w:rPr>
          <w:rFonts w:ascii="Arial" w:cs="Arial" w:eastAsia="Arial" w:hAnsi="Arial"/>
          <w:sz w:val="17"/>
          <w:szCs w:val="17"/>
          <w:color w:val="auto"/>
        </w:rPr>
        <w:t>”), is a regenerative medicine company leading the development and commercialization of devices and autologous cellular therapies for skin restoration. The Company’s RECELL® System technology platform harnesses the regenerative properties of a patient’s own skin to create Spray-On Skin™ cells. In September 2018, the United States Food &amp; Drug Administration (“</w:t>
      </w:r>
      <w:r>
        <w:rPr>
          <w:rFonts w:ascii="Arial" w:cs="Arial" w:eastAsia="Arial" w:hAnsi="Arial"/>
          <w:sz w:val="17"/>
          <w:szCs w:val="17"/>
          <w:b w:val="1"/>
          <w:bCs w:val="1"/>
          <w:color w:val="auto"/>
        </w:rPr>
        <w:t>FDA</w:t>
      </w:r>
      <w:r>
        <w:rPr>
          <w:rFonts w:ascii="Arial" w:cs="Arial" w:eastAsia="Arial" w:hAnsi="Arial"/>
          <w:sz w:val="17"/>
          <w:szCs w:val="17"/>
          <w:color w:val="auto"/>
        </w:rPr>
        <w:t>”) granted premarket approval (“</w:t>
      </w:r>
      <w:r>
        <w:rPr>
          <w:rFonts w:ascii="Arial" w:cs="Arial" w:eastAsia="Arial" w:hAnsi="Arial"/>
          <w:sz w:val="17"/>
          <w:szCs w:val="17"/>
          <w:b w:val="1"/>
          <w:bCs w:val="1"/>
          <w:color w:val="auto"/>
        </w:rPr>
        <w:t>PMA</w:t>
      </w:r>
      <w:r>
        <w:rPr>
          <w:rFonts w:ascii="Arial" w:cs="Arial" w:eastAsia="Arial" w:hAnsi="Arial"/>
          <w:sz w:val="17"/>
          <w:szCs w:val="17"/>
          <w:color w:val="auto"/>
        </w:rPr>
        <w:t>”) to the RECELL System for use in the treatment of acute thermal burns in patients eighteen years and older. Following receipt of our original PMA, we commenced commercialization of the RECELL System in January 2019 in the United States. In June 2021, the FDA approved expanded use of the RECELL System in combination of meshed autografting for acute full-thickness thermal wounds in pediatric and adult patients. In February 2022, the FDA approved a PMA supplement for the RECELL Autologous Cell Harvesting Device, an enhanced ease-of-use device aimed at providing clinicians a more efficient user experience and simplified workflow. In addition, the FDA has granted the Company Investigational Device Exemptions (“</w:t>
      </w:r>
      <w:r>
        <w:rPr>
          <w:rFonts w:ascii="Arial" w:cs="Arial" w:eastAsia="Arial" w:hAnsi="Arial"/>
          <w:sz w:val="17"/>
          <w:szCs w:val="17"/>
          <w:b w:val="1"/>
          <w:bCs w:val="1"/>
          <w:color w:val="auto"/>
        </w:rPr>
        <w:t>IDEs</w:t>
      </w:r>
      <w:r>
        <w:rPr>
          <w:rFonts w:ascii="Arial" w:cs="Arial" w:eastAsia="Arial" w:hAnsi="Arial"/>
          <w:sz w:val="17"/>
          <w:szCs w:val="17"/>
          <w:color w:val="auto"/>
        </w:rPr>
        <w:t>”), which enabled the Company to conduct pivotal clinical trials to further expand the indications of the RECELL System to include soft tissue repair and vitiligo. Enrollment of those clinical studies is complete, with topline results recently announced for both the soft tissue repair and vitiligo trials. Results from those studies are intended to support the Company’s pursuit of FDA approval to market the RECELL System in the United States for those indications. In connection to FDA approval, the Company submitted a PMA Supplement for soft tissue repair and a PMA application for vitiligo in December 2022.</w:t>
      </w:r>
    </w:p>
    <w:p>
      <w:pPr>
        <w:spacing w:after="0" w:line="180"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In February 2019, we entered into a collaboration with COSMOTEC, an M3 Group company, to market and distribute the RECELL System in Japan. We worked with COSMOTEC to advance our application for approval of the RECELL System in Japan pursuant to Japan’s Pharmaceuticals and Medical Devices Act (“</w:t>
      </w:r>
      <w:r>
        <w:rPr>
          <w:rFonts w:ascii="Arial" w:cs="Arial" w:eastAsia="Arial" w:hAnsi="Arial"/>
          <w:sz w:val="16"/>
          <w:szCs w:val="16"/>
          <w:b w:val="1"/>
          <w:bCs w:val="1"/>
          <w:color w:val="auto"/>
        </w:rPr>
        <w:t>PMDA</w:t>
      </w:r>
      <w:r>
        <w:rPr>
          <w:rFonts w:ascii="Arial" w:cs="Arial" w:eastAsia="Arial" w:hAnsi="Arial"/>
          <w:sz w:val="16"/>
          <w:szCs w:val="16"/>
          <w:color w:val="auto"/>
        </w:rPr>
        <w:t>”). In February 2022, COSMOTEC’s application for regulatory approval was approved by the PMDA with labelling for burns only. In September 2022, COSMOTEC commercially launched RECELL in Japan following Japan’s Ministry of Health, Labor, and Welfare approval of reimbursement pricing. COSMOTEC potentially plans to submit a further application for soft tissue repair and vitiligo indications.</w:t>
      </w:r>
    </w:p>
    <w:p>
      <w:pPr>
        <w:spacing w:after="0" w:line="161"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In March 2020, the World Health Organization declared the outbreak of a novel strain of the coronavirus (“COVID-19”) a pandemic. We continue to closely monitor the impact surrounding the spread and potential resurgence of COVID-19 due to existing and future variants. As of the date of this filing, we continue to be unable to predict the full impact that the ongoing COVID-19 pandemic will have on our future results of operations, liquidity, and financial condition due to numerous uncertainties, including the duration of the pandemic and the actions that may be taken in the future by government authorities across the United States in response to new variants. The Company has assessed the potential impact of COVID-19 on certain accounting matters including, but not limited to, the allowance for doubtful accounts, inventory reserves and return reserves, and impairment considerations for long-lived assets, marketable securities and intangibles, as of December 31, 2022, and through the date of this report.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 However, we do not currently believe that COVID-19 will result in any significant changes in costs going forward. We will continue to monitor the performance of our business and reassess the impacts of COVID-19 and its variants.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YEAR-END</w:t>
      </w:r>
    </w:p>
    <w:p>
      <w:pPr>
        <w:spacing w:after="0" w:line="229"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On November 8, 2021, the Company changed its fiscal year-end from June 30th to December 31st. The decision to change the fiscal year-end to a calendar year end was to align our reporting cycle more closely with how we manage our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transactions and balances have been eliminated upon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year presentation</w:t>
      </w:r>
    </w:p>
    <w:p>
      <w:pPr>
        <w:spacing w:after="0" w:line="225" w:lineRule="exact"/>
        <w:rPr>
          <w:sz w:val="20"/>
          <w:szCs w:val="20"/>
          <w:color w:val="auto"/>
        </w:rPr>
      </w:pPr>
    </w:p>
    <w:p>
      <w:pPr>
        <w:jc w:val="both"/>
        <w:ind w:right="80" w:firstLine="749"/>
        <w:spacing w:after="0" w:line="259" w:lineRule="auto"/>
        <w:rPr>
          <w:sz w:val="20"/>
          <w:szCs w:val="20"/>
          <w:color w:val="auto"/>
        </w:rPr>
      </w:pPr>
      <w:r>
        <w:rPr>
          <w:rFonts w:ascii="Arial" w:cs="Arial" w:eastAsia="Arial" w:hAnsi="Arial"/>
          <w:sz w:val="18"/>
          <w:szCs w:val="18"/>
          <w:color w:val="auto"/>
        </w:rPr>
        <w:t>Certain prior year amounts within other long-term assets and other long-term liabilities have been reclassified to Corporate-owned life insurance asset and Non-qualified deferred compensation plan liability, respectively, in the Consolidated Balance Sheets and Consolidated Statement of Cash flows, for consistency with current period presentation. These reclassifications had no effect on the reported results of operations or financial position or net cash used in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The preparation of the accompanying consolidated financial statements in conformity with U.S. GAAP requires management to make estimates and assumptions that affect the reported amounts (including doubtful accounts, carrying value of long-lived asset, the useful lives of long-lived assets, accounting for marketable securities, income taxes, stock-based compensation and the stand-alone selling price for the BARDA contract) and related disclosures. Estimates have been prepared on the basis of the current and available information. However, actual results could differ from estimated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225" w:lineRule="exact"/>
        <w:rPr>
          <w:sz w:val="20"/>
          <w:szCs w:val="20"/>
          <w:color w:val="auto"/>
        </w:rPr>
      </w:pPr>
    </w:p>
    <w:p>
      <w:pPr>
        <w:ind w:right="140" w:firstLine="749"/>
        <w:spacing w:after="0" w:line="293" w:lineRule="auto"/>
        <w:rPr>
          <w:sz w:val="20"/>
          <w:szCs w:val="20"/>
          <w:color w:val="auto"/>
        </w:rPr>
      </w:pPr>
      <w:r>
        <w:rPr>
          <w:rFonts w:ascii="Arial" w:cs="Arial" w:eastAsia="Arial" w:hAnsi="Arial"/>
          <w:sz w:val="16"/>
          <w:szCs w:val="16"/>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are included in general and administrative expenses and were gain of $91,000 and $35,000 and a loss of $97,000 for the year-ended December 31, 2022, the transition period ended December 31, 2021 and the year-ended June 30, 2021, respectively.</w:t>
      </w:r>
    </w:p>
    <w:p>
      <w:pPr>
        <w:spacing w:after="0" w:line="164" w:lineRule="exact"/>
        <w:rPr>
          <w:sz w:val="20"/>
          <w:szCs w:val="20"/>
          <w:color w:val="auto"/>
        </w:rPr>
      </w:pPr>
    </w:p>
    <w:p>
      <w:pPr>
        <w:jc w:val="both"/>
        <w:ind w:right="260" w:firstLine="749"/>
        <w:spacing w:after="0" w:line="301" w:lineRule="auto"/>
        <w:rPr>
          <w:sz w:val="20"/>
          <w:szCs w:val="20"/>
          <w:color w:val="auto"/>
        </w:rPr>
      </w:pPr>
      <w:r>
        <w:rPr>
          <w:rFonts w:ascii="Arial" w:cs="Arial" w:eastAsia="Arial" w:hAnsi="Arial"/>
          <w:sz w:val="16"/>
          <w:szCs w:val="16"/>
          <w:color w:val="auto"/>
        </w:rPr>
        <w:t>The Company’s subsidiaries that use the U.S. dollar as their functional currency remeasure monetary assets and liabilities at exchange rates in effect at the end of each period, nonmonetary assets and liabilities at historical rates. Gains and losses resulting from these remeasurements and foreign currency transactions are included in general and administrative expenses and were a loss of $6,000 a gain $37,000 and a loss of $131,000 for the year-ended December 31, 2022, the transition period ended December 31, 2021 and the year-ended June 30,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333"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components of comprehensive loss consist of net loss, foreign currency translation adjustments from its subsidiaries not using the U.S. dollar as their functional currency and unrealized gains and losses in investments available for sale. The Company did not have reclassifications from other comprehensive loss to net loss during the year-ended December 31, 2022, the transition period ended December 31, 2021, and the year-ended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The Company recognizes revenue when its customers obtain control of promised goods or services, in an amount that reflects the consideration which the Company expects to be entitled in exchange for those goods or services.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w:t>
      </w:r>
    </w:p>
    <w:p>
      <w:pPr>
        <w:spacing w:after="0" w:line="237"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57"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The Company’s revenue consists primarily of the sale of the RECELL System to hospitals or other treatment centers, COSMOTEC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International Accounting Standards 20 (“</w:t>
      </w:r>
      <w:r>
        <w:rPr>
          <w:rFonts w:ascii="Arial" w:cs="Arial" w:eastAsia="Arial" w:hAnsi="Arial"/>
          <w:sz w:val="18"/>
          <w:szCs w:val="18"/>
          <w:b w:val="1"/>
          <w:bCs w:val="1"/>
          <w:color w:val="auto"/>
        </w:rPr>
        <w:t>IAS 20</w:t>
      </w:r>
      <w:r>
        <w:rPr>
          <w:rFonts w:ascii="Arial" w:cs="Arial" w:eastAsia="Arial" w:hAnsi="Arial"/>
          <w:sz w:val="18"/>
          <w:szCs w:val="18"/>
          <w:color w:val="auto"/>
        </w:rPr>
        <w:t>”). For further details refer to BARDA Income and Receivables below.</w:t>
      </w:r>
    </w:p>
    <w:p>
      <w:pPr>
        <w:spacing w:after="0" w:line="192" w:lineRule="exact"/>
        <w:rPr>
          <w:sz w:val="20"/>
          <w:szCs w:val="20"/>
          <w:color w:val="auto"/>
        </w:rPr>
      </w:pPr>
    </w:p>
    <w:p>
      <w:pPr>
        <w:ind w:right="120" w:firstLine="749"/>
        <w:spacing w:after="0" w:line="254" w:lineRule="auto"/>
        <w:rPr>
          <w:sz w:val="20"/>
          <w:szCs w:val="20"/>
          <w:color w:val="auto"/>
        </w:rPr>
      </w:pPr>
      <w:r>
        <w:rPr>
          <w:rFonts w:ascii="Arial" w:cs="Arial" w:eastAsia="Arial" w:hAnsi="Arial"/>
          <w:sz w:val="18"/>
          <w:szCs w:val="18"/>
          <w:color w:val="auto"/>
        </w:rPr>
        <w:t>Revenues for commercial customers (hospitals, treatment centers and COSMOTEC)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92"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For revenues related to the BARDA contract within the scope of ASC 606,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192"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The total transaction price for the portion of the BARDA contract that is with 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which is classified as revenues when recognized in the consolidated statement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92"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 xml:space="preserve">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w:t>
      </w:r>
      <w:r>
        <w:rPr>
          <w:rFonts w:ascii="Arial" w:cs="Arial" w:eastAsia="Arial" w:hAnsi="Arial"/>
          <w:sz w:val="17"/>
          <w:szCs w:val="17"/>
          <w:i w:val="1"/>
          <w:iCs w:val="1"/>
          <w:color w:val="auto"/>
        </w:rPr>
        <w:t>Securities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Exchange Commission (SEC) Interpretation, Commission Guidance regarding Accounting for Sale of Vaccines and BioTerror Countermeasures to the Federal Government for Placement into the Pediatric Vaccine Stockpile or the Strategic National Stockpile (SNS). </w:t>
      </w:r>
      <w:r>
        <w:rPr>
          <w:rFonts w:ascii="Arial" w:cs="Arial" w:eastAsia="Arial" w:hAnsi="Arial"/>
          <w:sz w:val="17"/>
          <w:szCs w:val="17"/>
          <w:color w:val="auto"/>
        </w:rPr>
        <w:t>Under this guidance, revenue is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when product is placed in the BARDA vendor-managed inventory (“</w:t>
      </w:r>
      <w:r>
        <w:rPr>
          <w:rFonts w:ascii="Arial" w:cs="Arial" w:eastAsia="Arial" w:hAnsi="Arial"/>
          <w:sz w:val="17"/>
          <w:szCs w:val="17"/>
          <w:b w:val="1"/>
          <w:bCs w:val="1"/>
          <w:color w:val="auto"/>
        </w:rPr>
        <w:t>VMI</w:t>
      </w:r>
      <w:r>
        <w:rPr>
          <w:rFonts w:ascii="Arial" w:cs="Arial" w:eastAsia="Arial" w:hAnsi="Arial"/>
          <w:sz w:val="17"/>
          <w:szCs w:val="17"/>
          <w:color w:val="auto"/>
        </w:rPr>
        <w:t>”) as control of the product has been transferred to the customer at the time of delivery to the VMI. RECELL units that have been delivered to BARDA have a product replacement obligation at no cost to BARDA due to product’s limited shelf-life. The estimated cost of the expired inventory over the term of the contract is recognized on a per unit basis at the time of delivery. The estimated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 of Operations. Contract costs to fulfil the performance obligations are incremental and expected to be recovered are capitalized and amortized on a straight-line basis over the term of the contract. As of December 31, 2022, contract costs are included in other current asset, in prior-years amounts were included in other long-term assets.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ind w:right="40" w:firstLine="749"/>
        <w:spacing w:after="0" w:line="290" w:lineRule="auto"/>
        <w:rPr>
          <w:sz w:val="20"/>
          <w:szCs w:val="20"/>
          <w:color w:val="auto"/>
        </w:rPr>
      </w:pPr>
      <w:r>
        <w:rPr>
          <w:rFonts w:ascii="Arial" w:cs="Arial" w:eastAsia="Arial" w:hAnsi="Arial"/>
          <w:sz w:val="17"/>
          <w:szCs w:val="17"/>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6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color w:val="auto"/>
        </w:rPr>
        <w:t>Consists of cash held at deposit institutions and cash equivalents. Cash equivalents consist of short-term highly liquid investments with original maturities of three months or less from the date of purchase and consist primarily of money market funds. The Company holds cash at deposit institutions in the amount of $4.1 million, $4.4 million and $54.2 million of which $737,000 and $203,000 and $273,000 is denominated in foreign currencies in foreign institutions as of December 31, 2022, December 31, 2021, and June 30, 2021 respectively. As of December 31, 2022, December 31, 2021, and June 30, 2021, the Company held cash equivalents in the amount of $14.1 million and $51.1 million, and $56.5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Pursuant to a contractual agreement with American Express to maintain the business credit card, the Company was required to maintain restricted cash deposits which amounted to approximately $201,000 as of December 31, 2021 and June 30, 2021. As of December 31, 2022, the Company is no longer required to maintain a balance.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ind w:right="180" w:firstLine="749"/>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and cash equivalents, trade receivables, BARDA receivables and other receivables. As of December 31, 2022, December 31, 2021 and June 30, 2021, substantially all of the Company’s cash was deposited in accounts at financial institutions, and amounts may exceed federally insured limits. Management believes that the Company is not exposed to significant credit risk due to the financial strength of the depository institutions in which its cash is held.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As of December 31, 2022 and December 31, 2021, one commercial customer accounted for approximately 10% of net accounts receivable. As of June 30, 2021, no single commercial customer accounted for more than 10% of accounts receivable. For the year-ended December 31, 2022, one commercial customer accounted for more than 10% of total revenues. For the transition period ended December 31, 2021 and the year-ended June 30, 2021, no single commercial customer accounted for more than 10% of total revenues. BARDA revenues for the procurement of the RECELL system accounted for approximately 1%, 1% and 27% of total revenues for the year-ended December 31, 2022, the transition period ended December 31, 2021 and the year-ended June 30, 2021, respectively. BARDA receivables for the procurement of the RECELL system and emergency preparedness accounted for approximately 2%, 3%, and 91% of BARDA receivables as of December 31, 2022, December 31, 2021 and June 30, 2021, respectively. See table below for breakdown of BARDA receivables (in thousands).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340" w:type="dxa"/>
            <w:vAlign w:val="bottom"/>
          </w:tcPr>
          <w:p>
            <w:pPr>
              <w:jc w:val="center"/>
              <w:ind w:left="177"/>
              <w:spacing w:after="0"/>
              <w:rPr>
                <w:sz w:val="20"/>
                <w:szCs w:val="20"/>
                <w:color w:val="auto"/>
              </w:rPr>
            </w:pPr>
            <w:r>
              <w:rPr>
                <w:rFonts w:ascii="Arial" w:cs="Arial" w:eastAsia="Arial" w:hAnsi="Arial"/>
                <w:sz w:val="18"/>
                <w:szCs w:val="18"/>
                <w:b w:val="1"/>
                <w:bCs w:val="1"/>
                <w:color w:val="auto"/>
                <w:w w:val="88"/>
              </w:rPr>
              <w:t>As of</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3120" w:type="dxa"/>
            <w:vAlign w:val="bottom"/>
          </w:tcPr>
          <w:p>
            <w:pPr>
              <w:spacing w:after="0"/>
              <w:rPr>
                <w:sz w:val="18"/>
                <w:szCs w:val="18"/>
                <w:color w:val="auto"/>
              </w:rPr>
            </w:pPr>
          </w:p>
        </w:tc>
        <w:tc>
          <w:tcPr>
            <w:tcW w:w="1340" w:type="dxa"/>
            <w:vAlign w:val="bottom"/>
          </w:tcPr>
          <w:p>
            <w:pPr>
              <w:jc w:val="center"/>
              <w:ind w:left="177"/>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12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ind w:left="177"/>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Borders>
              <w:bottom w:val="single" w:sz="8" w:color="CFF0FC"/>
            </w:tcBorders>
          </w:tcPr>
          <w:p>
            <w:pPr>
              <w:spacing w:after="0"/>
              <w:rPr>
                <w:sz w:val="20"/>
                <w:szCs w:val="20"/>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BARDA procurement and emergency</w:t>
            </w: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preparedness services</w:t>
            </w:r>
          </w:p>
        </w:tc>
        <w:tc>
          <w:tcPr>
            <w:tcW w:w="1340" w:type="dxa"/>
            <w:vAlign w:val="bottom"/>
            <w:shd w:val="clear" w:color="auto" w:fill="CFF0FC"/>
          </w:tcPr>
          <w:p>
            <w:pPr>
              <w:jc w:val="right"/>
              <w:ind w:right="117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80" w:type="dxa"/>
            <w:vAlign w:val="bottom"/>
            <w:shd w:val="clear" w:color="auto" w:fill="CFF0FC"/>
          </w:tcPr>
          <w:p>
            <w:pPr>
              <w:spacing w:after="0"/>
              <w:rPr>
                <w:sz w:val="20"/>
                <w:szCs w:val="20"/>
                <w:color w:val="auto"/>
              </w:rPr>
            </w:pPr>
          </w:p>
        </w:tc>
      </w:tr>
      <w:tr>
        <w:trPr>
          <w:trHeight w:val="229"/>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BARDA expense reimbursements</w:t>
            </w: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882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FF0FC"/>
            </w:tcBorders>
          </w:tcPr>
          <w:p>
            <w:pPr>
              <w:spacing w:after="0"/>
              <w:rPr>
                <w:sz w:val="19"/>
                <w:szCs w:val="19"/>
                <w:color w:val="auto"/>
              </w:rPr>
            </w:pPr>
          </w:p>
        </w:tc>
      </w:tr>
      <w:tr>
        <w:trPr>
          <w:trHeight w:val="223"/>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FF0FC"/>
          </w:tcPr>
          <w:p>
            <w:pPr>
              <w:jc w:val="right"/>
              <w:ind w:right="117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898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308</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3,936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carrying values of the Company’s financial instruments, consisting of cash and cash equivalents, marketable securities, trade receivables, prepaids and other receivables, accounts payable, accrued liabilities and contract liabilities, approximate fair value due to the relative short-term nature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220" w:firstLine="749"/>
        <w:spacing w:after="0" w:line="255" w:lineRule="auto"/>
        <w:rPr>
          <w:sz w:val="20"/>
          <w:szCs w:val="20"/>
          <w:color w:val="auto"/>
        </w:rPr>
      </w:pPr>
      <w:r>
        <w:rPr>
          <w:rFonts w:ascii="Arial" w:cs="Arial" w:eastAsia="Arial" w:hAnsi="Arial"/>
          <w:sz w:val="18"/>
          <w:szCs w:val="18"/>
          <w:color w:val="auto"/>
        </w:rPr>
        <w:t>We classify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 We account for our marketable securities as available-for-sale securities.</w:t>
      </w:r>
    </w:p>
    <w:p>
      <w:pPr>
        <w:spacing w:after="0" w:line="192"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All marketable securities, which consist of corporate debt securities, asset backed securities, U.S treasury and commercial paper are denominated in the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securities are included in interest and other income, net,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In accordance with the Company’s investment policy, management invests to diversify credit risk and only invests in securities with high credit quality, including U.S. government securities, and the maximum final maturity from the date of purchase is thirty-seven months.</w:t>
      </w:r>
    </w:p>
    <w:p>
      <w:pPr>
        <w:spacing w:after="0" w:line="165"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debt securities into the following categories: commercial paper, corporate debt, government and agency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w:t>
      </w:r>
    </w:p>
    <w:p>
      <w:pPr>
        <w:spacing w:after="0" w:line="165"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To evaluate for impairment, management reviews credit rating changes, securities trends, interest rate movements and unrealized loss at the security level of the Company’s available for 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Accounts receivable are recorded net of customer allowances for doubtful accounts. The Company estimates an allowance for expected credit losses (i.e., the inability of our customers to make required payments). These estimates are based on a combination of past experience and current trends. In estimating the allowance for expected credit losses, consideration is given to the current aging of receivables, a specific review for potential bad debts and an evaluation of historic write-offs. The resulting bad debt expense is included in sales and marketing expenses in the Consolidated Statement of Operations. Receivables are written-off when deemed uncollectible. As of December 31, 2022, December 31,2021, and June 30, 2021, the allowance for doubtful accounts was $24,000 $28,000, and $30,000, respectively.</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rollforward of the activity in the Company’s allowance for doubtful account is as follows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Year-ended</w:t>
            </w:r>
          </w:p>
        </w:tc>
        <w:tc>
          <w:tcPr>
            <w:tcW w:w="8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4"/>
                <w:szCs w:val="14"/>
                <w:b w:val="1"/>
                <w:bCs w:val="1"/>
                <w:color w:val="auto"/>
              </w:rPr>
              <w:t>Transition Period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Year-ended</w:t>
            </w:r>
          </w:p>
        </w:tc>
      </w:tr>
      <w:tr>
        <w:trPr>
          <w:trHeight w:val="155"/>
        </w:trPr>
        <w:tc>
          <w:tcPr>
            <w:tcW w:w="41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0"/>
              </w:rPr>
              <w:t>December 31, 2022</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95"/>
              </w:rPr>
              <w:t>December 31, 2021</w:t>
            </w: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w w:val="96"/>
              </w:rPr>
              <w:t>Allowance for doubtful accounts, at beginning of year</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Bad debt expense</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Deductions</w:t>
            </w: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Allowance for doubtful accounts, at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225"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The Company was awarded a BARDA grant in September 2015. Under this grant BARDA supports the Company’s research and development for the Company’s product, including the ongoing U.S. clinical regulatory program targeted towards FDA PMA, our compassionate use program, clinical and health economics research, and U.S. pediatric burn programs.</w:t>
      </w:r>
    </w:p>
    <w:p>
      <w:pPr>
        <w:spacing w:after="0" w:line="184" w:lineRule="exact"/>
        <w:rPr>
          <w:sz w:val="20"/>
          <w:szCs w:val="20"/>
          <w:color w:val="auto"/>
        </w:rPr>
      </w:pPr>
    </w:p>
    <w:p>
      <w:pPr>
        <w:jc w:val="both"/>
        <w:ind w:right="340" w:firstLine="749"/>
        <w:spacing w:after="0" w:line="286" w:lineRule="auto"/>
        <w:rPr>
          <w:sz w:val="20"/>
          <w:szCs w:val="20"/>
          <w:color w:val="auto"/>
        </w:rPr>
      </w:pPr>
      <w:r>
        <w:rPr>
          <w:rFonts w:ascii="Arial" w:cs="Arial" w:eastAsia="Arial" w:hAnsi="Arial"/>
          <w:sz w:val="17"/>
          <w:szCs w:val="17"/>
          <w:color w:val="auto"/>
        </w:rPr>
        <w:t>Consideration received under the BARDA grant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65"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 xml:space="preserve">The Company has concluded that grants under the BARDA grant are not within the scope of ASC 606, as they do not meet the definition of a contract with a “customer.” The Company has further concluded that Subtopic 958-605, </w:t>
      </w:r>
      <w:r>
        <w:rPr>
          <w:rFonts w:ascii="Arial" w:cs="Arial" w:eastAsia="Arial" w:hAnsi="Arial"/>
          <w:sz w:val="17"/>
          <w:szCs w:val="17"/>
          <w:i w:val="1"/>
          <w:iCs w:val="1"/>
          <w:color w:val="auto"/>
        </w:rPr>
        <w:t>Not-for-Profit-Entities-Revenue Recognition</w:t>
      </w:r>
      <w:r>
        <w:rPr>
          <w:rFonts w:ascii="Arial" w:cs="Arial" w:eastAsia="Arial" w:hAnsi="Arial"/>
          <w:sz w:val="17"/>
          <w:szCs w:val="17"/>
          <w:color w:val="auto"/>
        </w:rPr>
        <w:t xml:space="preserve"> also does not apply, as the Company is a business entity and the grants are with governmental agencies or units. With respect to the BARDA grant, we considered the guidance in IAS 20, </w:t>
      </w:r>
      <w:r>
        <w:rPr>
          <w:rFonts w:ascii="Arial" w:cs="Arial" w:eastAsia="Arial" w:hAnsi="Arial"/>
          <w:sz w:val="17"/>
          <w:szCs w:val="17"/>
          <w:i w:val="1"/>
          <w:iCs w:val="1"/>
          <w:color w:val="auto"/>
        </w:rPr>
        <w:t>Accounting for Government Grants and Disclosure of Government Assistance,</w:t>
      </w:r>
      <w:r>
        <w:rPr>
          <w:rFonts w:ascii="Arial" w:cs="Arial" w:eastAsia="Arial" w:hAnsi="Arial"/>
          <w:sz w:val="17"/>
          <w:szCs w:val="17"/>
          <w:color w:val="auto"/>
        </w:rPr>
        <w:t xml:space="preserve"> by analogy. BARDA income and related receivables are recognized when there is reasonable assurance that the grant will be received, and all attaching conditions have been complied with. When the grant relates to an expense item, the grant received is recognized as income over the period when the expense was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Inventory is valued at the lower of cost or estimated net realizable value and is reflected in cost of sales. Costs incurred in bringing each product to its present location and condition are accounted for at purchase cost on a first-in, first-out basis (“</w:t>
      </w:r>
      <w:r>
        <w:rPr>
          <w:rFonts w:ascii="Arial" w:cs="Arial" w:eastAsia="Arial" w:hAnsi="Arial"/>
          <w:sz w:val="17"/>
          <w:szCs w:val="17"/>
          <w:b w:val="1"/>
          <w:bCs w:val="1"/>
          <w:color w:val="auto"/>
        </w:rPr>
        <w:t>FIFO</w:t>
      </w:r>
      <w:r>
        <w:rPr>
          <w:rFonts w:ascii="Arial" w:cs="Arial" w:eastAsia="Arial" w:hAnsi="Arial"/>
          <w:sz w:val="17"/>
          <w:szCs w:val="17"/>
          <w:color w:val="auto"/>
        </w:rPr>
        <w:t>”). The Company capitalizes inventory costs associated with the Company’s products when, based on management’s judgment, future commercialization is considered probable and the future economic benefit is expected to be realized; otherwise, such costs are expensed as research and development. Inventory is evaluated for impairment periodically to identify inventory obsolescence when an inventory item’s cost basis is in excess of its net realizable value. These adjustments are based upon multiple factors, including inventory levels, projected demand, and product shelf life.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Net realizable value is the estimated selling price in the ordinary course of business, less estimated costs of completion and costs to complete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100" w:firstLine="749"/>
        <w:spacing w:after="0" w:line="296" w:lineRule="auto"/>
        <w:rPr>
          <w:sz w:val="20"/>
          <w:szCs w:val="20"/>
          <w:color w:val="auto"/>
        </w:rPr>
      </w:pPr>
      <w:r>
        <w:rPr>
          <w:rFonts w:ascii="Arial" w:cs="Arial" w:eastAsia="Arial" w:hAnsi="Arial"/>
          <w:sz w:val="16"/>
          <w:szCs w:val="16"/>
          <w:color w:val="auto"/>
        </w:rPr>
        <w:t>The Company has operating leases for corporate office space, manufacturing and warehouse facility. The Company has finance leases for equipment and furniture, which are not material to the consolidated financial statements. The Company’s operating leases have remaining lease terms of one year to two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w:t>
      </w:r>
    </w:p>
    <w:p>
      <w:pPr>
        <w:spacing w:after="0" w:line="15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Right-of-use (“</w:t>
      </w:r>
      <w:r>
        <w:rPr>
          <w:rFonts w:ascii="Arial" w:cs="Arial" w:eastAsia="Arial" w:hAnsi="Arial"/>
          <w:sz w:val="18"/>
          <w:szCs w:val="18"/>
          <w:b w:val="1"/>
          <w:bCs w:val="1"/>
          <w:color w:val="auto"/>
        </w:rPr>
        <w:t>ROU</w:t>
      </w:r>
      <w:r>
        <w:rPr>
          <w:rFonts w:ascii="Arial" w:cs="Arial" w:eastAsia="Arial" w:hAnsi="Arial"/>
          <w:sz w:val="18"/>
          <w:szCs w:val="18"/>
          <w:color w:val="auto"/>
        </w:rPr>
        <w:t>”)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w:t>
      </w:r>
      <w:r>
        <w:rPr>
          <w:rFonts w:ascii="Arial" w:cs="Arial" w:eastAsia="Arial" w:hAnsi="Arial"/>
          <w:sz w:val="18"/>
          <w:szCs w:val="18"/>
          <w:b w:val="1"/>
          <w:bCs w:val="1"/>
          <w:color w:val="auto"/>
        </w:rPr>
        <w:t>IBR</w:t>
      </w:r>
      <w:r>
        <w:rPr>
          <w:rFonts w:ascii="Arial" w:cs="Arial" w:eastAsia="Arial" w:hAnsi="Arial"/>
          <w:sz w:val="18"/>
          <w:szCs w:val="18"/>
          <w:color w:val="auto"/>
        </w:rPr>
        <w:t>”) based on the information available at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w:t>
      </w:r>
    </w:p>
    <w:p>
      <w:pPr>
        <w:spacing w:after="0" w:line="193"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spacing w:after="0" w:line="161"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The Company’s property, plant and equipment are stated at cost, net of accumulated depreciation and amortization. Depreciation is computed based on the straight-line method over the estimated useful lives of the various asset classes, generally three to seven years. Leasehold improvements are amortized over the shorter of the life of the related asset or the remaining term of the lease. Costs associated with customized internal-use software systems that have reached the application development stage and meet recoverability tests are capitalized and include external direct costs utilized in developing or obtaining the applications and payroll and payroll-related expenses for employees who are directly associated with the application development. Maintenance and repairs are expensed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right="20" w:firstLine="749"/>
        <w:spacing w:after="0" w:line="311" w:lineRule="auto"/>
        <w:rPr>
          <w:sz w:val="20"/>
          <w:szCs w:val="20"/>
          <w:color w:val="auto"/>
        </w:rPr>
      </w:pPr>
      <w:r>
        <w:rPr>
          <w:rFonts w:ascii="Arial" w:cs="Arial" w:eastAsia="Arial" w:hAnsi="Arial"/>
          <w:sz w:val="16"/>
          <w:szCs w:val="16"/>
          <w:color w:val="auto"/>
        </w:rPr>
        <w:t>The Company maintains definite-lived intangible assets related to patents initially measured at cost and amortized over estimated useful lives of approximately 3—20 years. The Company had capitalized patent costs of $558,000, $673,000 and $700,000 as of December 31, 2022, December 31, 2021, and June 30, 2021 respectively, related to regulatory approval of the RECELL System, and are being amortized over their estimated useful lives.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The Company evaluates long-lived assets for impairment whenever events or changes in circumstances indicate that the carrying amount of an asset may not be recoverable. If the sum of the estimated, undiscounted future cash flows is less than the carrying amount of the asset, then an impairment is recognized for the amount by which the carrying value of the asset exceeds its estimated fair value. Fair value is determined using the market, income, or cost approaches as appropriate for the asset. Any write-downs are treated as permanent reductions in the carrying amount of the asset and recognized as an operating loss. The Company recorded $42,000 of impairments intangible assets during the transition period ended December 31, 2021. There were no impairments of long-lived assets for the year-ended December 31, 2022 and June 30, 2021.</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Sales and marketing expenses consist primarily of compensation and employee benefits of sales and marketing personnel and related field sales organization, marketing events, advertising costs, travel, trade shows and other marketing materials. The Company expenses all selling and marketing costs as incurred. Advertising expenses were $216,000, $16,000, and $73,000 for the year-ended December 31, 2022, the transition period ended December 31, 2021, and the year-ended June 30,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0" w:firstLine="749"/>
        <w:spacing w:after="0" w:line="263" w:lineRule="auto"/>
        <w:rPr>
          <w:sz w:val="20"/>
          <w:szCs w:val="20"/>
          <w:color w:val="auto"/>
        </w:rPr>
      </w:pPr>
      <w:r>
        <w:rPr>
          <w:rFonts w:ascii="Arial" w:cs="Arial" w:eastAsia="Arial" w:hAnsi="Arial"/>
          <w:sz w:val="18"/>
          <w:szCs w:val="18"/>
          <w:color w:val="auto"/>
        </w:rPr>
        <w:t>Research and development expenses represent costs incurred to develop the Company’s products. Research and development expenses consist primarily of salaries and other personnel costs, clinical trial costs, regulatory costs and manufacturing costs for non-commercial products. The Company expenses all research and development costs in the periods in which they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 xml:space="preserve">The Company records compensation expense for stock options and RSUs based on the fair market value of the awards on the date of grant. The fair value of stock-based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 if any. The Black-Scholes option pricing model and Monte Carlo Simulation were used to estimate the fair value of the time-based and performance-based options, respectively. Under ASU 2016-09, </w:t>
      </w:r>
      <w:r>
        <w:rPr>
          <w:rFonts w:ascii="Arial" w:cs="Arial" w:eastAsia="Arial" w:hAnsi="Arial"/>
          <w:sz w:val="16"/>
          <w:szCs w:val="16"/>
          <w:i w:val="1"/>
          <w:iCs w:val="1"/>
          <w:color w:val="auto"/>
        </w:rPr>
        <w:t>Compensation – Stock Compensation (“ASC 718”) Improvements to 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Share-Based Payment Accounting</w:t>
      </w:r>
      <w:r>
        <w:rPr>
          <w:rFonts w:ascii="Arial" w:cs="Arial" w:eastAsia="Arial" w:hAnsi="Arial"/>
          <w:sz w:val="16"/>
          <w:szCs w:val="16"/>
          <w:color w:val="auto"/>
        </w:rPr>
        <w:t>, the Company elected to account for forfeitures as they occur.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the valuation of stock options.</w:t>
      </w:r>
    </w:p>
    <w:p>
      <w:pPr>
        <w:spacing w:after="0" w:line="23" w:lineRule="exact"/>
        <w:rPr>
          <w:sz w:val="20"/>
          <w:szCs w:val="20"/>
          <w:color w:val="auto"/>
        </w:rPr>
      </w:pPr>
    </w:p>
    <w:p>
      <w:pPr>
        <w:ind w:left="740" w:right="580" w:hanging="368"/>
        <w:spacing w:after="0" w:line="250"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volatility – determined using the average of the historical volatility using daily intervals over the expected term and the derived volatility using the longest term available of 12 months.</w:t>
      </w:r>
    </w:p>
    <w:p>
      <w:pPr>
        <w:ind w:left="740" w:right="140" w:hanging="368"/>
        <w:spacing w:after="0" w:line="260"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dividends – none, based on the fact that the Company has never paid cash dividends and does not expect to pay any cash dividends in the foreseeable future.</w:t>
      </w:r>
    </w:p>
    <w:p>
      <w:pPr>
        <w:spacing w:after="0" w:line="185" w:lineRule="exact"/>
        <w:rPr>
          <w:rFonts w:ascii="Arial" w:cs="Arial" w:eastAsia="Arial" w:hAnsi="Arial"/>
          <w:sz w:val="18"/>
          <w:szCs w:val="18"/>
          <w:color w:val="auto"/>
        </w:rPr>
      </w:pPr>
    </w:p>
    <w:p>
      <w:pPr>
        <w:ind w:left="740" w:right="1520" w:hanging="368"/>
        <w:spacing w:after="0" w:line="291" w:lineRule="auto"/>
        <w:tabs>
          <w:tab w:leader="none" w:pos="7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Expected term – the expected term of the Company’s stock options for tenure only vesting has been determined utilizing the “simplified” method as described in the SEC’s Staff Accounting Bulletin No. 107 relating to share-based compensation.</w:t>
      </w:r>
    </w:p>
    <w:p>
      <w:pPr>
        <w:ind w:left="740" w:right="60"/>
        <w:spacing w:after="0" w:line="250" w:lineRule="auto"/>
        <w:rPr>
          <w:rFonts w:ascii="Arial" w:cs="Arial" w:eastAsia="Arial" w:hAnsi="Arial"/>
          <w:sz w:val="16"/>
          <w:szCs w:val="16"/>
          <w:color w:val="auto"/>
        </w:rPr>
      </w:pPr>
      <w:r>
        <w:rPr>
          <w:rFonts w:ascii="Arial" w:cs="Arial" w:eastAsia="Arial" w:hAnsi="Arial"/>
          <w:sz w:val="18"/>
          <w:szCs w:val="18"/>
          <w:color w:val="auto"/>
        </w:rPr>
        <w:t>The simplified method was chosen because the Company has limited historical option exercise experience due to its short operating history of awards granted, with the first plan being established in 2016 which was primarily used for executive awards. Further, the Company does not have sufficient history of exercises in the U.S. market given the Company’s redomiciliation from Australia to the United States in 2020. The expected term of options with a performance condition or market condition was set to the contractual term of 10 years. The contractual term was used for options with a performance or market condition as these are primarily awarded to executives and the Company assumes that they will hold them longer than rank and file employees.</w:t>
      </w:r>
    </w:p>
    <w:p>
      <w:pPr>
        <w:spacing w:after="0" w:line="2" w:lineRule="exact"/>
        <w:rPr>
          <w:rFonts w:ascii="Arial" w:cs="Arial" w:eastAsia="Arial" w:hAnsi="Arial"/>
          <w:sz w:val="16"/>
          <w:szCs w:val="16"/>
          <w:color w:val="auto"/>
        </w:rPr>
      </w:pPr>
    </w:p>
    <w:p>
      <w:pPr>
        <w:ind w:left="740" w:right="380" w:hanging="368"/>
        <w:spacing w:after="0" w:line="260"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in effect at the time of grant for a period approximately equal to the expected term of the award.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shares outstanding during the period. Diluted earnings per share is computed by dividing net loss by the weighted-average number of common shares outstanding during the period, assuming potentially dilutive ordinary shares from option exercises, employee share awards, and other dilutive instruments that have been issued. For periods where the Company has presented a net loss, potentially dilutive securities are excluded from the computation of diluted net loss per share as they would be anti-dilutive. In accordance with ASC 710-10, shares of common stock held by the rabbi trust are excluded from the denominator in the basic and diluted EPS calculations.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 Liability and Corporate-Owned Life Insurance Asset</w:t>
      </w:r>
    </w:p>
    <w:p>
      <w:pPr>
        <w:spacing w:after="0" w:line="225"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The Company’s non-qualified deferred compensation plan (the "NQDC plan"), which became effective in October 2021, allows highly compensated key employees to elect to defer a portion of their salary, bonus, commissions and RSU awards to later years. Management determined that the cash deferrals under the NQDC plan shall be accounted for similarly to a defined benefit plan under ASC 715, Compensation – Retirement Benefits, and should follow accounting treatment that is similar to a cash balance plan. Management determined that the employee portion and employer portion of the deferred compensation should be recognized as a compensation expense with a corresponding credit to deferred compensation liability. The matching contribution will be accrued over the vesting period of two years with 25% vesting in the first year and 75% vesting in the second year. Employees aged 55 or older immediately vest in employer matching contributions. The change in the liability between each reporting period is accounted for as compensation expense with a corresponding adjustment to deferred compensation liability. Upon distribution, the Company will record the distribution as a decrease to compensation liability with a corresponding credit to cash. The Company funds the NQDC plan through a Corporate-Owned Life Insurance (“COLI”). Per the ASC 325-30-25-1A, Investments – Other, COLI is recorded as an asset in on the Consolidated Balance Sheets as it does not meet the definition of a plan asset under ASC 715. The Company invests in COLI policies relating to its deferred compensation plan. Investments in COLI policies are recorded at their cash surrender values as of each balance sheet date. Changes in the cash surrender value during the period are recorded as a gain or loss in the statements of operations in Other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Rabbi Trust</w:t>
      </w:r>
    </w:p>
    <w:p>
      <w:pPr>
        <w:spacing w:after="0" w:line="225"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During April 2022, we established a rabbi trust for a select group of participants in which share awards granted under the 2020 Omnibus Incentive Plan (“2020 Plan”) and deferred under the NQDC plan may be deposited. In addition to the deferral of shares, the rabbi trust holds the assets in the COLI for the NQDC plan. The rabbi trust is an irrevocable trust and no portion of the trust fund may be used for any purpose other than the delivery of those assets to the participants. The assets held in the rabbi trust are subject to the claims of our general creditors in the event of bankruptcy or insolvency. The value of the assets of the rabbi trust is consolidated into our financial statements.</w:t>
      </w:r>
    </w:p>
    <w:p>
      <w:pPr>
        <w:spacing w:after="0" w:line="176"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NQDC plan permits diversification of vested shares (common stock) into other equity securities subject to a six-month and one day holding period subsequent to vesting. Per ASC 710-10-25-15, accounting for deferred common stock will be under plan type C or D. Accounting will depend on whether or not the employee has diversified the common stock. Under Plan type C, diversification is permitted but the employee has not diversified. Under Plan type D, diversification is permitted and the employee has diversified.</w:t>
      </w:r>
    </w:p>
    <w:p>
      <w:pPr>
        <w:spacing w:after="0" w:line="187"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For common stock that have not been diversified, the employer stock held in the rabbi trust is classified in a manner similar to treasury stock and presented separately on the Consolidated Balance Sheets as Company common stock held by the non-qualified deferred compensation plan. Common stock will be recorded at fair value of the stock at the time it vested, subsequent changes in the value of the common stock will not be recognized. The deferred compensation obligation is measured independently at fair value of the common stock with a corresponding charge or credit to compensation cost. Fair value is determined as the product of the common stock and the closing price of the stock each reporting period.</w:t>
      </w:r>
    </w:p>
    <w:p>
      <w:pPr>
        <w:spacing w:after="0" w:line="176" w:lineRule="exact"/>
        <w:rPr>
          <w:sz w:val="20"/>
          <w:szCs w:val="20"/>
          <w:color w:val="auto"/>
        </w:rPr>
      </w:pPr>
    </w:p>
    <w:p>
      <w:pPr>
        <w:jc w:val="both"/>
        <w:ind w:right="40" w:firstLine="749"/>
        <w:spacing w:after="0" w:line="286" w:lineRule="auto"/>
        <w:rPr>
          <w:sz w:val="20"/>
          <w:szCs w:val="20"/>
          <w:color w:val="auto"/>
        </w:rPr>
      </w:pPr>
      <w:r>
        <w:rPr>
          <w:rFonts w:ascii="Arial" w:cs="Arial" w:eastAsia="Arial" w:hAnsi="Arial"/>
          <w:sz w:val="17"/>
          <w:szCs w:val="17"/>
          <w:color w:val="auto"/>
        </w:rPr>
        <w:t>Under plan type D, assets held by the rabbi trust are subject to applicable GAAP. As diversified common stock will be invested in mutual funds, assets held by the rabbi trust will be subject to accounting in ASC 321 - Investments - Equity Securities. The deferred compensation obligation is measured independently at fair value of the underlying assets. As of December 31, 2022, deferred common stock has not been diversified.</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share awards</w:t>
      </w:r>
    </w:p>
    <w:p>
      <w:pPr>
        <w:spacing w:after="0" w:line="225"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In accordance with ASC 718, Compensation — Stock Compensation, the deferred RSU awards under the NQDC plan are classified as an equity instrument and changes in fair value of the amount owed to the participant are not recognized. As the plan permits diversification, presentation outside of permanent equity in accordance with ASR 268, Redeemable Preferred Stock is appropriate. The redemption amounts are based on the vested percentage and are recorded outside of equity as non-qualified deferred compensation share awards on the Consolidated Balance Sheets. Deferred awards will be presented outside of permanent equity until the awards are vested.</w:t>
      </w:r>
    </w:p>
    <w:p>
      <w:pPr>
        <w:spacing w:after="0" w:line="188" w:lineRule="exact"/>
        <w:rPr>
          <w:sz w:val="20"/>
          <w:szCs w:val="20"/>
          <w:color w:val="auto"/>
        </w:rPr>
      </w:pPr>
    </w:p>
    <w:p>
      <w:pPr>
        <w:ind w:right="320" w:firstLine="749"/>
        <w:spacing w:after="0" w:line="263" w:lineRule="auto"/>
        <w:rPr>
          <w:sz w:val="20"/>
          <w:szCs w:val="20"/>
          <w:color w:val="auto"/>
        </w:rPr>
      </w:pPr>
      <w:r>
        <w:rPr>
          <w:rFonts w:ascii="Arial" w:cs="Arial" w:eastAsia="Arial" w:hAnsi="Arial"/>
          <w:sz w:val="18"/>
          <w:szCs w:val="18"/>
          <w:color w:val="auto"/>
        </w:rPr>
        <w:t>The redemption value of unvested and deferred RSU awards is recorded outside of equity as Non-qualified deferred compensation plan share awards. Once awards are vested, they are reclassified back to permanent equity as Company common stock held by the non-qualified deferred compensation plan in the Consolidated Balance Sheets. For further details refer to Note 18.</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decision-maker is its Chief Executive Officer. To date, the Company has viewed its operations and manages its business as one segment.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Standards Update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In November 2021, the FASB issued ASU 2021-10, “</w:t>
      </w:r>
      <w:r>
        <w:rPr>
          <w:rFonts w:ascii="Arial" w:cs="Arial" w:eastAsia="Arial" w:hAnsi="Arial"/>
          <w:sz w:val="17"/>
          <w:szCs w:val="17"/>
          <w:i w:val="1"/>
          <w:iCs w:val="1"/>
          <w:color w:val="auto"/>
        </w:rPr>
        <w:t>Government Assistance (Topic 832): Disclosures by Business Entities about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Assistance</w:t>
      </w:r>
      <w:r>
        <w:rPr>
          <w:rFonts w:ascii="Arial" w:cs="Arial" w:eastAsia="Arial" w:hAnsi="Arial"/>
          <w:sz w:val="17"/>
          <w:szCs w:val="17"/>
          <w:color w:val="auto"/>
        </w:rPr>
        <w:t>.” ASC 832 requires business entities to provide certain disclosures when they (1) have received government assistance and (2) use a grant or</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accounting model by analogy to other accounting guidance. The guidance will require business entities to disclose the nature of the transactions, accounting policies used to account for the transactions, and state which line items on the balance sheet and income statement are affected by these transactions and the amount applicable to each financial statement line. Business entities will also have to disclose significant terms and conditions of transactions with a government such as the duration of the agreement, any commitments made by either side, provisions, and contingencies. The guidance in ASU 2021-10 is effective for all entities for fiscal years beginning after December 15, 2021. Entities may apply the provision either (1) prospectively to all transactions within the scope of ASC 832 that are reflected in the financial statements as of the adoption date and all new transactions entered into after the date of adoption or (2) retrospectively. The Company adopted this standard as of January 1, 2022. The adoption did not have a material impact on the consolidated financial statements or disclosures.</w:t>
      </w:r>
    </w:p>
    <w:p>
      <w:pPr>
        <w:spacing w:after="0" w:line="185"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or ASU 2019-12, which includes amendments to simplify the accounting for income taxes by removing certain exceptions to the general principles in ASC 740, </w:t>
      </w:r>
      <w:r>
        <w:rPr>
          <w:rFonts w:ascii="Arial" w:cs="Arial" w:eastAsia="Arial" w:hAnsi="Arial"/>
          <w:sz w:val="17"/>
          <w:szCs w:val="17"/>
          <w:i w:val="1"/>
          <w:iCs w:val="1"/>
          <w:color w:val="auto"/>
        </w:rPr>
        <w:t>Income Taxes</w:t>
      </w:r>
      <w:r>
        <w:rPr>
          <w:rFonts w:ascii="Arial" w:cs="Arial" w:eastAsia="Arial" w:hAnsi="Arial"/>
          <w:sz w:val="17"/>
          <w:szCs w:val="17"/>
          <w:color w:val="auto"/>
        </w:rPr>
        <w:t>, or ASC 740. 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The Company adopted this standard as of January 1, 2022. The adoption did not have a material impact on the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All other newly issued but not yet effective accounting pronouncements have been deemed to be not applicable or immaterial to the Company.</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amortized cost and estimates fair values of debt securities available for sale:</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 2022</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left="68"/>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9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Holding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Holding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98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14,089</w:t>
            </w:r>
          </w:p>
        </w:tc>
        <w:tc>
          <w:tcPr>
            <w:tcW w:w="11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marketable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43,092</w:t>
            </w:r>
          </w:p>
        </w:tc>
        <w:tc>
          <w:tcPr>
            <w:tcW w:w="11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3,865</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obligations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current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61,601</w:t>
            </w:r>
          </w:p>
        </w:tc>
        <w:tc>
          <w:tcPr>
            <w:tcW w:w="20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61,178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Long-term marketable securities: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3,568</w:t>
            </w:r>
          </w:p>
        </w:tc>
        <w:tc>
          <w:tcPr>
            <w:tcW w:w="11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U.S Government agency obligations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5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 2021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left="68"/>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9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Holding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Holding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98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51,112</w:t>
            </w:r>
          </w:p>
        </w:tc>
        <w:tc>
          <w:tcPr>
            <w:tcW w:w="11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marketable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19,586</w:t>
            </w:r>
          </w:p>
        </w:tc>
        <w:tc>
          <w:tcPr>
            <w:tcW w:w="11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 backed securities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marketable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Long-term marketable securities: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18,043</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1,746</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maturities of debt securities available for sale are summarized in the following table using contractual maturities. Actual maturities may differ from contractual maturities due to obligations that are called or prepaid.</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As of December 31, 2022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of December 31, 2021</w:t>
            </w:r>
          </w:p>
        </w:tc>
      </w:tr>
      <w:tr>
        <w:trPr>
          <w:trHeight w:val="133"/>
        </w:trPr>
        <w:tc>
          <w:tcPr>
            <w:tcW w:w="5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01"/>
              <w:spacing w:after="0" w:line="133"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9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41"/>
              <w:spacing w:after="0" w:line="133" w:lineRule="exact"/>
              <w:rPr>
                <w:sz w:val="20"/>
                <w:szCs w:val="20"/>
                <w:color w:val="auto"/>
              </w:rPr>
            </w:pPr>
            <w:r>
              <w:rPr>
                <w:rFonts w:ascii="Arial" w:cs="Arial" w:eastAsia="Arial" w:hAnsi="Arial"/>
                <w:sz w:val="14"/>
                <w:szCs w:val="14"/>
                <w:b w:val="1"/>
                <w:bCs w:val="1"/>
                <w:color w:val="auto"/>
              </w:rPr>
              <w:t>Amortized</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r>
      <w:tr>
        <w:trPr>
          <w:trHeight w:val="17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81"/>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19"/>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41"/>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one year or less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61,601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61,178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6,933</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19,692</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Gross unrealized gains and losses on the Company’s marketable securities were an unrealized gain of $8,000 and an unrealized loss of $434,000 as of December 31, 2022 which resulted in a net unrealized loss of $426,000. Gross unrealized gains and losses on the Company’s marketable securities were an unrealized gain of $0 and an unrealized loss of $104,000 as of December 31, 2021 which resulted in a net unrealized loss of $104,000.</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38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During the year-ended December 31, 2022 and the transition period ended December 31, 2021, the Company did not recognize credit losses. The Company did not have any marketable securities as of June 30, 2021. The Company has accrued interest income of $168,000, $72,000 and $0 as of December 31, 2022 and, 2021 and June 30, 2021, recorded in Prepaids and Other Current Assets. Money market funds were included in the cash and cash equivalents line item.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70" w:lineRule="exact"/>
        <w:rPr>
          <w:sz w:val="20"/>
          <w:szCs w:val="20"/>
          <w:color w:val="auto"/>
        </w:rPr>
      </w:pPr>
    </w:p>
    <w:p>
      <w:pPr>
        <w:ind w:left="520" w:right="86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can access at the measurement date.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2: Inputs are inputs other than quoted prices included within Level 1 that are observable for the asset or liability, either directly or indirectly.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88"/>
              </w:rPr>
              <w:t>As of December 31, 2022</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14,089</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marketable securities: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obligations</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Total current marketable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61,178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61,178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Long-term marketable securities: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agency obligations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6,930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6,930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Total marketable securities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14,089</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68,108</w:t>
            </w:r>
          </w:p>
        </w:tc>
        <w:tc>
          <w:tcPr>
            <w:tcW w:w="10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82,197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F-19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831"/>
        </w:trPr>
        <w:tc>
          <w:tcPr>
            <w:tcW w:w="5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88"/>
              </w:rPr>
              <w:t>As of December 31, 2021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4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51,112</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51,112</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Current marketable securities: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Asset backed securities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current marketable securities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29,649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Long-term marketable securities: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19,692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19,692</w:t>
            </w:r>
          </w:p>
        </w:tc>
        <w:tc>
          <w:tcPr>
            <w:tcW w:w="120" w:type="dxa"/>
            <w:vAlign w:val="bottom"/>
            <w:shd w:val="clear" w:color="auto" w:fill="CFF0FC"/>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 marketable securities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51,112</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49,341</w:t>
            </w:r>
          </w:p>
        </w:tc>
        <w:tc>
          <w:tcPr>
            <w:tcW w:w="10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100,453</w:t>
            </w:r>
          </w:p>
        </w:tc>
        <w:tc>
          <w:tcPr>
            <w:tcW w:w="1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The Company’s Level 1 assets include money market instruments and are valued based upon observable market prices. Level 2 assets consist of commercial paper, asset back securities and corporate debt securities, U.S. Government Agency obligations and U.S Treasury securities. Level 2 securities are valued based upon observable inputs that include reported trades, broker/dealer quotes, bids and offers. As of December 31, 2022 and December 31, 2021, the Company had no investments that were measured using unobservable (Level 3) inputs. There were no transfers between fair value measurement levels during the year-ended December 31, 2022 and the transition period ended December 31, 2021. For the year-ended June 30, 2021, the Company did not have any marketable securities. Cash equivalents consist of money market funds and are classified as a Level 1.</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During August 2021, the Company remeasured the lease liability for an office lease due to a change in the lease term. As a result of the remeasurement of the lease liability, there was an increase of approximately $392,000 to the operating lease ROU assets and operating lease liabilities. There was no impact on earnings as a result of the modification.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Company’s operating lease expenses which are included in general and administrative expenses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5"/>
              </w:rPr>
              <w:t>Year-Ended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Transition Period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5"/>
              </w:rPr>
              <w:t>Year-Ended</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June 30, 2021</w:t>
            </w:r>
          </w:p>
        </w:tc>
        <w:tc>
          <w:tcPr>
            <w:tcW w:w="0" w:type="dxa"/>
            <w:vAlign w:val="bottom"/>
          </w:tcPr>
          <w:p>
            <w:pPr>
              <w:spacing w:after="0"/>
              <w:rPr>
                <w:sz w:val="1"/>
                <w:szCs w:val="1"/>
                <w:color w:val="auto"/>
              </w:rPr>
            </w:pPr>
          </w:p>
        </w:tc>
      </w:tr>
      <w:tr>
        <w:trPr>
          <w:trHeight w:val="105"/>
        </w:trPr>
        <w:tc>
          <w:tcPr>
            <w:tcW w:w="5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86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40" w:type="dxa"/>
            <w:vAlign w:val="bottom"/>
            <w:tcBorders>
              <w:bottom w:val="single" w:sz="8" w:color="CFF0FC"/>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5"/>
              </w:rPr>
              <w:t>Year-Ended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Transition Period</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4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8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8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80" w:type="dxa"/>
            <w:vAlign w:val="bottom"/>
          </w:tcPr>
          <w:p>
            <w:pPr>
              <w:spacing w:after="0"/>
              <w:rPr>
                <w:sz w:val="5"/>
                <w:szCs w:val="5"/>
                <w:color w:val="auto"/>
              </w:rPr>
            </w:pPr>
          </w:p>
        </w:tc>
        <w:tc>
          <w:tcPr>
            <w:tcW w:w="586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40" w:type="dxa"/>
            <w:vAlign w:val="bottom"/>
            <w:tcBorders>
              <w:bottom w:val="single" w:sz="8" w:color="CFF0FC"/>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60" w:type="dxa"/>
            <w:vAlign w:val="bottom"/>
          </w:tcPr>
          <w:p>
            <w:pPr>
              <w:ind w:left="240"/>
              <w:spacing w:after="0"/>
              <w:rPr>
                <w:sz w:val="20"/>
                <w:szCs w:val="20"/>
                <w:color w:val="auto"/>
              </w:rPr>
            </w:pPr>
            <w:r>
              <w:rPr>
                <w:rFonts w:ascii="Arial" w:cs="Arial" w:eastAsia="Arial" w:hAnsi="Arial"/>
                <w:sz w:val="18"/>
                <w:szCs w:val="18"/>
                <w:color w:val="auto"/>
              </w:rPr>
              <w:t>Operating cash outflows from operating leases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580" w:type="dxa"/>
            <w:vAlign w:val="bottom"/>
          </w:tcPr>
          <w:p>
            <w:pPr>
              <w:spacing w:after="0"/>
              <w:rPr>
                <w:sz w:val="24"/>
                <w:szCs w:val="24"/>
                <w:color w:val="auto"/>
              </w:rPr>
            </w:pPr>
          </w:p>
        </w:tc>
        <w:tc>
          <w:tcPr>
            <w:tcW w:w="5860" w:type="dxa"/>
            <w:vAlign w:val="bottom"/>
          </w:tcPr>
          <w:p>
            <w:pPr>
              <w:ind w:left="4880"/>
              <w:spacing w:after="0"/>
              <w:rPr>
                <w:sz w:val="20"/>
                <w:szCs w:val="20"/>
                <w:color w:val="auto"/>
              </w:rPr>
            </w:pPr>
            <w:r>
              <w:rPr>
                <w:rFonts w:ascii="Arial" w:cs="Arial" w:eastAsia="Arial" w:hAnsi="Arial"/>
                <w:sz w:val="18"/>
                <w:szCs w:val="18"/>
                <w:color w:val="auto"/>
              </w:rPr>
              <w:t>F-20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balance sheet information, related to operating leases was as follows (in thousands):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4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4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105"/>
        </w:trPr>
        <w:tc>
          <w:tcPr>
            <w:tcW w:w="60" w:type="dxa"/>
            <w:vAlign w:val="bottom"/>
          </w:tcPr>
          <w:p>
            <w:pPr>
              <w:spacing w:after="0"/>
              <w:rPr>
                <w:sz w:val="9"/>
                <w:szCs w:val="9"/>
                <w:color w:val="auto"/>
              </w:rPr>
            </w:pPr>
          </w:p>
        </w:tc>
        <w:tc>
          <w:tcPr>
            <w:tcW w:w="4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4840" w:type="dxa"/>
            <w:vAlign w:val="bottom"/>
            <w:tcBorders>
              <w:bottom w:val="single" w:sz="8" w:color="CFF0FC"/>
            </w:tcBorders>
          </w:tcPr>
          <w:p>
            <w:pPr>
              <w:spacing w:after="0"/>
              <w:rPr>
                <w:sz w:val="5"/>
                <w:szCs w:val="5"/>
                <w:color w:val="auto"/>
              </w:rPr>
            </w:pPr>
          </w:p>
        </w:tc>
        <w:tc>
          <w:tcPr>
            <w:tcW w:w="84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CFF0FC"/>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CFF0FC"/>
            </w:tcBorders>
          </w:tcPr>
          <w:p>
            <w:pPr>
              <w:spacing w:after="0"/>
              <w:rPr>
                <w:sz w:val="5"/>
                <w:szCs w:val="5"/>
                <w:color w:val="auto"/>
              </w:rPr>
            </w:pPr>
          </w:p>
        </w:tc>
        <w:tc>
          <w:tcPr>
            <w:tcW w:w="2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Reported as: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851</w:t>
            </w:r>
          </w:p>
        </w:tc>
        <w:tc>
          <w:tcPr>
            <w:tcW w:w="2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1,544</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right-of-use assets</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40" w:type="dxa"/>
            <w:vAlign w:val="bottom"/>
            <w:vMerge w:val="restart"/>
          </w:tcPr>
          <w:p>
            <w:pPr>
              <w:spacing w:after="0"/>
              <w:rPr>
                <w:sz w:val="20"/>
                <w:szCs w:val="20"/>
                <w:color w:val="auto"/>
              </w:rPr>
            </w:pPr>
            <w:r>
              <w:rPr>
                <w:rFonts w:ascii="Arial" w:cs="Arial" w:eastAsia="Arial" w:hAnsi="Arial"/>
                <w:sz w:val="18"/>
                <w:szCs w:val="18"/>
                <w:color w:val="auto"/>
              </w:rPr>
              <w:t>Other current liabilities:</w:t>
            </w: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short-term</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long term</w:t>
            </w: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40" w:type="dxa"/>
            <w:vAlign w:val="bottom"/>
            <w:vMerge w:val="restart"/>
          </w:tcPr>
          <w:p>
            <w:pPr>
              <w:spacing w:after="0"/>
              <w:rPr>
                <w:sz w:val="20"/>
                <w:szCs w:val="20"/>
                <w:color w:val="auto"/>
              </w:rPr>
            </w:pPr>
            <w:r>
              <w:rPr>
                <w:rFonts w:ascii="Arial" w:cs="Arial" w:eastAsia="Arial" w:hAnsi="Arial"/>
                <w:sz w:val="18"/>
                <w:szCs w:val="18"/>
                <w:color w:val="auto"/>
              </w:rPr>
              <w:t>Operating lease weighted average remaining lease term</w:t>
            </w: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(years)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weighted average discount rate</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432"/>
        </w:trPr>
        <w:tc>
          <w:tcPr>
            <w:tcW w:w="8640" w:type="dxa"/>
            <w:vAlign w:val="bottom"/>
            <w:gridSpan w:val="10"/>
          </w:tcPr>
          <w:p>
            <w:pPr>
              <w:jc w:val="right"/>
              <w:ind w:right="640"/>
              <w:spacing w:after="0"/>
              <w:rPr>
                <w:sz w:val="20"/>
                <w:szCs w:val="20"/>
                <w:color w:val="auto"/>
              </w:rPr>
            </w:pPr>
            <w:r>
              <w:rPr>
                <w:rFonts w:ascii="Arial" w:cs="Arial" w:eastAsia="Arial" w:hAnsi="Arial"/>
                <w:sz w:val="18"/>
                <w:szCs w:val="18"/>
                <w:color w:val="auto"/>
                <w:w w:val="90"/>
              </w:rPr>
              <w:t>As of December 31, 2022, maturities of the Company’s operating lease liabilities are as follows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w:t>
            </w: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imputed interest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80" w:firstLine="510"/>
        <w:spacing w:after="0" w:line="263" w:lineRule="auto"/>
        <w:rPr>
          <w:sz w:val="20"/>
          <w:szCs w:val="20"/>
          <w:color w:val="auto"/>
        </w:rPr>
      </w:pPr>
      <w:r>
        <w:rPr>
          <w:rFonts w:ascii="Arial" w:cs="Arial" w:eastAsia="Arial" w:hAnsi="Arial"/>
          <w:sz w:val="18"/>
          <w:szCs w:val="18"/>
          <w:color w:val="auto"/>
        </w:rPr>
        <w:t>At December 31, 2022 there were no leases entered into that had not yet commenced. On February 1, 2023, the Company executed the fifth amendment to the lease of the administrative and office space in Valencia, California. The lease was extended for 39 months and is currently leased through October 31, 2026, with an average monthly base rent charge of approximately $37,000.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inventories is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As of</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520" w:type="dxa"/>
            <w:vAlign w:val="bottom"/>
            <w:tcBorders>
              <w:bottom w:val="single" w:sz="8" w:color="CFF0FC"/>
            </w:tcBorders>
          </w:tcPr>
          <w:p>
            <w:pPr>
              <w:spacing w:after="0"/>
              <w:rPr>
                <w:sz w:val="13"/>
                <w:szCs w:val="13"/>
                <w:color w:val="auto"/>
              </w:rPr>
            </w:pPr>
          </w:p>
        </w:tc>
        <w:tc>
          <w:tcPr>
            <w:tcW w:w="18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December 31, 2022</w:t>
            </w: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800" w:type="dxa"/>
            <w:vAlign w:val="bottom"/>
            <w:shd w:val="clear" w:color="auto" w:fill="CFF0FC"/>
          </w:tcPr>
          <w:p>
            <w:pPr>
              <w:jc w:val="right"/>
              <w:ind w:right="16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4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Work in process</w:t>
            </w:r>
          </w:p>
        </w:tc>
        <w:tc>
          <w:tcPr>
            <w:tcW w:w="1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8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8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FF0FC"/>
          </w:tcPr>
          <w:p>
            <w:pPr>
              <w:spacing w:after="0"/>
              <w:rPr>
                <w:sz w:val="19"/>
                <w:szCs w:val="19"/>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Total inventory</w:t>
            </w:r>
          </w:p>
        </w:tc>
        <w:tc>
          <w:tcPr>
            <w:tcW w:w="1800" w:type="dxa"/>
            <w:vAlign w:val="bottom"/>
            <w:tcBorders>
              <w:bottom w:val="single" w:sz="8" w:color="auto"/>
            </w:tcBorders>
          </w:tcPr>
          <w:p>
            <w:pPr>
              <w:jc w:val="right"/>
              <w:ind w:right="16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ind w:right="14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2,132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64"/>
        <w:spacing w:after="0" w:line="303" w:lineRule="auto"/>
        <w:rPr>
          <w:sz w:val="20"/>
          <w:szCs w:val="20"/>
          <w:color w:val="auto"/>
        </w:rPr>
      </w:pPr>
      <w:r>
        <w:rPr>
          <w:rFonts w:ascii="Arial" w:cs="Arial" w:eastAsia="Arial" w:hAnsi="Arial"/>
          <w:sz w:val="17"/>
          <w:szCs w:val="17"/>
          <w:color w:val="auto"/>
        </w:rPr>
        <w:t>The Company has reduced the carrying value of its inventories to reflect the lower of cost or net realizable value. Charges for estimated excess and obsolescence are recorded in cost of sales in the Consolidated Statement of Operations and were $375,000, $44,000 and $226,000 for the year-ended December 31, 2022, the transition period ended December 31, 2021, and the year-ended June 30, 2021,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intangible assets is as follows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right"/>
              <w:ind w:right="411"/>
              <w:spacing w:after="0"/>
              <w:rPr>
                <w:sz w:val="20"/>
                <w:szCs w:val="20"/>
                <w:color w:val="auto"/>
              </w:rPr>
            </w:pPr>
            <w:r>
              <w:rPr>
                <w:rFonts w:ascii="Arial" w:cs="Arial" w:eastAsia="Arial" w:hAnsi="Arial"/>
                <w:sz w:val="16"/>
                <w:szCs w:val="16"/>
                <w:b w:val="1"/>
                <w:bCs w:val="1"/>
                <w:color w:val="auto"/>
              </w:rPr>
              <w:t>As of December 31, 2022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7"/>
          </w:tcPr>
          <w:p>
            <w:pPr>
              <w:ind w:left="320"/>
              <w:spacing w:after="0"/>
              <w:rPr>
                <w:sz w:val="20"/>
                <w:szCs w:val="20"/>
                <w:color w:val="auto"/>
              </w:rPr>
            </w:pPr>
            <w:r>
              <w:rPr>
                <w:rFonts w:ascii="Arial" w:cs="Arial" w:eastAsia="Arial" w:hAnsi="Arial"/>
                <w:sz w:val="16"/>
                <w:szCs w:val="16"/>
                <w:b w:val="1"/>
                <w:bCs w:val="1"/>
                <w:color w:val="auto"/>
                <w:w w:val="90"/>
              </w:rPr>
              <w:t>As of December 31, 2021</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0"/>
              </w:rPr>
              <w:t>As of June 30, 2021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11"/>
              <w:spacing w:after="0"/>
              <w:rPr>
                <w:sz w:val="20"/>
                <w:szCs w:val="20"/>
                <w:color w:val="auto"/>
              </w:rPr>
            </w:pPr>
            <w:r>
              <w:rPr>
                <w:rFonts w:ascii="Arial" w:cs="Arial" w:eastAsia="Arial" w:hAnsi="Arial"/>
                <w:sz w:val="16"/>
                <w:szCs w:val="16"/>
                <w:b w:val="1"/>
                <w:bCs w:val="1"/>
                <w:color w:val="auto"/>
                <w:w w:val="92"/>
              </w:rPr>
              <w:t>Net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ind w:right="91"/>
              <w:spacing w:after="0"/>
              <w:rPr>
                <w:sz w:val="20"/>
                <w:szCs w:val="20"/>
                <w:color w:val="auto"/>
              </w:rPr>
            </w:pPr>
            <w:r>
              <w:rPr>
                <w:rFonts w:ascii="Arial" w:cs="Arial" w:eastAsia="Arial" w:hAnsi="Arial"/>
                <w:sz w:val="16"/>
                <w:szCs w:val="16"/>
                <w:b w:val="1"/>
                <w:bCs w:val="1"/>
                <w:color w:val="auto"/>
                <w:w w:val="92"/>
              </w:rPr>
              <w:t>Net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7"/>
                <w:szCs w:val="17"/>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Gross</w:t>
            </w: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540" w:type="dxa"/>
            <w:vAlign w:val="bottom"/>
          </w:tcPr>
          <w:p>
            <w:pPr>
              <w:jc w:val="center"/>
              <w:ind w:right="11"/>
              <w:spacing w:after="0"/>
              <w:rPr>
                <w:sz w:val="20"/>
                <w:szCs w:val="20"/>
                <w:color w:val="auto"/>
              </w:rPr>
            </w:pPr>
            <w:r>
              <w:rPr>
                <w:rFonts w:ascii="Arial" w:cs="Arial" w:eastAsia="Arial" w:hAnsi="Arial"/>
                <w:sz w:val="16"/>
                <w:szCs w:val="16"/>
                <w:b w:val="1"/>
                <w:bCs w:val="1"/>
                <w:color w:val="auto"/>
              </w:rPr>
              <w:t>Carry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11"/>
              <w:spacing w:after="0"/>
              <w:rPr>
                <w:sz w:val="20"/>
                <w:szCs w:val="20"/>
                <w:color w:val="auto"/>
              </w:rPr>
            </w:pPr>
            <w:r>
              <w:rPr>
                <w:rFonts w:ascii="Arial" w:cs="Arial" w:eastAsia="Arial" w:hAnsi="Arial"/>
                <w:sz w:val="16"/>
                <w:szCs w:val="16"/>
                <w:b w:val="1"/>
                <w:bCs w:val="1"/>
                <w:color w:val="auto"/>
                <w:w w:val="82"/>
              </w:rPr>
              <w:t>Gross</w:t>
            </w:r>
          </w:p>
        </w:tc>
        <w:tc>
          <w:tcPr>
            <w:tcW w:w="1320" w:type="dxa"/>
            <w:vAlign w:val="bottom"/>
            <w:gridSpan w:val="4"/>
          </w:tcPr>
          <w:p>
            <w:pPr>
              <w:ind w:left="240"/>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b w:val="1"/>
                <w:bCs w:val="1"/>
                <w:color w:val="auto"/>
              </w:rPr>
              <w:t>Carry</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w:t>
            </w:r>
          </w:p>
        </w:tc>
      </w:tr>
      <w:tr>
        <w:trPr>
          <w:trHeight w:val="213"/>
        </w:trPr>
        <w:tc>
          <w:tcPr>
            <w:tcW w:w="1480" w:type="dxa"/>
            <w:vAlign w:val="bottom"/>
          </w:tcPr>
          <w:p>
            <w:pPr>
              <w:spacing w:after="0"/>
              <w:rPr>
                <w:sz w:val="18"/>
                <w:szCs w:val="18"/>
                <w:color w:val="auto"/>
              </w:rPr>
            </w:pPr>
          </w:p>
        </w:tc>
        <w:tc>
          <w:tcPr>
            <w:tcW w:w="1360" w:type="dxa"/>
            <w:vAlign w:val="bottom"/>
          </w:tcPr>
          <w:p>
            <w:pPr>
              <w:jc w:val="right"/>
              <w:ind w:right="132"/>
              <w:spacing w:after="0"/>
              <w:rPr>
                <w:sz w:val="20"/>
                <w:szCs w:val="20"/>
                <w:color w:val="auto"/>
              </w:rPr>
            </w:pPr>
            <w:r>
              <w:rPr>
                <w:rFonts w:ascii="Arial" w:cs="Arial" w:eastAsia="Arial" w:hAnsi="Arial"/>
                <w:sz w:val="16"/>
                <w:szCs w:val="16"/>
                <w:b w:val="1"/>
                <w:bCs w:val="1"/>
                <w:color w:val="auto"/>
              </w:rPr>
              <w:t>Average Life</w:t>
            </w:r>
          </w:p>
        </w:tc>
        <w:tc>
          <w:tcPr>
            <w:tcW w:w="9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Amortization</w:t>
            </w:r>
          </w:p>
        </w:tc>
        <w:tc>
          <w:tcPr>
            <w:tcW w:w="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Amount</w:t>
            </w:r>
          </w:p>
        </w:tc>
        <w:tc>
          <w:tcPr>
            <w:tcW w:w="1320" w:type="dxa"/>
            <w:vAlign w:val="bottom"/>
            <w:gridSpan w:val="4"/>
          </w:tcPr>
          <w:p>
            <w:pPr>
              <w:ind w:left="240"/>
              <w:spacing w:after="0"/>
              <w:rPr>
                <w:sz w:val="20"/>
                <w:szCs w:val="20"/>
                <w:color w:val="auto"/>
              </w:rPr>
            </w:pPr>
            <w:r>
              <w:rPr>
                <w:rFonts w:ascii="Arial" w:cs="Arial" w:eastAsia="Arial" w:hAnsi="Arial"/>
                <w:sz w:val="16"/>
                <w:szCs w:val="16"/>
                <w:b w:val="1"/>
                <w:bCs w:val="1"/>
                <w:color w:val="auto"/>
              </w:rPr>
              <w:t>Amortization</w:t>
            </w:r>
          </w:p>
        </w:tc>
        <w:tc>
          <w:tcPr>
            <w:tcW w:w="660" w:type="dxa"/>
            <w:vAlign w:val="bottom"/>
            <w:gridSpan w:val="3"/>
          </w:tcPr>
          <w:p>
            <w:pPr>
              <w:ind w:left="80"/>
              <w:spacing w:after="0"/>
              <w:rPr>
                <w:sz w:val="20"/>
                <w:szCs w:val="20"/>
                <w:color w:val="auto"/>
              </w:rPr>
            </w:pPr>
            <w:r>
              <w:rPr>
                <w:rFonts w:ascii="Arial" w:cs="Arial" w:eastAsia="Arial" w:hAnsi="Arial"/>
                <w:sz w:val="16"/>
                <w:szCs w:val="16"/>
                <w:b w:val="1"/>
                <w:bCs w:val="1"/>
                <w:color w:val="auto"/>
                <w:w w:val="92"/>
              </w:rPr>
              <w:t>Amount</w:t>
            </w:r>
          </w:p>
        </w:tc>
        <w:tc>
          <w:tcPr>
            <w:tcW w:w="800" w:type="dxa"/>
            <w:vAlign w:val="bottom"/>
            <w:gridSpan w:val="3"/>
          </w:tcPr>
          <w:p>
            <w:pPr>
              <w:ind w:left="22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Amortization</w:t>
            </w:r>
          </w:p>
        </w:tc>
        <w:tc>
          <w:tcPr>
            <w:tcW w:w="700" w:type="dxa"/>
            <w:vAlign w:val="bottom"/>
            <w:gridSpan w:val="4"/>
          </w:tcPr>
          <w:p>
            <w:pPr>
              <w:ind w:left="20"/>
              <w:spacing w:after="0"/>
              <w:rPr>
                <w:sz w:val="20"/>
                <w:szCs w:val="20"/>
                <w:color w:val="auto"/>
              </w:rPr>
            </w:pPr>
            <w:r>
              <w:rPr>
                <w:rFonts w:ascii="Arial" w:cs="Arial" w:eastAsia="Arial" w:hAnsi="Arial"/>
                <w:sz w:val="16"/>
                <w:szCs w:val="16"/>
                <w:b w:val="1"/>
                <w:bCs w:val="1"/>
                <w:color w:val="auto"/>
              </w:rPr>
              <w:t>Amount</w:t>
            </w:r>
          </w:p>
        </w:tc>
      </w:tr>
      <w:tr>
        <w:trPr>
          <w:trHeight w:val="233"/>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Patent 1</w:t>
            </w:r>
          </w:p>
        </w:tc>
        <w:tc>
          <w:tcPr>
            <w:tcW w:w="136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5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(182)</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(190)</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FF0FC"/>
          </w:tcPr>
          <w:p>
            <w:pPr>
              <w:spacing w:after="0"/>
              <w:rPr>
                <w:sz w:val="20"/>
                <w:szCs w:val="20"/>
                <w:color w:val="auto"/>
              </w:rPr>
            </w:pPr>
          </w:p>
        </w:tc>
      </w:tr>
      <w:tr>
        <w:trPr>
          <w:trHeight w:val="229"/>
        </w:trPr>
        <w:tc>
          <w:tcPr>
            <w:tcW w:w="1480" w:type="dxa"/>
            <w:vAlign w:val="bottom"/>
          </w:tcPr>
          <w:p>
            <w:pPr>
              <w:spacing w:after="0"/>
              <w:rPr>
                <w:sz w:val="20"/>
                <w:szCs w:val="20"/>
                <w:color w:val="auto"/>
              </w:rPr>
            </w:pPr>
            <w:r>
              <w:rPr>
                <w:rFonts w:ascii="Arial" w:cs="Arial" w:eastAsia="Arial" w:hAnsi="Arial"/>
                <w:sz w:val="18"/>
                <w:szCs w:val="18"/>
                <w:color w:val="auto"/>
              </w:rPr>
              <w:t>Patent 2</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9"/>
                <w:szCs w:val="19"/>
                <w:color w:val="auto"/>
              </w:rPr>
            </w:pPr>
          </w:p>
        </w:tc>
      </w:tr>
      <w:tr>
        <w:trPr>
          <w:trHeight w:val="229"/>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Patent 3</w:t>
            </w:r>
          </w:p>
        </w:tc>
        <w:tc>
          <w:tcPr>
            <w:tcW w:w="136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FF0FC"/>
          </w:tcPr>
          <w:p>
            <w:pPr>
              <w:spacing w:after="0"/>
              <w:rPr>
                <w:sz w:val="19"/>
                <w:szCs w:val="19"/>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Patent 5</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r>
      <w:tr>
        <w:trPr>
          <w:trHeight w:val="229"/>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Patent 6</w:t>
            </w:r>
          </w:p>
        </w:tc>
        <w:tc>
          <w:tcPr>
            <w:tcW w:w="136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9"/>
                <w:szCs w:val="19"/>
                <w:color w:val="auto"/>
              </w:rPr>
            </w:pPr>
          </w:p>
        </w:tc>
      </w:tr>
      <w:tr>
        <w:trPr>
          <w:trHeight w:val="229"/>
        </w:trPr>
        <w:tc>
          <w:tcPr>
            <w:tcW w:w="1480" w:type="dxa"/>
            <w:vAlign w:val="bottom"/>
          </w:tcPr>
          <w:p>
            <w:pPr>
              <w:spacing w:after="0"/>
              <w:rPr>
                <w:sz w:val="20"/>
                <w:szCs w:val="20"/>
                <w:color w:val="auto"/>
              </w:rPr>
            </w:pPr>
            <w:r>
              <w:rPr>
                <w:rFonts w:ascii="Arial" w:cs="Arial" w:eastAsia="Arial" w:hAnsi="Arial"/>
                <w:sz w:val="18"/>
                <w:szCs w:val="18"/>
                <w:color w:val="auto"/>
              </w:rPr>
              <w:t>Patent 7</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0"/>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Patent 8</w:t>
            </w:r>
          </w:p>
        </w:tc>
        <w:tc>
          <w:tcPr>
            <w:tcW w:w="136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r>
      <w:tr>
        <w:trPr>
          <w:trHeight w:val="229"/>
        </w:trPr>
        <w:tc>
          <w:tcPr>
            <w:tcW w:w="1480" w:type="dxa"/>
            <w:vAlign w:val="bottom"/>
          </w:tcPr>
          <w:p>
            <w:pPr>
              <w:spacing w:after="0"/>
              <w:rPr>
                <w:sz w:val="20"/>
                <w:szCs w:val="20"/>
                <w:color w:val="auto"/>
              </w:rPr>
            </w:pPr>
            <w:r>
              <w:rPr>
                <w:rFonts w:ascii="Arial" w:cs="Arial" w:eastAsia="Arial" w:hAnsi="Arial"/>
                <w:sz w:val="18"/>
                <w:szCs w:val="18"/>
                <w:color w:val="auto"/>
              </w:rPr>
              <w:t>Patent 10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0"/>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Patent 11</w:t>
            </w:r>
          </w:p>
        </w:tc>
        <w:tc>
          <w:tcPr>
            <w:tcW w:w="136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29"/>
        </w:trPr>
        <w:tc>
          <w:tcPr>
            <w:tcW w:w="1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Trademarks</w:t>
            </w:r>
          </w:p>
        </w:tc>
        <w:tc>
          <w:tcPr>
            <w:tcW w:w="1360" w:type="dxa"/>
            <w:vAlign w:val="bottom"/>
            <w:tcBorders>
              <w:bottom w:val="single" w:sz="8" w:color="CFF0FC"/>
            </w:tcBorders>
          </w:tcPr>
          <w:p>
            <w:pPr>
              <w:jc w:val="right"/>
              <w:ind w:right="132"/>
              <w:spacing w:after="0"/>
              <w:rPr>
                <w:sz w:val="20"/>
                <w:szCs w:val="20"/>
                <w:color w:val="auto"/>
              </w:rPr>
            </w:pPr>
            <w:r>
              <w:rPr>
                <w:rFonts w:ascii="Arial" w:cs="Arial" w:eastAsia="Arial" w:hAnsi="Arial"/>
                <w:sz w:val="18"/>
                <w:szCs w:val="18"/>
                <w:color w:val="auto"/>
              </w:rPr>
              <w:t>Indefinite</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FF0FC"/>
            </w:tcBorders>
          </w:tcPr>
          <w:p>
            <w:pPr>
              <w:spacing w:after="0"/>
              <w:rPr>
                <w:sz w:val="19"/>
                <w:szCs w:val="19"/>
                <w:color w:val="auto"/>
              </w:rPr>
            </w:pPr>
          </w:p>
        </w:tc>
      </w:tr>
      <w:tr>
        <w:trPr>
          <w:trHeight w:val="205"/>
        </w:trPr>
        <w:tc>
          <w:tcPr>
            <w:tcW w:w="14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intangible</w:t>
            </w: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1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5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(230)</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(228)</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FF0FC"/>
          </w:tcPr>
          <w:p>
            <w:pPr>
              <w:spacing w:after="0"/>
              <w:rPr>
                <w:sz w:val="20"/>
                <w:szCs w:val="20"/>
                <w:color w:val="auto"/>
              </w:rPr>
            </w:pPr>
          </w:p>
        </w:tc>
      </w:tr>
      <w:tr>
        <w:trPr>
          <w:trHeight w:val="20"/>
        </w:trPr>
        <w:tc>
          <w:tcPr>
            <w:tcW w:w="14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40" w:firstLine="749"/>
        <w:spacing w:after="0" w:line="277" w:lineRule="auto"/>
        <w:rPr>
          <w:sz w:val="20"/>
          <w:szCs w:val="20"/>
          <w:color w:val="auto"/>
        </w:rPr>
      </w:pPr>
      <w:r>
        <w:rPr>
          <w:rFonts w:ascii="Arial" w:cs="Arial" w:eastAsia="Arial" w:hAnsi="Arial"/>
          <w:sz w:val="17"/>
          <w:szCs w:val="17"/>
          <w:color w:val="auto"/>
        </w:rPr>
        <w:t>During the year-ended December 31, 2022, the Company did not identify any events or changes in circumstances that indicated the carrying value of its intangibles may not be recoverable. As such, there was no impairment of intangibles assets recognized for the year-ended December 31, 2022. During the transition period ended December 31, 2021, the Company recorded impairment charge of $42,000 in general and administrative expenses. During the year-ended June 30, 2021, the Company did not identify any events or changes in circumstances that indicated the carrying value of its intangibles may not be recoverable. As such, there was no impairment of intangibles assets recognized for the year-ended June 30, 2021. Amortization expense of intangibles included in the Consolidated Statements of Operations was $58,000, $56,000 and $109,000 for the year-ended December 31, 2022, the transition period ended December 31, 2021 and the year-ended June 30, 2021,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the future amortization of amortizable intangible assets held at December 31, 2022 to be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300" w:type="dxa"/>
            <w:vAlign w:val="bottom"/>
            <w:gridSpan w:val="4"/>
          </w:tcPr>
          <w:p>
            <w:pPr>
              <w:jc w:val="center"/>
              <w:ind w:left="5170"/>
              <w:spacing w:after="0"/>
              <w:rPr>
                <w:sz w:val="20"/>
                <w:szCs w:val="20"/>
                <w:color w:val="auto"/>
              </w:rPr>
            </w:pPr>
            <w:r>
              <w:rPr>
                <w:rFonts w:ascii="Arial" w:cs="Arial" w:eastAsia="Arial" w:hAnsi="Arial"/>
                <w:sz w:val="18"/>
                <w:szCs w:val="18"/>
                <w:b w:val="1"/>
                <w:bCs w:val="1"/>
                <w:color w:val="auto"/>
                <w:w w:val="91"/>
              </w:rPr>
              <w:t>Estimated Amortization</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Expense</w:t>
            </w:r>
          </w:p>
        </w:tc>
        <w:tc>
          <w:tcPr>
            <w:tcW w:w="560" w:type="dxa"/>
            <w:vAlign w:val="bottom"/>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8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2024</w:t>
            </w: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2026</w:t>
            </w: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5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5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411</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20" w:type="dxa"/>
            <w:vAlign w:val="bottom"/>
            <w:gridSpan w:val="2"/>
          </w:tcPr>
          <w:p>
            <w:pPr>
              <w:jc w:val="right"/>
              <w:ind w:right="3327"/>
              <w:spacing w:after="0"/>
              <w:rPr>
                <w:sz w:val="20"/>
                <w:szCs w:val="20"/>
                <w:color w:val="auto"/>
              </w:rPr>
            </w:pPr>
            <w:r>
              <w:rPr>
                <w:rFonts w:ascii="Arial" w:cs="Arial" w:eastAsia="Arial" w:hAnsi="Arial"/>
                <w:sz w:val="18"/>
                <w:szCs w:val="18"/>
                <w:color w:val="auto"/>
              </w:rPr>
              <w:t>F-22</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property and equipment, net is as follows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6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Useful Lives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years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Computer software</w:t>
            </w:r>
          </w:p>
        </w:tc>
        <w:tc>
          <w:tcPr>
            <w:tcW w:w="1620" w:type="dxa"/>
            <w:vAlign w:val="bottom"/>
          </w:tcPr>
          <w:p>
            <w:pPr>
              <w:jc w:val="right"/>
              <w:spacing w:after="0"/>
              <w:rPr>
                <w:sz w:val="20"/>
                <w:szCs w:val="20"/>
                <w:color w:val="auto"/>
              </w:rPr>
            </w:pPr>
            <w:r>
              <w:rPr>
                <w:rFonts w:ascii="Arial" w:cs="Arial" w:eastAsia="Arial" w:hAnsi="Arial"/>
                <w:sz w:val="18"/>
                <w:szCs w:val="18"/>
                <w:color w:val="auto"/>
              </w:rPr>
              <w:t>3 years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20" w:type="dxa"/>
            <w:vAlign w:val="bottom"/>
          </w:tcPr>
          <w:p>
            <w:pPr>
              <w:jc w:val="right"/>
              <w:spacing w:after="0"/>
              <w:rPr>
                <w:sz w:val="20"/>
                <w:szCs w:val="20"/>
                <w:color w:val="auto"/>
              </w:rPr>
            </w:pPr>
            <w:r>
              <w:rPr>
                <w:rFonts w:ascii="Arial" w:cs="Arial" w:eastAsia="Arial" w:hAnsi="Arial"/>
                <w:sz w:val="18"/>
                <w:szCs w:val="18"/>
                <w:color w:val="auto"/>
              </w:rPr>
              <w:t>7 years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20" w:type="dxa"/>
            <w:vAlign w:val="bottom"/>
          </w:tcPr>
          <w:p>
            <w:pPr>
              <w:jc w:val="right"/>
              <w:spacing w:after="0"/>
              <w:rPr>
                <w:sz w:val="20"/>
                <w:szCs w:val="20"/>
                <w:color w:val="auto"/>
              </w:rPr>
            </w:pPr>
            <w:r>
              <w:rPr>
                <w:rFonts w:ascii="Arial" w:cs="Arial" w:eastAsia="Arial" w:hAnsi="Arial"/>
                <w:sz w:val="18"/>
                <w:szCs w:val="18"/>
                <w:color w:val="auto"/>
                <w:w w:val="92"/>
              </w:rPr>
              <w:t>Lesser of life or lease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term</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RECELL Moulds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Less: accumulated amortization and</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depreciation</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plant and equipment, net</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Depreciation expense related to plant and equipment was $510,000, $274,000 and $606,000 for the year-ended December 31, 2022, the transition period ended December 31, 2021, and the year-ended June 30, 2021,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Prepaids and Other Current Assets and Other Long—Term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jc w:val="center"/>
              <w:ind w:left="358"/>
              <w:spacing w:after="0"/>
              <w:rPr>
                <w:sz w:val="20"/>
                <w:szCs w:val="20"/>
                <w:color w:val="auto"/>
              </w:rPr>
            </w:pPr>
            <w:r>
              <w:rPr>
                <w:rFonts w:ascii="Arial" w:cs="Arial" w:eastAsia="Arial" w:hAnsi="Arial"/>
                <w:sz w:val="18"/>
                <w:szCs w:val="18"/>
                <w:b w:val="1"/>
                <w:bCs w:val="1"/>
                <w:color w:val="auto"/>
                <w:w w:val="88"/>
              </w:rPr>
              <w:t>As of</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As of</w:t>
            </w:r>
          </w:p>
        </w:tc>
        <w:tc>
          <w:tcPr>
            <w:tcW w:w="2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3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jc w:val="center"/>
              <w:ind w:left="358"/>
              <w:spacing w:after="0"/>
              <w:rPr>
                <w:sz w:val="20"/>
                <w:szCs w:val="20"/>
                <w:color w:val="auto"/>
              </w:rPr>
            </w:pPr>
            <w:r>
              <w:rPr>
                <w:rFonts w:ascii="Arial" w:cs="Arial" w:eastAsia="Arial" w:hAnsi="Arial"/>
                <w:sz w:val="18"/>
                <w:szCs w:val="18"/>
                <w:b w:val="1"/>
                <w:bCs w:val="1"/>
                <w:color w:val="auto"/>
                <w:w w:val="88"/>
              </w:rPr>
              <w:t>December 31,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400" w:type="dxa"/>
            <w:vAlign w:val="bottom"/>
          </w:tcPr>
          <w:p>
            <w:pPr>
              <w:spacing w:after="0"/>
              <w:rPr>
                <w:sz w:val="20"/>
                <w:szCs w:val="20"/>
                <w:color w:val="auto"/>
              </w:rPr>
            </w:pPr>
          </w:p>
        </w:tc>
        <w:tc>
          <w:tcPr>
            <w:tcW w:w="224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89"/>
              </w:rPr>
              <w:t>2022</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64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ind w:right="14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Lease deposits</w:t>
            </w:r>
          </w:p>
        </w:tc>
        <w:tc>
          <w:tcPr>
            <w:tcW w:w="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Accrued investment income</w:t>
            </w:r>
          </w:p>
        </w:tc>
        <w:tc>
          <w:tcPr>
            <w:tcW w:w="6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BARDA contract costs</w:t>
            </w:r>
          </w:p>
        </w:tc>
        <w:tc>
          <w:tcPr>
            <w:tcW w:w="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64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FF0FC"/>
          </w:tcPr>
          <w:p>
            <w:pPr>
              <w:spacing w:after="0"/>
              <w:rPr>
                <w:sz w:val="19"/>
                <w:szCs w:val="19"/>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Total prepaids and other current assets</w:t>
            </w:r>
          </w:p>
        </w:tc>
        <w:tc>
          <w:tcPr>
            <w:tcW w:w="640" w:type="dxa"/>
            <w:vAlign w:val="bottom"/>
          </w:tcPr>
          <w:p>
            <w:pPr>
              <w:spacing w:after="0"/>
              <w:rPr>
                <w:sz w:val="19"/>
                <w:szCs w:val="19"/>
                <w:color w:val="auto"/>
              </w:rPr>
            </w:pPr>
          </w:p>
        </w:tc>
        <w:tc>
          <w:tcPr>
            <w:tcW w:w="1600" w:type="dxa"/>
            <w:vAlign w:val="bottom"/>
            <w:tcBorders>
              <w:bottom w:val="single" w:sz="8" w:color="auto"/>
            </w:tcBorders>
          </w:tcPr>
          <w:p>
            <w:pPr>
              <w:jc w:val="right"/>
              <w:ind w:right="143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1,578</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primarily consist of prepaid benefits and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tcPr>
          <w:p>
            <w:pPr>
              <w:jc w:val="center"/>
              <w:ind w:left="297"/>
              <w:spacing w:after="0"/>
              <w:rPr>
                <w:sz w:val="20"/>
                <w:szCs w:val="20"/>
                <w:color w:val="auto"/>
              </w:rPr>
            </w:pPr>
            <w:r>
              <w:rPr>
                <w:rFonts w:ascii="Arial" w:cs="Arial" w:eastAsia="Arial" w:hAnsi="Arial"/>
                <w:sz w:val="18"/>
                <w:szCs w:val="18"/>
                <w:b w:val="1"/>
                <w:bCs w:val="1"/>
                <w:color w:val="auto"/>
                <w:w w:val="88"/>
              </w:rPr>
              <w:t>As of</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As 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As of</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tcPr>
          <w:p>
            <w:pPr>
              <w:jc w:val="center"/>
              <w:ind w:left="297"/>
              <w:spacing w:after="0"/>
              <w:rPr>
                <w:sz w:val="20"/>
                <w:szCs w:val="20"/>
                <w:color w:val="auto"/>
              </w:rPr>
            </w:pPr>
            <w:r>
              <w:rPr>
                <w:rFonts w:ascii="Arial" w:cs="Arial" w:eastAsia="Arial" w:hAnsi="Arial"/>
                <w:sz w:val="18"/>
                <w:szCs w:val="18"/>
                <w:b w:val="1"/>
                <w:bCs w:val="1"/>
                <w:color w:val="auto"/>
                <w:w w:val="88"/>
              </w:rPr>
              <w:t>December 31,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8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89"/>
              </w:rPr>
              <w:t>2022</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BARDA contract costs</w:t>
            </w:r>
          </w:p>
        </w:tc>
        <w:tc>
          <w:tcPr>
            <w:tcW w:w="10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149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12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504</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Long-term lease deposits</w:t>
            </w:r>
          </w:p>
        </w:tc>
        <w:tc>
          <w:tcPr>
            <w:tcW w:w="1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Long-term prepaids</w:t>
            </w:r>
          </w:p>
        </w:tc>
        <w:tc>
          <w:tcPr>
            <w:tcW w:w="1020" w:type="dxa"/>
            <w:vAlign w:val="bottom"/>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other long-term assets</w:t>
            </w:r>
          </w:p>
        </w:tc>
        <w:tc>
          <w:tcPr>
            <w:tcW w:w="1020" w:type="dxa"/>
            <w:vAlign w:val="bottom"/>
          </w:tcPr>
          <w:p>
            <w:pPr>
              <w:spacing w:after="0"/>
              <w:rPr>
                <w:sz w:val="19"/>
                <w:szCs w:val="19"/>
                <w:color w:val="auto"/>
              </w:rPr>
            </w:pPr>
          </w:p>
        </w:tc>
        <w:tc>
          <w:tcPr>
            <w:tcW w:w="1660" w:type="dxa"/>
            <w:vAlign w:val="bottom"/>
            <w:tcBorders>
              <w:bottom w:val="single" w:sz="8" w:color="auto"/>
            </w:tcBorders>
          </w:tcPr>
          <w:p>
            <w:pPr>
              <w:jc w:val="right"/>
              <w:ind w:right="149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9"/>
                <w:szCs w:val="19"/>
                <w:color w:val="auto"/>
              </w:rPr>
            </w:pPr>
          </w:p>
        </w:tc>
        <w:tc>
          <w:tcPr>
            <w:tcW w:w="148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638</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jc w:val="center"/>
              <w:ind w:left="277"/>
              <w:spacing w:after="0"/>
              <w:rPr>
                <w:sz w:val="20"/>
                <w:szCs w:val="20"/>
                <w:color w:val="auto"/>
              </w:rPr>
            </w:pPr>
            <w:r>
              <w:rPr>
                <w:rFonts w:ascii="Arial" w:cs="Arial" w:eastAsia="Arial" w:hAnsi="Arial"/>
                <w:sz w:val="18"/>
                <w:szCs w:val="18"/>
                <w:color w:val="auto"/>
                <w:w w:val="91"/>
              </w:rPr>
              <w:t>F-23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jc w:val="center"/>
              <w:ind w:left="358"/>
              <w:spacing w:after="0"/>
              <w:rPr>
                <w:sz w:val="20"/>
                <w:szCs w:val="20"/>
                <w:color w:val="auto"/>
              </w:rPr>
            </w:pPr>
            <w:r>
              <w:rPr>
                <w:rFonts w:ascii="Arial" w:cs="Arial" w:eastAsia="Arial" w:hAnsi="Arial"/>
                <w:sz w:val="18"/>
                <w:szCs w:val="18"/>
                <w:b w:val="1"/>
                <w:bCs w:val="1"/>
                <w:color w:val="auto"/>
                <w:w w:val="88"/>
              </w:rPr>
              <w:t>As of</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As of</w:t>
            </w:r>
          </w:p>
        </w:tc>
        <w:tc>
          <w:tcPr>
            <w:tcW w:w="2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jc w:val="center"/>
              <w:ind w:left="358"/>
              <w:spacing w:after="0"/>
              <w:rPr>
                <w:sz w:val="20"/>
                <w:szCs w:val="20"/>
                <w:color w:val="auto"/>
              </w:rPr>
            </w:pPr>
            <w:r>
              <w:rPr>
                <w:rFonts w:ascii="Arial" w:cs="Arial" w:eastAsia="Arial" w:hAnsi="Arial"/>
                <w:sz w:val="18"/>
                <w:szCs w:val="18"/>
                <w:b w:val="1"/>
                <w:bCs w:val="1"/>
                <w:color w:val="auto"/>
                <w:w w:val="88"/>
              </w:rPr>
              <w:t>December 31,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040" w:type="dxa"/>
            <w:vAlign w:val="bottom"/>
          </w:tcPr>
          <w:p>
            <w:pPr>
              <w:spacing w:after="0"/>
              <w:rPr>
                <w:sz w:val="20"/>
                <w:szCs w:val="20"/>
                <w:color w:val="auto"/>
              </w:rPr>
            </w:pPr>
          </w:p>
        </w:tc>
        <w:tc>
          <w:tcPr>
            <w:tcW w:w="260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89"/>
              </w:rPr>
              <w:t>2022</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liability</w:t>
            </w:r>
          </w:p>
        </w:tc>
        <w:tc>
          <w:tcPr>
            <w:tcW w:w="100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ind w:right="14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BARDA deferred costs</w:t>
            </w:r>
          </w:p>
        </w:tc>
        <w:tc>
          <w:tcPr>
            <w:tcW w:w="100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1000" w:type="dxa"/>
            <w:vAlign w:val="bottom"/>
          </w:tcPr>
          <w:p>
            <w:pPr>
              <w:spacing w:after="0"/>
              <w:rPr>
                <w:sz w:val="19"/>
                <w:szCs w:val="19"/>
                <w:color w:val="auto"/>
              </w:rPr>
            </w:pPr>
          </w:p>
        </w:tc>
        <w:tc>
          <w:tcPr>
            <w:tcW w:w="1600" w:type="dxa"/>
            <w:vAlign w:val="bottom"/>
            <w:tcBorders>
              <w:bottom w:val="single" w:sz="8" w:color="auto"/>
            </w:tcBorders>
          </w:tcPr>
          <w:p>
            <w:pPr>
              <w:jc w:val="right"/>
              <w:ind w:right="143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1,068</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Reporting Segment and Geographic Information</w:t>
      </w:r>
    </w:p>
    <w:p>
      <w:pPr>
        <w:spacing w:after="0" w:line="121"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The Company views its operations and manages its business in one reporting segment. Long-lived assets were primarily located in the United States as of December 31, 2022, December 31, 2021, and June 30, 2021, with an insignificant amount located in Australia and the United Kingdom.</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by region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Year-ended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Transition period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Year-ended</w:t>
            </w: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3"/>
              </w:rPr>
              <w:t>December 31, 2022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1"/>
              </w:rPr>
              <w:t>December 31, 2021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center"/>
              <w:ind w:right="136"/>
              <w:spacing w:after="0" w:line="155" w:lineRule="exact"/>
              <w:rPr>
                <w:sz w:val="20"/>
                <w:szCs w:val="20"/>
                <w:color w:val="auto"/>
              </w:rPr>
            </w:pPr>
            <w:r>
              <w:rPr>
                <w:rFonts w:ascii="Arial" w:cs="Arial" w:eastAsia="Arial" w:hAnsi="Arial"/>
                <w:sz w:val="14"/>
                <w:szCs w:val="14"/>
                <w:b w:val="1"/>
                <w:bCs w:val="1"/>
                <w:color w:val="auto"/>
                <w:w w:val="92"/>
              </w:rPr>
              <w:t>June 30, 2021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United States</w:t>
            </w: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33,257</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13,764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28,955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Japan</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Australia</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Kingdom</w:t>
            </w:r>
          </w:p>
        </w:tc>
        <w:tc>
          <w:tcPr>
            <w:tcW w:w="6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34,421</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13,956</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29,232</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4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060" w:type="dxa"/>
            <w:vAlign w:val="bottom"/>
            <w:gridSpan w:val="5"/>
          </w:tcPr>
          <w:p>
            <w:pPr>
              <w:ind w:left="520"/>
              <w:spacing w:after="0"/>
              <w:rPr>
                <w:sz w:val="20"/>
                <w:szCs w:val="20"/>
                <w:color w:val="auto"/>
              </w:rPr>
            </w:pPr>
            <w:r>
              <w:rPr>
                <w:rFonts w:ascii="Arial" w:cs="Arial" w:eastAsia="Arial" w:hAnsi="Arial"/>
                <w:sz w:val="18"/>
                <w:szCs w:val="18"/>
                <w:color w:val="auto"/>
                <w:w w:val="96"/>
              </w:rPr>
              <w:t>Revenue by Customer type were as follows (in thousands):</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Year-ended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Transition period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Year-ended</w:t>
            </w:r>
          </w:p>
        </w:tc>
        <w:tc>
          <w:tcPr>
            <w:tcW w:w="560" w:type="dxa"/>
            <w:vAlign w:val="bottom"/>
          </w:tcPr>
          <w:p>
            <w:pPr>
              <w:spacing w:after="0"/>
              <w:rPr>
                <w:sz w:val="24"/>
                <w:szCs w:val="24"/>
                <w:color w:val="auto"/>
              </w:rPr>
            </w:pPr>
          </w:p>
        </w:tc>
      </w:tr>
      <w:tr>
        <w:trPr>
          <w:trHeight w:val="155"/>
        </w:trPr>
        <w:tc>
          <w:tcPr>
            <w:tcW w:w="5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3"/>
              </w:rPr>
              <w:t>December 31, 2022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1"/>
              </w:rPr>
              <w:t>December 31, 2021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center"/>
              <w:ind w:right="136"/>
              <w:spacing w:after="0" w:line="155" w:lineRule="exact"/>
              <w:rPr>
                <w:sz w:val="20"/>
                <w:szCs w:val="20"/>
                <w:color w:val="auto"/>
              </w:rPr>
            </w:pPr>
            <w:r>
              <w:rPr>
                <w:rFonts w:ascii="Arial" w:cs="Arial" w:eastAsia="Arial" w:hAnsi="Arial"/>
                <w:sz w:val="14"/>
                <w:szCs w:val="14"/>
                <w:b w:val="1"/>
                <w:bCs w:val="1"/>
                <w:color w:val="auto"/>
                <w:w w:val="92"/>
              </w:rPr>
              <w:t>June 30, 2021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Commercial sales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34,051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13,771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21,483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Product sales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7,595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Services for emergency preparedness</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34,421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4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060" w:type="dxa"/>
            <w:vAlign w:val="bottom"/>
            <w:gridSpan w:val="5"/>
          </w:tcPr>
          <w:p>
            <w:pPr>
              <w:ind w:left="520"/>
              <w:spacing w:after="0"/>
              <w:rPr>
                <w:sz w:val="20"/>
                <w:szCs w:val="20"/>
                <w:color w:val="auto"/>
              </w:rPr>
            </w:pPr>
            <w:r>
              <w:rPr>
                <w:rFonts w:ascii="Arial" w:cs="Arial" w:eastAsia="Arial" w:hAnsi="Arial"/>
                <w:sz w:val="18"/>
                <w:szCs w:val="18"/>
                <w:color w:val="auto"/>
                <w:w w:val="89"/>
              </w:rPr>
              <w:t>Cost of sales by Customer type were as follows (in thousands):</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Year-ended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Transition period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Year-ended</w:t>
            </w:r>
          </w:p>
        </w:tc>
        <w:tc>
          <w:tcPr>
            <w:tcW w:w="560" w:type="dxa"/>
            <w:vAlign w:val="bottom"/>
          </w:tcPr>
          <w:p>
            <w:pPr>
              <w:spacing w:after="0"/>
              <w:rPr>
                <w:sz w:val="24"/>
                <w:szCs w:val="24"/>
                <w:color w:val="auto"/>
              </w:rPr>
            </w:pPr>
          </w:p>
        </w:tc>
      </w:tr>
      <w:tr>
        <w:trPr>
          <w:trHeight w:val="155"/>
        </w:trPr>
        <w:tc>
          <w:tcPr>
            <w:tcW w:w="5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center"/>
              <w:ind w:right="375"/>
              <w:spacing w:after="0" w:line="155" w:lineRule="exact"/>
              <w:rPr>
                <w:sz w:val="20"/>
                <w:szCs w:val="20"/>
                <w:color w:val="auto"/>
              </w:rPr>
            </w:pPr>
            <w:r>
              <w:rPr>
                <w:rFonts w:ascii="Arial" w:cs="Arial" w:eastAsia="Arial" w:hAnsi="Arial"/>
                <w:sz w:val="14"/>
                <w:szCs w:val="14"/>
                <w:b w:val="1"/>
                <w:bCs w:val="1"/>
                <w:color w:val="auto"/>
                <w:w w:val="91"/>
              </w:rPr>
              <w:t>December 31, 2022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center"/>
              <w:ind w:right="76"/>
              <w:spacing w:after="0" w:line="155" w:lineRule="exact"/>
              <w:rPr>
                <w:sz w:val="20"/>
                <w:szCs w:val="20"/>
                <w:color w:val="auto"/>
              </w:rPr>
            </w:pPr>
            <w:r>
              <w:rPr>
                <w:rFonts w:ascii="Arial" w:cs="Arial" w:eastAsia="Arial" w:hAnsi="Arial"/>
                <w:sz w:val="14"/>
                <w:szCs w:val="14"/>
                <w:b w:val="1"/>
                <w:bCs w:val="1"/>
                <w:color w:val="auto"/>
                <w:w w:val="91"/>
              </w:rPr>
              <w:t>December 31, 2021</w:t>
            </w:r>
          </w:p>
        </w:tc>
        <w:tc>
          <w:tcPr>
            <w:tcW w:w="100" w:type="dxa"/>
            <w:vAlign w:val="bottom"/>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center"/>
              <w:ind w:right="156"/>
              <w:spacing w:after="0" w:line="155" w:lineRule="exact"/>
              <w:rPr>
                <w:sz w:val="20"/>
                <w:szCs w:val="20"/>
                <w:color w:val="auto"/>
              </w:rPr>
            </w:pPr>
            <w:r>
              <w:rPr>
                <w:rFonts w:ascii="Arial" w:cs="Arial" w:eastAsia="Arial" w:hAnsi="Arial"/>
                <w:sz w:val="14"/>
                <w:szCs w:val="14"/>
                <w:b w:val="1"/>
                <w:bCs w:val="1"/>
                <w:color w:val="auto"/>
                <w:w w:val="90"/>
              </w:rPr>
              <w:t>June 30, 2021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Commercial cost</w:t>
            </w:r>
          </w:p>
        </w:tc>
        <w:tc>
          <w:tcPr>
            <w:tcW w:w="11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5,573</w:t>
            </w:r>
          </w:p>
        </w:tc>
        <w:tc>
          <w:tcPr>
            <w:tcW w:w="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Product cost</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Emergency preparedness service cost</w:t>
            </w:r>
          </w:p>
        </w:tc>
        <w:tc>
          <w:tcPr>
            <w:tcW w:w="6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2"/>
          </w:tcPr>
          <w:p>
            <w:pPr>
              <w:ind w:left="400"/>
              <w:spacing w:after="0"/>
              <w:rPr>
                <w:sz w:val="20"/>
                <w:szCs w:val="20"/>
                <w:color w:val="auto"/>
              </w:rPr>
            </w:pPr>
            <w:r>
              <w:rPr>
                <w:rFonts w:ascii="Arial" w:cs="Arial" w:eastAsia="Arial" w:hAnsi="Arial"/>
                <w:sz w:val="18"/>
                <w:szCs w:val="18"/>
                <w:color w:val="auto"/>
              </w:rPr>
              <w:t>F-24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December 31, 2022, the Company does not have any outstanding or threatened litigation that would have a material impact to the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and Preferred Stock</w:t>
      </w:r>
    </w:p>
    <w:p>
      <w:pPr>
        <w:spacing w:after="0" w:line="256" w:lineRule="exact"/>
        <w:rPr>
          <w:sz w:val="20"/>
          <w:szCs w:val="20"/>
          <w:color w:val="auto"/>
        </w:rPr>
      </w:pPr>
    </w:p>
    <w:p>
      <w:pPr>
        <w:ind w:right="280" w:firstLine="672"/>
        <w:spacing w:after="0" w:line="263" w:lineRule="auto"/>
        <w:rPr>
          <w:sz w:val="20"/>
          <w:szCs w:val="20"/>
          <w:color w:val="auto"/>
        </w:rPr>
      </w:pPr>
      <w:r>
        <w:rPr>
          <w:rFonts w:ascii="Arial" w:cs="Arial" w:eastAsia="Arial" w:hAnsi="Arial"/>
          <w:sz w:val="18"/>
          <w:szCs w:val="18"/>
          <w:color w:val="auto"/>
        </w:rPr>
        <w:t>The Company’s CDIs are quoted on the ASX under AVITA Medical’s previous ASX ticker code, “AVH”. The Company’s shares of common stock are quoted on Nasdaq under AVITA Medical’s previous Nasdaq ticker code, “RCEL”. One share of common stock on Nasdaq is equivalent to five CDIs on the ASX.</w:t>
      </w:r>
    </w:p>
    <w:p>
      <w:pPr>
        <w:spacing w:after="0" w:line="184"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The Company has 25,208,436, 24,925,743, and 24,895,864 shares of common stock issued and outstanding as of December 31, 2022, December 31, 2021, and June 30, 2021, respectively. The Company has no shares of preferred stock outstanding during any period.</w:t>
      </w:r>
    </w:p>
    <w:p>
      <w:pPr>
        <w:spacing w:after="0" w:line="171" w:lineRule="exact"/>
        <w:rPr>
          <w:sz w:val="20"/>
          <w:szCs w:val="20"/>
          <w:color w:val="auto"/>
        </w:rPr>
      </w:pPr>
    </w:p>
    <w:p>
      <w:pPr>
        <w:ind w:right="260" w:firstLine="510"/>
        <w:spacing w:after="0" w:line="255" w:lineRule="auto"/>
        <w:rPr>
          <w:sz w:val="20"/>
          <w:szCs w:val="20"/>
          <w:color w:val="auto"/>
        </w:rPr>
      </w:pPr>
      <w:r>
        <w:rPr>
          <w:rFonts w:ascii="Arial" w:cs="Arial" w:eastAsia="Arial" w:hAnsi="Arial"/>
          <w:sz w:val="18"/>
          <w:szCs w:val="18"/>
          <w:color w:val="auto"/>
        </w:rPr>
        <w:t>On March 1, 2021, the Company issued 3,214,250 shares of common stock at the offering price of $21.50 per share. The gross proceeds from the offering were approximately $69.1 million while the Company incurred $5.1 million in capital issuance expenses. The offering was made pursuant to a shelf registration statement on Form S-3 (File No. 333-249419) that was previously filed with the Securities and Exchange Commission (the “SEC”) on October 9, 2020, and declared effective on October 16, 2020. It was also publicly released on the ASX. The final prospectus supplement relating to and describing the terms of the offering was filed with the SEC on February 25, 2021 (in the United States) and released on the ASX on March 1, 2021 (in Australia).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w:t>
      </w:r>
    </w:p>
    <w:p>
      <w:pPr>
        <w:spacing w:after="0" w:line="121"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Company’s revenue consists of sale of the RECELL System to hospitals or other treatment centers, COSMOTEC and to BARDA (collectively “</w:t>
      </w:r>
      <w:r>
        <w:rPr>
          <w:rFonts w:ascii="Arial" w:cs="Arial" w:eastAsia="Arial" w:hAnsi="Arial"/>
          <w:sz w:val="18"/>
          <w:szCs w:val="18"/>
          <w:b w:val="1"/>
          <w:bCs w:val="1"/>
          <w:color w:val="auto"/>
        </w:rPr>
        <w:t>customers</w:t>
      </w:r>
      <w:r>
        <w:rPr>
          <w:rFonts w:ascii="Arial" w:cs="Arial" w:eastAsia="Arial" w:hAnsi="Arial"/>
          <w:sz w:val="18"/>
          <w:szCs w:val="18"/>
          <w:color w:val="auto"/>
        </w:rPr>
        <w:t>”), predominately in the United States. In addition, the Company records service revenue for the emergency preparedness services provided to BARDA.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For commercial contracts, we identified the hospital or treatment center and COSMOTEC as the customer in Step 1 of the ASC 606 5 step model and have determined a contract exists with those customers in Step 1. As these contracts typically have a single performance obligation (i.e. product delivery), no allocation of the transaction price is required in Step 4 of the model. Control of the product is transferred to the customer at a point in time. Specifically, we determined the customer obtains control of the product at point in time at which the goods are either shipped or delivered to our customers’ facilities, depending on the terms of the contract. The transaction price is stated within the contract and is therefore fixed consideration. The transaction price does not include the sales tax that are imposed by governmental authorities.</w:t>
      </w:r>
    </w:p>
    <w:p>
      <w:pPr>
        <w:spacing w:after="0" w:line="178"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For the contract with BARDA, the Company identified two performance obligations (i) the procurement of 5,614 RECELL units, (ii) emergency preparedness services. 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product’s limited shelf-life. The estimated cost of the expired inventory over the term of the contract is recognized on a per unit basis at the time of delivery. The estimated liability is released upon replacement of the product along with a corresponding reduction to inventory. The Company has estimated deferred cost of approximately $194,000, $64,000 and $343,000 as of December 31, 2022, December 31, 2021, and June 30, 2021, respectively, for the rotation cost of the product. Such amounts are recorded in other current liabilities in the amounts of $194,000, $0, and $77,000 and other long-term liabilities in the amount of $0, $64,000, and $266,000 as of December 31, 2022, December 31, 2021, and June 30, 2021, respectively. The emergency preparedness services performance obligation is satisfied over time. Revenue for the emergency deployment will be recognized on a straight-line basis during the term of the contract as services are consumed over time. Services recognized of $370,000, $185,000 and $154,000 for the year-ended December 31, 2022, the transition period ended December 31, 2021, and the year-ended June 30, 2021, respectively, and are included in sales within the Consolidated Statement of Operations. Contract costs to fulfil the performance obligation are incremental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expected to be recovered are capitalized and amortized on a straight-line basis over the term of the contract. As of December 31, 2022, contract cost of</w:t>
      </w:r>
    </w:p>
    <w:p>
      <w:pPr>
        <w:spacing w:after="0" w:line="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$252,000 are included in other current assets. As of December 31, 2021 and June 30, 2021 contract costs of $504,000, and $613,000 are included in other long-term assets,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Revenues from remaining performance obligations are calculated as the dollar value of the remaining performance obligations on executed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contracts and relate to BARDA and COSMOTEC. The estimated revenue expected to be recognized in the future related to performance obligations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unsatisfied (or partially unsatisfied) pursuant to the Company’s existing customer agreements is $698,000, $952,000, and $1.1 million as of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2022, December 31, 2021, and June 30, 2021, respectively. As of December 31, 2022, December 31, 2021 and June 30, 2021, the Company had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$274,000, $517,000 and $665,000, respectively, in contract liabilities related to our contract with BARDA for the purchase, delivery and storage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RECELL system for emergency response preparedness. The Company expects to recognize this amount as services are provided to BARDA.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contracted to manage this inventory of product until the federal government requests shipment or at contract termination on December 31, 2023.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contract with COSMOTEC, the Company had $424,000, $435,000, and $435,000 in contract liabilities as of December 31, 2022, December 31,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June 30, 2021, respectively. The Company expects to recognize revenue on a straight-line basis over the term of the contract commencing with the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generation of commercial sales to COSMOTEC.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17" w:lineRule="exact"/>
        <w:rPr>
          <w:sz w:val="20"/>
          <w:szCs w:val="20"/>
          <w:color w:val="auto"/>
        </w:rPr>
      </w:pPr>
    </w:p>
    <w:p>
      <w:pPr>
        <w:ind w:right="320" w:firstLine="749"/>
        <w:spacing w:after="0" w:line="301" w:lineRule="auto"/>
        <w:rPr>
          <w:sz w:val="20"/>
          <w:szCs w:val="20"/>
          <w:color w:val="auto"/>
        </w:rPr>
      </w:pPr>
      <w:r>
        <w:rPr>
          <w:rFonts w:ascii="Arial" w:cs="Arial" w:eastAsia="Arial" w:hAnsi="Arial"/>
          <w:sz w:val="16"/>
          <w:szCs w:val="16"/>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spacing w:after="0" w:line="15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i w:val="1"/>
          <w:iCs w:val="1"/>
          <w:color w:val="auto"/>
        </w:rPr>
        <w:t xml:space="preserve">Volume Discounts </w:t>
      </w:r>
      <w:r>
        <w:rPr>
          <w:rFonts w:ascii="Arial" w:cs="Arial" w:eastAsia="Arial" w:hAnsi="Arial"/>
          <w:sz w:val="16"/>
          <w:szCs w:val="16"/>
          <w:color w:val="auto"/>
        </w:rPr>
        <w:t>— The Company generally provides contracted customers with volume discounts that are explicitly stated in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1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Contract assets include amounts related to the Company’s contractual right to consideration for both completed and partially completed performance for which the Company does not have the right to payment. As of December 31, 2022, December 31, 2021 and June 30, 2021 the Company does not have any contract assets.</w:t>
      </w:r>
    </w:p>
    <w:p>
      <w:pPr>
        <w:spacing w:after="0" w:line="184"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Contract liabilities are recorded when the Company receives payment prior to satisfying its obligation to transfer goods to a customer. The Company had $698,000, $952,000, and $1.1 million of contract liabilities as of December 31, 2022, December 31, 2021, and June 30, 2021, respectively. The balance relates to the unsatisfied performance obligation for emergency preparedness under the BARDA contract and COSMOTEC. Performance obligation will be recognized over time over the term of the contract. For the year-ended December 31, 2022 and the transition period ended December 31, 2021, the Company recognized $370,000, and $185,000 of BARDA revenue from amounts included in the beginning balance of contract liabilities. For the year-ended June 30, 2021, amounts recognized were not significant. The Company recognized $11,000 of revenue for COSMOTEC for amounts included in the beginning balance of contract liabilities. The Company did not recognize any revenue for the transition period ended December 31, 2021 and the year-ended June 30, 2021 related to COSMOTEC for amounts included in the beginning balance of contract liabilities.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and Fulfill a Contract</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Contract Costs</w:t>
      </w:r>
    </w:p>
    <w:p>
      <w:pPr>
        <w:spacing w:after="0" w:line="117" w:lineRule="exact"/>
        <w:rPr>
          <w:sz w:val="20"/>
          <w:szCs w:val="20"/>
          <w:color w:val="auto"/>
        </w:rPr>
      </w:pPr>
    </w:p>
    <w:p>
      <w:pPr>
        <w:ind w:right="160" w:firstLine="749"/>
        <w:spacing w:after="0" w:line="271" w:lineRule="auto"/>
        <w:rPr>
          <w:sz w:val="20"/>
          <w:szCs w:val="20"/>
          <w:color w:val="auto"/>
        </w:rPr>
      </w:pPr>
      <w:r>
        <w:rPr>
          <w:rFonts w:ascii="Arial" w:cs="Arial" w:eastAsia="Arial" w:hAnsi="Arial"/>
          <w:sz w:val="17"/>
          <w:szCs w:val="17"/>
          <w:color w:val="auto"/>
        </w:rPr>
        <w:t>Cost to fulfil the BARDA emergency preparedness performance obligation, which primarily consist of billed costs to BARDA incurred in connection with the emergency deployment services, are incremental and expected to be recovered. Costs are capitalized and amortized on a straight-line basis over the term of the contract. As of December 31, 2022, the Company had $252,000 of contract costs included in other current assets. As of December 31, 2021 and June 30, 2021, the Company had $504,000 and $613,000 of contracts costs included in other long-term assets. Amortization expense related to deferred contract costs were $338,000, $167,000, and $129,000 during the year-ended December 31, 2022, the transition period ended December 31, 2021 and the year-ended June 30, 2021, respectively, and are classified as cost of sales on the accompanying Consolidated Statements of Operations. There was no impairment loss in relation to deferred contract costs during the year-ended December 31, 2022, the transition period ended December 31, 2021, and the year-ended June 30,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Payment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Employee Share-Based Compensation Plans</w:t>
      </w:r>
    </w:p>
    <w:p>
      <w:pPr>
        <w:spacing w:after="0" w:line="221"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Our former parent company, AVITA Medical, adopted the Employee Share Plan and the Incentive Option Plan (collectively, the “</w:t>
      </w:r>
      <w:r>
        <w:rPr>
          <w:rFonts w:ascii="Arial" w:cs="Arial" w:eastAsia="Arial" w:hAnsi="Arial"/>
          <w:sz w:val="17"/>
          <w:szCs w:val="17"/>
          <w:b w:val="1"/>
          <w:bCs w:val="1"/>
          <w:color w:val="auto"/>
        </w:rPr>
        <w:t>2016 Plans</w:t>
      </w:r>
      <w:r>
        <w:rPr>
          <w:rFonts w:ascii="Arial" w:cs="Arial" w:eastAsia="Arial" w:hAnsi="Arial"/>
          <w:sz w:val="17"/>
          <w:szCs w:val="17"/>
          <w:color w:val="auto"/>
        </w:rPr>
        <w:t>”). Upon completion of the Redomiciliation, the 2016 Plans were terminated with respect to future grants and accordingly, there are no more shares available to be issued under the 2016 Plans. In addition, upon completion of the Redomiciliation, the Company had an implicit consolidation or reverse stock split of 100:1 and all share information presented below in relation to the 2016 Plans has been presented on a reverse split stock basis. During November 2020, the Company, pursuant to Rule 416 under the Securities Act of 1933, filed a registration statement on form S-8 to register a total of 1,750,000 shares of common stock which may be issued pursuant to the terms of the Company’s 2020 Omnibus Incentive Plan (“</w:t>
      </w:r>
      <w:r>
        <w:rPr>
          <w:rFonts w:ascii="Arial" w:cs="Arial" w:eastAsia="Arial" w:hAnsi="Arial"/>
          <w:sz w:val="17"/>
          <w:szCs w:val="17"/>
          <w:b w:val="1"/>
          <w:bCs w:val="1"/>
          <w:color w:val="auto"/>
        </w:rPr>
        <w:t>2020 Plan</w:t>
      </w:r>
      <w:r>
        <w:rPr>
          <w:rFonts w:ascii="Arial" w:cs="Arial" w:eastAsia="Arial" w:hAnsi="Arial"/>
          <w:sz w:val="17"/>
          <w:szCs w:val="17"/>
          <w:color w:val="auto"/>
        </w:rPr>
        <w:t>”). On December 22, 2021, the Company’s stockholders approved the issuance of options and awards to the Board of Directors and the former CEO (“</w:t>
      </w:r>
      <w:r>
        <w:rPr>
          <w:rFonts w:ascii="Arial" w:cs="Arial" w:eastAsia="Arial" w:hAnsi="Arial"/>
          <w:sz w:val="17"/>
          <w:szCs w:val="17"/>
          <w:b w:val="1"/>
          <w:bCs w:val="1"/>
          <w:color w:val="auto"/>
        </w:rPr>
        <w:t>Former CEO”)</w:t>
      </w:r>
      <w:r>
        <w:rPr>
          <w:rFonts w:ascii="Arial" w:cs="Arial" w:eastAsia="Arial" w:hAnsi="Arial"/>
          <w:sz w:val="17"/>
          <w:szCs w:val="17"/>
          <w:color w:val="auto"/>
        </w:rPr>
        <w:t>. These awards are subject to the vesting and performance conditions as denoted in the individual agreements. On December 12, 2022, the Company’s stockholders approved the issuance of options and awards to the Board of Directors and the CEO. These awards are subject to the vesting and performance conditions as denoted in the individual agreements.</w:t>
      </w:r>
    </w:p>
    <w:p>
      <w:pPr>
        <w:spacing w:after="0" w:line="181" w:lineRule="exact"/>
        <w:rPr>
          <w:sz w:val="20"/>
          <w:szCs w:val="20"/>
          <w:color w:val="auto"/>
        </w:rPr>
      </w:pPr>
    </w:p>
    <w:p>
      <w:pPr>
        <w:ind w:right="200" w:firstLine="749"/>
        <w:spacing w:after="0" w:line="291" w:lineRule="auto"/>
        <w:rPr>
          <w:sz w:val="20"/>
          <w:szCs w:val="20"/>
          <w:color w:val="auto"/>
        </w:rPr>
      </w:pPr>
      <w:r>
        <w:rPr>
          <w:rFonts w:ascii="Arial" w:cs="Arial" w:eastAsia="Arial" w:hAnsi="Arial"/>
          <w:sz w:val="16"/>
          <w:szCs w:val="16"/>
          <w:color w:val="auto"/>
        </w:rPr>
        <w:t>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spacing w:after="0" w:line="166"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color w:val="auto"/>
        </w:rPr>
        <w:t>The contractual term of awards granted under the 2020 Plan is ten years from the date of its grant. Unless otherwise specified, the vesting period of awards under the 2020 Plan was: (i) vest over a four-year period in four equal installments, 25% at the end of each year from the date of grant, and /or</w:t>
      </w:r>
    </w:p>
    <w:p>
      <w:pPr>
        <w:ind w:left="5460" w:right="3960" w:hanging="5452"/>
        <w:spacing w:after="0" w:line="511" w:lineRule="auto"/>
        <w:tabs>
          <w:tab w:leader="none" w:pos="2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to other performance criteria and hurdles, as determined by the Compensation Committee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information about the Company’s share-based award plans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5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Restricted</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available</w:t>
            </w:r>
          </w:p>
        </w:tc>
      </w:tr>
      <w:tr>
        <w:trPr>
          <w:trHeight w:val="216"/>
        </w:trPr>
        <w:tc>
          <w:tcPr>
            <w:tcW w:w="582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for future</w:t>
            </w:r>
          </w:p>
        </w:tc>
      </w:tr>
      <w:tr>
        <w:trPr>
          <w:trHeight w:val="234"/>
        </w:trPr>
        <w:tc>
          <w:tcPr>
            <w:tcW w:w="5820" w:type="dxa"/>
            <w:vAlign w:val="bottom"/>
          </w:tcPr>
          <w:p>
            <w:pPr>
              <w:spacing w:after="0"/>
              <w:rPr>
                <w:sz w:val="20"/>
                <w:szCs w:val="20"/>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Units</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issuance</w:t>
            </w: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2016 Equity Incentive Plan</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885,095</w:t>
            </w:r>
          </w:p>
        </w:tc>
        <w:tc>
          <w:tcPr>
            <w:tcW w:w="2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2020 Equity Incentive Plan</w:t>
            </w:r>
          </w:p>
        </w:tc>
        <w:tc>
          <w:tcPr>
            <w:tcW w:w="1660" w:type="dxa"/>
            <w:vAlign w:val="bottom"/>
          </w:tcPr>
          <w:p>
            <w:pPr>
              <w:jc w:val="right"/>
              <w:spacing w:after="0"/>
              <w:rPr>
                <w:sz w:val="20"/>
                <w:szCs w:val="20"/>
                <w:color w:val="auto"/>
              </w:rPr>
            </w:pPr>
            <w:r>
              <w:rPr>
                <w:rFonts w:ascii="Arial" w:cs="Arial" w:eastAsia="Arial" w:hAnsi="Arial"/>
                <w:sz w:val="18"/>
                <w:szCs w:val="18"/>
                <w:color w:val="auto"/>
              </w:rPr>
              <w:t>1,079,875</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398,596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2021 AGM Awards</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22,600</w:t>
            </w: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11,566</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244,675</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2022 AGM Awards</w:t>
            </w:r>
          </w:p>
        </w:tc>
        <w:tc>
          <w:tcPr>
            <w:tcW w:w="1660" w:type="dxa"/>
            <w:vAlign w:val="bottom"/>
          </w:tcPr>
          <w:p>
            <w:pPr>
              <w:jc w:val="right"/>
              <w:spacing w:after="0"/>
              <w:rPr>
                <w:sz w:val="20"/>
                <w:szCs w:val="20"/>
                <w:color w:val="auto"/>
              </w:rPr>
            </w:pPr>
            <w:r>
              <w:rPr>
                <w:rFonts w:ascii="Arial" w:cs="Arial" w:eastAsia="Arial" w:hAnsi="Arial"/>
                <w:sz w:val="18"/>
                <w:szCs w:val="18"/>
                <w:color w:val="auto"/>
              </w:rPr>
              <w:t>247,876</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50,356</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Expenses</w:t>
      </w:r>
    </w:p>
    <w:p>
      <w:pPr>
        <w:spacing w:after="0" w:line="266" w:lineRule="exact"/>
        <w:rPr>
          <w:sz w:val="20"/>
          <w:szCs w:val="20"/>
          <w:color w:val="auto"/>
        </w:rPr>
      </w:pPr>
    </w:p>
    <w:p>
      <w:pPr>
        <w:ind w:right="240" w:firstLine="749"/>
        <w:spacing w:after="0" w:line="279" w:lineRule="auto"/>
        <w:rPr>
          <w:sz w:val="20"/>
          <w:szCs w:val="20"/>
          <w:color w:val="auto"/>
        </w:rPr>
      </w:pPr>
      <w:r>
        <w:rPr>
          <w:rFonts w:ascii="Arial" w:cs="Arial" w:eastAsia="Arial" w:hAnsi="Arial"/>
          <w:sz w:val="16"/>
          <w:szCs w:val="16"/>
          <w:color w:val="auto"/>
        </w:rPr>
        <w:t>Share-based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 Simplifying the Accounting for Share-Based Payments ("ASU 2016-09").</w:t>
      </w:r>
      <w:r>
        <w:rPr>
          <w:sz w:val="1"/>
          <w:szCs w:val="1"/>
          <w:color w:val="auto"/>
        </w:rPr>
        <w:drawing>
          <wp:inline distT="0" distB="0" distL="0" distR="0">
            <wp:extent cx="34290"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6"/>
          <w:szCs w:val="16"/>
          <w:color w:val="auto"/>
        </w:rPr>
        <w:t>During the year-ended December 31, 2022, the transition period ended December 31, 2021, and the year-ended June 30, 2021, the Company recorded share-based compensation expense of $7.0 million, $3.6 million and $5.7 million, respectively. No income tax benefit was recognized in the Consolidated Statement of Operations for share-based payment arrangements for the year-ended December 31, 2022, the transition period ended December 31, 2021, and the year-ended June 30, 2021.</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has included share-based compensation expense as part of operating expenses in the accompanying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as follows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Year-ended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Transition period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center"/>
              <w:ind w:right="78"/>
              <w:spacing w:after="0" w:line="155" w:lineRule="exact"/>
              <w:rPr>
                <w:sz w:val="20"/>
                <w:szCs w:val="20"/>
                <w:color w:val="auto"/>
              </w:rPr>
            </w:pPr>
            <w:r>
              <w:rPr>
                <w:rFonts w:ascii="Arial" w:cs="Arial" w:eastAsia="Arial" w:hAnsi="Arial"/>
                <w:sz w:val="14"/>
                <w:szCs w:val="14"/>
                <w:b w:val="1"/>
                <w:bCs w:val="1"/>
                <w:color w:val="auto"/>
                <w:w w:val="91"/>
              </w:rPr>
              <w:t>December 31, 2021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w w:val="98"/>
              </w:rPr>
              <w:t>June 30, 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6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4,668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4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share option activity as of December 31, 2022 and changes during the year then ended is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7"/>
              </w:rPr>
              <w:t>-Average</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Service</w:t>
            </w: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Performance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Only</w:t>
            </w: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Based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Total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-Average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Share</w:t>
            </w:r>
          </w:p>
        </w:tc>
        <w:tc>
          <w:tcPr>
            <w:tcW w:w="13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Market</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Share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Exercise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Term</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2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22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Awards</w:t>
            </w:r>
          </w:p>
        </w:tc>
        <w:tc>
          <w:tcPr>
            <w:tcW w:w="2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Price</w:t>
            </w:r>
          </w:p>
        </w:tc>
        <w:tc>
          <w:tcPr>
            <w:tcW w:w="2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Exercisable at December 31, 2021</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1,129,126</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599,994</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27,600</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1,756,720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14.86</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7.83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5,118,309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spacing w:after="0"/>
              <w:rPr>
                <w:sz w:val="20"/>
                <w:szCs w:val="20"/>
                <w:color w:val="auto"/>
              </w:rPr>
            </w:pPr>
            <w:r>
              <w:rPr>
                <w:rFonts w:ascii="Arial" w:cs="Arial" w:eastAsia="Arial" w:hAnsi="Arial"/>
                <w:sz w:val="16"/>
                <w:szCs w:val="16"/>
                <w:color w:val="auto"/>
              </w:rPr>
              <w:t>737,676</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737,676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5.57</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(75,125)</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(75,000)</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(150,125)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20"/>
                <w:szCs w:val="20"/>
                <w:color w:val="auto"/>
              </w:rPr>
            </w:pPr>
            <w:r>
              <w:rPr>
                <w:rFonts w:ascii="Arial" w:cs="Arial" w:eastAsia="Arial" w:hAnsi="Arial"/>
                <w:sz w:val="16"/>
                <w:szCs w:val="16"/>
                <w:color w:val="auto"/>
              </w:rPr>
              <w:t>Expired</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(10,425)</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(6,900)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(17,325)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(57,000)</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(6,900)</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(27,600)</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(91,500)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rPr>
                <w:sz w:val="20"/>
                <w:szCs w:val="20"/>
                <w:color w:val="auto"/>
              </w:rPr>
            </w:pPr>
            <w:r>
              <w:rPr>
                <w:rFonts w:ascii="Arial" w:cs="Arial" w:eastAsia="Arial" w:hAnsi="Arial"/>
                <w:sz w:val="16"/>
                <w:szCs w:val="16"/>
                <w:color w:val="auto"/>
              </w:rPr>
              <w:t>Outstanding shares at December 31,</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1,724,252</w:t>
            </w:r>
          </w:p>
        </w:tc>
        <w:tc>
          <w:tcPr>
            <w:tcW w:w="240" w:type="dxa"/>
            <w:vAlign w:val="bottom"/>
          </w:tcPr>
          <w:p>
            <w:pPr>
              <w:spacing w:after="0"/>
              <w:rPr>
                <w:sz w:val="17"/>
                <w:szCs w:val="17"/>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511,194</w:t>
            </w:r>
          </w:p>
        </w:tc>
        <w:tc>
          <w:tcPr>
            <w:tcW w:w="220" w:type="dxa"/>
            <w:vAlign w:val="bottom"/>
          </w:tcPr>
          <w:p>
            <w:pPr>
              <w:spacing w:after="0"/>
              <w:rPr>
                <w:sz w:val="17"/>
                <w:szCs w:val="17"/>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2,235,446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12.47</w:t>
            </w:r>
          </w:p>
        </w:tc>
        <w:tc>
          <w:tcPr>
            <w:tcW w:w="200" w:type="dxa"/>
            <w:vAlign w:val="bottom"/>
          </w:tcPr>
          <w:p>
            <w:pPr>
              <w:spacing w:after="0"/>
              <w:rPr>
                <w:sz w:val="17"/>
                <w:szCs w:val="17"/>
                <w:color w:val="auto"/>
              </w:rPr>
            </w:pPr>
          </w:p>
        </w:tc>
        <w:tc>
          <w:tcPr>
            <w:tcW w:w="840" w:type="dxa"/>
            <w:vAlign w:val="bottom"/>
            <w:vMerge w:val="restart"/>
          </w:tcPr>
          <w:p>
            <w:pPr>
              <w:jc w:val="right"/>
              <w:ind w:right="139"/>
              <w:spacing w:after="0"/>
              <w:rPr>
                <w:sz w:val="20"/>
                <w:szCs w:val="20"/>
                <w:color w:val="auto"/>
              </w:rPr>
            </w:pPr>
            <w:r>
              <w:rPr>
                <w:rFonts w:ascii="Arial" w:cs="Arial" w:eastAsia="Arial" w:hAnsi="Arial"/>
                <w:sz w:val="16"/>
                <w:szCs w:val="16"/>
                <w:color w:val="auto"/>
              </w:rPr>
              <w:t>7.71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w w:val="92"/>
              </w:rPr>
              <w:t>1,530,263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2680" w:type="dxa"/>
            <w:vAlign w:val="bottom"/>
            <w:vMerge w:val="restart"/>
          </w:tcPr>
          <w:p>
            <w:pPr>
              <w:spacing w:after="0"/>
              <w:rPr>
                <w:sz w:val="20"/>
                <w:szCs w:val="20"/>
                <w:color w:val="auto"/>
              </w:rPr>
            </w:pPr>
            <w:r>
              <w:rPr>
                <w:rFonts w:ascii="Arial" w:cs="Arial" w:eastAsia="Arial" w:hAnsi="Arial"/>
                <w:sz w:val="16"/>
                <w:szCs w:val="16"/>
                <w:color w:val="auto"/>
              </w:rPr>
              <w:t>2022</w:t>
            </w:r>
          </w:p>
        </w:tc>
        <w:tc>
          <w:tcPr>
            <w:tcW w:w="13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680" w:type="dxa"/>
            <w:vAlign w:val="bottom"/>
            <w:tcBorders>
              <w:bottom w:val="single" w:sz="8" w:color="CFF0FC"/>
            </w:tcBorders>
            <w:vMerge w:val="continue"/>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Exercisable at December 31, 2022</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682,749</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310,858</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993,607</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6.17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587,632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The weighted-average grant-date fair value of options granted during the year-ended December 31, 2022, transition period ended December 31, 2021, and the year-ended June 30, 2021 was $4.64, $10.35, and $14.08, respectively. The total intrinsic value of options exercised during the year-ended December 31, 2022, the transition period ended December 31, 2021, and the year-ended June 30, 2021 was $179,000, $13,000, and $221,000 and, respectively. Intrinsic value is measured using the fair market value at the date of exercise for options exercised, or at balance sheet date for outstanding options, less the applicable exercise price.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Cash received from the exercise of options was approximately $900,000, $7,000, and $63,000 for the year-ended December 31, 2022, transition period ended December 31, 2021, and the year-ended June 30, 2021, respectively.</w:t>
      </w:r>
    </w:p>
    <w:p>
      <w:pPr>
        <w:spacing w:after="0" w:line="170"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As of December 31, 2022, there was approximately $5.4 million of total unrecognized compensation cost related to share-based compensation expense. Of this amount $4.3 million relates to service only share options to be recognized over a weighted average period of 1.65 years, $1.1 million related to performance-based share options to be recognized over a weighted average period of 1.60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3"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are granted to executives as part of their long-term incentive compensation. RSUs granted as a result of stockholder approval at the December 22, 2021 AGM and December 14, 2022 AGM arise out of contracts between the Company and the holders of such securities. These RSU awards were approved by the Compensation Committee as determined necessary. All RSU awards have a contractual term of 10 years and vest in accordance with the tenure or performance conditions as determined by the Compensation Committee and set out in the contracts between the Company and the holders of such securities. The grant date fair value is determined based on the price of the Company stock price on the date of grant (stock price determined on Nasdaq). RSUs primarily consist of awards to the Former CEO and other executives as well as Non-Executive Directors (as occurred following the 2021 AGM and 2022 AGM). The Former CEO RSU awards are described below.</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status of the Company’s unvested RSUs as of December 31, 2022, and changes that occurred during the year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Unvested Shares</w:t>
      </w:r>
    </w:p>
    <w:p>
      <w:pPr>
        <w:spacing w:after="0" w:line="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Unvested RSUs outstanding at December 31,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Unvested RSUs outstanding at December 31, 2022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88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Service</w:t>
            </w:r>
          </w:p>
        </w:tc>
        <w:tc>
          <w:tcPr>
            <w:tcW w:w="15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Performance</w:t>
            </w:r>
          </w:p>
        </w:tc>
        <w:tc>
          <w:tcPr>
            <w:tcW w:w="17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Market</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188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 RSU's</w:t>
            </w:r>
          </w:p>
        </w:tc>
        <w:tc>
          <w:tcPr>
            <w:tcW w:w="180" w:type="dxa"/>
            <w:vAlign w:val="bottom"/>
          </w:tcPr>
          <w:p>
            <w:pPr>
              <w:spacing w:after="0"/>
              <w:rPr>
                <w:sz w:val="12"/>
                <w:szCs w:val="12"/>
                <w:color w:val="auto"/>
              </w:rPr>
            </w:pPr>
          </w:p>
        </w:tc>
        <w:tc>
          <w:tcPr>
            <w:tcW w:w="10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Condition RSU</w:t>
            </w: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Condition RSU</w:t>
            </w: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Condition</w:t>
            </w: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19"/>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331"/>
        </w:trPr>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114,757</w:t>
            </w:r>
          </w:p>
        </w:tc>
        <w:tc>
          <w:tcPr>
            <w:tcW w:w="24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135,093</w:t>
            </w:r>
          </w:p>
        </w:tc>
        <w:tc>
          <w:tcPr>
            <w:tcW w:w="24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47,640</w:t>
            </w:r>
          </w:p>
        </w:tc>
        <w:tc>
          <w:tcPr>
            <w:tcW w:w="240" w:type="dxa"/>
            <w:vAlign w:val="bottom"/>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297,490</w:t>
            </w:r>
          </w:p>
        </w:tc>
        <w:tc>
          <w:tcPr>
            <w:tcW w:w="240" w:type="dxa"/>
            <w:vAlign w:val="bottom"/>
          </w:tcPr>
          <w:p>
            <w:pPr>
              <w:spacing w:after="0"/>
              <w:rPr>
                <w:sz w:val="24"/>
                <w:szCs w:val="24"/>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337"/>
        </w:trPr>
        <w:tc>
          <w:tcPr>
            <w:tcW w:w="1640" w:type="dxa"/>
            <w:vAlign w:val="bottom"/>
          </w:tcPr>
          <w:p>
            <w:pPr>
              <w:jc w:val="right"/>
              <w:spacing w:after="0"/>
              <w:rPr>
                <w:sz w:val="20"/>
                <w:szCs w:val="20"/>
                <w:color w:val="auto"/>
              </w:rPr>
            </w:pPr>
            <w:r>
              <w:rPr>
                <w:rFonts w:ascii="Arial" w:cs="Arial" w:eastAsia="Arial" w:hAnsi="Arial"/>
                <w:sz w:val="18"/>
                <w:szCs w:val="18"/>
                <w:color w:val="auto"/>
              </w:rPr>
              <w:t>384,806</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384,806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(75,041)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(57,527)</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(132,568)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30"/>
        </w:trPr>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(29,650)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(11,920)</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(47,640)</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(89,210)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331"/>
        </w:trPr>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394,872</w:t>
            </w:r>
          </w:p>
        </w:tc>
        <w:tc>
          <w:tcPr>
            <w:tcW w:w="24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65,646</w:t>
            </w:r>
          </w:p>
        </w:tc>
        <w:tc>
          <w:tcPr>
            <w:tcW w:w="24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460,518</w:t>
            </w:r>
          </w:p>
        </w:tc>
        <w:tc>
          <w:tcPr>
            <w:tcW w:w="240" w:type="dxa"/>
            <w:vAlign w:val="bottom"/>
          </w:tcPr>
          <w:p>
            <w:pPr>
              <w:spacing w:after="0"/>
              <w:rPr>
                <w:sz w:val="24"/>
                <w:szCs w:val="24"/>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108"/>
        </w:trPr>
        <w:tc>
          <w:tcPr>
            <w:tcW w:w="1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-1045210</wp:posOffset>
            </wp:positionV>
            <wp:extent cx="713232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-607695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-316865</wp:posOffset>
            </wp:positionV>
            <wp:extent cx="7132320" cy="300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60"/>
            <w:col w:w="7900"/>
          </w:cols>
          <w:pgMar w:left="320" w:top="125" w:right="359" w:bottom="1440" w:gutter="0" w:footer="0" w:header="0"/>
          <w:type w:val="continuous"/>
        </w:sectPr>
      </w:pPr>
    </w:p>
    <w:p>
      <w:pPr>
        <w:spacing w:after="0" w:line="272" w:lineRule="exact"/>
        <w:rPr>
          <w:sz w:val="20"/>
          <w:szCs w:val="20"/>
          <w:color w:val="auto"/>
        </w:rPr>
      </w:pPr>
    </w:p>
    <w:p>
      <w:pPr>
        <w:ind w:right="240" w:firstLine="749"/>
        <w:spacing w:after="0" w:line="259" w:lineRule="auto"/>
        <w:rPr>
          <w:sz w:val="20"/>
          <w:szCs w:val="20"/>
          <w:color w:val="auto"/>
        </w:rPr>
      </w:pPr>
      <w:r>
        <w:rPr>
          <w:rFonts w:ascii="Arial" w:cs="Arial" w:eastAsia="Arial" w:hAnsi="Arial"/>
          <w:sz w:val="18"/>
          <w:szCs w:val="18"/>
          <w:color w:val="auto"/>
        </w:rPr>
        <w:t>The weighted-average grant-date fair value of the RSUs granted during the year-ended December 31, 2022, transition period ended December 31, 2021, and the year-ended June 30, 2021 were $5.28, $13.57, and $22.65 per unit, respectively. The total fair value of shares vested during the year-ended December 31, 2022, the transition period ended December 31, 2021, and the year-ended June 30, 2021 were $894,000, $599,000, $4.9 million, respectively.</w:t>
      </w:r>
    </w:p>
    <w:p>
      <w:pPr>
        <w:spacing w:after="0" w:line="18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As of December 31, 2022, there was $1.9 million of total unrecognized compensation cost related to RSU awards. Of this amount $1.6 million relates to service only RSUs to be recognized over a weighted average period of 1.53 years, $341,000 related to performance-based awards to be recognized over a weighted average period of 1.51 years.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Former CEO RSUs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On November 2019, the equivalent of 395,542 RSUs were issued to the Former CEO with the following vesting terms:</w:t>
      </w:r>
    </w:p>
    <w:p>
      <w:pPr>
        <w:spacing w:after="0" w:line="117" w:lineRule="exact"/>
        <w:rPr>
          <w:sz w:val="20"/>
          <w:szCs w:val="20"/>
          <w:color w:val="auto"/>
        </w:rPr>
      </w:pPr>
    </w:p>
    <w:p>
      <w:pPr>
        <w:ind w:left="1140" w:right="420" w:hanging="498"/>
        <w:spacing w:after="0" w:line="277"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Tenure – the equivalent of 142,521 RSUs with a vesting period of three-years commencing on June 1, 2020. On June 1, 2022, the last tranche of 47,507 RSUs vested and the shares were appropriately released.</w:t>
      </w:r>
    </w:p>
    <w:p>
      <w:pPr>
        <w:spacing w:after="0" w:line="62" w:lineRule="exact"/>
        <w:rPr>
          <w:rFonts w:ascii="Arial" w:cs="Arial" w:eastAsia="Arial" w:hAnsi="Arial"/>
          <w:sz w:val="18"/>
          <w:szCs w:val="18"/>
          <w:color w:val="auto"/>
        </w:rPr>
      </w:pPr>
    </w:p>
    <w:p>
      <w:pPr>
        <w:ind w:left="1140" w:right="280" w:hanging="498"/>
        <w:spacing w:after="0" w:line="277"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Milestone performance – 253,021 of the RSUs will vest upon satisfaction of various performance conditions. During the first quarter of 2022 the last performance milestone was achieved, the RSUs vested and were appropriately released.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AGM Awards</w:t>
      </w:r>
    </w:p>
    <w:p>
      <w:pPr>
        <w:spacing w:after="0" w:line="11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On December 22, 2021, as part of the Company's 2021 AGM, the Company's stockholders approved the grant of stock option awards and RSUs to the Former CEO and the Board of Directors. These awards are referred to as the 2021 AGM awards.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Former CEO under the 2021 AGM Awards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December 22, 2021, the Former CEO was issued an aggregate 150,480 options and RSUs comprising:</w:t>
      </w:r>
    </w:p>
    <w:p>
      <w:pPr>
        <w:spacing w:after="0" w:line="117" w:lineRule="exact"/>
        <w:rPr>
          <w:sz w:val="20"/>
          <w:szCs w:val="20"/>
          <w:color w:val="auto"/>
        </w:rPr>
      </w:pPr>
    </w:p>
    <w:p>
      <w:pPr>
        <w:ind w:left="1120" w:right="140" w:hanging="370"/>
        <w:spacing w:after="0" w:line="263"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37,600 tenure-based options and RSUs (23,800 RSUs and 13,800 options) with 25% of those options and RSUs vesting annually commencing on December 14, 2022. Service condition was not met as such, RSUs were forfeited, and options expired in accordance with the RSU and Option Agreement.</w:t>
      </w:r>
    </w:p>
    <w:p>
      <w:pPr>
        <w:spacing w:after="0" w:line="75" w:lineRule="exact"/>
        <w:rPr>
          <w:rFonts w:ascii="Arial" w:cs="Arial" w:eastAsia="Arial" w:hAnsi="Arial"/>
          <w:sz w:val="18"/>
          <w:szCs w:val="18"/>
          <w:color w:val="auto"/>
        </w:rPr>
      </w:pPr>
    </w:p>
    <w:p>
      <w:pPr>
        <w:ind w:left="1120" w:hanging="370"/>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37,640 performance-based options and RSUs (23,840 RSUs and 13,800 options):</w:t>
      </w:r>
    </w:p>
    <w:p>
      <w:pPr>
        <w:spacing w:after="0" w:line="117" w:lineRule="exact"/>
        <w:rPr>
          <w:rFonts w:ascii="Arial" w:cs="Arial" w:eastAsia="Arial" w:hAnsi="Arial"/>
          <w:sz w:val="18"/>
          <w:szCs w:val="18"/>
          <w:color w:val="auto"/>
        </w:rPr>
      </w:pPr>
    </w:p>
    <w:p>
      <w:pPr>
        <w:ind w:left="1500" w:hanging="372"/>
        <w:spacing w:after="0" w:line="277" w:lineRule="auto"/>
        <w:tabs>
          <w:tab w:leader="none" w:pos="15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Performance condition for 11,920 RSUs and 6,900 options was met during fiscal year 2022. RSUs for vested shares were appropriately released. Vested and unexercised options expired 3 months subsequent to termination of employment.</w:t>
      </w:r>
    </w:p>
    <w:p>
      <w:pPr>
        <w:spacing w:after="0" w:line="62" w:lineRule="exact"/>
        <w:rPr>
          <w:rFonts w:ascii="Arial" w:cs="Arial" w:eastAsia="Arial" w:hAnsi="Arial"/>
          <w:sz w:val="18"/>
          <w:szCs w:val="18"/>
          <w:color w:val="auto"/>
        </w:rPr>
      </w:pPr>
    </w:p>
    <w:p>
      <w:pPr>
        <w:ind w:left="1500" w:right="80" w:hanging="372"/>
        <w:spacing w:after="0" w:line="277" w:lineRule="auto"/>
        <w:tabs>
          <w:tab w:leader="none" w:pos="15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Performance condition for 11,920 RSUs and 6,900 options were not met. These awards were unvested as of the date of termination of the Former CEO’s employment.</w:t>
      </w:r>
    </w:p>
    <w:p>
      <w:pPr>
        <w:spacing w:after="0" w:line="62" w:lineRule="exact"/>
        <w:rPr>
          <w:rFonts w:ascii="Arial" w:cs="Arial" w:eastAsia="Arial" w:hAnsi="Arial"/>
          <w:sz w:val="18"/>
          <w:szCs w:val="18"/>
          <w:color w:val="auto"/>
        </w:rPr>
      </w:pPr>
    </w:p>
    <w:p>
      <w:pPr>
        <w:ind w:left="1120" w:right="360" w:hanging="370"/>
        <w:spacing w:after="0" w:line="277"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75,240 stretch-performance based options and RSUs (47,640 RSUs and 27,600 options). These awards were unvested as of the date of termination of the Former CEO’s employment.</w:t>
      </w:r>
    </w:p>
    <w:p>
      <w:pPr>
        <w:spacing w:after="0" w:line="62"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In accordance with the terms of the RSU Agreement and Option Agreements with the Former CEO, unvested performance-based and market condition RSUs were forfeited on the date of termination and unvested performance-based and market conditions options expired on the date of termination. Per the terms of the RSU and Option Agreements, RSUs and options that were granted and are tenure-based only will continue to vest as long as the Former CEO continues to provide services to the Company as a Board Member. The Former CEO’s term as a Board Member ended on December 12, 2022, and unvested RSUs were forfeited.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Board of Directors under the 2021 AGM Awards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 awards consist of an aggregate 68,600 options and RSUs as follows:</w:t>
      </w:r>
    </w:p>
    <w:p>
      <w:pPr>
        <w:spacing w:after="0" w:line="131" w:lineRule="exact"/>
        <w:rPr>
          <w:sz w:val="20"/>
          <w:szCs w:val="20"/>
          <w:color w:val="auto"/>
        </w:rPr>
      </w:pPr>
    </w:p>
    <w:p>
      <w:pPr>
        <w:ind w:left="1120" w:hanging="370"/>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41,400 tenure-based options and RSUs (15,300 options and 26,100 RSUs) vesting 12 months from the grant date.</w:t>
      </w:r>
    </w:p>
    <w:p>
      <w:pPr>
        <w:spacing w:after="0" w:line="117" w:lineRule="exact"/>
        <w:rPr>
          <w:rFonts w:ascii="Arial" w:cs="Arial" w:eastAsia="Arial" w:hAnsi="Arial"/>
          <w:sz w:val="18"/>
          <w:szCs w:val="18"/>
          <w:color w:val="auto"/>
        </w:rPr>
      </w:pPr>
    </w:p>
    <w:p>
      <w:pPr>
        <w:ind w:left="1500" w:right="140" w:hanging="372"/>
        <w:spacing w:after="0" w:line="277" w:lineRule="auto"/>
        <w:tabs>
          <w:tab w:leader="none" w:pos="15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6,900 tenure-based options and RSUs (4,350 RSUs and 2,550 options) granted to each of the six non-executive board members based on the vesting terms detailed above.</w:t>
      </w:r>
    </w:p>
    <w:p>
      <w:pPr>
        <w:spacing w:after="0" w:line="62" w:lineRule="exact"/>
        <w:rPr>
          <w:rFonts w:ascii="Arial" w:cs="Arial" w:eastAsia="Arial" w:hAnsi="Arial"/>
          <w:sz w:val="18"/>
          <w:szCs w:val="18"/>
          <w:color w:val="auto"/>
        </w:rPr>
      </w:pPr>
    </w:p>
    <w:p>
      <w:pPr>
        <w:ind w:left="1120" w:right="100" w:hanging="370"/>
        <w:spacing w:after="0" w:line="263"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27,200 tenure-based options and RSUs (9,850 options and 17,350 RSUs) vesting on the first, second and third anniversary of the grant date in equal amounts (i.e. 1/3 of the RSUs and options will vest on each anniversary of the grant date, being on December 22 of each relevant year).</w:t>
      </w:r>
    </w:p>
    <w:p>
      <w:pPr>
        <w:spacing w:after="0" w:line="75" w:lineRule="exact"/>
        <w:rPr>
          <w:rFonts w:ascii="Arial" w:cs="Arial" w:eastAsia="Arial" w:hAnsi="Arial"/>
          <w:sz w:val="18"/>
          <w:szCs w:val="18"/>
          <w:color w:val="auto"/>
        </w:rPr>
      </w:pPr>
    </w:p>
    <w:p>
      <w:pPr>
        <w:ind w:left="1500" w:right="20" w:hanging="372"/>
        <w:spacing w:after="0" w:line="277" w:lineRule="auto"/>
        <w:tabs>
          <w:tab w:leader="none" w:pos="15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13,600 tenure-based options and RSUs (8,675 RSUs and 4,925 options) granted to Jan Stern Reed and James Corbett as an initial grant in connection with their appointment to the Board of Directors.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AGM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CEO under the 2022 AGM Awards</w:t>
      </w:r>
    </w:p>
    <w:p>
      <w:pPr>
        <w:spacing w:after="0" w:line="117" w:lineRule="exact"/>
        <w:rPr>
          <w:sz w:val="20"/>
          <w:szCs w:val="20"/>
          <w:color w:val="auto"/>
        </w:rPr>
      </w:pPr>
    </w:p>
    <w:p>
      <w:pPr>
        <w:ind w:left="1120" w:right="380" w:hanging="370"/>
        <w:spacing w:after="0" w:line="277" w:lineRule="auto"/>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December 12, 2022, the CEO was issued an aggregate 226,296 options with 25% of those options vesting annually commencing on September 28, 2023.</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Board of Directors under the 2022 AGM Awards</w:t>
      </w:r>
    </w:p>
    <w:p>
      <w:pPr>
        <w:spacing w:after="0" w:line="117" w:lineRule="exact"/>
        <w:rPr>
          <w:sz w:val="20"/>
          <w:szCs w:val="20"/>
          <w:color w:val="auto"/>
        </w:rPr>
      </w:pPr>
    </w:p>
    <w:p>
      <w:pPr>
        <w:ind w:left="1120" w:right="60" w:hanging="370"/>
        <w:spacing w:after="0" w:line="277"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Board of Director awards consist of an aggregate 71,936 options and RSUs (21,580 options and 50,356 RSUs) vesting 12-months from the grant date.</w:t>
      </w:r>
    </w:p>
    <w:p>
      <w:pPr>
        <w:spacing w:after="0" w:line="62"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17,984 tenure-based options and RSUs (12,589 RSUs and 5,359 options) granted to each of the four non-executive board members based on the vesting terms detailed above.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Pricing Model</w:t>
      </w:r>
    </w:p>
    <w:p>
      <w:pPr>
        <w:spacing w:after="0" w:line="117" w:lineRule="exact"/>
        <w:rPr>
          <w:sz w:val="20"/>
          <w:szCs w:val="20"/>
          <w:color w:val="auto"/>
        </w:rPr>
      </w:pPr>
    </w:p>
    <w:p>
      <w:pPr>
        <w:ind w:right="440" w:firstLine="749"/>
        <w:spacing w:after="0" w:line="342" w:lineRule="auto"/>
        <w:rPr>
          <w:sz w:val="20"/>
          <w:szCs w:val="20"/>
          <w:color w:val="auto"/>
        </w:rPr>
      </w:pPr>
      <w:r>
        <w:rPr>
          <w:rFonts w:ascii="Arial" w:cs="Arial" w:eastAsia="Arial" w:hAnsi="Arial"/>
          <w:sz w:val="16"/>
          <w:szCs w:val="16"/>
          <w:color w:val="auto"/>
        </w:rPr>
        <w:t>The Company estimates the fair value of tenure-based share options using the Black-Scholes option pricing model on the date of grant. The Company estimates the fair value of options with a performance condition and market conditions using the Monte-Carlo simulation model.</w:t>
      </w:r>
    </w:p>
    <w:p>
      <w:pPr>
        <w:spacing w:after="0" w:line="124"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The valuation of the options is affected by the Company's share price as well as assumptions regarding a number of highly complex and subjective variables. These variables include, but are not limited to, expected share price volatility over the term of the awards and actual and projected employee share option exercise behaviors. The risk-free rate is based on the U.S. Treasury rate for the expected life at the time of grant, volatility is based on the average historical and implied volatility. For tenure-based options, the expected life is based on the estimated average of the life of options using the simplified method as prescribed by SAB 107. The Company utilizes the simplified method for plain vanilla options to determine the expected life of the options due to insufficient exercise activity during recent years. For performance or market awards using the Monte Carlo simulation, the Company estimates the expected term based on a future exercise assumption of 2x the exercise price for rank-and-file employees and 3x the exercise price for executives. The contractual term of 10 years has been set as the expected term for performance and market awards. The expected dividend assumption is based on the Company’s history and expectation of dividend payouts.</w:t>
      </w:r>
    </w:p>
    <w:p>
      <w:pPr>
        <w:spacing w:after="0" w:line="181" w:lineRule="exact"/>
        <w:rPr>
          <w:sz w:val="20"/>
          <w:szCs w:val="20"/>
          <w:color w:val="auto"/>
        </w:rPr>
      </w:pPr>
    </w:p>
    <w:p>
      <w:pPr>
        <w:ind w:right="540" w:firstLine="749"/>
        <w:spacing w:after="0" w:line="308" w:lineRule="auto"/>
        <w:rPr>
          <w:sz w:val="20"/>
          <w:szCs w:val="20"/>
          <w:color w:val="auto"/>
        </w:rPr>
      </w:pPr>
      <w:r>
        <w:rPr>
          <w:rFonts w:ascii="Arial" w:cs="Arial" w:eastAsia="Arial" w:hAnsi="Arial"/>
          <w:sz w:val="17"/>
          <w:szCs w:val="17"/>
          <w:color w:val="auto"/>
        </w:rPr>
        <w:t>Included in the following table is a summary of the related assumptions used in the Black-Scholes Option pricing model and Monte-Carlo simulation for the year-ended December 31, 2022, the transition period ended December 31, 2021, and the year-ended June 30,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Transition Period</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4700" w:type="dxa"/>
            <w:vAlign w:val="bottom"/>
          </w:tcPr>
          <w:p>
            <w:pPr>
              <w:spacing w:after="0"/>
              <w:rPr>
                <w:sz w:val="18"/>
                <w:szCs w:val="18"/>
                <w:color w:val="auto"/>
              </w:rPr>
            </w:pPr>
          </w:p>
        </w:tc>
        <w:tc>
          <w:tcPr>
            <w:tcW w:w="2740" w:type="dxa"/>
            <w:vAlign w:val="bottom"/>
            <w:gridSpan w:val="2"/>
          </w:tcPr>
          <w:p>
            <w:pPr>
              <w:jc w:val="right"/>
              <w:ind w:right="1140"/>
              <w:spacing w:after="0"/>
              <w:rPr>
                <w:sz w:val="20"/>
                <w:szCs w:val="20"/>
                <w:color w:val="auto"/>
              </w:rPr>
            </w:pPr>
            <w:r>
              <w:rPr>
                <w:rFonts w:ascii="Arial" w:cs="Arial" w:eastAsia="Arial" w:hAnsi="Arial"/>
                <w:sz w:val="16"/>
                <w:szCs w:val="16"/>
                <w:b w:val="1"/>
                <w:bCs w:val="1"/>
                <w:color w:val="auto"/>
              </w:rPr>
              <w:t>Year-Ended</w:t>
            </w:r>
          </w:p>
        </w:tc>
        <w:tc>
          <w:tcPr>
            <w:tcW w:w="2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Ended</w:t>
            </w:r>
          </w:p>
        </w:tc>
        <w:tc>
          <w:tcPr>
            <w:tcW w:w="16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Year-Ended</w:t>
            </w:r>
          </w:p>
        </w:tc>
      </w:tr>
      <w:tr>
        <w:trPr>
          <w:trHeight w:val="210"/>
        </w:trPr>
        <w:tc>
          <w:tcPr>
            <w:tcW w:w="4700" w:type="dxa"/>
            <w:vAlign w:val="bottom"/>
            <w:tcBorders>
              <w:bottom w:val="single" w:sz="8" w:color="CFF0FC"/>
            </w:tcBorders>
          </w:tcPr>
          <w:p>
            <w:pPr>
              <w:spacing w:after="0"/>
              <w:rPr>
                <w:sz w:val="18"/>
                <w:szCs w:val="18"/>
                <w:color w:val="auto"/>
              </w:rPr>
            </w:pPr>
          </w:p>
        </w:tc>
        <w:tc>
          <w:tcPr>
            <w:tcW w:w="24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December 31, 2022</w:t>
            </w:r>
          </w:p>
        </w:tc>
        <w:tc>
          <w:tcPr>
            <w:tcW w:w="340" w:type="dxa"/>
            <w:vAlign w:val="bottom"/>
            <w:tcBorders>
              <w:bottom w:val="single" w:sz="8" w:color="CFF0FC"/>
            </w:tcBorders>
          </w:tcPr>
          <w:p>
            <w:pPr>
              <w:spacing w:after="0"/>
              <w:rPr>
                <w:sz w:val="18"/>
                <w:szCs w:val="18"/>
                <w:color w:val="auto"/>
              </w:rPr>
            </w:pPr>
          </w:p>
        </w:tc>
        <w:tc>
          <w:tcPr>
            <w:tcW w:w="1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320" w:type="dxa"/>
            <w:vAlign w:val="bottom"/>
            <w:tcBorders>
              <w:bottom w:val="single" w:sz="8" w:color="CFF0FC"/>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Borders>
              <w:bottom w:val="single" w:sz="8" w:color="CFF0FC"/>
            </w:tcBorders>
          </w:tcPr>
          <w:p>
            <w:pPr>
              <w:spacing w:after="0"/>
              <w:rPr>
                <w:sz w:val="18"/>
                <w:szCs w:val="18"/>
                <w:color w:val="auto"/>
              </w:rPr>
            </w:pPr>
          </w:p>
        </w:tc>
      </w:tr>
      <w:tr>
        <w:trPr>
          <w:trHeight w:val="212"/>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 - 113%</w:t>
            </w:r>
          </w:p>
        </w:tc>
        <w:tc>
          <w:tcPr>
            <w:tcW w:w="3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 - 75%</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 - 80%</w:t>
            </w:r>
          </w:p>
        </w:tc>
        <w:tc>
          <w:tcPr>
            <w:tcW w:w="140" w:type="dxa"/>
            <w:vAlign w:val="bottom"/>
            <w:shd w:val="clear" w:color="auto" w:fill="CFF0FC"/>
          </w:tcPr>
          <w:p>
            <w:pPr>
              <w:spacing w:after="0"/>
              <w:rPr>
                <w:sz w:val="18"/>
                <w:szCs w:val="18"/>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Weighted-average volatility</w:t>
            </w:r>
          </w:p>
        </w:tc>
        <w:tc>
          <w:tcPr>
            <w:tcW w:w="2740" w:type="dxa"/>
            <w:vAlign w:val="bottom"/>
            <w:gridSpan w:val="2"/>
          </w:tcPr>
          <w:p>
            <w:pPr>
              <w:jc w:val="right"/>
              <w:ind w:right="200"/>
              <w:spacing w:after="0"/>
              <w:rPr>
                <w:sz w:val="20"/>
                <w:szCs w:val="20"/>
                <w:color w:val="auto"/>
              </w:rPr>
            </w:pPr>
            <w:r>
              <w:rPr>
                <w:rFonts w:ascii="Arial" w:cs="Arial" w:eastAsia="Arial" w:hAnsi="Arial"/>
                <w:sz w:val="16"/>
                <w:szCs w:val="16"/>
                <w:color w:val="auto"/>
              </w:rPr>
              <w:t>103%</w:t>
            </w:r>
          </w:p>
        </w:tc>
        <w:tc>
          <w:tcPr>
            <w:tcW w:w="2200" w:type="dxa"/>
            <w:vAlign w:val="bottom"/>
            <w:gridSpan w:val="2"/>
          </w:tcPr>
          <w:p>
            <w:pPr>
              <w:jc w:val="right"/>
              <w:ind w:right="180"/>
              <w:spacing w:after="0"/>
              <w:rPr>
                <w:sz w:val="20"/>
                <w:szCs w:val="20"/>
                <w:color w:val="auto"/>
              </w:rPr>
            </w:pPr>
            <w:r>
              <w:rPr>
                <w:rFonts w:ascii="Arial" w:cs="Arial" w:eastAsia="Arial" w:hAnsi="Arial"/>
                <w:sz w:val="16"/>
                <w:szCs w:val="16"/>
                <w:color w:val="auto"/>
              </w:rPr>
              <w:t>69%</w:t>
            </w: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73%</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Expected dividends</w:t>
            </w:r>
          </w:p>
        </w:tc>
        <w:tc>
          <w:tcPr>
            <w:tcW w:w="27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w:t>
            </w:r>
          </w:p>
        </w:tc>
        <w:tc>
          <w:tcPr>
            <w:tcW w:w="2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Expected term (in years)</w:t>
            </w:r>
          </w:p>
        </w:tc>
        <w:tc>
          <w:tcPr>
            <w:tcW w:w="2400" w:type="dxa"/>
            <w:vAlign w:val="bottom"/>
          </w:tcPr>
          <w:p>
            <w:pPr>
              <w:jc w:val="right"/>
              <w:spacing w:after="0"/>
              <w:rPr>
                <w:sz w:val="20"/>
                <w:szCs w:val="20"/>
                <w:color w:val="auto"/>
              </w:rPr>
            </w:pPr>
            <w:r>
              <w:rPr>
                <w:rFonts w:ascii="Arial" w:cs="Arial" w:eastAsia="Arial" w:hAnsi="Arial"/>
                <w:sz w:val="16"/>
                <w:szCs w:val="16"/>
                <w:color w:val="auto"/>
              </w:rPr>
              <w:t>5 - 9.8</w:t>
            </w:r>
          </w:p>
        </w:tc>
        <w:tc>
          <w:tcPr>
            <w:tcW w:w="3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5 - 10</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5 - 10</w:t>
            </w:r>
          </w:p>
        </w:tc>
        <w:tc>
          <w:tcPr>
            <w:tcW w:w="140" w:type="dxa"/>
            <w:vAlign w:val="bottom"/>
          </w:tcPr>
          <w:p>
            <w:pPr>
              <w:spacing w:after="0"/>
              <w:rPr>
                <w:sz w:val="18"/>
                <w:szCs w:val="18"/>
                <w:color w:val="auto"/>
              </w:rPr>
            </w:pP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 - 3.94%</w:t>
            </w:r>
          </w:p>
        </w:tc>
        <w:tc>
          <w:tcPr>
            <w:tcW w:w="3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0.88% - 1.46%</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0.77% - 1.64%</w:t>
            </w:r>
          </w:p>
        </w:tc>
        <w:tc>
          <w:tcPr>
            <w:tcW w:w="14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Geographic sources of loss before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Transition Period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50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w w:val="99"/>
              </w:rPr>
              <w:t>December 31, 2022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440" w:type="dxa"/>
            <w:vAlign w:val="bottom"/>
            <w:tcBorders>
              <w:top w:val="single" w:sz="8" w:color="auto"/>
            </w:tcBorders>
          </w:tcPr>
          <w:p>
            <w:pPr>
              <w:spacing w:after="0"/>
              <w:rPr>
                <w:sz w:val="19"/>
                <w:szCs w:val="19"/>
                <w:color w:val="auto"/>
              </w:rPr>
            </w:pPr>
          </w:p>
        </w:tc>
        <w:tc>
          <w:tcPr>
            <w:tcW w:w="2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(26,764)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(14,490)</w:t>
            </w: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(26,478)</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Loss before income taxes</w:t>
            </w:r>
          </w:p>
        </w:tc>
        <w:tc>
          <w:tcPr>
            <w:tcW w:w="1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1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jc w:val="right"/>
              <w:ind w:right="1180"/>
              <w:spacing w:after="0"/>
              <w:rPr>
                <w:sz w:val="20"/>
                <w:szCs w:val="20"/>
                <w:color w:val="auto"/>
              </w:rPr>
            </w:pPr>
            <w:r>
              <w:rPr>
                <w:rFonts w:ascii="Arial" w:cs="Arial" w:eastAsia="Arial" w:hAnsi="Arial"/>
                <w:sz w:val="18"/>
                <w:szCs w:val="18"/>
                <w:color w:val="auto"/>
              </w:rPr>
              <w:t>F-31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income tax expense as shown in the accompanying Consolidated Statements of Operations includes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560" w:type="dxa"/>
            <w:vAlign w:val="bottom"/>
          </w:tcPr>
          <w:p>
            <w:pPr>
              <w:jc w:val="right"/>
              <w:ind w:right="199"/>
              <w:spacing w:after="0"/>
              <w:rPr>
                <w:sz w:val="20"/>
                <w:szCs w:val="20"/>
                <w:color w:val="auto"/>
              </w:rPr>
            </w:pPr>
            <w:r>
              <w:rPr>
                <w:rFonts w:ascii="Arial" w:cs="Arial" w:eastAsia="Arial" w:hAnsi="Arial"/>
                <w:sz w:val="14"/>
                <w:szCs w:val="14"/>
                <w:b w:val="1"/>
                <w:bCs w:val="1"/>
                <w:color w:val="auto"/>
              </w:rPr>
              <w:t>Year-Ended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Transition Period Ended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Year-Ended</w:t>
            </w:r>
          </w:p>
        </w:tc>
        <w:tc>
          <w:tcPr>
            <w:tcW w:w="0" w:type="dxa"/>
            <w:vAlign w:val="bottom"/>
          </w:tcPr>
          <w:p>
            <w:pPr>
              <w:spacing w:after="0"/>
              <w:rPr>
                <w:sz w:val="1"/>
                <w:szCs w:val="1"/>
                <w:color w:val="auto"/>
              </w:rPr>
            </w:pPr>
          </w:p>
        </w:tc>
      </w:tr>
      <w:tr>
        <w:trPr>
          <w:trHeight w:val="162"/>
        </w:trPr>
        <w:tc>
          <w:tcPr>
            <w:tcW w:w="4860" w:type="dxa"/>
            <w:vAlign w:val="bottom"/>
            <w:gridSpan w:val="2"/>
            <w:vMerge w:val="continue"/>
          </w:tcPr>
          <w:p>
            <w:pPr>
              <w:spacing w:after="0"/>
              <w:rPr>
                <w:sz w:val="14"/>
                <w:szCs w:val="14"/>
                <w:color w:val="auto"/>
              </w:rPr>
            </w:pPr>
          </w:p>
        </w:tc>
        <w:tc>
          <w:tcPr>
            <w:tcW w:w="1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December 31, 2022</w:t>
            </w:r>
          </w:p>
        </w:tc>
        <w:tc>
          <w:tcPr>
            <w:tcW w:w="2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December 31, 2021</w:t>
            </w:r>
          </w:p>
        </w:tc>
        <w:tc>
          <w:tcPr>
            <w:tcW w:w="2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3420" w:type="dxa"/>
            <w:vAlign w:val="bottom"/>
            <w:tcBorders>
              <w:top w:val="single" w:sz="8" w:color="CFF0FC"/>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1560" w:type="dxa"/>
            <w:vAlign w:val="bottom"/>
          </w:tcPr>
          <w:p>
            <w:pPr>
              <w:jc w:val="right"/>
              <w:ind w:right="1379"/>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58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Foreign</w:t>
            </w:r>
          </w:p>
        </w:tc>
        <w:tc>
          <w:tcPr>
            <w:tcW w:w="1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5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w:t>
            </w:r>
          </w:p>
        </w:tc>
        <w:tc>
          <w:tcPr>
            <w:tcW w:w="30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Federal</w:t>
            </w:r>
          </w:p>
        </w:tc>
        <w:tc>
          <w:tcPr>
            <w:tcW w:w="156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15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Foreign</w:t>
            </w:r>
          </w:p>
        </w:tc>
        <w:tc>
          <w:tcPr>
            <w:tcW w:w="15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deferred</w:t>
            </w:r>
          </w:p>
        </w:tc>
        <w:tc>
          <w:tcPr>
            <w:tcW w:w="1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income tax expense</w:t>
            </w:r>
          </w:p>
        </w:tc>
        <w:tc>
          <w:tcPr>
            <w:tcW w:w="1560" w:type="dxa"/>
            <w:vAlign w:val="bottom"/>
            <w:tcBorders>
              <w:bottom w:val="single" w:sz="8" w:color="auto"/>
            </w:tcBorders>
            <w:shd w:val="clear" w:color="auto" w:fill="CFF0FC"/>
          </w:tcPr>
          <w:p>
            <w:pPr>
              <w:jc w:val="right"/>
              <w:ind w:right="1379"/>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158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provision for income taxes differs from the tax computed using the statutory United States federal income tax rate of 21% for the year-ended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transition period ended December 31, 2021, and year-ended June 30, 2021 as a result of the following items: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60" w:type="dxa"/>
            <w:vAlign w:val="bottom"/>
          </w:tcPr>
          <w:p>
            <w:pPr>
              <w:spacing w:after="0"/>
              <w:rPr>
                <w:sz w:val="14"/>
                <w:szCs w:val="14"/>
                <w:color w:val="auto"/>
              </w:rPr>
            </w:pPr>
          </w:p>
        </w:tc>
        <w:tc>
          <w:tcPr>
            <w:tcW w:w="21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Year-Ended</w:t>
            </w:r>
          </w:p>
        </w:tc>
        <w:tc>
          <w:tcPr>
            <w:tcW w:w="180" w:type="dxa"/>
            <w:vAlign w:val="bottom"/>
          </w:tcPr>
          <w:p>
            <w:pPr>
              <w:spacing w:after="0"/>
              <w:rPr>
                <w:sz w:val="14"/>
                <w:szCs w:val="14"/>
                <w:color w:val="auto"/>
              </w:rPr>
            </w:pPr>
          </w:p>
        </w:tc>
        <w:tc>
          <w:tcPr>
            <w:tcW w:w="20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Transition Period 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Year-Ended</w:t>
            </w: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December 31, 2022</w:t>
            </w: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CFF0FC"/>
            </w:tcBorders>
            <w:shd w:val="clear" w:color="auto" w:fill="000000"/>
          </w:tcPr>
          <w:p>
            <w:pPr>
              <w:spacing w:after="0" w:line="20" w:lineRule="exact"/>
              <w:rPr>
                <w:sz w:val="1"/>
                <w:szCs w:val="1"/>
                <w:color w:val="auto"/>
              </w:rPr>
            </w:pPr>
          </w:p>
        </w:tc>
        <w:tc>
          <w:tcPr>
            <w:tcW w:w="30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expense (benefit) at U.S. statutory rate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State income taxes</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2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719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26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change in valuation allowance</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deferred income tax assets is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Year-Ended</w:t>
            </w:r>
          </w:p>
        </w:tc>
        <w:tc>
          <w:tcPr>
            <w:tcW w:w="200" w:type="dxa"/>
            <w:vAlign w:val="bottom"/>
          </w:tcPr>
          <w:p>
            <w:pPr>
              <w:spacing w:after="0"/>
              <w:rPr>
                <w:sz w:val="14"/>
                <w:szCs w:val="14"/>
                <w:color w:val="auto"/>
              </w:rPr>
            </w:pPr>
          </w:p>
        </w:tc>
        <w:tc>
          <w:tcPr>
            <w:tcW w:w="2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Transition Period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Year-Ended</w:t>
            </w:r>
          </w:p>
        </w:tc>
      </w:tr>
      <w:tr>
        <w:trPr>
          <w:trHeight w:val="155"/>
        </w:trPr>
        <w:tc>
          <w:tcPr>
            <w:tcW w:w="36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9"/>
              </w:rPr>
              <w:t>December 31, 2022</w:t>
            </w:r>
          </w:p>
        </w:tc>
        <w:tc>
          <w:tcPr>
            <w:tcW w:w="3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00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CFF0FC"/>
            </w:tcBorders>
          </w:tcPr>
          <w:p>
            <w:pPr>
              <w:spacing w:after="0"/>
              <w:rPr>
                <w:sz w:val="13"/>
                <w:szCs w:val="13"/>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ROU Asset</w:t>
            </w:r>
          </w:p>
        </w:tc>
        <w:tc>
          <w:tcPr>
            <w:tcW w:w="11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(229)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11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2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Accrued expenses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1,833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3,405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2,215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48,413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44,282</w:t>
            </w:r>
          </w:p>
        </w:tc>
        <w:tc>
          <w:tcPr>
            <w:tcW w:w="100" w:type="dxa"/>
            <w:vAlign w:val="bottom"/>
            <w:shd w:val="clear" w:color="auto" w:fill="CFF0FC"/>
          </w:tcPr>
          <w:p>
            <w:pPr>
              <w:spacing w:after="0"/>
              <w:rPr>
                <w:sz w:val="19"/>
                <w:szCs w:val="19"/>
                <w:color w:val="auto"/>
              </w:rPr>
            </w:pPr>
          </w:p>
        </w:tc>
      </w:tr>
      <w:tr>
        <w:trPr>
          <w:trHeight w:val="229"/>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FF0FC"/>
            </w:tcBorders>
          </w:tcPr>
          <w:p>
            <w:pPr>
              <w:spacing w:after="0"/>
              <w:rPr>
                <w:sz w:val="19"/>
                <w:szCs w:val="19"/>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56,746</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49,469</w:t>
            </w: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(56,506)</w:t>
            </w:r>
          </w:p>
        </w:tc>
        <w:tc>
          <w:tcPr>
            <w:tcW w:w="200" w:type="dxa"/>
            <w:vAlign w:val="bottom"/>
          </w:tcPr>
          <w:p>
            <w:pPr>
              <w:spacing w:after="0"/>
              <w:rPr>
                <w:sz w:val="19"/>
                <w:szCs w:val="19"/>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(51,285)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(49,075)</w:t>
            </w: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4"/>
        </w:trPr>
        <w:tc>
          <w:tcPr>
            <w:tcW w:w="3600" w:type="dxa"/>
            <w:vAlign w:val="bottom"/>
          </w:tcPr>
          <w:p>
            <w:pPr>
              <w:spacing w:after="0"/>
              <w:rPr>
                <w:sz w:val="20"/>
                <w:szCs w:val="20"/>
                <w:color w:val="auto"/>
              </w:rPr>
            </w:pPr>
            <w:r>
              <w:rPr>
                <w:rFonts w:ascii="Arial" w:cs="Arial" w:eastAsia="Arial" w:hAnsi="Arial"/>
                <w:sz w:val="18"/>
                <w:szCs w:val="18"/>
                <w:b w:val="1"/>
                <w:bCs w:val="1"/>
                <w:color w:val="auto"/>
              </w:rPr>
              <w:t>Net deferred tax assets / (liabilities)</w:t>
            </w:r>
          </w:p>
        </w:tc>
        <w:tc>
          <w:tcPr>
            <w:tcW w:w="8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647"/>
        </w:trPr>
        <w:tc>
          <w:tcPr>
            <w:tcW w:w="3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F-32</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At December 31, 2022, the Company and its subsidiaries had net operating loss carryforwards for federal, state, United Kingdom, and Australia income tax purposes of $129.5 million, $83.5 million, $28.4 million and $36.0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between 2026 through 2038. The remaining carryforwards have no expiration.</w:t>
      </w:r>
    </w:p>
    <w:p>
      <w:pPr>
        <w:spacing w:after="0" w:line="188"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$56.5 million and $51.3 million as of December 31, 2022, December 31, 2021, respectively. The Company has established a valuation allowance against its net deferred tax asset of $49.1 million as of June 30, 2021. The deferred tax assets are primarily net operating loss carryforwards for which management has determined it is more likely than not that the deferred tax assets will not be realized.</w:t>
      </w:r>
    </w:p>
    <w:p>
      <w:pPr>
        <w:spacing w:after="0" w:line="166"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not identified any uncertain tax positions as of December 31, 2022, December 31, 2021, and June 30, 2021.</w:t>
      </w:r>
    </w:p>
    <w:p>
      <w:pPr>
        <w:spacing w:after="0" w:line="225"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Company files income tax returns in the U.S. federal, California and certain other state and foreign jurisdictions. The Company remains subject to income tax examinations for its U.S. federal and state income taxes generally for fiscal years ended June 30, 2006 and forward. The Company also remains subject to income tax examinations for international income taxes for fiscal years ended June 30, 2018 through December 31, 2021, and for certain other U.S. state and local income taxes generally for the fiscal years ended June 30, 2018 through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493"/>
              <w:spacing w:after="0"/>
              <w:rPr>
                <w:sz w:val="20"/>
                <w:szCs w:val="20"/>
                <w:color w:val="auto"/>
              </w:rPr>
            </w:pPr>
            <w:r>
              <w:rPr>
                <w:rFonts w:ascii="Arial" w:cs="Arial" w:eastAsia="Arial" w:hAnsi="Arial"/>
                <w:sz w:val="16"/>
                <w:szCs w:val="16"/>
                <w:b w:val="1"/>
                <w:bCs w:val="1"/>
                <w:color w:val="auto"/>
              </w:rPr>
              <w:t>Year-Ended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Transition Period Ended</w:t>
            </w:r>
          </w:p>
        </w:tc>
        <w:tc>
          <w:tcPr>
            <w:tcW w:w="2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Arial" w:cs="Arial" w:eastAsia="Arial" w:hAnsi="Arial"/>
                <w:sz w:val="16"/>
                <w:szCs w:val="16"/>
                <w:b w:val="1"/>
                <w:bCs w:val="1"/>
                <w:color w:val="auto"/>
              </w:rPr>
              <w:t>Year-Ended</w:t>
            </w:r>
          </w:p>
        </w:tc>
      </w:tr>
      <w:tr>
        <w:trPr>
          <w:trHeight w:val="210"/>
        </w:trPr>
        <w:tc>
          <w:tcPr>
            <w:tcW w:w="46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7"/>
              </w:rPr>
              <w:t>December 31, 2022</w:t>
            </w:r>
          </w:p>
        </w:tc>
        <w:tc>
          <w:tcPr>
            <w:tcW w:w="2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Pr>
          <w:p>
            <w:pPr>
              <w:spacing w:after="0"/>
              <w:rPr>
                <w:sz w:val="18"/>
                <w:szCs w:val="18"/>
                <w:color w:val="auto"/>
              </w:rPr>
            </w:pPr>
          </w:p>
        </w:tc>
      </w:tr>
      <w:tr>
        <w:trPr>
          <w:trHeight w:val="214"/>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26,665</w:t>
            </w:r>
          </w:p>
        </w:tc>
        <w:tc>
          <w:tcPr>
            <w:tcW w:w="4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shares—outstanding, basic</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22,674</w:t>
            </w:r>
          </w:p>
        </w:tc>
        <w:tc>
          <w:tcPr>
            <w:tcW w:w="120" w:type="dxa"/>
            <w:vAlign w:val="bottom"/>
            <w:tcBorders>
              <w:bottom w:val="single" w:sz="8" w:color="CFF0FC"/>
            </w:tcBorders>
          </w:tcPr>
          <w:p>
            <w:pPr>
              <w:spacing w:after="0"/>
              <w:rPr>
                <w:sz w:val="19"/>
                <w:szCs w:val="19"/>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shares—outstanding, diluted</w:t>
            </w:r>
          </w:p>
        </w:tc>
        <w:tc>
          <w:tcPr>
            <w:tcW w:w="22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22,674</w:t>
            </w:r>
          </w:p>
        </w:tc>
        <w:tc>
          <w:tcPr>
            <w:tcW w:w="120" w:type="dxa"/>
            <w:vAlign w:val="bottom"/>
            <w:shd w:val="clear" w:color="auto" w:fill="CFF0FC"/>
          </w:tcPr>
          <w:p>
            <w:pPr>
              <w:spacing w:after="0"/>
              <w:rPr>
                <w:sz w:val="19"/>
                <w:szCs w:val="19"/>
                <w:color w:val="auto"/>
              </w:rPr>
            </w:pPr>
          </w:p>
        </w:tc>
      </w:tr>
      <w:tr>
        <w:trPr>
          <w:trHeight w:val="223"/>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common share, 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FF0FC"/>
            </w:tcBorders>
          </w:tcPr>
          <w:p>
            <w:pPr>
              <w:spacing w:after="0"/>
              <w:rPr>
                <w:sz w:val="19"/>
                <w:szCs w:val="19"/>
                <w:color w:val="auto"/>
              </w:rPr>
            </w:pPr>
          </w:p>
        </w:tc>
      </w:tr>
      <w:tr>
        <w:trPr>
          <w:trHeight w:val="223"/>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The Company’s basic net loss per share is calculated by dividing the net loss by the weighted-average number of shares of common stock outstanding for the relevant period. In accordance with ASC 710-10, 17,927 shares of common stock held by the rabbi trust are excluded from the denominator in the basic and diluted EPS calculations. For details on shares of common stock held by the rabbi trust refer to Note 18.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As the Company has reported a net loss for all periods presented diluted net loss per common share is the same as the basic net loss per share.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w:t>
      </w:r>
    </w:p>
    <w:p>
      <w:pPr>
        <w:spacing w:after="0" w:line="117" w:lineRule="exact"/>
        <w:rPr>
          <w:sz w:val="20"/>
          <w:szCs w:val="20"/>
          <w:color w:val="auto"/>
        </w:rPr>
      </w:pPr>
    </w:p>
    <w:p>
      <w:pPr>
        <w:ind w:right="120" w:firstLine="510"/>
        <w:spacing w:after="0" w:line="294" w:lineRule="auto"/>
        <w:rPr>
          <w:sz w:val="20"/>
          <w:szCs w:val="20"/>
          <w:color w:val="auto"/>
        </w:rPr>
      </w:pPr>
      <w:r>
        <w:rPr>
          <w:rFonts w:ascii="Arial" w:cs="Arial" w:eastAsia="Arial" w:hAnsi="Arial"/>
          <w:sz w:val="16"/>
          <w:szCs w:val="16"/>
          <w:color w:val="auto"/>
        </w:rPr>
        <w:t>The Company offers a 401(k)-retirement savings plan (the “</w:t>
      </w:r>
      <w:r>
        <w:rPr>
          <w:rFonts w:ascii="Arial" w:cs="Arial" w:eastAsia="Arial" w:hAnsi="Arial"/>
          <w:sz w:val="16"/>
          <w:szCs w:val="16"/>
          <w:b w:val="1"/>
          <w:bCs w:val="1"/>
          <w:color w:val="auto"/>
        </w:rPr>
        <w:t>401(k) Plan</w:t>
      </w:r>
      <w:r>
        <w:rPr>
          <w:rFonts w:ascii="Arial" w:cs="Arial" w:eastAsia="Arial" w:hAnsi="Arial"/>
          <w:sz w:val="16"/>
          <w:szCs w:val="16"/>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$1,027,000, $966,000, and $733,000 in the year-ended December 31, 2022, the transition period ended December 31, 2021 and the year-ended June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3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Company’s non-qualified deferred compensation plan (the "</w:t>
      </w:r>
      <w:r>
        <w:rPr>
          <w:rFonts w:ascii="Arial" w:cs="Arial" w:eastAsia="Arial" w:hAnsi="Arial"/>
          <w:sz w:val="17"/>
          <w:szCs w:val="17"/>
          <w:b w:val="1"/>
          <w:bCs w:val="1"/>
          <w:color w:val="auto"/>
        </w:rPr>
        <w:t>NQDC plan</w:t>
      </w:r>
      <w:r>
        <w:rPr>
          <w:rFonts w:ascii="Arial" w:cs="Arial" w:eastAsia="Arial" w:hAnsi="Arial"/>
          <w:sz w:val="17"/>
          <w:szCs w:val="17"/>
          <w:color w:val="auto"/>
        </w:rPr>
        <w:t>"), which became effective on October 2021 allows for eligible management and highly compensated key employees to elect to defer a portion of their salary, bonus, commissions and RSU awards to later years. Cash deferrals are immediately vested and are subject to investment risk and a risk of forfeiture under certain circumstances. RSU deferrals are subject to the vesting conditions of the award. Once RSUs vest, subject to a six-month and one day holding period, employees are allowed to diversify the common stock into other investment options offered by the plan. For cash deferrals, the Company matches 4% to 6% (depending on level) of employee contributions. These matching employer contributions are vested over a two-year period with 25% vesting on year one and 75% vesting on year two for employees under 55 years of age. Employer contributions for employees over 55 years of age are immediately vested. Employer contributions to the NQDC plan for the year-ended December 31, 2022 and the transition period ended December 31, 2021 were $258,000 and $16,000, respectively. The Company’s deferred compensation plan liability was $1,348,000 and $262,000 as of the year-ended December 31, 2022 and 2021. As of December 31, 2022, the Company has $1.27 million in non-qualified deferred compensation plan liability and $78,000 in other current liabilities in the Consolidated Balance Sheets. As of December 31, 2021 amounts are recorded in non-qualified deferred compensation plan liability in the Consolidated Balance Sheets. The Company did not have a NQDC plan for the year-ended June 30, 2021.</w:t>
      </w:r>
    </w:p>
    <w:p>
      <w:pPr>
        <w:spacing w:after="0" w:line="183"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The Company established a COLI to fund the NQDC plan. Amounts in the COLI are invested in a number of funds. The securities are carried at the cash surrender value on the Consolidated Balance Sheets. We record investment gains and losses of the COLI as other income.</w:t>
      </w:r>
    </w:p>
    <w:p>
      <w:pPr>
        <w:spacing w:after="0" w:line="146"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The fair values of the Company’s deferred compensation plan assets and liability are included in the table below. Note that the Company did not have NQDC plan for the year-ended June 30, 2021. For additional information on the fair value hierarchy and the inputs used to measure fair value, see Note 5, Fair Value Measurements.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360" w:type="dxa"/>
            <w:vAlign w:val="bottom"/>
            <w:gridSpan w:val="8"/>
          </w:tcPr>
          <w:p>
            <w:pPr>
              <w:ind w:left="400"/>
              <w:spacing w:after="0"/>
              <w:rPr>
                <w:sz w:val="20"/>
                <w:szCs w:val="20"/>
                <w:color w:val="auto"/>
              </w:rPr>
            </w:pPr>
            <w:r>
              <w:rPr>
                <w:rFonts w:ascii="Arial" w:cs="Arial" w:eastAsia="Arial" w:hAnsi="Arial"/>
                <w:sz w:val="16"/>
                <w:szCs w:val="16"/>
                <w:b w:val="1"/>
                <w:bCs w:val="1"/>
                <w:color w:val="auto"/>
              </w:rPr>
              <w:t>Fair Value as of December 31, 2022</w:t>
            </w:r>
          </w:p>
        </w:tc>
        <w:tc>
          <w:tcPr>
            <w:tcW w:w="3180" w:type="dxa"/>
            <w:vAlign w:val="bottom"/>
            <w:gridSpan w:val="7"/>
          </w:tcPr>
          <w:p>
            <w:pPr>
              <w:ind w:left="300"/>
              <w:spacing w:after="0"/>
              <w:rPr>
                <w:sz w:val="20"/>
                <w:szCs w:val="20"/>
                <w:color w:val="auto"/>
              </w:rPr>
            </w:pPr>
            <w:r>
              <w:rPr>
                <w:rFonts w:ascii="Arial" w:cs="Arial" w:eastAsia="Arial" w:hAnsi="Arial"/>
                <w:sz w:val="16"/>
                <w:szCs w:val="16"/>
                <w:b w:val="1"/>
                <w:bCs w:val="1"/>
                <w:color w:val="auto"/>
              </w:rPr>
              <w:t>Fair Value as of December 31, 2021</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(in thousands)</w:t>
            </w:r>
          </w:p>
        </w:tc>
        <w:tc>
          <w:tcPr>
            <w:tcW w:w="8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6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w w:val="95"/>
              </w:rPr>
              <w:t>Level 3</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Level 3</w:t>
            </w: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212"/>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Corporate-owned life insurance policies (1)</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1,238</w:t>
            </w: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2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6"/>
                <w:szCs w:val="16"/>
                <w:color w:val="auto"/>
              </w:rPr>
              <w:t>Non-qualified deferred compensation plan liability</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1,348</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262</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r>
    </w:tbl>
    <w:p>
      <w:pPr>
        <w:spacing w:after="0" w:line="208" w:lineRule="exact"/>
        <w:rPr>
          <w:sz w:val="20"/>
          <w:szCs w:val="20"/>
          <w:color w:val="auto"/>
        </w:rPr>
      </w:pPr>
    </w:p>
    <w:p>
      <w:pPr>
        <w:ind w:right="120" w:firstLine="8"/>
        <w:spacing w:after="0" w:line="258"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corporate-owned life insurance contracts are recorded at cash surrender value, which is provided by a third party and reflects the net asset value of the underlying publicly traded mutual funds and are categorized as Level 2.</w:t>
      </w:r>
    </w:p>
    <w:p>
      <w:pPr>
        <w:spacing w:after="0" w:line="1" w:lineRule="exact"/>
        <w:rPr>
          <w:rFonts w:ascii="Arial" w:cs="Arial" w:eastAsia="Arial" w:hAnsi="Arial"/>
          <w:sz w:val="18"/>
          <w:szCs w:val="18"/>
          <w:color w:val="auto"/>
        </w:rPr>
      </w:pPr>
    </w:p>
    <w:p>
      <w:pPr>
        <w:ind w:right="160" w:firstLine="8"/>
        <w:spacing w:after="0" w:line="260"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Non-qualified deferred compensation plan liability is measured at fair value based on quoted prices of identical instruments to the investment vehicles selected by the participants.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Rabbi Trust</w:t>
      </w:r>
    </w:p>
    <w:p>
      <w:pPr>
        <w:spacing w:after="0" w:line="131" w:lineRule="exact"/>
        <w:rPr>
          <w:sz w:val="20"/>
          <w:szCs w:val="20"/>
          <w:color w:val="auto"/>
        </w:rPr>
      </w:pPr>
    </w:p>
    <w:p>
      <w:pPr>
        <w:ind w:right="20" w:firstLine="749"/>
        <w:spacing w:after="0" w:line="289" w:lineRule="auto"/>
        <w:rPr>
          <w:sz w:val="20"/>
          <w:szCs w:val="20"/>
          <w:color w:val="auto"/>
        </w:rPr>
      </w:pPr>
      <w:r>
        <w:rPr>
          <w:rFonts w:ascii="Arial" w:cs="Arial" w:eastAsia="Arial" w:hAnsi="Arial"/>
          <w:sz w:val="16"/>
          <w:szCs w:val="16"/>
          <w:color w:val="auto"/>
        </w:rPr>
        <w:t xml:space="preserve">During April 2022, we established a rabbi trust to hold the assets of the NQDC plan. The rabbi trust holds the COLI asset and the common stock from deferred RSU awards that have vested. The NQDC permits diversification of fully vested shares into other equity securities subject to a six month and one day holding period. In accordance with ASR 268, </w:t>
      </w:r>
      <w:r>
        <w:rPr>
          <w:rFonts w:ascii="Arial" w:cs="Arial" w:eastAsia="Arial" w:hAnsi="Arial"/>
          <w:sz w:val="16"/>
          <w:szCs w:val="16"/>
          <w:i w:val="1"/>
          <w:iCs w:val="1"/>
          <w:color w:val="auto"/>
        </w:rPr>
        <w:t>Redeemable Preferred Stock</w:t>
      </w:r>
      <w:r>
        <w:rPr>
          <w:rFonts w:ascii="Arial" w:cs="Arial" w:eastAsia="Arial" w:hAnsi="Arial"/>
          <w:sz w:val="16"/>
          <w:szCs w:val="16"/>
          <w:color w:val="auto"/>
        </w:rPr>
        <w:t xml:space="preserve">, and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prior to vesting, the deferred share awards are classified as an equity instrument and changes in fair value of the amount owed to the participant are not recognized. The redemption amounts of the deferred awards are based on the vested percentage and are recorded outside of permanent equity as Non-qualified deferred compensation share awards on the Consolidated Balance Sheets. As of December 31, 2022, a total of 253,048, shares awards have been deferred, and during the quarter-ended September 30, 2022, a total of 17,927 awards vested. Vested shares are converted to common stock and are reclassified to permanent equity. Common stock held in the rabbi trust is classified in a manner similar to treasury stock and presented separately on the Consolidated Balance Sheets as Common stock held by the NQDC plan. A total of 17,927 shares were vested at the redemption value of $127,000.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34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following table summarizes the eligible share award activity as of December 31, 2022. There was no activity as of December 31, 2021 and June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880" w:type="dxa"/>
            <w:vAlign w:val="bottom"/>
            <w:tcBorders>
              <w:bottom w:val="single" w:sz="8" w:color="auto"/>
            </w:tcBorders>
            <w:gridSpan w:val="2"/>
          </w:tcPr>
          <w:p>
            <w:pPr>
              <w:jc w:val="right"/>
              <w:ind w:right="1740"/>
              <w:spacing w:after="0"/>
              <w:rPr>
                <w:sz w:val="20"/>
                <w:szCs w:val="20"/>
                <w:color w:val="auto"/>
              </w:rPr>
            </w:pPr>
            <w:r>
              <w:rPr>
                <w:rFonts w:ascii="Arial" w:cs="Arial" w:eastAsia="Arial" w:hAnsi="Arial"/>
                <w:sz w:val="18"/>
                <w:szCs w:val="18"/>
                <w:b w:val="1"/>
                <w:bCs w:val="1"/>
                <w:color w:val="auto"/>
              </w:rPr>
              <w:t>As of</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880" w:type="dxa"/>
            <w:vAlign w:val="bottom"/>
            <w:gridSpan w:val="2"/>
          </w:tcPr>
          <w:p>
            <w:pPr>
              <w:jc w:val="right"/>
              <w:ind w:right="142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Non-qualified deferred compensation share awards:</w:t>
            </w:r>
          </w:p>
        </w:tc>
        <w:tc>
          <w:tcPr>
            <w:tcW w:w="34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Balance at inception/beginning of period</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29"/>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classification of deferred compensation share awards</w:t>
            </w:r>
          </w:p>
        </w:tc>
        <w:tc>
          <w:tcPr>
            <w:tcW w:w="3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FF0FC"/>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3480" w:type="dxa"/>
            <w:vAlign w:val="bottom"/>
          </w:tcPr>
          <w:p>
            <w:pPr>
              <w:jc w:val="right"/>
              <w:spacing w:after="0"/>
              <w:rPr>
                <w:sz w:val="20"/>
                <w:szCs w:val="20"/>
                <w:color w:val="auto"/>
              </w:rPr>
            </w:pPr>
            <w:r>
              <w:rPr>
                <w:rFonts w:ascii="Arial" w:cs="Arial" w:eastAsia="Arial" w:hAnsi="Arial"/>
                <w:sz w:val="18"/>
                <w:szCs w:val="18"/>
                <w:color w:val="auto"/>
              </w:rPr>
              <w:t>471</w:t>
            </w:r>
          </w:p>
        </w:tc>
        <w:tc>
          <w:tcPr>
            <w:tcW w:w="400" w:type="dxa"/>
            <w:vAlign w:val="bottom"/>
          </w:tcPr>
          <w:p>
            <w:pPr>
              <w:spacing w:after="0"/>
              <w:rPr>
                <w:sz w:val="19"/>
                <w:szCs w:val="19"/>
                <w:color w:val="auto"/>
              </w:rPr>
            </w:pPr>
          </w:p>
        </w:tc>
      </w:tr>
      <w:tr>
        <w:trPr>
          <w:trHeight w:val="229"/>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redemption value</w:t>
            </w:r>
          </w:p>
        </w:tc>
        <w:tc>
          <w:tcPr>
            <w:tcW w:w="3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FF0FC"/>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Vesting of share awards held by NDQC</w:t>
            </w:r>
          </w:p>
        </w:tc>
        <w:tc>
          <w:tcPr>
            <w:tcW w:w="388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r>
      <w:tr>
        <w:trPr>
          <w:trHeight w:val="223"/>
        </w:trPr>
        <w:tc>
          <w:tcPr>
            <w:tcW w:w="7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Ending Balance</w:t>
            </w:r>
          </w:p>
        </w:tc>
        <w:tc>
          <w:tcPr>
            <w:tcW w:w="3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Deed of Cross Guarantee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(as the parent entity of the AVITA Group) is party to a deed of cross guarantee dated June 29, 2020 (“</w:t>
      </w:r>
      <w:r>
        <w:rPr>
          <w:rFonts w:ascii="Arial" w:cs="Arial" w:eastAsia="Arial" w:hAnsi="Arial"/>
          <w:sz w:val="17"/>
          <w:szCs w:val="17"/>
          <w:b w:val="1"/>
          <w:bCs w:val="1"/>
          <w:color w:val="auto"/>
        </w:rPr>
        <w:t>Deed</w:t>
      </w:r>
      <w:r>
        <w:rPr>
          <w:rFonts w:ascii="Arial" w:cs="Arial" w:eastAsia="Arial" w:hAnsi="Arial"/>
          <w:sz w:val="17"/>
          <w:szCs w:val="17"/>
          <w:color w:val="auto"/>
        </w:rPr>
        <w:t>”) with each of its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Australian wholly-owned subsidiaries, namely:</w:t>
      </w:r>
    </w:p>
    <w:p>
      <w:pPr>
        <w:spacing w:after="0" w:line="103" w:lineRule="exact"/>
        <w:rPr>
          <w:sz w:val="20"/>
          <w:szCs w:val="20"/>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AVITA Medical Pty Ltd (ACN 058 466 523);</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C3 Operations Pty Ltd (ACN 090 161 505);</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Visiomed Group Pty Ltd (ACN 003 010 580);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Infamed Pty Limited (ACN 084 800 653),</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Australian Subsidiaries</w:t>
      </w:r>
      <w:r>
        <w:rPr>
          <w:rFonts w:ascii="Arial" w:cs="Arial" w:eastAsia="Arial" w:hAnsi="Arial"/>
          <w:sz w:val="18"/>
          <w:szCs w:val="18"/>
          <w:color w:val="auto"/>
        </w:rPr>
        <w:t>”).</w:t>
      </w:r>
    </w:p>
    <w:p>
      <w:pPr>
        <w:spacing w:after="0" w:line="22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 and the Australian Subsidiaries were the only parties to the Deed at December 31, 2022 and comprise the “closed group” for the purposes of the Deed (and also the “extended closed group”). No parties were added to or removed from the Deed, or subject to a notice of disposal, during or since the financial year-ended December 31, 2022. Since December 31, 2022, there has been no change in ownership of any of the Australian Subsidiaries.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By entering into the Deed, the Company and the Australian Subsidiaries have guaranteed the debts of each other.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Relief under ASIC Corporations (Wholly-owned Companies) Instrument 2016/785</w:t>
      </w:r>
    </w:p>
    <w:p>
      <w:pPr>
        <w:spacing w:after="0" w:line="117"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 xml:space="preserve">By entering into the Deed, the Australian Subsidiaries have been relieved from the requirement to prepare a financial report and directors’ report for the financial year-ended December 31, 2022 under </w:t>
      </w:r>
      <w:r>
        <w:rPr>
          <w:rFonts w:ascii="Arial" w:cs="Arial" w:eastAsia="Arial" w:hAnsi="Arial"/>
          <w:sz w:val="17"/>
          <w:szCs w:val="17"/>
          <w:i w:val="1"/>
          <w:iCs w:val="1"/>
          <w:color w:val="auto"/>
        </w:rPr>
        <w:t>ASIC Corporations (Wholly-owned Companies) Instrument 2016/785</w:t>
      </w:r>
      <w:r>
        <w:rPr>
          <w:rFonts w:ascii="Arial" w:cs="Arial" w:eastAsia="Arial" w:hAnsi="Arial"/>
          <w:sz w:val="17"/>
          <w:szCs w:val="17"/>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information of parties to the Deed</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financial statements below are additional disclosure items specifically required by the Australian Securities and Investments Commission and represent the consolidated financial statements of the entities that are party to the Deed only (being the ‘closed group’ and also the ‘extended closed group’ under the Deed).</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Year-ended</w:t>
            </w:r>
          </w:p>
        </w:tc>
        <w:tc>
          <w:tcPr>
            <w:tcW w:w="0" w:type="dxa"/>
            <w:vAlign w:val="bottom"/>
          </w:tcPr>
          <w:p>
            <w:pPr>
              <w:spacing w:after="0"/>
              <w:rPr>
                <w:sz w:val="1"/>
                <w:szCs w:val="1"/>
                <w:color w:val="auto"/>
              </w:rPr>
            </w:pPr>
          </w:p>
        </w:tc>
      </w:tr>
      <w:tr>
        <w:trPr>
          <w:trHeight w:val="39"/>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3"/>
                <w:szCs w:val="3"/>
                <w:color w:val="auto"/>
              </w:rPr>
            </w:pPr>
          </w:p>
        </w:tc>
        <w:tc>
          <w:tcPr>
            <w:tcW w:w="2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60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2040" w:type="dxa"/>
            <w:vAlign w:val="bottom"/>
            <w:tcBorders>
              <w:top w:val="single" w:sz="8" w:color="auto"/>
              <w:bottom w:val="single" w:sz="8" w:color="auto"/>
            </w:tcBorders>
          </w:tcPr>
          <w:p>
            <w:pPr>
              <w:jc w:val="center"/>
              <w:ind w:right="273"/>
              <w:spacing w:after="0" w:line="155" w:lineRule="exact"/>
              <w:rPr>
                <w:sz w:val="20"/>
                <w:szCs w:val="20"/>
                <w:color w:val="auto"/>
              </w:rPr>
            </w:pPr>
            <w:r>
              <w:rPr>
                <w:rFonts w:ascii="Arial" w:cs="Arial" w:eastAsia="Arial" w:hAnsi="Arial"/>
                <w:sz w:val="14"/>
                <w:szCs w:val="14"/>
                <w:b w:val="1"/>
                <w:bCs w:val="1"/>
                <w:color w:val="auto"/>
                <w:w w:val="91"/>
              </w:rPr>
              <w:t>December 31, 2022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214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36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19"/>
                <w:szCs w:val="19"/>
                <w:color w:val="auto"/>
              </w:rPr>
            </w:pPr>
          </w:p>
        </w:tc>
        <w:tc>
          <w:tcPr>
            <w:tcW w:w="21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expense</w:t>
            </w:r>
          </w:p>
        </w:tc>
        <w:tc>
          <w:tcPr>
            <w:tcW w:w="36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4"/>
                <w:szCs w:val="14"/>
                <w:color w:val="auto"/>
              </w:rPr>
            </w:pPr>
          </w:p>
        </w:tc>
        <w:tc>
          <w:tcPr>
            <w:tcW w:w="2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Cash</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Prepaids and other current assets</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Accrued wages and fringe benefits</w:t>
            </w:r>
          </w:p>
        </w:tc>
        <w:tc>
          <w:tcPr>
            <w:tcW w:w="36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Contributed equity</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232,747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Reserves</w:t>
            </w:r>
          </w:p>
        </w:tc>
        <w:tc>
          <w:tcPr>
            <w:tcW w:w="36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2140" w:type="dxa"/>
            <w:vAlign w:val="bottom"/>
            <w:gridSpan w:val="2"/>
          </w:tcPr>
          <w:p>
            <w:pPr>
              <w:jc w:val="right"/>
              <w:ind w:right="40"/>
              <w:spacing w:after="0"/>
              <w:rPr>
                <w:sz w:val="20"/>
                <w:szCs w:val="20"/>
                <w:color w:val="auto"/>
              </w:rPr>
            </w:pPr>
            <w:r>
              <w:rPr>
                <w:rFonts w:ascii="Arial" w:cs="Arial" w:eastAsia="Arial" w:hAnsi="Arial"/>
                <w:sz w:val="18"/>
                <w:szCs w:val="18"/>
                <w:color w:val="auto"/>
              </w:rPr>
              <w:t>(264,208)</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liabilities and stockholders' equity (deficit)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jc w:val="both"/>
        <w:ind w:right="520" w:firstLine="510"/>
        <w:spacing w:after="0" w:line="277" w:lineRule="auto"/>
        <w:rPr>
          <w:sz w:val="20"/>
          <w:szCs w:val="20"/>
          <w:color w:val="auto"/>
        </w:rPr>
      </w:pPr>
      <w:r>
        <w:rPr>
          <w:rFonts w:ascii="Arial" w:cs="Arial" w:eastAsia="Arial" w:hAnsi="Arial"/>
          <w:sz w:val="18"/>
          <w:szCs w:val="18"/>
          <w:color w:val="auto"/>
        </w:rPr>
        <w:t>The Company has considered all events occurring subsequent to December 31, 2022, and has concluded that all significant events have been disclosed in the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60"/>
          </w:cols>
          <w:pgMar w:left="320" w:top="125" w:right="41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 OF 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 EXCHANGE ACT OF 1934</w:t>
      </w:r>
    </w:p>
    <w:p>
      <w:pPr>
        <w:spacing w:after="0" w:line="103"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The following information is a summary of information concerning the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AVITA Medical, Inc. and does not purport to be complete. This summary is subject to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and the Company’s certificate of incorporation, as amended (the “</w:t>
      </w:r>
      <w:r>
        <w:rPr>
          <w:rFonts w:ascii="Arial" w:cs="Arial" w:eastAsia="Arial" w:hAnsi="Arial"/>
          <w:sz w:val="17"/>
          <w:szCs w:val="17"/>
          <w:u w:val="single" w:color="auto"/>
          <w:color w:val="auto"/>
        </w:rPr>
        <w:t>Certificate</w:t>
      </w:r>
      <w:r>
        <w:rPr>
          <w:rFonts w:ascii="Arial" w:cs="Arial" w:eastAsia="Arial" w:hAnsi="Arial"/>
          <w:sz w:val="17"/>
          <w:szCs w:val="17"/>
          <w:color w:val="auto"/>
        </w:rPr>
        <w:t>”) and Amended and Restated Bylaws (the “</w:t>
      </w:r>
      <w:r>
        <w:rPr>
          <w:rFonts w:ascii="Arial" w:cs="Arial" w:eastAsia="Arial" w:hAnsi="Arial"/>
          <w:sz w:val="17"/>
          <w:szCs w:val="17"/>
          <w:u w:val="single" w:color="auto"/>
          <w:color w:val="auto"/>
        </w:rPr>
        <w:t>Bylaws</w:t>
      </w:r>
      <w:r>
        <w:rPr>
          <w:rFonts w:ascii="Arial" w:cs="Arial" w:eastAsia="Arial" w:hAnsi="Arial"/>
          <w:sz w:val="17"/>
          <w:szCs w:val="17"/>
          <w:color w:val="auto"/>
        </w:rPr>
        <w:t>”), each of which are incorporated by reference as an exhibit to this Annual Report on Form 10-K of which this Exhibit 4.1 is a part.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The Certificate authorizes the issuance of up to 200,000,000 shares of common stock, $0.0001 par value per share. Our authorized but unissued shares of Common Stock are available for issuance without further action by our stockholders, unless such action is required by applicable law or the rules of any stock exchange or automated quotation system on which our securities may be listed or traded.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The Company’s stockholders do not have cumulative voting rights in the election of directors. Accordingly, in an uncontested election, holders of a majority of the voting shares are able to elect all of the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Holders of the Company’s common stock are entitled to receive dividends, if any, as may be declared from time to time by the Company’s board of directors out of legally available funds. Dividends may be paid in cash, in property or in shares of common stock. Declaration and payment of any dividend will be subject to the discretion of the board of directors. The time and amount of dividends will be dependent upon the Company’s financial condition, operations, cash requirements and availability, debt repayment obligations, capital expenditure needs, restrictions in the Company’s debt instruments, industry trends, the provisions of Delaware law affecting the payment of distributions to stockholders and any other factors the Board may consider relevant.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In the event of the Company’s liquidation, dissolution or winding up, holders of the Company’s common stock are entitled to share rateably in the net assets legally available for distribution to stockholders after the payment of all of the Company’s debts and other liabilities and the satisfaction of any liquidation preference granted to the holders of any then outstanding shares of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right="340" w:firstLine="589"/>
        <w:spacing w:after="0" w:line="259" w:lineRule="auto"/>
        <w:rPr>
          <w:sz w:val="20"/>
          <w:szCs w:val="20"/>
          <w:color w:val="auto"/>
        </w:rPr>
      </w:pPr>
      <w:r>
        <w:rPr>
          <w:rFonts w:ascii="Arial" w:cs="Arial" w:eastAsia="Arial" w:hAnsi="Arial"/>
          <w:sz w:val="18"/>
          <w:szCs w:val="18"/>
          <w:color w:val="auto"/>
        </w:rPr>
        <w:t>Holders of the Company’s common stock have no pre-emptive, conversion, subscription or other rights, and there are no redemption or sinking fund provisions applicable to the Company’s common stock. The rights, preferences and privileges of the holders of the Company’s common stock are subject to and may be adversely affected by the rights of the holders of shares of any series of preferred stock that the Company may designate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outstanding shares of the Company’s common stock are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Annual Stockholder Meetings</w:t>
      </w:r>
    </w:p>
    <w:p>
      <w:pPr>
        <w:spacing w:after="0" w:line="11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The Certificate and Bylaws provide that annual stockholder meetings will be held at a date, place (if any) and time, as exclusively selected by the board of directors. To the extent permitted under applicable law, the Company may but is not obligated to conduct meetings by remote communications, including by webcast.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Effects of Provisions of the Certificate and Bylaws and DGCL</w:t>
      </w:r>
    </w:p>
    <w:p>
      <w:pPr>
        <w:spacing w:after="0" w:line="117"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Some provisions of the DGCL, the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the best interests of the Company, including transactions that might result in a premium over the market price for the Company’s common stock.</w:t>
      </w:r>
    </w:p>
    <w:p>
      <w:pPr>
        <w:spacing w:after="0" w:line="188"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the Company to first negotiate with the Board.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117"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The Company is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the Company’s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Stockholder Meetings</w:t>
      </w:r>
    </w:p>
    <w:p>
      <w:pPr>
        <w:spacing w:after="0" w:line="117"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The Bylaws provide that a special meeting of stockholders (1) may be called at any time by the order of a majority of the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Bylaws establish advance notice procedures with respect to stockholder proposals and the nomination of candidates for election as directors.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the Board of Directors; Election and Removal of Directors; Filling Vacancies</w:t>
      </w:r>
    </w:p>
    <w:p>
      <w:pPr>
        <w:spacing w:after="0" w:line="117" w:lineRule="exact"/>
        <w:rPr>
          <w:sz w:val="20"/>
          <w:szCs w:val="20"/>
          <w:color w:val="auto"/>
        </w:rPr>
      </w:pPr>
    </w:p>
    <w:p>
      <w:pPr>
        <w:ind w:right="160" w:firstLine="589"/>
        <w:spacing w:after="0" w:line="342" w:lineRule="auto"/>
        <w:rPr>
          <w:sz w:val="20"/>
          <w:szCs w:val="20"/>
          <w:color w:val="auto"/>
        </w:rPr>
      </w:pPr>
      <w:r>
        <w:rPr>
          <w:rFonts w:ascii="Arial" w:cs="Arial" w:eastAsia="Arial" w:hAnsi="Arial"/>
          <w:sz w:val="16"/>
          <w:szCs w:val="16"/>
          <w:color w:val="auto"/>
        </w:rPr>
        <w:t>The Company’s board of directors consists of one or more directors. In any uncontested elections of directors, a director nominee for the board of directors of the Company will be elected by the plurality of the votes cast with respect to such director at a meeting at which a quorum is present.</w:t>
      </w:r>
    </w:p>
    <w:p>
      <w:pPr>
        <w:spacing w:after="0" w:line="124"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In a contested election, a plurality voting standard will apply to director elections. The directors of the Company are elected until the expiration of the term for which they are elected and until their respective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ind w:right="20" w:firstLine="589"/>
        <w:spacing w:after="0" w:line="311" w:lineRule="auto"/>
        <w:rPr>
          <w:sz w:val="20"/>
          <w:szCs w:val="20"/>
          <w:color w:val="auto"/>
        </w:rPr>
      </w:pPr>
      <w:r>
        <w:rPr>
          <w:rFonts w:ascii="Arial" w:cs="Arial" w:eastAsia="Arial" w:hAnsi="Arial"/>
          <w:sz w:val="16"/>
          <w:szCs w:val="16"/>
          <w:color w:val="auto"/>
        </w:rPr>
        <w:t>The directors of the Company may be removed by the affirmative vote of at least a majority of the holders of the Company’s then- outstanding common stock. Furthermore, any vacancy on the Company’s board of directors, however occurring, including a vacancy resulting from an increase in the size of the board, may be filled only by a majority vote of the board of directors then in office, even if less than a quorum, or by the sole remaining director.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Certificate and Bylaws</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Certificate may be amended in any manner permitted under the DGCL and the Bylaws may be amended by the holders of at a majority of the voting power of the then outstanding voting stock or by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Liability and Indemnification Matters</w:t>
      </w:r>
    </w:p>
    <w:p>
      <w:pPr>
        <w:spacing w:after="0" w:line="11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Each of the Certificate and Bylaws provide that the Company is required to indemnify its directors and officers to the fullest extent permitted by Delaware law. The Bylaws also obligates the Company to advance expenses incurred by a director or officer in advance of the final disposition of any action or proceeding upon delivery to the Company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pacing w:after="0" w:line="188"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Company may maintain insurance, at its expense, to protect itself and any director, officer, employee or agent or another corporation, partnership, joint venture, trust, employee benefit plan or other enterprise against any expense, liability or loss, whether or not the Company would have the power to indemnify such person against such expense, liability or loss under the DGCL.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Nasdaq Capital Market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 of Common Stock are listed on the Nasdaq Capital Market under the symbol “RCEL.”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 transfer agent and registrar for Company’s common stock is Computershare Trust Company, N.A. The transfer agent and registrar’s address is 250 Royall St., Canton, Massachusetts 02021.</w:t>
      </w:r>
    </w:p>
    <w:p>
      <w:pPr>
        <w:sectPr>
          <w:pgSz w:w="11900" w:h="16838" w:orient="portrait"/>
          <w:cols w:equalWidth="0" w:num="1">
            <w:col w:w="11240"/>
          </w:cols>
          <w:pgMar w:left="320" w:top="55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10.19</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Stock Option Grant</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AVITA Medical, Inc. </w:t>
      </w:r>
      <w:r>
        <w:rPr>
          <w:rFonts w:ascii="Arial" w:cs="Arial" w:eastAsia="Arial" w:hAnsi="Arial"/>
          <w:sz w:val="22"/>
          <w:szCs w:val="22"/>
          <w:color w:val="auto"/>
        </w:rPr>
        <w:t>(the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an option to purchase up to the number of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set forth below (this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Grantee Name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 at Grant: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Expiration 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Schedule: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Capitalized terms used but not defined in this Notice of Stock Option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this Option.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accepting this Option (whether electronically or otherwise), Grantee acknowledges and agrees to the following:</w:t>
      </w:r>
    </w:p>
    <w:p>
      <w:pPr>
        <w:spacing w:after="0" w:line="206" w:lineRule="exact"/>
        <w:rPr>
          <w:sz w:val="20"/>
          <w:szCs w:val="20"/>
          <w:color w:val="auto"/>
        </w:rPr>
      </w:pPr>
    </w:p>
    <w:p>
      <w:pPr>
        <w:ind w:left="880" w:hanging="440"/>
        <w:spacing w:after="0"/>
        <w:tabs>
          <w:tab w:leader="none" w:pos="8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This Option is governed by the terms and conditions of this Grant Agreement.</w:t>
      </w:r>
    </w:p>
    <w:p>
      <w:pPr>
        <w:spacing w:after="0" w:line="206"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this Option.</w:t>
      </w:r>
    </w:p>
    <w:p>
      <w:pPr>
        <w:spacing w:after="0" w:line="184" w:lineRule="exact"/>
        <w:rPr>
          <w:rFonts w:ascii="Arial" w:cs="Arial" w:eastAsia="Arial" w:hAnsi="Arial"/>
          <w:sz w:val="22"/>
          <w:szCs w:val="22"/>
          <w:color w:val="auto"/>
        </w:rPr>
      </w:pPr>
    </w:p>
    <w:p>
      <w:pPr>
        <w:jc w:val="both"/>
        <w:ind w:left="880" w:hanging="440"/>
        <w:spacing w:after="0"/>
        <w:tabs>
          <w:tab w:leader="none" w:pos="8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Vesting of this Option is subject to Grantee’s Continuous Service Status as a Director, which is for an unspecified duration and may be terminated at any time, with or without Cause, and nothing in this Grant Agreement changes the nature of that relationship.</w:t>
      </w:r>
    </w:p>
    <w:p>
      <w:pPr>
        <w:spacing w:after="0" w:line="186" w:lineRule="exact"/>
        <w:rPr>
          <w:rFonts w:ascii="Arial" w:cs="Arial" w:eastAsia="Arial" w:hAnsi="Arial"/>
          <w:sz w:val="22"/>
          <w:szCs w:val="22"/>
          <w:color w:val="auto"/>
        </w:rPr>
      </w:pPr>
    </w:p>
    <w:p>
      <w:pPr>
        <w:jc w:val="both"/>
        <w:ind w:left="880" w:hanging="440"/>
        <w:spacing w:after="0" w:line="287" w:lineRule="auto"/>
        <w:tabs>
          <w:tab w:leader="none" w:pos="8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Company is not providing any tax, legal, financial or financial product advice, nor is the Company making any recommendations or statements of opinion that are intended to influence Grantee in making a decision regarding Grantee’s acceptance of this Grant Agreement. </w:t>
      </w:r>
      <w:r>
        <w:rPr>
          <w:rFonts w:ascii="Arial" w:cs="Arial" w:eastAsia="Arial" w:hAnsi="Arial"/>
          <w:sz w:val="19"/>
          <w:szCs w:val="19"/>
          <w:b w:val="1"/>
          <w:bCs w:val="1"/>
          <w:i w:val="1"/>
          <w:iCs w:val="1"/>
          <w:color w:val="auto"/>
        </w:rPr>
        <w:t>Grantee should consult with his or her own personal independent 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legal, and financial advisors regarding this Grant Agreement who are appropriately licensed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2" w:name="page103"/>
    <w:bookmarkEnd w:id="102"/>
    <w:p>
      <w:pPr>
        <w:jc w:val="both"/>
        <w:ind w:left="880" w:right="20"/>
        <w:spacing w:after="0"/>
        <w:rPr>
          <w:sz w:val="20"/>
          <w:szCs w:val="20"/>
          <w:color w:val="auto"/>
        </w:rPr>
      </w:pPr>
      <w:r>
        <w:rPr>
          <w:rFonts w:ascii="Arial" w:cs="Arial" w:eastAsia="Arial" w:hAnsi="Arial"/>
          <w:sz w:val="22"/>
          <w:szCs w:val="22"/>
          <w:b w:val="1"/>
          <w:bCs w:val="1"/>
          <w:i w:val="1"/>
          <w:iCs w:val="1"/>
          <w:color w:val="auto"/>
        </w:rPr>
        <w:t>to give advice as to whether participation in the Grant is appropriate in light of his or her circumstances and to clarify his or her taxation position in relation to participation in this Grant before taking any action related to this Grant Agreement</w:t>
      </w:r>
      <w:r>
        <w:rPr>
          <w:rFonts w:ascii="Arial" w:cs="Arial" w:eastAsia="Arial" w:hAnsi="Arial"/>
          <w:sz w:val="22"/>
          <w:szCs w:val="22"/>
          <w:color w:val="auto"/>
        </w:rPr>
        <w:t>.</w:t>
      </w:r>
    </w:p>
    <w:p>
      <w:pPr>
        <w:spacing w:after="0" w:line="186" w:lineRule="exact"/>
        <w:rPr>
          <w:sz w:val="20"/>
          <w:szCs w:val="20"/>
          <w:color w:val="auto"/>
        </w:rPr>
      </w:pPr>
    </w:p>
    <w:p>
      <w:pPr>
        <w:ind w:left="880" w:right="20" w:hanging="440"/>
        <w:spacing w:after="0" w:line="250" w:lineRule="auto"/>
        <w:tabs>
          <w:tab w:leader="none" w:pos="8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This Grant, if received in Australia, is made without disclosure to investors in reliance on an applicable exemption under the </w:t>
      </w:r>
      <w:r>
        <w:rPr>
          <w:rFonts w:ascii="Arial" w:cs="Arial" w:eastAsia="Arial" w:hAnsi="Arial"/>
          <w:sz w:val="22"/>
          <w:szCs w:val="22"/>
          <w:i w:val="1"/>
          <w:iCs w:val="1"/>
          <w:color w:val="auto"/>
        </w:rPr>
        <w:t>Corporations Act 2001</w:t>
      </w:r>
      <w:r>
        <w:rPr>
          <w:rFonts w:ascii="Arial" w:cs="Arial" w:eastAsia="Arial" w:hAnsi="Arial"/>
          <w:sz w:val="22"/>
          <w:szCs w:val="22"/>
          <w:color w:val="auto"/>
        </w:rPr>
        <w:t xml:space="preserve"> (Cth).</w:t>
      </w:r>
    </w:p>
    <w:p>
      <w:pPr>
        <w:spacing w:after="0" w:line="174" w:lineRule="exact"/>
        <w:rPr>
          <w:rFonts w:ascii="Arial" w:cs="Arial" w:eastAsia="Arial" w:hAnsi="Arial"/>
          <w:sz w:val="22"/>
          <w:szCs w:val="22"/>
          <w:color w:val="auto"/>
        </w:rPr>
      </w:pPr>
    </w:p>
    <w:p>
      <w:pPr>
        <w:ind w:left="880" w:hanging="440"/>
        <w:spacing w:after="0"/>
        <w:tabs>
          <w:tab w:leader="none" w:pos="8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00" w:lineRule="exact"/>
        <w:rPr>
          <w:rFonts w:ascii="Arial" w:cs="Arial" w:eastAsia="Arial" w:hAnsi="Arial"/>
          <w:sz w:val="22"/>
          <w:szCs w:val="22"/>
          <w:color w:val="auto"/>
        </w:rPr>
      </w:pPr>
    </w:p>
    <w:p>
      <w:pPr>
        <w:jc w:val="both"/>
        <w:ind w:left="880" w:right="20" w:hanging="440"/>
        <w:spacing w:after="0" w:line="280" w:lineRule="auto"/>
        <w:tabs>
          <w:tab w:leader="none" w:pos="880"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If Grantee does not accept or decline this Option within 30 days of the Date of Grant or by such other date that may be communicated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9"/>
          <w:szCs w:val="19"/>
          <w:b w:val="1"/>
          <w:bCs w:val="1"/>
          <w:u w:val="single" w:color="auto"/>
          <w:color w:val="auto"/>
        </w:rPr>
        <w:t>dshiroma@avitamedical.com</w:t>
      </w:r>
      <w:r>
        <w:rPr>
          <w:rFonts w:ascii="Arial" w:cs="Arial" w:eastAsia="Arial" w:hAnsi="Arial"/>
          <w:sz w:val="19"/>
          <w:szCs w:val="19"/>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9"/>
          <w:szCs w:val="19"/>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520" w:type="dxa"/>
            <w:vAlign w:val="bottom"/>
            <w:gridSpan w:val="2"/>
          </w:tcPr>
          <w:p>
            <w:pPr>
              <w:spacing w:after="0"/>
              <w:rPr>
                <w:sz w:val="20"/>
                <w:szCs w:val="20"/>
                <w:color w:val="auto"/>
              </w:rPr>
            </w:pPr>
            <w:r>
              <w:rPr>
                <w:rFonts w:ascii="Arial" w:cs="Arial" w:eastAsia="Arial" w:hAnsi="Arial"/>
                <w:sz w:val="22"/>
                <w:szCs w:val="22"/>
                <w:b w:val="1"/>
                <w:bCs w:val="1"/>
                <w:color w:val="auto"/>
              </w:rPr>
              <w:t>AVITA Medical, Inc.</w:t>
            </w:r>
          </w:p>
        </w:tc>
        <w:tc>
          <w:tcPr>
            <w:tcW w:w="5740" w:type="dxa"/>
            <w:vAlign w:val="bottom"/>
            <w:gridSpan w:val="3"/>
          </w:tcPr>
          <w:p>
            <w:pPr>
              <w:ind w:left="220"/>
              <w:spacing w:after="0"/>
              <w:rPr>
                <w:sz w:val="20"/>
                <w:szCs w:val="20"/>
                <w:color w:val="auto"/>
              </w:rPr>
            </w:pPr>
            <w:r>
              <w:rPr>
                <w:rFonts w:ascii="Arial" w:cs="Arial" w:eastAsia="Arial" w:hAnsi="Arial"/>
                <w:sz w:val="22"/>
                <w:szCs w:val="22"/>
                <w:b w:val="1"/>
                <w:bCs w:val="1"/>
                <w:color w:val="auto"/>
              </w:rPr>
              <w:t>Grantee</w:t>
            </w:r>
          </w:p>
        </w:tc>
      </w:tr>
      <w:tr>
        <w:trPr>
          <w:trHeight w:val="476"/>
        </w:trPr>
        <w:tc>
          <w:tcPr>
            <w:tcW w:w="5520" w:type="dxa"/>
            <w:vAlign w:val="bottom"/>
            <w:gridSpan w:val="2"/>
          </w:tcPr>
          <w:p>
            <w:pPr>
              <w:spacing w:after="0"/>
              <w:rPr>
                <w:sz w:val="20"/>
                <w:szCs w:val="20"/>
                <w:color w:val="auto"/>
              </w:rPr>
            </w:pPr>
            <w:r>
              <w:rPr>
                <w:rFonts w:ascii="Arial" w:cs="Arial" w:eastAsia="Arial" w:hAnsi="Arial"/>
                <w:sz w:val="22"/>
                <w:szCs w:val="22"/>
                <w:color w:val="auto"/>
              </w:rPr>
              <w:t>By:</w:t>
            </w:r>
          </w:p>
        </w:tc>
        <w:tc>
          <w:tcPr>
            <w:tcW w:w="5740" w:type="dxa"/>
            <w:vAlign w:val="bottom"/>
            <w:gridSpan w:val="3"/>
          </w:tcPr>
          <w:p>
            <w:pPr>
              <w:ind w:left="220"/>
              <w:spacing w:after="0"/>
              <w:rPr>
                <w:sz w:val="20"/>
                <w:szCs w:val="20"/>
                <w:color w:val="auto"/>
              </w:rPr>
            </w:pPr>
            <w:r>
              <w:rPr>
                <w:rFonts w:ascii="Arial" w:cs="Arial" w:eastAsia="Arial" w:hAnsi="Arial"/>
                <w:sz w:val="22"/>
                <w:szCs w:val="22"/>
                <w:color w:val="auto"/>
              </w:rPr>
              <w:t>Signature:</w:t>
            </w:r>
          </w:p>
        </w:tc>
      </w:tr>
      <w:tr>
        <w:trPr>
          <w:trHeight w:val="236"/>
        </w:trPr>
        <w:tc>
          <w:tcPr>
            <w:tcW w:w="11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4380" w:type="dxa"/>
            <w:vAlign w:val="bottom"/>
            <w:tcBorders>
              <w:top w:val="single" w:sz="8" w:color="auto"/>
              <w:bottom w:val="single" w:sz="8" w:color="auto"/>
            </w:tcBorders>
          </w:tcPr>
          <w:p>
            <w:pPr>
              <w:spacing w:after="0"/>
              <w:rPr>
                <w:sz w:val="20"/>
                <w:szCs w:val="20"/>
                <w:color w:val="auto"/>
              </w:rPr>
            </w:pPr>
          </w:p>
        </w:tc>
        <w:tc>
          <w:tcPr>
            <w:tcW w:w="1340" w:type="dxa"/>
            <w:vAlign w:val="bottom"/>
          </w:tcPr>
          <w:p>
            <w:pPr>
              <w:ind w:left="220"/>
              <w:spacing w:after="0" w:line="237" w:lineRule="exact"/>
              <w:rPr>
                <w:sz w:val="20"/>
                <w:szCs w:val="20"/>
                <w:color w:val="auto"/>
              </w:rPr>
            </w:pPr>
            <w:r>
              <w:rPr>
                <w:rFonts w:ascii="Arial" w:cs="Arial" w:eastAsia="Arial" w:hAnsi="Arial"/>
                <w:sz w:val="22"/>
                <w:szCs w:val="22"/>
                <w:color w:val="auto"/>
              </w:rPr>
              <w:t>Date:</w:t>
            </w:r>
          </w:p>
        </w:tc>
        <w:tc>
          <w:tcPr>
            <w:tcW w:w="438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669"/>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40" w:type="dxa"/>
            <w:vAlign w:val="bottom"/>
          </w:tcPr>
          <w:p>
            <w:pPr>
              <w:jc w:val="right"/>
              <w:ind w:right="1097"/>
              <w:spacing w:after="0"/>
              <w:rPr>
                <w:sz w:val="20"/>
                <w:szCs w:val="20"/>
                <w:color w:val="auto"/>
              </w:rPr>
            </w:pPr>
            <w:r>
              <w:rPr>
                <w:rFonts w:ascii="Arial" w:cs="Arial" w:eastAsia="Arial" w:hAnsi="Arial"/>
                <w:sz w:val="18"/>
                <w:szCs w:val="18"/>
                <w:color w:val="auto"/>
              </w:rPr>
              <w:t>2</w:t>
            </w: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Option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Option</w:t>
      </w:r>
      <w:r>
        <w:rPr>
          <w:rFonts w:ascii="Arial" w:cs="Arial" w:eastAsia="Arial" w:hAnsi="Arial"/>
          <w:sz w:val="22"/>
          <w:szCs w:val="22"/>
          <w:color w:val="auto"/>
        </w:rPr>
        <w:t>. Capitalized terms used in the Grant Agreement but not otherwise defined therein will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specified in Section 24.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181" w:lineRule="exact"/>
        <w:rPr>
          <w:rFonts w:ascii="Arial" w:cs="Arial" w:eastAsia="Arial" w:hAnsi="Arial"/>
          <w:sz w:val="22"/>
          <w:szCs w:val="22"/>
          <w:color w:val="auto"/>
        </w:rPr>
      </w:pPr>
    </w:p>
    <w:p>
      <w:pPr>
        <w:jc w:val="both"/>
        <w:ind w:left="880" w:hanging="440"/>
        <w:spacing w:after="0" w:line="272" w:lineRule="auto"/>
        <w:tabs>
          <w:tab w:leader="none" w:pos="880"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This Option is exercisable during its term in accordance with the Vesting Schedule contained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Notice and the applicable provisions of the Grant Agreement.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subject to the requirements of Section 3. No adjustment will be made for a dividend or other right for which the record date is prior to the date the Shares are issued, except in connection with a Capitalization Adjustment. Shares acquired pursuant to this Option may be issued as CDIs and, unless the context otherwise requires, any references in this Grant Agreement to Shares include Shares that may be issued as CDIs.</w:t>
      </w:r>
    </w:p>
    <w:p>
      <w:pPr>
        <w:spacing w:after="0" w:line="200" w:lineRule="exact"/>
        <w:rPr>
          <w:sz w:val="20"/>
          <w:szCs w:val="20"/>
          <w:color w:val="auto"/>
        </w:rPr>
      </w:pPr>
    </w:p>
    <w:p>
      <w:pPr>
        <w:spacing w:after="0" w:line="210" w:lineRule="exact"/>
        <w:rPr>
          <w:sz w:val="20"/>
          <w:szCs w:val="20"/>
          <w:color w:val="auto"/>
        </w:rPr>
      </w:pPr>
    </w:p>
    <w:p>
      <w:pPr>
        <w:jc w:val="both"/>
        <w:ind w:left="880"/>
        <w:spacing w:after="0" w:line="279" w:lineRule="auto"/>
        <w:rPr>
          <w:sz w:val="20"/>
          <w:szCs w:val="20"/>
          <w:color w:val="auto"/>
        </w:rPr>
      </w:pPr>
      <w:r>
        <w:rPr>
          <w:rFonts w:ascii="Arial" w:cs="Arial" w:eastAsia="Arial" w:hAnsi="Arial"/>
          <w:sz w:val="19"/>
          <w:szCs w:val="19"/>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their Fair Market Value, for reasons of administrative convenience.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4" w:name="page105"/>
    <w:bookmarkEnd w:id="104"/>
    <w:p>
      <w:pPr>
        <w:jc w:val="both"/>
        <w:ind w:left="440" w:hanging="440"/>
        <w:spacing w:after="0" w:line="235" w:lineRule="auto"/>
        <w:tabs>
          <w:tab w:leader="none" w:pos="440"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subject to Applicable Law</w:t>
      </w:r>
      <w:r>
        <w:rPr>
          <w:rFonts w:ascii="Arial" w:cs="Arial" w:eastAsia="Arial" w:hAnsi="Arial"/>
          <w:sz w:val="22"/>
          <w:szCs w:val="22"/>
          <w:color w:val="auto"/>
        </w:rPr>
        <w:t>. The exercise of this Option and the issuance of Shares the subject of the Option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subject to compliance by the Company and the Grantee with the Applicable Laws including the Corporations Act (to the extent applicable). In addition, for so long as the CDIs are listed on the ASX, within 15 business days after the later of (i) the Option being exercised in compliance with Section 2, and (ii) when excluded information in respect to the Company (as defined in section 708A(7) of the Corporations Act) (if any) ceases to be excluded information, but in any case no later than 20 business days after the date on which the Option is exercised in compliance with Section 2, the Company must:</w:t>
      </w:r>
    </w:p>
    <w:p>
      <w:pPr>
        <w:spacing w:after="0" w:line="216" w:lineRule="exact"/>
        <w:rPr>
          <w:rFonts w:ascii="Arial" w:cs="Arial" w:eastAsia="Arial" w:hAnsi="Arial"/>
          <w:sz w:val="22"/>
          <w:szCs w:val="22"/>
          <w:color w:val="auto"/>
        </w:rPr>
      </w:pPr>
    </w:p>
    <w:p>
      <w:pPr>
        <w:ind w:left="1300" w:hanging="436"/>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issue the number of Shares set forth in the notice of exercise; and</w:t>
      </w:r>
    </w:p>
    <w:p>
      <w:pPr>
        <w:spacing w:after="0" w:line="233" w:lineRule="exact"/>
        <w:rPr>
          <w:rFonts w:ascii="Arial" w:cs="Arial" w:eastAsia="Arial" w:hAnsi="Arial"/>
          <w:sz w:val="22"/>
          <w:szCs w:val="22"/>
          <w:color w:val="auto"/>
        </w:rPr>
      </w:pPr>
    </w:p>
    <w:p>
      <w:pPr>
        <w:jc w:val="both"/>
        <w:ind w:left="1300" w:hanging="436"/>
        <w:spacing w:after="0" w:line="235" w:lineRule="auto"/>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unless otherwise agreed by the Company and the Grantee, give ASX a notice in respect of the relevant Shares to be issued under Section 3 that complies with section 708A(5)(e) of the Corporations Act, or, if the Company is unable to issue such a notice, lodge with ASIC a prospectus prepared in accordance with the Corporations Act and do all such things necessary to satisfy section 708A(11) of the Corporations Act to ensure that an offer for sale of those Shares to be issued under Section 3 does not require disclosure to investors.</w:t>
      </w:r>
    </w:p>
    <w:p>
      <w:pPr>
        <w:spacing w:after="0" w:line="208" w:lineRule="exact"/>
        <w:rPr>
          <w:rFonts w:ascii="Arial" w:cs="Arial" w:eastAsia="Arial" w:hAnsi="Arial"/>
          <w:sz w:val="22"/>
          <w:szCs w:val="22"/>
          <w:color w:val="auto"/>
        </w:rPr>
      </w:pPr>
    </w:p>
    <w:p>
      <w:pPr>
        <w:jc w:val="both"/>
        <w:ind w:left="440" w:hanging="440"/>
        <w:spacing w:after="0" w:line="235" w:lineRule="auto"/>
        <w:tabs>
          <w:tab w:leader="none" w:pos="44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Grantee may always pay the Exercise Price by personal check (or readily available funds), wire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cashier’s check or by consideration received by the Company pursuant to a broker-assisted or other form of cashless exercise program implemented by the Administrator in connection with this Grant. The Administrator may also allow any other method 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183" w:lineRule="exact"/>
        <w:rPr>
          <w:rFonts w:ascii="Arial" w:cs="Arial" w:eastAsia="Arial" w:hAnsi="Arial"/>
          <w:sz w:val="22"/>
          <w:szCs w:val="22"/>
          <w:b w:val="1"/>
          <w:bCs w:val="1"/>
          <w:color w:val="auto"/>
        </w:rPr>
      </w:pPr>
    </w:p>
    <w:p>
      <w:pPr>
        <w:ind w:left="440" w:hanging="440"/>
        <w:spacing w:after="0"/>
        <w:tabs>
          <w:tab w:leader="none" w:pos="440"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Term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300" w:lineRule="auto"/>
        <w:tabs>
          <w:tab w:leader="none" w:pos="1300" w:val="left"/>
        </w:tabs>
        <w:numPr>
          <w:ilvl w:val="1"/>
          <w:numId w:val="57"/>
        </w:numPr>
        <w:rPr>
          <w:rFonts w:ascii="Arial" w:cs="Arial" w:eastAsia="Arial" w:hAnsi="Arial"/>
          <w:sz w:val="19"/>
          <w:szCs w:val="19"/>
          <w:color w:val="auto"/>
        </w:rPr>
      </w:pPr>
      <w:r>
        <w:rPr>
          <w:rFonts w:ascii="Arial" w:cs="Arial" w:eastAsia="Arial" w:hAnsi="Arial"/>
          <w:sz w:val="19"/>
          <w:szCs w:val="19"/>
          <w:b w:val="1"/>
          <w:bCs w:val="1"/>
          <w:u w:val="single" w:color="auto"/>
          <w:color w:val="auto"/>
        </w:rPr>
        <w:t>Maximum Term</w:t>
      </w:r>
      <w:r>
        <w:rPr>
          <w:rFonts w:ascii="Arial" w:cs="Arial" w:eastAsia="Arial" w:hAnsi="Arial"/>
          <w:sz w:val="19"/>
          <w:szCs w:val="19"/>
          <w:color w:val="auto"/>
        </w:rPr>
        <w:t>. This Option will in all events expire at the close of business at Company headquarters 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Date specified in the Notice, unless it terminates earlier in connection with the termination of Grantee’s Continuous Service Status (as provided below) or a Change in Control (as provided below).</w:t>
      </w:r>
    </w:p>
    <w:p>
      <w:pPr>
        <w:spacing w:after="0" w:line="125" w:lineRule="exact"/>
        <w:rPr>
          <w:rFonts w:ascii="Arial" w:cs="Arial" w:eastAsia="Arial" w:hAnsi="Arial"/>
          <w:sz w:val="19"/>
          <w:szCs w:val="19"/>
          <w:color w:val="auto"/>
        </w:rPr>
      </w:pPr>
    </w:p>
    <w:p>
      <w:pPr>
        <w:jc w:val="both"/>
        <w:ind w:left="1300" w:hanging="436"/>
        <w:spacing w:after="0" w:line="254" w:lineRule="auto"/>
        <w:tabs>
          <w:tab w:leader="none" w:pos="1300" w:val="left"/>
        </w:tabs>
        <w:numPr>
          <w:ilvl w:val="1"/>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Post-Termination Exercise Period</w:t>
      </w:r>
      <w:r>
        <w:rPr>
          <w:rFonts w:ascii="Arial" w:cs="Arial" w:eastAsia="Arial" w:hAnsi="Arial"/>
          <w:sz w:val="21"/>
          <w:szCs w:val="21"/>
          <w:color w:val="auto"/>
        </w:rPr>
        <w:t>. If Grantee’s Continuous Service Status terminates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Date of this Option other than for Cause, the unvested portion of this Option will automatically expire on Grantee’s date of termination, and the vested portion of this Option will remain outstanding and exercisable for the following periods, unless otherwise determined by the Committee:</w:t>
      </w:r>
    </w:p>
    <w:p>
      <w:pPr>
        <w:spacing w:after="0" w:line="171" w:lineRule="exact"/>
        <w:rPr>
          <w:rFonts w:ascii="Arial" w:cs="Arial" w:eastAsia="Arial" w:hAnsi="Arial"/>
          <w:sz w:val="21"/>
          <w:szCs w:val="21"/>
          <w:color w:val="auto"/>
        </w:rPr>
      </w:pPr>
    </w:p>
    <w:p>
      <w:pPr>
        <w:ind w:left="2140" w:hanging="210"/>
        <w:spacing w:after="0"/>
        <w:tabs>
          <w:tab w:leader="none" w:pos="2140" w:val="left"/>
        </w:tabs>
        <w:numPr>
          <w:ilvl w:val="2"/>
          <w:numId w:val="57"/>
        </w:numPr>
        <w:rPr>
          <w:rFonts w:ascii="Arial" w:cs="Arial" w:eastAsia="Arial" w:hAnsi="Arial"/>
          <w:sz w:val="19"/>
          <w:szCs w:val="19"/>
          <w:color w:val="auto"/>
        </w:rPr>
      </w:pPr>
      <w:r>
        <w:rPr>
          <w:rFonts w:ascii="Arial" w:cs="Arial" w:eastAsia="Arial" w:hAnsi="Arial"/>
          <w:sz w:val="19"/>
          <w:szCs w:val="19"/>
          <w:color w:val="auto"/>
        </w:rPr>
        <w:t>three (3) months following a termination for any reason other than Cause, Disability, or death;</w:t>
      </w:r>
    </w:p>
    <w:p>
      <w:pPr>
        <w:spacing w:after="0" w:line="200" w:lineRule="exact"/>
        <w:rPr>
          <w:sz w:val="20"/>
          <w:szCs w:val="20"/>
          <w:color w:val="auto"/>
        </w:rPr>
      </w:pPr>
    </w:p>
    <w:p>
      <w:pPr>
        <w:spacing w:after="0" w:line="26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105" w:name="page106"/>
    <w:bookmarkEnd w:id="105"/>
    <w:p>
      <w:pPr>
        <w:ind w:left="1940"/>
        <w:spacing w:after="0"/>
        <w:rPr>
          <w:sz w:val="20"/>
          <w:szCs w:val="20"/>
          <w:color w:val="auto"/>
        </w:rPr>
      </w:pPr>
      <w:r>
        <w:rPr>
          <w:rFonts w:ascii="Arial" w:cs="Arial" w:eastAsia="Arial" w:hAnsi="Arial"/>
          <w:sz w:val="22"/>
          <w:szCs w:val="22"/>
          <w:color w:val="auto"/>
        </w:rPr>
        <w:t>ii. six (6) months following a termination due to Disability; and</w:t>
      </w:r>
    </w:p>
    <w:p>
      <w:pPr>
        <w:spacing w:after="0" w:line="206" w:lineRule="exact"/>
        <w:rPr>
          <w:sz w:val="20"/>
          <w:szCs w:val="20"/>
          <w:color w:val="auto"/>
        </w:rPr>
      </w:pPr>
    </w:p>
    <w:p>
      <w:pPr>
        <w:ind w:left="2180" w:right="20" w:hanging="242"/>
        <w:spacing w:after="0" w:line="250" w:lineRule="auto"/>
        <w:rPr>
          <w:sz w:val="20"/>
          <w:szCs w:val="20"/>
          <w:color w:val="auto"/>
        </w:rPr>
      </w:pPr>
      <w:r>
        <w:rPr>
          <w:rFonts w:ascii="Arial" w:cs="Arial" w:eastAsia="Arial" w:hAnsi="Arial"/>
          <w:sz w:val="22"/>
          <w:szCs w:val="22"/>
          <w:color w:val="auto"/>
        </w:rPr>
        <w:t>iii.twelve (12) months following the date of Grantee’s death, if Grantee dies while in Continuous Service Status, or during the period provided in clauses (i) or (ii) above.</w:t>
      </w:r>
    </w:p>
    <w:p>
      <w:pPr>
        <w:spacing w:after="0" w:line="169" w:lineRule="exact"/>
        <w:rPr>
          <w:sz w:val="20"/>
          <w:szCs w:val="20"/>
          <w:color w:val="auto"/>
        </w:rPr>
      </w:pPr>
    </w:p>
    <w:p>
      <w:pPr>
        <w:jc w:val="both"/>
        <w:ind w:left="1300" w:hanging="436"/>
        <w:spacing w:after="0" w:line="247" w:lineRule="auto"/>
        <w:tabs>
          <w:tab w:leader="none" w:pos="1300" w:val="left"/>
        </w:tabs>
        <w:numPr>
          <w:ilvl w:val="1"/>
          <w:numId w:val="58"/>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for Cause</w:t>
      </w:r>
      <w:r>
        <w:rPr>
          <w:rFonts w:ascii="Arial" w:cs="Arial" w:eastAsia="Arial" w:hAnsi="Arial"/>
          <w:sz w:val="21"/>
          <w:szCs w:val="21"/>
          <w:color w:val="auto"/>
        </w:rPr>
        <w:t>. If Grantee’s Continuous Service Status is terminated for Cause, this Option will</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and be forfeited immediately upon such Grantee’s termination of Continuous Service Status, and Grantee will be prohibited from 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177" w:lineRule="exact"/>
        <w:rPr>
          <w:rFonts w:ascii="Arial" w:cs="Arial" w:eastAsia="Arial" w:hAnsi="Arial"/>
          <w:sz w:val="21"/>
          <w:szCs w:val="21"/>
          <w:color w:val="auto"/>
        </w:rPr>
      </w:pPr>
    </w:p>
    <w:p>
      <w:pPr>
        <w:jc w:val="both"/>
        <w:ind w:left="1300" w:hanging="436"/>
        <w:spacing w:after="0" w:line="275" w:lineRule="auto"/>
        <w:tabs>
          <w:tab w:leader="none" w:pos="1300" w:val="left"/>
        </w:tabs>
        <w:numPr>
          <w:ilvl w:val="1"/>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Determination of Termination Date</w:t>
      </w:r>
      <w:r>
        <w:rPr>
          <w:rFonts w:ascii="Arial" w:cs="Arial" w:eastAsia="Arial" w:hAnsi="Arial"/>
          <w:sz w:val="19"/>
          <w:szCs w:val="19"/>
          <w:color w:val="auto"/>
        </w:rPr>
        <w:t>. For the purposes of this Option, Grantee’s Continuous Service Status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considered terminated as of the date Grantee is no longer actively providing services to the Company or one of its Parents, Subsidiaries, or Affiliates (regardless of the reason for such termination and whether or not later found to be invalid or 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jc w:val="both"/>
        <w:ind w:left="1300" w:hanging="436"/>
        <w:spacing w:after="0" w:line="239" w:lineRule="auto"/>
        <w:tabs>
          <w:tab w:leader="none" w:pos="1300" w:val="left"/>
        </w:tabs>
        <w:numPr>
          <w:ilvl w:val="1"/>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No Notice of Option Expiration</w:t>
      </w:r>
      <w:r>
        <w:rPr>
          <w:rFonts w:ascii="Arial" w:cs="Arial" w:eastAsia="Arial" w:hAnsi="Arial"/>
          <w:sz w:val="22"/>
          <w:szCs w:val="22"/>
          <w:color w:val="auto"/>
        </w:rPr>
        <w:t>. Grantee is responsible for keeping track of the Expiration Date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post-termination 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180" w:lineRule="exact"/>
        <w:rPr>
          <w:rFonts w:ascii="Arial" w:cs="Arial" w:eastAsia="Arial" w:hAnsi="Arial"/>
          <w:sz w:val="22"/>
          <w:szCs w:val="22"/>
          <w:color w:val="auto"/>
        </w:rPr>
      </w:pPr>
    </w:p>
    <w:p>
      <w:pPr>
        <w:jc w:val="both"/>
        <w:ind w:left="440" w:hanging="440"/>
        <w:spacing w:after="0" w:line="289" w:lineRule="auto"/>
        <w:tabs>
          <w:tab w:leader="none" w:pos="440" w:val="left"/>
        </w:tabs>
        <w:numPr>
          <w:ilvl w:val="0"/>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 of Option</w:t>
      </w:r>
      <w:r>
        <w:rPr>
          <w:rFonts w:ascii="Arial" w:cs="Arial" w:eastAsia="Arial" w:hAnsi="Arial"/>
          <w:sz w:val="19"/>
          <w:szCs w:val="19"/>
          <w:color w:val="auto"/>
        </w:rPr>
        <w:t>. This Option may not be transferred in any manner other than by will or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descent or distribution or court order and may be exercised during the lifetime of Grantee only by Grantee and after the Grantee’s death, by the legal representative of the grantee’s heirs or legatees. The terms this Grant Agreement will be binding upon the executors, administrators, heirs, successors, and assigns of Grantee.</w:t>
      </w:r>
    </w:p>
    <w:p>
      <w:pPr>
        <w:spacing w:after="0" w:line="135" w:lineRule="exact"/>
        <w:rPr>
          <w:rFonts w:ascii="Arial" w:cs="Arial" w:eastAsia="Arial" w:hAnsi="Arial"/>
          <w:sz w:val="19"/>
          <w:szCs w:val="19"/>
          <w:color w:val="auto"/>
        </w:rPr>
      </w:pPr>
    </w:p>
    <w:p>
      <w:pPr>
        <w:jc w:val="both"/>
        <w:ind w:left="440" w:hanging="440"/>
        <w:spacing w:after="0" w:line="289" w:lineRule="auto"/>
        <w:tabs>
          <w:tab w:leader="none" w:pos="440" w:val="left"/>
        </w:tabs>
        <w:numPr>
          <w:ilvl w:val="0"/>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New Issues of Shares</w:t>
      </w:r>
      <w:r>
        <w:rPr>
          <w:rFonts w:ascii="Arial" w:cs="Arial" w:eastAsia="Arial" w:hAnsi="Arial"/>
          <w:sz w:val="19"/>
          <w:szCs w:val="19"/>
          <w:color w:val="auto"/>
        </w:rPr>
        <w:t>. While the Company is subject to the ASX Listing Rules, Grantee shall not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new issues of Shares to existing holders of Shares (e.g. a “rights offering”) with respect to Shares subject to his or her Option, unless Grantee has exercised the Option and is registered as the holder of the underlying Shares prior to the record date for the determination of entitlements to participate in the new issue.</w:t>
      </w:r>
    </w:p>
    <w:p>
      <w:pPr>
        <w:spacing w:after="0" w:line="36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06" w:name="page107"/>
    <w:bookmarkEnd w:id="106"/>
    <w:p>
      <w:pPr>
        <w:ind w:left="440" w:hanging="440"/>
        <w:spacing w:after="0"/>
        <w:tabs>
          <w:tab w:leader="none" w:pos="440"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or Cancellation of Option</w:t>
      </w:r>
      <w:r>
        <w:rPr>
          <w:rFonts w:ascii="Arial" w:cs="Arial" w:eastAsia="Arial" w:hAnsi="Arial"/>
          <w:sz w:val="22"/>
          <w:szCs w:val="22"/>
          <w:color w:val="auto"/>
        </w:rPr>
        <w:t>. While the Company is subject to the ASX Listing Rules:</w:t>
      </w:r>
    </w:p>
    <w:p>
      <w:pPr>
        <w:spacing w:after="0" w:line="212" w:lineRule="exact"/>
        <w:rPr>
          <w:rFonts w:ascii="Arial" w:cs="Arial" w:eastAsia="Arial" w:hAnsi="Arial"/>
          <w:sz w:val="22"/>
          <w:szCs w:val="22"/>
          <w:color w:val="auto"/>
        </w:rPr>
      </w:pPr>
    </w:p>
    <w:p>
      <w:pPr>
        <w:jc w:val="both"/>
        <w:ind w:left="1300" w:hanging="436"/>
        <w:spacing w:after="0" w:line="246" w:lineRule="auto"/>
        <w:tabs>
          <w:tab w:leader="none" w:pos="1300" w:val="left"/>
        </w:tabs>
        <w:numPr>
          <w:ilvl w:val="1"/>
          <w:numId w:val="60"/>
        </w:numPr>
        <w:rPr>
          <w:rFonts w:ascii="Arial" w:cs="Arial" w:eastAsia="Arial" w:hAnsi="Arial"/>
          <w:sz w:val="21"/>
          <w:szCs w:val="21"/>
          <w:color w:val="auto"/>
        </w:rPr>
      </w:pPr>
      <w:r>
        <w:rPr>
          <w:rFonts w:ascii="Arial" w:cs="Arial" w:eastAsia="Arial" w:hAnsi="Arial"/>
          <w:sz w:val="21"/>
          <w:szCs w:val="21"/>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 Option (i.e. any amendment or modification that is not prohibited pursuant to the first sentence of this Section 8a) can only be made with stockholder approval or on the provision of a waiver granted by ASX from the ASX Listing Rules.</w:t>
      </w:r>
    </w:p>
    <w:p>
      <w:pPr>
        <w:spacing w:after="0" w:line="179" w:lineRule="exact"/>
        <w:rPr>
          <w:rFonts w:ascii="Arial" w:cs="Arial" w:eastAsia="Arial" w:hAnsi="Arial"/>
          <w:sz w:val="21"/>
          <w:szCs w:val="21"/>
          <w:color w:val="auto"/>
        </w:rPr>
      </w:pPr>
    </w:p>
    <w:p>
      <w:pPr>
        <w:jc w:val="both"/>
        <w:ind w:left="1300" w:hanging="436"/>
        <w:spacing w:after="0" w:line="273" w:lineRule="auto"/>
        <w:tabs>
          <w:tab w:leader="none" w:pos="13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(3) the amendment or modification is made to comply with the ASX Listing Rules.</w:t>
      </w:r>
    </w:p>
    <w:p>
      <w:pPr>
        <w:spacing w:after="0" w:line="188" w:lineRule="exact"/>
        <w:rPr>
          <w:sz w:val="20"/>
          <w:szCs w:val="20"/>
          <w:color w:val="auto"/>
        </w:rPr>
      </w:pPr>
    </w:p>
    <w:p>
      <w:pPr>
        <w:jc w:val="both"/>
        <w:ind w:left="1300"/>
        <w:spacing w:after="0"/>
        <w:rPr>
          <w:sz w:val="20"/>
          <w:szCs w:val="20"/>
          <w:color w:val="auto"/>
        </w:rPr>
      </w:pPr>
      <w:r>
        <w:rPr>
          <w:rFonts w:ascii="Arial" w:cs="Arial" w:eastAsia="Arial" w:hAnsi="Arial"/>
          <w:sz w:val="22"/>
          <w:szCs w:val="22"/>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180" w:lineRule="exact"/>
        <w:rPr>
          <w:sz w:val="20"/>
          <w:szCs w:val="20"/>
          <w:color w:val="auto"/>
        </w:rPr>
      </w:pPr>
    </w:p>
    <w:p>
      <w:pPr>
        <w:ind w:left="440" w:hanging="440"/>
        <w:spacing w:after="0"/>
        <w:tabs>
          <w:tab w:leader="none" w:pos="440"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Option, Grantee acknowledges that, regardless of any action</w:t>
      </w:r>
      <w:r>
        <w:rPr>
          <w:rFonts w:ascii="Arial" w:cs="Arial" w:eastAsia="Arial" w:hAnsi="Arial"/>
          <w:sz w:val="19"/>
          <w:szCs w:val="19"/>
          <w:b w:val="1"/>
          <w:bCs w:val="1"/>
          <w:color w:val="auto"/>
        </w:rPr>
        <w:t xml:space="preserve"> </w:t>
      </w:r>
      <w:r>
        <w:rPr>
          <w:rFonts w:ascii="Arial" w:cs="Arial" w:eastAsia="Arial" w:hAnsi="Arial"/>
          <w:sz w:val="19"/>
          <w:szCs w:val="19"/>
          <w:color w:val="auto"/>
        </w:rPr>
        <w:t>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107" w:name="page108"/>
    <w:bookmarkEnd w:id="107"/>
    <w:p>
      <w:pPr>
        <w:ind w:left="1300"/>
        <w:spacing w:after="0"/>
        <w:rPr>
          <w:sz w:val="20"/>
          <w:szCs w:val="20"/>
          <w:color w:val="auto"/>
        </w:rPr>
      </w:pPr>
      <w:r>
        <w:rPr>
          <w:rFonts w:ascii="Arial" w:cs="Arial" w:eastAsia="Arial" w:hAnsi="Arial"/>
          <w:sz w:val="21"/>
          <w:szCs w:val="21"/>
          <w:color w:val="auto"/>
        </w:rPr>
        <w:t>Shares, if Grantee fails to comply with Grantee’s obligations in connection with the Tax-Related Items.</w:t>
      </w:r>
    </w:p>
    <w:p>
      <w:pPr>
        <w:spacing w:after="0" w:line="212" w:lineRule="exact"/>
        <w:rPr>
          <w:sz w:val="20"/>
          <w:szCs w:val="20"/>
          <w:color w:val="auto"/>
        </w:rPr>
      </w:pPr>
    </w:p>
    <w:p>
      <w:pPr>
        <w:jc w:val="both"/>
        <w:ind w:left="1300" w:hanging="436"/>
        <w:spacing w:after="0" w:line="289"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41" w:lineRule="exact"/>
        <w:rPr>
          <w:rFonts w:ascii="Arial" w:cs="Arial" w:eastAsia="Arial" w:hAnsi="Arial"/>
          <w:sz w:val="19"/>
          <w:szCs w:val="19"/>
          <w:color w:val="auto"/>
        </w:rPr>
      </w:pPr>
    </w:p>
    <w:p>
      <w:pPr>
        <w:ind w:left="2140" w:hanging="210"/>
        <w:spacing w:after="0" w:line="250" w:lineRule="auto"/>
        <w:tabs>
          <w:tab w:leader="none" w:pos="2140" w:val="left"/>
        </w:tabs>
        <w:numPr>
          <w:ilvl w:val="1"/>
          <w:numId w:val="62"/>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174" w:lineRule="exact"/>
        <w:rPr>
          <w:rFonts w:ascii="Arial" w:cs="Arial" w:eastAsia="Arial" w:hAnsi="Arial"/>
          <w:sz w:val="22"/>
          <w:szCs w:val="22"/>
          <w:color w:val="auto"/>
        </w:rPr>
      </w:pPr>
    </w:p>
    <w:p>
      <w:pPr>
        <w:jc w:val="both"/>
        <w:ind w:left="2140" w:hanging="210"/>
        <w:spacing w:after="0"/>
        <w:tabs>
          <w:tab w:leader="none" w:pos="2140" w:val="left"/>
        </w:tabs>
        <w:numPr>
          <w:ilvl w:val="1"/>
          <w:numId w:val="62"/>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186" w:lineRule="exact"/>
        <w:rPr>
          <w:sz w:val="20"/>
          <w:szCs w:val="20"/>
          <w:color w:val="auto"/>
        </w:rPr>
      </w:pPr>
    </w:p>
    <w:p>
      <w:pPr>
        <w:jc w:val="both"/>
        <w:ind w:left="2180" w:hanging="242"/>
        <w:spacing w:after="0" w:line="297" w:lineRule="auto"/>
        <w:rPr>
          <w:sz w:val="20"/>
          <w:szCs w:val="20"/>
          <w:color w:val="auto"/>
        </w:rPr>
      </w:pPr>
      <w:r>
        <w:rPr>
          <w:rFonts w:ascii="Arial" w:cs="Arial" w:eastAsia="Arial" w:hAnsi="Arial"/>
          <w:sz w:val="19"/>
          <w:szCs w:val="19"/>
          <w:color w:val="auto"/>
        </w:rPr>
        <w:t>iii.withholding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134" w:lineRule="exact"/>
        <w:rPr>
          <w:sz w:val="20"/>
          <w:szCs w:val="20"/>
          <w:color w:val="auto"/>
        </w:rPr>
      </w:pPr>
    </w:p>
    <w:p>
      <w:pPr>
        <w:jc w:val="both"/>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175"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75" w:lineRule="auto"/>
        <w:tabs>
          <w:tab w:leader="none" w:pos="440"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w:t>
      </w:r>
    </w:p>
    <w:p>
      <w:pPr>
        <w:spacing w:after="0" w:line="3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08" w:name="page109"/>
    <w:bookmarkEnd w:id="108"/>
    <w:p>
      <w:pPr>
        <w:jc w:val="both"/>
        <w:ind w:left="440"/>
        <w:spacing w:after="0" w:line="244" w:lineRule="auto"/>
        <w:rPr>
          <w:sz w:val="20"/>
          <w:szCs w:val="20"/>
          <w:color w:val="auto"/>
        </w:rPr>
      </w:pPr>
      <w:r>
        <w:rPr>
          <w:rFonts w:ascii="Arial" w:cs="Arial" w:eastAsia="Arial" w:hAnsi="Arial"/>
          <w:sz w:val="21"/>
          <w:szCs w:val="21"/>
          <w:color w:val="auto"/>
        </w:rPr>
        <w:t>compensation for any purpose, including, without limitation, calculating any severance, resignation, termination, redundancy, dismissal, end-of-service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182" w:lineRule="exact"/>
        <w:rPr>
          <w:sz w:val="20"/>
          <w:szCs w:val="20"/>
          <w:color w:val="auto"/>
        </w:rPr>
      </w:pPr>
    </w:p>
    <w:p>
      <w:pPr>
        <w:jc w:val="both"/>
        <w:ind w:left="440" w:hanging="440"/>
        <w:spacing w:after="0" w:line="237" w:lineRule="auto"/>
        <w:tabs>
          <w:tab w:leader="none" w:pos="440"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It is intended that the terms of this Option will not result in the imposition of any tax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181" w:lineRule="exact"/>
        <w:rPr>
          <w:rFonts w:ascii="Arial" w:cs="Arial" w:eastAsia="Arial" w:hAnsi="Arial"/>
          <w:sz w:val="22"/>
          <w:szCs w:val="22"/>
          <w:color w:val="auto"/>
        </w:rPr>
      </w:pPr>
    </w:p>
    <w:p>
      <w:pPr>
        <w:jc w:val="both"/>
        <w:ind w:left="440" w:hanging="440"/>
        <w:spacing w:after="0" w:line="270" w:lineRule="auto"/>
        <w:tabs>
          <w:tab w:leader="none" w:pos="440"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Grantee hereby explicitly and unambiguously consents to the collection, use and transfer, in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w:t>
      </w:r>
    </w:p>
    <w:p>
      <w:pPr>
        <w:spacing w:after="0" w:line="38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09" w:name="page110"/>
    <w:bookmarkEnd w:id="109"/>
    <w:p>
      <w:pPr>
        <w:jc w:val="both"/>
        <w:ind w:left="440"/>
        <w:spacing w:after="0" w:line="273" w:lineRule="auto"/>
        <w:rPr>
          <w:sz w:val="20"/>
          <w:szCs w:val="20"/>
          <w:color w:val="auto"/>
        </w:rPr>
      </w:pPr>
      <w:r>
        <w:rPr>
          <w:rFonts w:ascii="Arial" w:cs="Arial" w:eastAsia="Arial" w:hAnsi="Arial"/>
          <w:sz w:val="19"/>
          <w:szCs w:val="19"/>
          <w:b w:val="1"/>
          <w:bCs w:val="1"/>
          <w:i w:val="1"/>
          <w:iCs w:val="1"/>
          <w:color w:val="auto"/>
        </w:rPr>
        <w:t>Status will not be adversely affected; the only adverse consequence of refusing or withdrawing Grantee’s consent or instructing the Company to cease processing, is that the Company would not be able to grant Grantee Grant,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149" w:lineRule="exact"/>
        <w:rPr>
          <w:sz w:val="20"/>
          <w:szCs w:val="20"/>
          <w:color w:val="auto"/>
        </w:rPr>
      </w:pPr>
    </w:p>
    <w:p>
      <w:pPr>
        <w:jc w:val="both"/>
        <w:ind w:left="440" w:hanging="440"/>
        <w:spacing w:after="0" w:line="249" w:lineRule="auto"/>
        <w:tabs>
          <w:tab w:leader="none" w:pos="440" w:val="left"/>
        </w:tabs>
        <w:numPr>
          <w:ilvl w:val="0"/>
          <w:numId w:val="65"/>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 courts located in such State, and no other courts, where this Grant is made and/or to be performed.</w:t>
      </w:r>
    </w:p>
    <w:p>
      <w:pPr>
        <w:spacing w:after="0" w:line="170" w:lineRule="exact"/>
        <w:rPr>
          <w:rFonts w:ascii="Arial" w:cs="Arial" w:eastAsia="Arial" w:hAnsi="Arial"/>
          <w:sz w:val="21"/>
          <w:szCs w:val="21"/>
          <w:color w:val="auto"/>
        </w:rPr>
      </w:pPr>
    </w:p>
    <w:p>
      <w:pPr>
        <w:jc w:val="both"/>
        <w:ind w:left="440" w:hanging="440"/>
        <w:spacing w:after="0" w:line="273" w:lineRule="auto"/>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Grant Agreement sets forth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55" w:lineRule="exact"/>
        <w:rPr>
          <w:rFonts w:ascii="Arial" w:cs="Arial" w:eastAsia="Arial" w:hAnsi="Arial"/>
          <w:sz w:val="19"/>
          <w:szCs w:val="19"/>
          <w:color w:val="auto"/>
        </w:rPr>
      </w:pPr>
    </w:p>
    <w:p>
      <w:pPr>
        <w:jc w:val="both"/>
        <w:ind w:left="440" w:hanging="440"/>
        <w:spacing w:after="0" w:line="283" w:lineRule="auto"/>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10" w:name="page111"/>
    <w:bookmarkEnd w:id="110"/>
    <w:p>
      <w:pPr>
        <w:jc w:val="both"/>
        <w:ind w:left="440" w:hanging="440"/>
        <w:spacing w:after="0" w:line="243" w:lineRule="auto"/>
        <w:tabs>
          <w:tab w:leader="none" w:pos="440"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jc w:val="both"/>
        <w:ind w:left="440" w:hanging="440"/>
        <w:spacing w:after="0" w:line="245" w:lineRule="auto"/>
        <w:tabs>
          <w:tab w:leader="none" w:pos="440" w:val="left"/>
        </w:tabs>
        <w:numPr>
          <w:ilvl w:val="0"/>
          <w:numId w:val="66"/>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this Option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on any Shares 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207" w:lineRule="exact"/>
        <w:rPr>
          <w:rFonts w:ascii="Arial" w:cs="Arial" w:eastAsia="Arial" w:hAnsi="Arial"/>
          <w:sz w:val="21"/>
          <w:szCs w:val="21"/>
          <w:color w:val="auto"/>
        </w:rPr>
      </w:pPr>
    </w:p>
    <w:p>
      <w:pPr>
        <w:jc w:val="both"/>
        <w:ind w:left="440" w:hanging="440"/>
        <w:spacing w:after="0" w:line="280" w:lineRule="auto"/>
        <w:tabs>
          <w:tab w:leader="none" w:pos="440"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Grant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44"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1"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76" w:lineRule="auto"/>
        <w:tabs>
          <w:tab w:leader="none" w:pos="440"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Electronic Delivery and Participation</w:t>
      </w:r>
      <w:r>
        <w:rPr>
          <w:rFonts w:ascii="Arial" w:cs="Arial" w:eastAsia="Arial" w:hAnsi="Arial"/>
          <w:sz w:val="19"/>
          <w:szCs w:val="19"/>
          <w:color w:val="auto"/>
        </w:rPr>
        <w:t>. By accepting this Option, Grantee agrees to participate through an</w:t>
      </w:r>
      <w:r>
        <w:rPr>
          <w:rFonts w:ascii="Arial" w:cs="Arial" w:eastAsia="Arial" w:hAnsi="Arial"/>
          <w:sz w:val="19"/>
          <w:szCs w:val="19"/>
          <w:b w:val="1"/>
          <w:bCs w:val="1"/>
          <w:color w:val="auto"/>
        </w:rPr>
        <w:t xml:space="preserve"> </w:t>
      </w:r>
      <w:r>
        <w:rPr>
          <w:rFonts w:ascii="Arial" w:cs="Arial" w:eastAsia="Arial" w:hAnsi="Arial"/>
          <w:sz w:val="19"/>
          <w:szCs w:val="19"/>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3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111" w:name="page112"/>
    <w:bookmarkEnd w:id="111"/>
    <w:p>
      <w:pPr>
        <w:jc w:val="both"/>
        <w:ind w:left="440" w:hanging="440"/>
        <w:spacing w:after="0" w:line="271" w:lineRule="auto"/>
        <w:tabs>
          <w:tab w:leader="none" w:pos="440" w:val="left"/>
        </w:tabs>
        <w:numPr>
          <w:ilvl w:val="0"/>
          <w:numId w:val="67"/>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number of outstanding Shares is changed or the value of the Shares is otherwise affected</w:t>
      </w:r>
      <w:r>
        <w:rPr>
          <w:rFonts w:ascii="Arial" w:cs="Arial" w:eastAsia="Arial" w:hAnsi="Arial"/>
          <w:sz w:val="19"/>
          <w:szCs w:val="19"/>
          <w:b w:val="1"/>
          <w:bCs w:val="1"/>
          <w:color w:val="auto"/>
        </w:rPr>
        <w:t xml:space="preserve"> </w:t>
      </w:r>
      <w:r>
        <w:rPr>
          <w:rFonts w:ascii="Arial" w:cs="Arial" w:eastAsia="Arial" w:hAnsi="Arial"/>
          <w:sz w:val="19"/>
          <w:szCs w:val="19"/>
          <w:color w:val="auto"/>
        </w:rPr>
        <w:t>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then the maximum number and class of Shares or type of security reserved for issuance and the Exercise Price and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or the Exercise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440" w:hanging="440"/>
        <w:spacing w:after="0" w:line="334" w:lineRule="auto"/>
        <w:tabs>
          <w:tab w:leader="none" w:pos="440" w:val="left"/>
        </w:tabs>
        <w:numPr>
          <w:ilvl w:val="0"/>
          <w:numId w:val="67"/>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In the event that the Company is subject to a Change in Control, any unvested portion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outstanding as of immediately prior to the Change in Control shall vest in full as of the Change in Control.</w:t>
      </w:r>
    </w:p>
    <w:p>
      <w:pPr>
        <w:spacing w:after="0" w:line="120" w:lineRule="exact"/>
        <w:rPr>
          <w:rFonts w:ascii="Arial" w:cs="Arial" w:eastAsia="Arial" w:hAnsi="Arial"/>
          <w:sz w:val="19"/>
          <w:szCs w:val="19"/>
          <w:color w:val="auto"/>
        </w:rPr>
      </w:pPr>
    </w:p>
    <w:p>
      <w:pPr>
        <w:ind w:left="440" w:hanging="440"/>
        <w:spacing w:after="0" w:line="256" w:lineRule="auto"/>
        <w:tabs>
          <w:tab w:leader="none" w:pos="440" w:val="left"/>
        </w:tabs>
        <w:numPr>
          <w:ilvl w:val="0"/>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4" w:lineRule="exact"/>
        <w:rPr>
          <w:rFonts w:ascii="Arial" w:cs="Arial" w:eastAsia="Arial" w:hAnsi="Arial"/>
          <w:sz w:val="22"/>
          <w:szCs w:val="22"/>
          <w:color w:val="auto"/>
        </w:rPr>
      </w:pPr>
    </w:p>
    <w:p>
      <w:pPr>
        <w:ind w:left="44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0" w:lineRule="exact"/>
        <w:rPr>
          <w:rFonts w:ascii="Arial" w:cs="Arial" w:eastAsia="Arial" w:hAnsi="Arial"/>
          <w:sz w:val="22"/>
          <w:szCs w:val="22"/>
          <w:color w:val="auto"/>
        </w:rPr>
      </w:pPr>
    </w:p>
    <w:p>
      <w:pPr>
        <w:jc w:val="both"/>
        <w:ind w:left="440"/>
        <w:spacing w:after="0" w:line="23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ASIC</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 Securities and Investments Commission.</w:t>
      </w:r>
    </w:p>
    <w:p>
      <w:pPr>
        <w:spacing w:after="0" w:line="2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112" w:name="page113"/>
    <w:bookmarkEnd w:id="112"/>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the ASX Limited (ABN 98 008 624 691), or the securities market which it operates, as the context requires.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8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 the Company or such other ratio as may be adopted by the Company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87" w:lineRule="exact"/>
        <w:rPr>
          <w:rFonts w:ascii="Arial" w:cs="Arial" w:eastAsia="Arial" w:hAnsi="Arial"/>
          <w:sz w:val="22"/>
          <w:szCs w:val="22"/>
          <w:color w:val="auto"/>
        </w:rPr>
      </w:pPr>
    </w:p>
    <w:p>
      <w:pPr>
        <w:jc w:val="both"/>
        <w:ind w:left="860" w:hanging="436"/>
        <w:spacing w:after="0" w:line="248" w:lineRule="auto"/>
        <w:tabs>
          <w:tab w:leader="none" w:pos="860" w:val="left"/>
        </w:tabs>
        <w:numPr>
          <w:ilvl w:val="0"/>
          <w:numId w:val="68"/>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tabs>
          <w:tab w:leader="none" w:pos="8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 change in the effective control of the Company that occurs on the date that a majority of members of the Board is replaced during any twelve (12) month period by members of the Board whose appointment or election is not endorsed by a</w:t>
      </w:r>
    </w:p>
    <w:p>
      <w:pPr>
        <w:spacing w:after="0" w:line="200" w:lineRule="exact"/>
        <w:rPr>
          <w:sz w:val="20"/>
          <w:szCs w:val="20"/>
          <w:color w:val="auto"/>
        </w:rPr>
      </w:pPr>
    </w:p>
    <w:p>
      <w:pPr>
        <w:spacing w:after="0" w:line="20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113" w:name="page114"/>
    <w:bookmarkEnd w:id="113"/>
    <w:p>
      <w:pPr>
        <w:jc w:val="both"/>
        <w:ind w:left="860"/>
        <w:spacing w:after="0" w:line="297" w:lineRule="auto"/>
        <w:rPr>
          <w:sz w:val="20"/>
          <w:szCs w:val="20"/>
          <w:color w:val="auto"/>
        </w:rPr>
      </w:pPr>
      <w:r>
        <w:rPr>
          <w:rFonts w:ascii="Arial" w:cs="Arial" w:eastAsia="Arial" w:hAnsi="Arial"/>
          <w:sz w:val="19"/>
          <w:szCs w:val="19"/>
          <w:color w:val="auto"/>
        </w:rPr>
        <w:t>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3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Consultant</w:t>
      </w:r>
      <w:r>
        <w:rPr>
          <w:rFonts w:ascii="Arial" w:cs="Arial" w:eastAsia="Arial" w:hAnsi="Arial"/>
          <w:sz w:val="22"/>
          <w:szCs w:val="22"/>
          <w:color w:val="auto"/>
        </w:rPr>
        <w:t>” means any natural person, including an advisor or independent contractor, that is engaged to render services to the Company or an Affiliate.</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Grantee is disabled for purposes of benefits under any long-term disability plan maintained by the Company or any Affiliate in which a Grantee participates.</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 Right</w:t>
      </w:r>
      <w:r>
        <w:rPr>
          <w:rFonts w:ascii="Arial" w:cs="Arial" w:eastAsia="Arial" w:hAnsi="Arial"/>
          <w:sz w:val="22"/>
          <w:szCs w:val="22"/>
          <w:color w:val="auto"/>
        </w:rPr>
        <w:t>” means the right of a Grantee, granted at the discretion of the Committee or as otherwise provided by the Grant Agreement, to receive a credit for the account of such Grantee in an amount equal to the cash, stock or other property dividends in amounts equivalent to cash, stock or other property dividends for each Share represented by a Grant held by such Grantee.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Agreement is approved by the stockholders of the Company.</w:t>
      </w:r>
    </w:p>
    <w:p>
      <w:pPr>
        <w:spacing w:after="0" w:line="21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14" w:name="page115"/>
    <w:bookmarkEnd w:id="114"/>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Exchange Act Person</w:t>
      </w:r>
      <w:r>
        <w:rPr>
          <w:rFonts w:ascii="Arial" w:cs="Arial" w:eastAsia="Arial" w:hAnsi="Arial"/>
          <w:sz w:val="21"/>
          <w:szCs w:val="21"/>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means, with respect to an Option, the price per Share at which a holder may purchase the Shares issuable upon exercise of an Option.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means, as of any date, the per Share value of the Common Stock determined as follows:</w:t>
      </w:r>
    </w:p>
    <w:p>
      <w:pPr>
        <w:spacing w:after="0" w:line="218" w:lineRule="exact"/>
        <w:rPr>
          <w:sz w:val="20"/>
          <w:szCs w:val="20"/>
          <w:color w:val="auto"/>
        </w:rPr>
      </w:pPr>
    </w:p>
    <w:p>
      <w:pPr>
        <w:jc w:val="both"/>
        <w:ind w:left="840" w:hanging="308"/>
        <w:spacing w:after="0" w:line="282" w:lineRule="auto"/>
        <w:tabs>
          <w:tab w:leader="none" w:pos="840"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 unless another method is approved by the Committee and subject to compliance with Applicable Law (including Section 409A of the Code).</w:t>
      </w:r>
    </w:p>
    <w:p>
      <w:pPr>
        <w:spacing w:after="0" w:line="147" w:lineRule="exact"/>
        <w:rPr>
          <w:rFonts w:ascii="Arial" w:cs="Arial" w:eastAsia="Arial" w:hAnsi="Arial"/>
          <w:sz w:val="19"/>
          <w:szCs w:val="19"/>
          <w:color w:val="010000"/>
        </w:rPr>
      </w:pPr>
    </w:p>
    <w:p>
      <w:pPr>
        <w:jc w:val="both"/>
        <w:ind w:left="840" w:hanging="308"/>
        <w:spacing w:after="0" w:line="282" w:lineRule="auto"/>
        <w:tabs>
          <w:tab w:leader="none" w:pos="840"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37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15" w:name="page116"/>
    <w:bookmarkEnd w:id="115"/>
    <w:p>
      <w:pPr>
        <w:jc w:val="both"/>
        <w:ind w:left="840" w:hanging="308"/>
        <w:spacing w:after="0" w:line="297" w:lineRule="auto"/>
        <w:tabs>
          <w:tab w:leader="none" w:pos="840"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133" w:lineRule="exact"/>
        <w:rPr>
          <w:rFonts w:ascii="Arial" w:cs="Arial" w:eastAsia="Arial" w:hAnsi="Arial"/>
          <w:sz w:val="19"/>
          <w:szCs w:val="19"/>
          <w:color w:val="010000"/>
        </w:rPr>
      </w:pPr>
    </w:p>
    <w:p>
      <w:pPr>
        <w:ind w:left="840" w:hanging="308"/>
        <w:spacing w:after="0" w:line="250" w:lineRule="auto"/>
        <w:tabs>
          <w:tab w:leader="none" w:pos="840"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If none of the foregoing is applicable, by the Board or the Committee in good faith (and in accordance with Section 409A of the Code, as applicable).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that does not qualify as an Incentive Stock Option.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contract right to purchase Shares at a fixed Exercise Price per Share, subject to certain conditions, if applicable, granted pursuant to this Grant Agreement.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shares of Common Stock.</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 other than the last corporation in the unbroken chain owns stock possessing fifty percent (50%) or more of the total combined voting power of all classes of stock in one of the other corporation in such chain.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19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360"/>
          </w:cols>
          <w:pgMar w:left="1200" w:top="36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10.20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Restricted Stock Unit Grant</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color w:val="auto"/>
        </w:rPr>
        <w:t xml:space="preserve">AVITA Medical, Inc. </w:t>
      </w:r>
      <w:r>
        <w:rPr>
          <w:rFonts w:ascii="Arial" w:cs="Arial" w:eastAsia="Arial" w:hAnsi="Arial"/>
          <w:sz w:val="21"/>
          <w:szCs w:val="21"/>
          <w:color w:val="auto"/>
        </w:rPr>
        <w:t>(the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has awarded to you (“</w:t>
      </w:r>
      <w:r>
        <w:rPr>
          <w:rFonts w:ascii="Arial" w:cs="Arial" w:eastAsia="Arial" w:hAnsi="Arial"/>
          <w:sz w:val="21"/>
          <w:szCs w:val="21"/>
          <w:b w:val="1"/>
          <w:bCs w:val="1"/>
          <w:i w:val="1"/>
          <w:iCs w:val="1"/>
          <w:color w:val="auto"/>
        </w:rPr>
        <w:t>Grantee</w:t>
      </w:r>
      <w:r>
        <w:rPr>
          <w:rFonts w:ascii="Arial" w:cs="Arial" w:eastAsia="Arial" w:hAnsi="Arial"/>
          <w:sz w:val="21"/>
          <w:szCs w:val="21"/>
          <w:color w:val="auto"/>
        </w:rPr>
        <w:t>”) restricted stock units (“</w:t>
      </w:r>
      <w:r>
        <w:rPr>
          <w:rFonts w:ascii="Arial" w:cs="Arial" w:eastAsia="Arial" w:hAnsi="Arial"/>
          <w:sz w:val="21"/>
          <w:szCs w:val="21"/>
          <w:b w:val="1"/>
          <w:bCs w:val="1"/>
          <w:i w:val="1"/>
          <w:iCs w:val="1"/>
          <w:color w:val="auto"/>
        </w:rPr>
        <w:t>Restricted Stock Unit</w:t>
      </w:r>
      <w:r>
        <w:rPr>
          <w:rFonts w:ascii="Arial" w:cs="Arial" w:eastAsia="Arial" w:hAnsi="Arial"/>
          <w:sz w:val="21"/>
          <w:szCs w:val="21"/>
          <w:color w:val="auto"/>
        </w:rPr>
        <w:t>s”)</w:t>
      </w:r>
      <w:r>
        <w:rPr>
          <w:rFonts w:ascii="Arial" w:cs="Arial" w:eastAsia="Arial" w:hAnsi="Arial"/>
          <w:sz w:val="21"/>
          <w:szCs w:val="21"/>
          <w:b w:val="1"/>
          <w:bCs w:val="1"/>
          <w:color w:val="auto"/>
        </w:rPr>
        <w:t xml:space="preserve"> </w:t>
      </w:r>
      <w:r>
        <w:rPr>
          <w:rFonts w:ascii="Arial" w:cs="Arial" w:eastAsia="Arial" w:hAnsi="Arial"/>
          <w:sz w:val="21"/>
          <w:szCs w:val="21"/>
          <w:color w:val="auto"/>
        </w:rPr>
        <w:t>covering the number of shares of Common Stock set forth below (the “</w:t>
      </w:r>
      <w:r>
        <w:rPr>
          <w:rFonts w:ascii="Arial" w:cs="Arial" w:eastAsia="Arial" w:hAnsi="Arial"/>
          <w:sz w:val="21"/>
          <w:szCs w:val="21"/>
          <w:b w:val="1"/>
          <w:bCs w:val="1"/>
          <w:i w:val="1"/>
          <w:iCs w:val="1"/>
          <w:color w:val="auto"/>
        </w:rPr>
        <w:t>Restricted Stock Unit Grant</w:t>
      </w:r>
      <w:r>
        <w:rPr>
          <w:rFonts w:ascii="Arial" w:cs="Arial" w:eastAsia="Arial" w:hAnsi="Arial"/>
          <w:sz w:val="21"/>
          <w:szCs w:val="21"/>
          <w:color w:val="auto"/>
        </w:rPr>
        <w:t>” or “</w:t>
      </w:r>
      <w:r>
        <w:rPr>
          <w:rFonts w:ascii="Arial" w:cs="Arial" w:eastAsia="Arial" w:hAnsi="Arial"/>
          <w:sz w:val="21"/>
          <w:szCs w:val="21"/>
          <w:b w:val="1"/>
          <w:bCs w:val="1"/>
          <w:i w:val="1"/>
          <w:iCs w:val="1"/>
          <w:color w:val="auto"/>
        </w:rPr>
        <w:t>Grant</w:t>
      </w:r>
      <w:r>
        <w:rPr>
          <w:rFonts w:ascii="Arial" w:cs="Arial" w:eastAsia="Arial" w:hAnsi="Arial"/>
          <w:sz w:val="21"/>
          <w:szCs w:val="2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Grantee Name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Restricted Stock Units: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 at Grant: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Schedule:</w:t>
      </w:r>
    </w:p>
    <w:p>
      <w:pPr>
        <w:spacing w:after="0" w:line="200" w:lineRule="exact"/>
        <w:rPr>
          <w:sz w:val="20"/>
          <w:szCs w:val="20"/>
          <w:color w:val="auto"/>
        </w:rPr>
      </w:pPr>
    </w:p>
    <w:p>
      <w:pPr>
        <w:spacing w:after="0" w:line="28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Capitalized terms used but not defined in this Notice of Restricted Stock Unit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Restricted Stock Unit Terms and Conditions (including any appendices and exhibits attached thereto). The Notice and the Restricted Stock Unit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the Restricted Stock Units.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(whether electronically or otherwise) the Restricted Stock Unit Grant, Grantee acknowledges and agrees to the following:</w:t>
      </w:r>
    </w:p>
    <w:p>
      <w:pPr>
        <w:spacing w:after="0" w:line="175" w:lineRule="exact"/>
        <w:rPr>
          <w:sz w:val="20"/>
          <w:szCs w:val="20"/>
          <w:color w:val="auto"/>
        </w:rPr>
      </w:pPr>
    </w:p>
    <w:p>
      <w:pPr>
        <w:ind w:left="880" w:hanging="440"/>
        <w:spacing w:after="0"/>
        <w:tabs>
          <w:tab w:leader="none" w:pos="8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Restricted Stock Unit Grant is governed by the terms and conditions of this Grant Agreement.</w:t>
      </w:r>
    </w:p>
    <w:p>
      <w:pPr>
        <w:spacing w:after="0" w:line="23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the Restricted Stock Unit Grant.</w:t>
      </w:r>
    </w:p>
    <w:p>
      <w:pPr>
        <w:spacing w:after="0" w:line="211" w:lineRule="exact"/>
        <w:rPr>
          <w:rFonts w:ascii="Arial" w:cs="Arial" w:eastAsia="Arial" w:hAnsi="Arial"/>
          <w:sz w:val="22"/>
          <w:szCs w:val="22"/>
          <w:color w:val="auto"/>
        </w:rPr>
      </w:pPr>
    </w:p>
    <w:p>
      <w:pPr>
        <w:jc w:val="both"/>
        <w:ind w:left="880" w:right="20" w:hanging="440"/>
        <w:spacing w:after="0"/>
        <w:tabs>
          <w:tab w:leader="none" w:pos="8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Vesting of the Restricted Stock Units is subject to Grantee’s Continuous Service Status as a Director, which is for an unspecified duration and may be terminated at any time, with or without Cause, and nothing in this Grant Agreement changes the nature of that relationship.</w:t>
      </w:r>
    </w:p>
    <w:p>
      <w:pPr>
        <w:spacing w:after="0" w:line="21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The Company is not providing any tax, legal, financial or financial product advice, nor is the Company making any recommendations or statements of opinion that are intended to influence Grantee in making a decision regarding Grantee’s acceptance of this Grant Agreement. </w:t>
      </w:r>
      <w:r>
        <w:rPr>
          <w:rFonts w:ascii="Arial" w:cs="Arial" w:eastAsia="Arial" w:hAnsi="Arial"/>
          <w:sz w:val="22"/>
          <w:szCs w:val="22"/>
          <w:b w:val="1"/>
          <w:bCs w:val="1"/>
          <w:i w:val="1"/>
          <w:iCs w:val="1"/>
          <w:color w:val="auto"/>
        </w:rPr>
        <w:t>Grantee should consult with his or her own personal independent tax,</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legal,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7" w:name="page118"/>
    <w:bookmarkEnd w:id="117"/>
    <w:p>
      <w:pPr>
        <w:jc w:val="both"/>
        <w:ind w:left="880" w:right="20"/>
        <w:spacing w:after="0" w:line="238" w:lineRule="auto"/>
        <w:rPr>
          <w:sz w:val="20"/>
          <w:szCs w:val="20"/>
          <w:color w:val="auto"/>
        </w:rPr>
      </w:pPr>
      <w:r>
        <w:rPr>
          <w:rFonts w:ascii="Arial" w:cs="Arial" w:eastAsia="Arial" w:hAnsi="Arial"/>
          <w:sz w:val="22"/>
          <w:szCs w:val="22"/>
          <w:b w:val="1"/>
          <w:bCs w:val="1"/>
          <w:i w:val="1"/>
          <w:iCs w:val="1"/>
          <w:color w:val="auto"/>
        </w:rPr>
        <w:t>and financial advisors regarding this Grant Agreement who are appropriately licensed to give advice as to whether participation in the Grant is appropriate in light of his or her circumstances and to clarify his or her taxation position in relation to participation in this Restricted Stock Unit Grant before taking any action related to this Grant Agreement</w:t>
      </w:r>
      <w:r>
        <w:rPr>
          <w:rFonts w:ascii="Arial" w:cs="Arial" w:eastAsia="Arial" w:hAnsi="Arial"/>
          <w:sz w:val="22"/>
          <w:szCs w:val="22"/>
          <w:color w:val="auto"/>
        </w:rPr>
        <w:t>.</w:t>
      </w:r>
    </w:p>
    <w:p>
      <w:pPr>
        <w:spacing w:after="0" w:line="212" w:lineRule="exact"/>
        <w:rPr>
          <w:sz w:val="20"/>
          <w:szCs w:val="20"/>
          <w:color w:val="auto"/>
        </w:rPr>
      </w:pPr>
    </w:p>
    <w:p>
      <w:pPr>
        <w:ind w:left="880" w:right="40" w:hanging="440"/>
        <w:spacing w:after="0" w:line="250" w:lineRule="auto"/>
        <w:tabs>
          <w:tab w:leader="none" w:pos="8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This Restricted Stock Unit Grant, if received in Australia, is made without disclosure to investors in reliance on an applicable exemption under the </w:t>
      </w:r>
      <w:r>
        <w:rPr>
          <w:rFonts w:ascii="Arial" w:cs="Arial" w:eastAsia="Arial" w:hAnsi="Arial"/>
          <w:sz w:val="22"/>
          <w:szCs w:val="22"/>
          <w:i w:val="1"/>
          <w:iCs w:val="1"/>
          <w:color w:val="auto"/>
        </w:rPr>
        <w:t>Corporations Act 2001</w:t>
      </w:r>
      <w:r>
        <w:rPr>
          <w:rFonts w:ascii="Arial" w:cs="Arial" w:eastAsia="Arial" w:hAnsi="Arial"/>
          <w:sz w:val="22"/>
          <w:szCs w:val="22"/>
          <w:color w:val="auto"/>
        </w:rPr>
        <w:t xml:space="preserve"> (Cth).</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jc w:val="both"/>
        <w:ind w:left="880" w:right="20" w:hanging="440"/>
        <w:spacing w:after="0" w:line="247" w:lineRule="auto"/>
        <w:tabs>
          <w:tab w:leader="none" w:pos="880" w:val="left"/>
        </w:tabs>
        <w:numPr>
          <w:ilvl w:val="0"/>
          <w:numId w:val="72"/>
        </w:numPr>
        <w:rPr>
          <w:rFonts w:ascii="Arial" w:cs="Arial" w:eastAsia="Arial" w:hAnsi="Arial"/>
          <w:sz w:val="21"/>
          <w:szCs w:val="21"/>
          <w:color w:val="auto"/>
        </w:rPr>
      </w:pPr>
      <w:r>
        <w:rPr>
          <w:rFonts w:ascii="Arial" w:cs="Arial" w:eastAsia="Arial" w:hAnsi="Arial"/>
          <w:sz w:val="21"/>
          <w:szCs w:val="21"/>
          <w:b w:val="1"/>
          <w:bCs w:val="1"/>
          <w:color w:val="auto"/>
        </w:rPr>
        <w:t xml:space="preserve">If Grantee does not accept or decline this Restricted Stock Unit Grant within 30 days of the Date of Grant or by such other date that may be communicated to Grantee by the Company, the Company will accept this Restricted Stock Unit Grant on Grantee’s behalf and Grantee will be deemed to have accepted the terms and conditions of the Restricted Stock Units set forth in this Grant Agreement. If Grantee wishes to decline this Restricted Stock Unit Grant, Grantee should promptly notify Donna Shiroma at </w:t>
      </w:r>
      <w:r>
        <w:rPr>
          <w:rFonts w:ascii="Arial" w:cs="Arial" w:eastAsia="Arial" w:hAnsi="Arial"/>
          <w:sz w:val="21"/>
          <w:szCs w:val="21"/>
          <w:b w:val="1"/>
          <w:bCs w:val="1"/>
          <w:u w:val="single" w:color="auto"/>
          <w:color w:val="auto"/>
        </w:rPr>
        <w:t>dshiroma@avitamedical.com</w:t>
      </w:r>
      <w:r>
        <w:rPr>
          <w:rFonts w:ascii="Arial" w:cs="Arial" w:eastAsia="Arial" w:hAnsi="Arial"/>
          <w:sz w:val="21"/>
          <w:szCs w:val="21"/>
          <w:b w:val="1"/>
          <w:bCs w:val="1"/>
          <w:color w:val="auto"/>
        </w:rPr>
        <w:t>. If Grantee declines this Restricted Stock Unit Grant, the Restricted Stock Units will be cancelled and no benefits from the Restricted Stock Units nor any compensation or benefits in lieu of the Restricted Stock Units will be provided to Grantee</w:t>
      </w:r>
      <w:r>
        <w:rPr>
          <w:rFonts w:ascii="Arial" w:cs="Arial" w:eastAsia="Arial" w:hAnsi="Arial"/>
          <w:sz w:val="21"/>
          <w:szCs w:val="21"/>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160" w:type="dxa"/>
            <w:vAlign w:val="bottom"/>
            <w:gridSpan w:val="3"/>
          </w:tcPr>
          <w:p>
            <w:pPr>
              <w:spacing w:after="0"/>
              <w:rPr>
                <w:sz w:val="20"/>
                <w:szCs w:val="20"/>
                <w:color w:val="auto"/>
              </w:rPr>
            </w:pPr>
            <w:r>
              <w:rPr>
                <w:rFonts w:ascii="Arial" w:cs="Arial" w:eastAsia="Arial" w:hAnsi="Arial"/>
                <w:sz w:val="22"/>
                <w:szCs w:val="22"/>
                <w:b w:val="1"/>
                <w:bCs w:val="1"/>
                <w:color w:val="auto"/>
              </w:rPr>
              <w:t>AVITA Medical, Inc.</w:t>
            </w:r>
          </w:p>
        </w:tc>
        <w:tc>
          <w:tcPr>
            <w:tcW w:w="6100" w:type="dxa"/>
            <w:vAlign w:val="bottom"/>
            <w:gridSpan w:val="3"/>
          </w:tcPr>
          <w:p>
            <w:pPr>
              <w:ind w:left="380"/>
              <w:spacing w:after="0"/>
              <w:rPr>
                <w:sz w:val="20"/>
                <w:szCs w:val="20"/>
                <w:color w:val="auto"/>
              </w:rPr>
            </w:pPr>
            <w:r>
              <w:rPr>
                <w:rFonts w:ascii="Arial" w:cs="Arial" w:eastAsia="Arial" w:hAnsi="Arial"/>
                <w:sz w:val="22"/>
                <w:szCs w:val="22"/>
                <w:b w:val="1"/>
                <w:bCs w:val="1"/>
                <w:color w:val="auto"/>
              </w:rPr>
              <w:t>Grantee</w:t>
            </w:r>
          </w:p>
        </w:tc>
      </w:tr>
      <w:tr>
        <w:trPr>
          <w:trHeight w:val="962"/>
        </w:trPr>
        <w:tc>
          <w:tcPr>
            <w:tcW w:w="5160" w:type="dxa"/>
            <w:vAlign w:val="bottom"/>
            <w:gridSpan w:val="3"/>
          </w:tcPr>
          <w:p>
            <w:pPr>
              <w:spacing w:after="0"/>
              <w:rPr>
                <w:sz w:val="20"/>
                <w:szCs w:val="20"/>
                <w:color w:val="auto"/>
              </w:rPr>
            </w:pPr>
            <w:r>
              <w:rPr>
                <w:rFonts w:ascii="Arial" w:cs="Arial" w:eastAsia="Arial" w:hAnsi="Arial"/>
                <w:sz w:val="22"/>
                <w:szCs w:val="22"/>
                <w:color w:val="auto"/>
              </w:rPr>
              <w:t>By:</w:t>
            </w:r>
          </w:p>
        </w:tc>
        <w:tc>
          <w:tcPr>
            <w:tcW w:w="6100" w:type="dxa"/>
            <w:vAlign w:val="bottom"/>
            <w:gridSpan w:val="3"/>
          </w:tcPr>
          <w:p>
            <w:pPr>
              <w:ind w:left="380"/>
              <w:spacing w:after="0"/>
              <w:rPr>
                <w:sz w:val="20"/>
                <w:szCs w:val="20"/>
                <w:color w:val="auto"/>
              </w:rPr>
            </w:pPr>
            <w:r>
              <w:rPr>
                <w:rFonts w:ascii="Arial" w:cs="Arial" w:eastAsia="Arial" w:hAnsi="Arial"/>
                <w:sz w:val="22"/>
                <w:szCs w:val="22"/>
                <w:color w:val="auto"/>
              </w:rPr>
              <w:t>Signature:</w:t>
            </w:r>
          </w:p>
        </w:tc>
      </w:tr>
      <w:tr>
        <w:trPr>
          <w:trHeight w:val="237"/>
        </w:trPr>
        <w:tc>
          <w:tcPr>
            <w:tcW w:w="7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4420" w:type="dxa"/>
            <w:vAlign w:val="bottom"/>
            <w:tcBorders>
              <w:top w:val="single" w:sz="8" w:color="auto"/>
            </w:tcBorders>
            <w:gridSpan w:val="2"/>
          </w:tcPr>
          <w:p>
            <w:pPr>
              <w:spacing w:after="0"/>
              <w:rPr>
                <w:sz w:val="20"/>
                <w:szCs w:val="20"/>
                <w:color w:val="auto"/>
              </w:rPr>
            </w:pPr>
          </w:p>
        </w:tc>
        <w:tc>
          <w:tcPr>
            <w:tcW w:w="1760" w:type="dxa"/>
            <w:vAlign w:val="bottom"/>
          </w:tcPr>
          <w:p>
            <w:pPr>
              <w:ind w:left="380"/>
              <w:spacing w:after="0" w:line="237" w:lineRule="exact"/>
              <w:rPr>
                <w:sz w:val="20"/>
                <w:szCs w:val="20"/>
                <w:color w:val="auto"/>
              </w:rPr>
            </w:pPr>
            <w:r>
              <w:rPr>
                <w:rFonts w:ascii="Arial" w:cs="Arial" w:eastAsia="Arial" w:hAnsi="Arial"/>
                <w:sz w:val="22"/>
                <w:szCs w:val="22"/>
                <w:color w:val="auto"/>
              </w:rPr>
              <w:t>Date:</w:t>
            </w:r>
          </w:p>
        </w:tc>
        <w:tc>
          <w:tcPr>
            <w:tcW w:w="4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669"/>
        </w:trPr>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top w:val="single" w:sz="8" w:color="auto"/>
            </w:tcBorders>
          </w:tcPr>
          <w:p>
            <w:pPr>
              <w:spacing w:after="0"/>
              <w:rPr>
                <w:sz w:val="24"/>
                <w:szCs w:val="24"/>
                <w:color w:val="auto"/>
              </w:rPr>
            </w:pPr>
          </w:p>
        </w:tc>
        <w:tc>
          <w:tcPr>
            <w:tcW w:w="1760" w:type="dxa"/>
            <w:vAlign w:val="bottom"/>
          </w:tcPr>
          <w:p>
            <w:pPr>
              <w:jc w:val="right"/>
              <w:ind w:right="1157"/>
              <w:spacing w:after="0"/>
              <w:rPr>
                <w:sz w:val="20"/>
                <w:szCs w:val="20"/>
                <w:color w:val="auto"/>
              </w:rPr>
            </w:pPr>
            <w:r>
              <w:rPr>
                <w:rFonts w:ascii="Arial" w:cs="Arial" w:eastAsia="Arial" w:hAnsi="Arial"/>
                <w:sz w:val="18"/>
                <w:szCs w:val="18"/>
                <w:color w:val="auto"/>
              </w:rPr>
              <w:t>2</w:t>
            </w:r>
          </w:p>
        </w:tc>
        <w:tc>
          <w:tcPr>
            <w:tcW w:w="4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Restricted Stock Unit Terms and Conditions</w:t>
      </w:r>
    </w:p>
    <w:p>
      <w:pPr>
        <w:spacing w:after="0" w:line="233" w:lineRule="exact"/>
        <w:rPr>
          <w:sz w:val="20"/>
          <w:szCs w:val="20"/>
          <w:color w:val="auto"/>
        </w:rPr>
      </w:pPr>
    </w:p>
    <w:p>
      <w:pPr>
        <w:jc w:val="both"/>
        <w:ind w:left="880" w:hanging="440"/>
        <w:spacing w:after="0" w:line="236" w:lineRule="auto"/>
        <w:tabs>
          <w:tab w:leader="none" w:pos="880"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Capitalized terms used in the Grant Agreement but not otherwise defined therein</w:t>
      </w:r>
      <w:r>
        <w:rPr>
          <w:rFonts w:ascii="Arial" w:cs="Arial" w:eastAsia="Arial" w:hAnsi="Arial"/>
          <w:sz w:val="22"/>
          <w:szCs w:val="22"/>
          <w:b w:val="1"/>
          <w:bCs w:val="1"/>
          <w:color w:val="auto"/>
        </w:rPr>
        <w:t xml:space="preserve"> </w:t>
      </w:r>
      <w:r>
        <w:rPr>
          <w:rFonts w:ascii="Arial" w:cs="Arial" w:eastAsia="Arial" w:hAnsi="Arial"/>
          <w:sz w:val="22"/>
          <w:szCs w:val="22"/>
          <w:color w:val="auto"/>
        </w:rPr>
        <w:t>will have the meanings specified in Section 22. A Restricted Stock Unit is a non-voting unit of measurement which is deemed solely for bookkeeping purposes to be equivalent to one outstanding share of Common Stock (a “</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The Restricted Stock Units are used solely as a device to determine the number of Shares to eventually be issued to Grantee if such Restricted Stock Units vest. The Restricted Stock Units shall not be treated as property or as a trust fund of any kind.</w:t>
      </w:r>
    </w:p>
    <w:p>
      <w:pPr>
        <w:spacing w:after="0" w:line="208" w:lineRule="exact"/>
        <w:rPr>
          <w:rFonts w:ascii="Arial" w:cs="Arial" w:eastAsia="Arial" w:hAnsi="Arial"/>
          <w:sz w:val="22"/>
          <w:szCs w:val="22"/>
          <w:color w:val="auto"/>
        </w:rPr>
      </w:pPr>
    </w:p>
    <w:p>
      <w:pPr>
        <w:jc w:val="both"/>
        <w:ind w:left="880" w:hanging="440"/>
        <w:spacing w:after="0" w:line="246" w:lineRule="auto"/>
        <w:tabs>
          <w:tab w:leader="none" w:pos="880"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Settlement</w:t>
      </w:r>
      <w:r>
        <w:rPr>
          <w:rFonts w:ascii="Arial" w:cs="Arial" w:eastAsia="Arial" w:hAnsi="Arial"/>
          <w:sz w:val="21"/>
          <w:szCs w:val="21"/>
          <w:color w:val="auto"/>
        </w:rPr>
        <w:t>. Subject to Section 3, on or as soon as administratively practical (and within 20 business days)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the applicable date of vesting under the Vesting Schedule set forth in the Notice (a “</w:t>
      </w:r>
      <w:r>
        <w:rPr>
          <w:rFonts w:ascii="Arial" w:cs="Arial" w:eastAsia="Arial" w:hAnsi="Arial"/>
          <w:sz w:val="21"/>
          <w:szCs w:val="21"/>
          <w:b w:val="1"/>
          <w:bCs w:val="1"/>
          <w:i w:val="1"/>
          <w:iCs w:val="1"/>
          <w:color w:val="auto"/>
        </w:rPr>
        <w:t>Vesting Date</w:t>
      </w:r>
      <w:r>
        <w:rPr>
          <w:rFonts w:ascii="Arial" w:cs="Arial" w:eastAsia="Arial" w:hAnsi="Arial"/>
          <w:sz w:val="21"/>
          <w:szCs w:val="21"/>
          <w:color w:val="auto"/>
        </w:rPr>
        <w:t>”), the Company will deliver to Grantee a number of Shares (either by delivering one or more certificates for such Shares or by entering such Shares in book entry form, as determined by the Company in its discretion) equal to the number of Restricted Stock Units subject to the Restricted Stock Unit Grant that vest on the applicable Vesting Date, subject to the satisfaction of any applicable withholding obligations for Tax-Related Items. No fractional Restricted Stock Units or rights for fractional Shares shall be created pursuant to this Grant Agreement. Shares acquired pursuant to this Grant may be issued as CDIs and, unless the context otherwise requires, any references in this Grant Agreement to Shares include Shares that may be issued as CDIs.</w:t>
      </w:r>
    </w:p>
    <w:p>
      <w:pPr>
        <w:spacing w:after="0" w:line="202" w:lineRule="exact"/>
        <w:rPr>
          <w:rFonts w:ascii="Arial" w:cs="Arial" w:eastAsia="Arial" w:hAnsi="Arial"/>
          <w:sz w:val="21"/>
          <w:szCs w:val="21"/>
          <w:color w:val="auto"/>
        </w:rPr>
      </w:pPr>
    </w:p>
    <w:p>
      <w:pPr>
        <w:jc w:val="both"/>
        <w:ind w:left="880" w:hanging="440"/>
        <w:spacing w:after="0" w:line="249" w:lineRule="auto"/>
        <w:tabs>
          <w:tab w:leader="none" w:pos="880"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Delivery of Shares subject to Applicable Law</w:t>
      </w:r>
      <w:r>
        <w:rPr>
          <w:rFonts w:ascii="Arial" w:cs="Arial" w:eastAsia="Arial" w:hAnsi="Arial"/>
          <w:sz w:val="21"/>
          <w:szCs w:val="21"/>
          <w:color w:val="auto"/>
        </w:rPr>
        <w:t>. The delivery of Shares to the Grantee in accordance with Section 2</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subject to compliance by the Company and the Grantee with the Applicable Laws including the Corporations Act (to the extent applicable). In addition, for so long as the CDIs are listed on the ASX, within 15 business days after the later of (i) the Vesting Date, and (ii) when excluded information in respect of the Company (as defined in section 708A(7) of the Corporations Act) (if any) ceases to be excluded information, but in any case no later than 20 business days after the Vesting Date, the Company must:</w:t>
      </w:r>
    </w:p>
    <w:p>
      <w:pPr>
        <w:spacing w:after="0" w:line="203" w:lineRule="exact"/>
        <w:rPr>
          <w:rFonts w:ascii="Arial" w:cs="Arial" w:eastAsia="Arial" w:hAnsi="Arial"/>
          <w:sz w:val="21"/>
          <w:szCs w:val="21"/>
          <w:color w:val="auto"/>
        </w:rPr>
      </w:pPr>
    </w:p>
    <w:p>
      <w:pPr>
        <w:ind w:left="1740" w:hanging="436"/>
        <w:spacing w:after="0"/>
        <w:tabs>
          <w:tab w:leader="none" w:pos="1740" w:val="left"/>
        </w:tabs>
        <w:numPr>
          <w:ilvl w:val="1"/>
          <w:numId w:val="73"/>
        </w:numPr>
        <w:rPr>
          <w:rFonts w:ascii="Arial" w:cs="Arial" w:eastAsia="Arial" w:hAnsi="Arial"/>
          <w:sz w:val="22"/>
          <w:szCs w:val="22"/>
          <w:color w:val="auto"/>
        </w:rPr>
      </w:pPr>
      <w:r>
        <w:rPr>
          <w:rFonts w:ascii="Arial" w:cs="Arial" w:eastAsia="Arial" w:hAnsi="Arial"/>
          <w:sz w:val="22"/>
          <w:szCs w:val="22"/>
          <w:color w:val="auto"/>
        </w:rPr>
        <w:t>deliver the applicable Shares in accordance with Section 2; and</w:t>
      </w:r>
    </w:p>
    <w:p>
      <w:pPr>
        <w:spacing w:after="0" w:line="233" w:lineRule="exact"/>
        <w:rPr>
          <w:rFonts w:ascii="Arial" w:cs="Arial" w:eastAsia="Arial" w:hAnsi="Arial"/>
          <w:sz w:val="22"/>
          <w:szCs w:val="22"/>
          <w:color w:val="auto"/>
        </w:rPr>
      </w:pPr>
    </w:p>
    <w:p>
      <w:pPr>
        <w:jc w:val="both"/>
        <w:ind w:left="1740" w:hanging="436"/>
        <w:spacing w:after="0" w:line="235" w:lineRule="auto"/>
        <w:tabs>
          <w:tab w:leader="none" w:pos="1740" w:val="left"/>
        </w:tabs>
        <w:numPr>
          <w:ilvl w:val="1"/>
          <w:numId w:val="73"/>
        </w:numPr>
        <w:rPr>
          <w:rFonts w:ascii="Arial" w:cs="Arial" w:eastAsia="Arial" w:hAnsi="Arial"/>
          <w:sz w:val="22"/>
          <w:szCs w:val="22"/>
          <w:color w:val="auto"/>
        </w:rPr>
      </w:pPr>
      <w:r>
        <w:rPr>
          <w:rFonts w:ascii="Arial" w:cs="Arial" w:eastAsia="Arial" w:hAnsi="Arial"/>
          <w:sz w:val="22"/>
          <w:szCs w:val="22"/>
          <w:color w:val="auto"/>
        </w:rPr>
        <w:t>unless otherwise agreed by the Company and the Grantee, give ASX a notice in respect of the relevant Shares to be delivered under Section 2 that complies with section 708A(5)(e) of the Corporations Act, or, if the Company is unable to issue such a notice, lodge with ASIC a prospectus prepared in accordance with the Corporations Act and do all things necessary to satisfy section 708A(11) of the Corporations Act to ensure that an offer for sale of those Shares delivered in accordance with Section 2 does not require disclosure to investors.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9" w:name="page120"/>
    <w:bookmarkEnd w:id="119"/>
    <w:p>
      <w:pPr>
        <w:jc w:val="both"/>
        <w:ind w:left="440" w:hanging="440"/>
        <w:spacing w:after="0" w:line="243" w:lineRule="auto"/>
        <w:tabs>
          <w:tab w:leader="none" w:pos="440"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and Voting Rights</w:t>
      </w:r>
      <w:r>
        <w:rPr>
          <w:rFonts w:ascii="Arial" w:cs="Arial" w:eastAsia="Arial" w:hAnsi="Arial"/>
          <w:sz w:val="22"/>
          <w:szCs w:val="22"/>
          <w:color w:val="auto"/>
        </w:rPr>
        <w:t>. Unless and until such time as Shares are issued in settlement of vested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Grantee will have no ownership of the Shares allocated to the Restricted Stock Units, and will have no rights to vote such Shares and no rights to dividends.</w:t>
      </w:r>
    </w:p>
    <w:p>
      <w:pPr>
        <w:spacing w:after="0" w:line="203" w:lineRule="exact"/>
        <w:rPr>
          <w:rFonts w:ascii="Arial" w:cs="Arial" w:eastAsia="Arial" w:hAnsi="Arial"/>
          <w:sz w:val="22"/>
          <w:szCs w:val="22"/>
          <w:color w:val="auto"/>
        </w:rPr>
      </w:pPr>
    </w:p>
    <w:p>
      <w:pPr>
        <w:jc w:val="both"/>
        <w:ind w:left="440" w:hanging="440"/>
        <w:spacing w:after="0" w:line="239" w:lineRule="auto"/>
        <w:tabs>
          <w:tab w:leader="none" w:pos="440"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Restricted Stock Units</w:t>
      </w:r>
      <w:r>
        <w:rPr>
          <w:rFonts w:ascii="Arial" w:cs="Arial" w:eastAsia="Arial" w:hAnsi="Arial"/>
          <w:sz w:val="22"/>
          <w:szCs w:val="22"/>
          <w:color w:val="auto"/>
        </w:rPr>
        <w:t>. The Restricted Stock Units and any interest therein must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transferred, pledged, hypothecated, or otherwise disposed of in any manner other than by will or by the laws of descent or distribution or court order. The terms of this Grant Agreement will be binding upon the executors, administrators, heirs, successors, and assigns of Grantee.</w:t>
      </w:r>
    </w:p>
    <w:p>
      <w:pPr>
        <w:spacing w:after="0" w:line="207" w:lineRule="exact"/>
        <w:rPr>
          <w:rFonts w:ascii="Arial" w:cs="Arial" w:eastAsia="Arial" w:hAnsi="Arial"/>
          <w:sz w:val="22"/>
          <w:szCs w:val="22"/>
          <w:color w:val="auto"/>
        </w:rPr>
      </w:pPr>
    </w:p>
    <w:p>
      <w:pPr>
        <w:jc w:val="both"/>
        <w:ind w:left="440" w:hanging="440"/>
        <w:spacing w:after="0" w:line="235" w:lineRule="auto"/>
        <w:tabs>
          <w:tab w:leader="none" w:pos="440"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Grantee’s Continuous Service Status terminates for any reason, all unvested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forfeited to the Company, and all rights of Grantee to such Restricted Stock Units will immediately terminate without payment of any consideration to Grantee. The Committee shall have the exclusive discretion to determine when Grantee is no longer actively providing services for the purposes of this Restricted Stock Unit Grant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210" w:lineRule="exact"/>
        <w:rPr>
          <w:rFonts w:ascii="Arial" w:cs="Arial" w:eastAsia="Arial" w:hAnsi="Arial"/>
          <w:sz w:val="22"/>
          <w:szCs w:val="22"/>
          <w:color w:val="auto"/>
        </w:rPr>
      </w:pPr>
    </w:p>
    <w:p>
      <w:pPr>
        <w:ind w:left="440" w:hanging="440"/>
        <w:spacing w:after="0"/>
        <w:tabs>
          <w:tab w:leader="none" w:pos="440"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Restricted Stock Unit Grant, Grantee acknowledges that,</w:t>
      </w:r>
      <w:r>
        <w:rPr>
          <w:rFonts w:ascii="Arial" w:cs="Arial" w:eastAsia="Arial" w:hAnsi="Arial"/>
          <w:sz w:val="19"/>
          <w:szCs w:val="19"/>
          <w:b w:val="1"/>
          <w:bCs w:val="1"/>
          <w:color w:val="auto"/>
        </w:rPr>
        <w:t xml:space="preserve"> </w:t>
      </w:r>
      <w:r>
        <w:rPr>
          <w:rFonts w:ascii="Arial" w:cs="Arial" w:eastAsia="Arial" w:hAnsi="Arial"/>
          <w:sz w:val="19"/>
          <w:szCs w:val="19"/>
          <w:color w:val="auto"/>
        </w:rPr>
        <w:t>regardless of any action 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the Restricted Stock Unit Grant, including, but not limited to, the grant, vesting, or settlement of the Restricted Stock Unit Grant, the subsequent sale of Shares acquired pursuant to such settlement, and the receipt of any dividends; and (ii) do not commit to and are under no obligation to structure the terms of the grant or any aspect of the Restricted Stock Unit Grant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Grant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200" w:lineRule="exact"/>
        <w:rPr>
          <w:sz w:val="20"/>
          <w:szCs w:val="20"/>
          <w:color w:val="auto"/>
        </w:rPr>
      </w:pPr>
    </w:p>
    <w:p>
      <w:pPr>
        <w:spacing w:after="0" w:line="2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120" w:name="page121"/>
    <w:bookmarkEnd w:id="120"/>
    <w:p>
      <w:pPr>
        <w:jc w:val="both"/>
        <w:ind w:left="1300" w:hanging="436"/>
        <w:spacing w:after="0" w:line="289" w:lineRule="auto"/>
        <w:tabs>
          <w:tab w:leader="none" w:pos="1300"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68" w:lineRule="exact"/>
        <w:rPr>
          <w:rFonts w:ascii="Arial" w:cs="Arial" w:eastAsia="Arial" w:hAnsi="Arial"/>
          <w:sz w:val="19"/>
          <w:szCs w:val="19"/>
          <w:color w:val="auto"/>
        </w:rPr>
      </w:pPr>
    </w:p>
    <w:p>
      <w:pPr>
        <w:ind w:left="2140" w:hanging="210"/>
        <w:spacing w:after="0" w:line="250" w:lineRule="auto"/>
        <w:tabs>
          <w:tab w:leader="none" w:pos="2140" w:val="left"/>
        </w:tabs>
        <w:numPr>
          <w:ilvl w:val="1"/>
          <w:numId w:val="75"/>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jc w:val="both"/>
        <w:ind w:left="2140" w:hanging="210"/>
        <w:spacing w:after="0" w:line="257" w:lineRule="auto"/>
        <w:tabs>
          <w:tab w:leader="none" w:pos="2140" w:val="left"/>
        </w:tabs>
        <w:numPr>
          <w:ilvl w:val="1"/>
          <w:numId w:val="75"/>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on settlement of the Restricted Stock Units either through a voluntary sale or through a mandatory sale arranged by the Company (on Grantee’s behalf pursuant to this authorization and without further consent);</w:t>
      </w:r>
    </w:p>
    <w:p>
      <w:pPr>
        <w:spacing w:after="0" w:line="196" w:lineRule="exact"/>
        <w:rPr>
          <w:sz w:val="20"/>
          <w:szCs w:val="20"/>
          <w:color w:val="auto"/>
        </w:rPr>
      </w:pPr>
    </w:p>
    <w:p>
      <w:pPr>
        <w:jc w:val="both"/>
        <w:ind w:left="2180" w:hanging="242"/>
        <w:spacing w:after="0" w:line="238" w:lineRule="auto"/>
        <w:rPr>
          <w:sz w:val="20"/>
          <w:szCs w:val="20"/>
          <w:color w:val="auto"/>
        </w:rPr>
      </w:pPr>
      <w:r>
        <w:rPr>
          <w:rFonts w:ascii="Arial" w:cs="Arial" w:eastAsia="Arial" w:hAnsi="Arial"/>
          <w:sz w:val="22"/>
          <w:szCs w:val="22"/>
          <w:color w:val="auto"/>
        </w:rPr>
        <w:t>iii.withholding Shares to be issued upon settlement of the Restricted Stock Units, provided the Company only withholds a number of Shares necessary to satisfy no more than the withholding amounts determined based on the maximum permitted statutory rate applicable in Grantee’s jurisdiction;</w:t>
      </w:r>
    </w:p>
    <w:p>
      <w:pPr>
        <w:spacing w:after="0" w:line="212" w:lineRule="exact"/>
        <w:rPr>
          <w:sz w:val="20"/>
          <w:szCs w:val="20"/>
          <w:color w:val="auto"/>
        </w:rPr>
      </w:pPr>
    </w:p>
    <w:p>
      <w:pPr>
        <w:jc w:val="both"/>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45" w:lineRule="auto"/>
        <w:tabs>
          <w:tab w:leader="none" w:pos="440" w:val="left"/>
        </w:tabs>
        <w:numPr>
          <w:ilvl w:val="0"/>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Nature of Grant</w:t>
      </w:r>
      <w:r>
        <w:rPr>
          <w:rFonts w:ascii="Arial" w:cs="Arial" w:eastAsia="Arial" w:hAnsi="Arial"/>
          <w:sz w:val="21"/>
          <w:szCs w:val="21"/>
          <w:color w:val="auto"/>
        </w:rPr>
        <w:t>. In accepting this Grant, Grantee acknowledges, understands and agrees that: (a) this Grant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w:t>
      </w: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121" w:name="page122"/>
    <w:bookmarkEnd w:id="121"/>
    <w:p>
      <w:pPr>
        <w:jc w:val="both"/>
        <w:ind w:left="440"/>
        <w:spacing w:after="0" w:line="245" w:lineRule="auto"/>
        <w:rPr>
          <w:sz w:val="20"/>
          <w:szCs w:val="20"/>
          <w:color w:val="auto"/>
        </w:rPr>
      </w:pPr>
      <w:r>
        <w:rPr>
          <w:rFonts w:ascii="Arial" w:cs="Arial" w:eastAsia="Arial" w:hAnsi="Arial"/>
          <w:sz w:val="21"/>
          <w:szCs w:val="21"/>
          <w:color w:val="auto"/>
        </w:rPr>
        <w:t>resignation, termination, redundancy, dismissal, end-of- 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175" w:lineRule="exact"/>
        <w:rPr>
          <w:sz w:val="20"/>
          <w:szCs w:val="20"/>
          <w:color w:val="auto"/>
        </w:rPr>
      </w:pPr>
    </w:p>
    <w:p>
      <w:pPr>
        <w:jc w:val="both"/>
        <w:ind w:left="440" w:hanging="440"/>
        <w:spacing w:after="0" w:line="271" w:lineRule="auto"/>
        <w:tabs>
          <w:tab w:leader="none" w:pos="440" w:val="left"/>
        </w:tabs>
        <w:numPr>
          <w:ilvl w:val="0"/>
          <w:numId w:val="77"/>
        </w:numPr>
        <w:rPr>
          <w:rFonts w:ascii="Arial" w:cs="Arial" w:eastAsia="Arial" w:hAnsi="Arial"/>
          <w:sz w:val="19"/>
          <w:szCs w:val="19"/>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color w:val="auto"/>
        </w:rPr>
        <w:t>. It is intended that the terms of the Restricted Stock Unit Grant will not result in the imposition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tax liability pursuant to Section 409A of the Code, and this Grant Agreement shall be construed and interpreted consistent with that intent. To the extent that any amount constituting deferred compensation under Section 409A of the Code would become payable under this Grant Agreement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the Restricted Stock Unit Grant constitutes deferred compensation under Section 409A of the Code and the Grantee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this Grant Agreement is intended to constitute a separate payment for purposes of Treasury Regulation Section 1.409A-2(b)(2). In no event will the Grantee have a right to payment or reimbursement or otherwise from the Company or its Affiliates, or their successors or assigns, for any taxes imposed or other costs incurred as a result of Section 409A of the Code.</w:t>
      </w:r>
    </w:p>
    <w:p>
      <w:pPr>
        <w:spacing w:after="0" w:line="152" w:lineRule="exact"/>
        <w:rPr>
          <w:rFonts w:ascii="Arial" w:cs="Arial" w:eastAsia="Arial" w:hAnsi="Arial"/>
          <w:sz w:val="19"/>
          <w:szCs w:val="19"/>
          <w:color w:val="auto"/>
        </w:rPr>
      </w:pPr>
    </w:p>
    <w:p>
      <w:pPr>
        <w:jc w:val="both"/>
        <w:ind w:left="440" w:hanging="440"/>
        <w:spacing w:after="0" w:line="278" w:lineRule="auto"/>
        <w:tabs>
          <w:tab w:leader="none" w:pos="440" w:val="left"/>
        </w:tabs>
        <w:numPr>
          <w:ilvl w:val="0"/>
          <w:numId w:val="77"/>
        </w:numPr>
        <w:rPr>
          <w:rFonts w:ascii="Arial" w:cs="Arial" w:eastAsia="Arial" w:hAnsi="Arial"/>
          <w:sz w:val="19"/>
          <w:szCs w:val="19"/>
          <w:color w:val="auto"/>
        </w:rPr>
      </w:pP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Grantee hereby explicitly and unambiguously consents to the collection, use and transfer, in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w:t>
      </w:r>
    </w:p>
    <w:p>
      <w:pPr>
        <w:spacing w:after="0" w:line="3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22" w:name="page123"/>
    <w:bookmarkEnd w:id="122"/>
    <w:p>
      <w:pPr>
        <w:jc w:val="both"/>
        <w:ind w:left="440"/>
        <w:spacing w:after="0" w:line="285" w:lineRule="auto"/>
        <w:rPr>
          <w:sz w:val="20"/>
          <w:szCs w:val="20"/>
          <w:color w:val="auto"/>
        </w:rPr>
      </w:pPr>
      <w:r>
        <w:rPr>
          <w:rFonts w:ascii="Arial" w:cs="Arial" w:eastAsia="Arial" w:hAnsi="Arial"/>
          <w:sz w:val="18"/>
          <w:szCs w:val="18"/>
          <w:b w:val="1"/>
          <w:bCs w:val="1"/>
          <w:i w:val="1"/>
          <w:iCs w:val="1"/>
          <w:color w:val="auto"/>
        </w:rPr>
        <w:t>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392" w:lineRule="exact"/>
        <w:rPr>
          <w:sz w:val="20"/>
          <w:szCs w:val="20"/>
          <w:color w:val="auto"/>
        </w:rPr>
      </w:pPr>
    </w:p>
    <w:p>
      <w:pPr>
        <w:jc w:val="both"/>
        <w:ind w:left="440" w:hanging="440"/>
        <w:spacing w:after="0" w:line="249" w:lineRule="auto"/>
        <w:tabs>
          <w:tab w:leader="none" w:pos="440" w:val="left"/>
        </w:tabs>
        <w:numPr>
          <w:ilvl w:val="0"/>
          <w:numId w:val="78"/>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federal courts located in such State, and no other courts, where this Grant is made and/or to be performed.</w:t>
      </w:r>
    </w:p>
    <w:p>
      <w:pPr>
        <w:spacing w:after="0" w:line="170" w:lineRule="exact"/>
        <w:rPr>
          <w:rFonts w:ascii="Arial" w:cs="Arial" w:eastAsia="Arial" w:hAnsi="Arial"/>
          <w:sz w:val="21"/>
          <w:szCs w:val="21"/>
          <w:color w:val="auto"/>
        </w:rPr>
      </w:pPr>
    </w:p>
    <w:p>
      <w:pPr>
        <w:jc w:val="both"/>
        <w:ind w:left="440" w:hanging="440"/>
        <w:spacing w:after="0" w:line="235" w:lineRule="auto"/>
        <w:tabs>
          <w:tab w:leader="none" w:pos="440" w:val="left"/>
        </w:tabs>
        <w:numPr>
          <w:ilvl w:val="0"/>
          <w:numId w:val="78"/>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Enforcement of Rights; Amendment</w:t>
      </w:r>
      <w:r>
        <w:rPr>
          <w:rFonts w:ascii="Arial" w:cs="Arial" w:eastAsia="Arial" w:hAnsi="Arial"/>
          <w:sz w:val="22"/>
          <w:szCs w:val="22"/>
          <w:color w:val="auto"/>
        </w:rPr>
        <w:t>. This Grant Agreement sets forth the entire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w:t>
      </w:r>
    </w:p>
    <w:p>
      <w:pPr>
        <w:spacing w:after="0" w:line="200" w:lineRule="exact"/>
        <w:rPr>
          <w:sz w:val="20"/>
          <w:szCs w:val="20"/>
          <w:color w:val="auto"/>
        </w:rPr>
      </w:pPr>
    </w:p>
    <w:p>
      <w:pPr>
        <w:spacing w:after="0" w:line="2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23" w:name="page124"/>
    <w:bookmarkEnd w:id="123"/>
    <w:p>
      <w:pPr>
        <w:jc w:val="both"/>
        <w:ind w:left="440" w:right="20"/>
        <w:spacing w:after="0" w:line="236" w:lineRule="auto"/>
        <w:rPr>
          <w:sz w:val="20"/>
          <w:szCs w:val="20"/>
          <w:color w:val="auto"/>
        </w:rPr>
      </w:pPr>
      <w:r>
        <w:rPr>
          <w:rFonts w:ascii="Arial" w:cs="Arial" w:eastAsia="Arial" w:hAnsi="Arial"/>
          <w:sz w:val="22"/>
          <w:szCs w:val="22"/>
          <w:color w:val="auto"/>
        </w:rPr>
        <w:t>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81" w:lineRule="exact"/>
        <w:rPr>
          <w:sz w:val="20"/>
          <w:szCs w:val="20"/>
          <w:color w:val="auto"/>
        </w:rPr>
      </w:pPr>
    </w:p>
    <w:p>
      <w:pPr>
        <w:jc w:val="both"/>
        <w:ind w:left="440" w:hanging="440"/>
        <w:spacing w:after="0" w:line="283" w:lineRule="auto"/>
        <w:tabs>
          <w:tab w:leader="none" w:pos="440" w:val="left"/>
        </w:tabs>
        <w:numPr>
          <w:ilvl w:val="0"/>
          <w:numId w:val="79"/>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79"/>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jc w:val="both"/>
        <w:ind w:left="440" w:hanging="440"/>
        <w:spacing w:after="0" w:line="245" w:lineRule="auto"/>
        <w:tabs>
          <w:tab w:leader="none" w:pos="440" w:val="left"/>
        </w:tabs>
        <w:numPr>
          <w:ilvl w:val="0"/>
          <w:numId w:val="79"/>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the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 Grant and on any Shares acquired under this Grant Agreement,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80" w:lineRule="exact"/>
        <w:rPr>
          <w:rFonts w:ascii="Arial" w:cs="Arial" w:eastAsia="Arial" w:hAnsi="Arial"/>
          <w:sz w:val="21"/>
          <w:szCs w:val="21"/>
          <w:color w:val="auto"/>
        </w:rPr>
      </w:pPr>
    </w:p>
    <w:p>
      <w:pPr>
        <w:jc w:val="both"/>
        <w:ind w:left="440" w:hanging="440"/>
        <w:spacing w:after="0" w:line="280" w:lineRule="auto"/>
        <w:tabs>
          <w:tab w:leader="none" w:pos="440" w:val="left"/>
        </w:tabs>
        <w:numPr>
          <w:ilvl w:val="0"/>
          <w:numId w:val="79"/>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Grant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44" w:lineRule="exact"/>
        <w:rPr>
          <w:rFonts w:ascii="Arial" w:cs="Arial" w:eastAsia="Arial" w:hAnsi="Arial"/>
          <w:sz w:val="19"/>
          <w:szCs w:val="19"/>
          <w:color w:val="auto"/>
        </w:rPr>
      </w:pPr>
    </w:p>
    <w:p>
      <w:pPr>
        <w:jc w:val="both"/>
        <w:ind w:left="440" w:hanging="440"/>
        <w:spacing w:after="0" w:line="300" w:lineRule="auto"/>
        <w:tabs>
          <w:tab w:leader="none" w:pos="440" w:val="left"/>
        </w:tabs>
        <w:numPr>
          <w:ilvl w:val="0"/>
          <w:numId w:val="79"/>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Grant Agreement may be executed in two or more counterparts, each of which shall be deemed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and all of which together shall constitute one instrument. Facsimile, email or other electronic execution and delivery of this Grant Agreement (including but not limited to execution by electronic signature or click-through</w:t>
      </w: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24" w:name="page125"/>
    <w:bookmarkEnd w:id="124"/>
    <w:p>
      <w:pPr>
        <w:ind w:left="440"/>
        <w:spacing w:after="0" w:line="250" w:lineRule="auto"/>
        <w:rPr>
          <w:sz w:val="20"/>
          <w:szCs w:val="20"/>
          <w:color w:val="auto"/>
        </w:rPr>
      </w:pPr>
      <w:r>
        <w:rPr>
          <w:rFonts w:ascii="Arial" w:cs="Arial" w:eastAsia="Arial" w:hAnsi="Arial"/>
          <w:sz w:val="22"/>
          <w:szCs w:val="22"/>
          <w:color w:val="auto"/>
        </w:rPr>
        <w:t>electronic acceptance) shall constitute valid and binding execution and delivery for all purposes and shall be deemed to be, and have the effect of, an original signature.</w:t>
      </w:r>
    </w:p>
    <w:p>
      <w:pPr>
        <w:spacing w:after="0" w:line="169" w:lineRule="exact"/>
        <w:rPr>
          <w:sz w:val="20"/>
          <w:szCs w:val="20"/>
          <w:color w:val="auto"/>
        </w:rPr>
      </w:pPr>
    </w:p>
    <w:p>
      <w:pPr>
        <w:ind w:left="440" w:hanging="440"/>
        <w:spacing w:after="0" w:line="256" w:lineRule="auto"/>
        <w:tabs>
          <w:tab w:leader="none" w:pos="44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46" w:lineRule="auto"/>
        <w:tabs>
          <w:tab w:leader="none" w:pos="440" w:val="left"/>
        </w:tabs>
        <w:numPr>
          <w:ilvl w:val="0"/>
          <w:numId w:val="80"/>
        </w:numPr>
        <w:rPr>
          <w:rFonts w:ascii="Arial" w:cs="Arial" w:eastAsia="Arial" w:hAnsi="Arial"/>
          <w:sz w:val="21"/>
          <w:szCs w:val="21"/>
          <w:color w:val="auto"/>
        </w:rPr>
      </w:pPr>
      <w:r>
        <w:rPr>
          <w:rFonts w:ascii="Arial" w:cs="Arial" w:eastAsia="Arial" w:hAnsi="Arial"/>
          <w:sz w:val="21"/>
          <w:szCs w:val="21"/>
          <w:b w:val="1"/>
          <w:bCs w:val="1"/>
          <w:u w:val="single" w:color="auto"/>
          <w:color w:val="auto"/>
        </w:rPr>
        <w:t>Consent to Electronic Delivery and Participation</w:t>
      </w:r>
      <w:r>
        <w:rPr>
          <w:rFonts w:ascii="Arial" w:cs="Arial" w:eastAsia="Arial" w:hAnsi="Arial"/>
          <w:sz w:val="21"/>
          <w:szCs w:val="21"/>
          <w:color w:val="auto"/>
        </w:rPr>
        <w:t>. By accepting the Restricted Stock Units, Grantee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through an 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the Restricted Stock Units.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75" w:lineRule="exact"/>
        <w:rPr>
          <w:rFonts w:ascii="Arial" w:cs="Arial" w:eastAsia="Arial" w:hAnsi="Arial"/>
          <w:sz w:val="21"/>
          <w:szCs w:val="21"/>
          <w:color w:val="auto"/>
        </w:rPr>
      </w:pPr>
    </w:p>
    <w:p>
      <w:pPr>
        <w:jc w:val="both"/>
        <w:ind w:left="440" w:hanging="440"/>
        <w:spacing w:after="0" w:line="272" w:lineRule="auto"/>
        <w:tabs>
          <w:tab w:leader="none" w:pos="440" w:val="left"/>
        </w:tabs>
        <w:numPr>
          <w:ilvl w:val="0"/>
          <w:numId w:val="80"/>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color w:val="auto"/>
        </w:rPr>
        <w:t>. If the number of the Company’s outstanding Shares is changed or the value of the Shares is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affected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51"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that the Company is subject to a Change in Control, any unvested portion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outstanding as of immediately prior to the Change in Control shall vest in full as of the Change in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sz w:val="20"/>
          <w:szCs w:val="20"/>
          <w:color w:val="auto"/>
        </w:rPr>
      </w:pPr>
    </w:p>
    <w:p>
      <w:pPr>
        <w:ind w:left="4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8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25" w:name="page126"/>
    <w:bookmarkEnd w:id="125"/>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ASIC</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 Securities and Investments Commission.</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the ASX Limited (ABN 98 008 624 691), or the securities market which it operates, as the context requires.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or such other ratio as may be adopted by the Company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200" w:lineRule="exact"/>
        <w:rPr>
          <w:sz w:val="20"/>
          <w:szCs w:val="20"/>
          <w:color w:val="auto"/>
        </w:rPr>
      </w:pP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26" w:name="page127"/>
    <w:bookmarkEnd w:id="126"/>
    <w:p>
      <w:pPr>
        <w:jc w:val="both"/>
        <w:ind w:left="860" w:hanging="436"/>
        <w:spacing w:after="0" w:line="248" w:lineRule="auto"/>
        <w:tabs>
          <w:tab w:leader="none" w:pos="860" w:val="left"/>
        </w:tabs>
        <w:numPr>
          <w:ilvl w:val="0"/>
          <w:numId w:val="82"/>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35" w:lineRule="auto"/>
        <w:tabs>
          <w:tab w:leader="none" w:pos="8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Consultant</w:t>
      </w:r>
      <w:r>
        <w:rPr>
          <w:rFonts w:ascii="Arial" w:cs="Arial" w:eastAsia="Arial" w:hAnsi="Arial"/>
          <w:sz w:val="22"/>
          <w:szCs w:val="22"/>
          <w:color w:val="auto"/>
        </w:rPr>
        <w:t>” means any natural person, including an advisor or independent contractor, that is engaged to render services to the Company or an Affiliate.</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1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27" w:name="page128"/>
    <w:bookmarkEnd w:id="127"/>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Agreement is approved by the stockholders of the Company.</w:t>
      </w:r>
    </w:p>
    <w:p>
      <w:pPr>
        <w:spacing w:after="0" w:line="206"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jc w:val="both"/>
        <w:ind w:left="8" w:hanging="8"/>
        <w:spacing w:after="0" w:line="232" w:lineRule="auto"/>
        <w:tabs>
          <w:tab w:leader="none" w:pos="413"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ind w:left="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 other than the last corporation in the unbroken chain owns stock possessing fifty percent (50%) or more of the total combined voting power of all classes of stock in one of the other corporation in such chain.</w:t>
      </w:r>
    </w:p>
    <w:p>
      <w:pPr>
        <w:spacing w:after="0" w:line="185" w:lineRule="exact"/>
        <w:rPr>
          <w:sz w:val="20"/>
          <w:szCs w:val="20"/>
          <w:color w:val="auto"/>
        </w:rPr>
      </w:pPr>
    </w:p>
    <w:p>
      <w:pPr>
        <w:jc w:val="both"/>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Restricted Stock Units and legally applicable to the Grantee, including any employer liability for which the Grantee is liable.</w:t>
      </w:r>
    </w:p>
    <w:p>
      <w:pPr>
        <w:spacing w:after="0" w:line="19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128" w:name="page129"/>
    <w:bookmarkEnd w:id="128"/>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19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360"/>
          </w:cols>
          <w:pgMar w:left="1200" w:top="36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Stock Option Grant</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AVITA Medical, Inc. (formerly,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an option to purchase up to the number of shares of Common Stock set forth below (this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 This Grant must be approved by the Company’s stockholders at the next annual meeting of the Company. If such approval is not obtained, this Grant and any shares acquired hereunder shall be immediately forfeited.</w:t>
      </w:r>
    </w:p>
    <w:p>
      <w:pPr>
        <w:sectPr>
          <w:pgSz w:w="11900" w:h="16838" w:orient="portrait"/>
          <w:cols w:equalWidth="0" w:num="1">
            <w:col w:w="11240"/>
          </w:cols>
          <w:pgMar w:left="320" w:top="111" w:right="3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Grantee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James Corbett</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ID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Grant ID: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September 28, 2022</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$5.64</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226,296</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Type of Option: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Nonstatutory Stock Option</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Country at Grant: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U.S.</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Expiration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Tenth Anniversary of Date of Grant</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September 28, 2022</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One-fourth (1/4) of the Option shall vest on each of the first four (4) anniversaries of the Vesting Commencement Date.</w:t>
      </w:r>
    </w:p>
    <w:p>
      <w:pPr>
        <w:spacing w:after="0" w:line="200" w:lineRule="exact"/>
        <w:rPr>
          <w:sz w:val="20"/>
          <w:szCs w:val="20"/>
          <w:color w:val="auto"/>
        </w:rPr>
      </w:pPr>
    </w:p>
    <w:p>
      <w:pPr>
        <w:sectPr>
          <w:pgSz w:w="11900" w:h="16838" w:orient="portrait"/>
          <w:cols w:equalWidth="0" w:num="2">
            <w:col w:w="3320" w:space="720"/>
            <w:col w:w="7200"/>
          </w:cols>
          <w:pgMar w:left="320" w:top="111" w:right="339" w:bottom="1440" w:gutter="0" w:footer="0" w:header="0"/>
          <w:type w:val="continuous"/>
        </w:sectPr>
      </w:pPr>
    </w:p>
    <w:p>
      <w:pPr>
        <w:spacing w:after="0" w:line="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Capitalized terms used but not defined in this Notice of Stock Option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this Option.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accepting this Option (whether electronically or otherwise), Grantee acknowledges and agrees to the following:</w:t>
      </w:r>
    </w:p>
    <w:p>
      <w:pPr>
        <w:spacing w:after="0" w:line="206" w:lineRule="exact"/>
        <w:rPr>
          <w:sz w:val="20"/>
          <w:szCs w:val="20"/>
          <w:color w:val="auto"/>
        </w:rPr>
      </w:pPr>
    </w:p>
    <w:p>
      <w:pPr>
        <w:ind w:left="880" w:hanging="440"/>
        <w:spacing w:after="0"/>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This Option is governed by the terms and conditions of this Grant Agreement.</w:t>
      </w:r>
    </w:p>
    <w:p>
      <w:pPr>
        <w:spacing w:after="0" w:line="206"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and the Administrator regarding any questions relating to this Option.</w:t>
      </w:r>
    </w:p>
    <w:p>
      <w:pPr>
        <w:spacing w:after="0" w:line="211" w:lineRule="exact"/>
        <w:rPr>
          <w:rFonts w:ascii="Arial" w:cs="Arial" w:eastAsia="Arial" w:hAnsi="Arial"/>
          <w:sz w:val="22"/>
          <w:szCs w:val="22"/>
          <w:color w:val="auto"/>
        </w:rPr>
      </w:pPr>
    </w:p>
    <w:p>
      <w:pPr>
        <w:ind w:left="880" w:hanging="440"/>
        <w:spacing w:after="0" w:line="250" w:lineRule="auto"/>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Vesting of this Option is subject to Grantee’s Continuous Service Status as Chief Executive Officer of the Company, which is for an unspecified duration and may be terminated at 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30" w:name="page131"/>
    <w:bookmarkEnd w:id="130"/>
    <w:p>
      <w:pPr>
        <w:ind w:left="880"/>
        <w:spacing w:after="0"/>
        <w:rPr>
          <w:sz w:val="20"/>
          <w:szCs w:val="20"/>
          <w:color w:val="auto"/>
        </w:rPr>
      </w:pPr>
      <w:r>
        <w:rPr>
          <w:rFonts w:ascii="Arial" w:cs="Arial" w:eastAsia="Arial" w:hAnsi="Arial"/>
          <w:sz w:val="22"/>
          <w:szCs w:val="22"/>
          <w:color w:val="auto"/>
        </w:rPr>
        <w:t>time with or without Cause, and nothing in this Grant Agreement changes the nature of that relationship.</w:t>
      </w:r>
    </w:p>
    <w:p>
      <w:pPr>
        <w:spacing w:after="0" w:line="233" w:lineRule="exact"/>
        <w:rPr>
          <w:sz w:val="20"/>
          <w:szCs w:val="20"/>
          <w:color w:val="auto"/>
        </w:rPr>
      </w:pPr>
    </w:p>
    <w:p>
      <w:pPr>
        <w:jc w:val="both"/>
        <w:ind w:left="880" w:right="20" w:hanging="440"/>
        <w:spacing w:after="0" w:line="279" w:lineRule="auto"/>
        <w:tabs>
          <w:tab w:leader="none" w:pos="8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Company is not providing any tax, legal, financial or financial product advice, nor is the Company making any recommendations or statements of opinion that are intended to influence Grantee in making a decision regarding Grantee’s acceptance of this Grant Agreement. </w:t>
      </w:r>
      <w:r>
        <w:rPr>
          <w:rFonts w:ascii="Arial" w:cs="Arial" w:eastAsia="Arial" w:hAnsi="Arial"/>
          <w:sz w:val="19"/>
          <w:szCs w:val="19"/>
          <w:b w:val="1"/>
          <w:bCs w:val="1"/>
          <w:i w:val="1"/>
          <w:iCs w:val="1"/>
          <w:color w:val="auto"/>
        </w:rPr>
        <w:t>Grantee should consult with his or her own personal independent 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legal, and financial advisors regarding this Grant Agreement who are appropriately licensed to give advice as to whether participation in the Grant is appropriate in light of his circumstances and to clarify his taxation position in relation to participation in this Grant before taking any action related to this Grant Agreement</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880" w:right="20" w:hanging="440"/>
        <w:spacing w:after="0" w:line="250" w:lineRule="auto"/>
        <w:tabs>
          <w:tab w:leader="none" w:pos="8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This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80" w:lineRule="auto"/>
        <w:tabs>
          <w:tab w:leader="none" w:pos="880"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 xml:space="preserve">If Grantee does not accept or decline this Option within 60 days of the Date of Grant or by such other date that may be communicated to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9"/>
          <w:szCs w:val="19"/>
          <w:b w:val="1"/>
          <w:bCs w:val="1"/>
          <w:u w:val="single" w:color="auto"/>
          <w:color w:val="auto"/>
        </w:rPr>
        <w:t>dshiroma@avitamedical.com</w:t>
      </w:r>
      <w:r>
        <w:rPr>
          <w:rFonts w:ascii="Arial" w:cs="Arial" w:eastAsia="Arial" w:hAnsi="Arial"/>
          <w:sz w:val="19"/>
          <w:szCs w:val="19"/>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9"/>
          <w:szCs w:val="19"/>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080" w:type="dxa"/>
            <w:vAlign w:val="bottom"/>
            <w:gridSpan w:val="2"/>
          </w:tcPr>
          <w:p>
            <w:pPr>
              <w:spacing w:after="0"/>
              <w:rPr>
                <w:sz w:val="20"/>
                <w:szCs w:val="20"/>
                <w:color w:val="auto"/>
              </w:rPr>
            </w:pPr>
            <w:r>
              <w:rPr>
                <w:rFonts w:ascii="Arial" w:cs="Arial" w:eastAsia="Arial" w:hAnsi="Arial"/>
                <w:sz w:val="22"/>
                <w:szCs w:val="22"/>
                <w:b w:val="1"/>
                <w:bCs w:val="1"/>
                <w:color w:val="auto"/>
              </w:rPr>
              <w:t>AVITA Medical, Inc.</w:t>
            </w:r>
          </w:p>
        </w:tc>
        <w:tc>
          <w:tcPr>
            <w:tcW w:w="6180" w:type="dxa"/>
            <w:vAlign w:val="bottom"/>
            <w:gridSpan w:val="3"/>
          </w:tcPr>
          <w:p>
            <w:pPr>
              <w:ind w:left="360"/>
              <w:spacing w:after="0"/>
              <w:rPr>
                <w:sz w:val="20"/>
                <w:szCs w:val="20"/>
                <w:color w:val="auto"/>
              </w:rPr>
            </w:pPr>
            <w:r>
              <w:rPr>
                <w:rFonts w:ascii="Arial" w:cs="Arial" w:eastAsia="Arial" w:hAnsi="Arial"/>
                <w:sz w:val="22"/>
                <w:szCs w:val="22"/>
                <w:b w:val="1"/>
                <w:bCs w:val="1"/>
                <w:color w:val="auto"/>
              </w:rPr>
              <w:t>Grantee</w:t>
            </w:r>
          </w:p>
        </w:tc>
      </w:tr>
      <w:tr>
        <w:trPr>
          <w:trHeight w:val="962"/>
        </w:trPr>
        <w:tc>
          <w:tcPr>
            <w:tcW w:w="5080" w:type="dxa"/>
            <w:vAlign w:val="bottom"/>
            <w:gridSpan w:val="2"/>
          </w:tcPr>
          <w:p>
            <w:pPr>
              <w:spacing w:after="0"/>
              <w:rPr>
                <w:sz w:val="20"/>
                <w:szCs w:val="20"/>
                <w:color w:val="auto"/>
              </w:rPr>
            </w:pPr>
            <w:r>
              <w:rPr>
                <w:rFonts w:ascii="Arial" w:cs="Arial" w:eastAsia="Arial" w:hAnsi="Arial"/>
                <w:sz w:val="22"/>
                <w:szCs w:val="22"/>
                <w:color w:val="auto"/>
              </w:rPr>
              <w:t>By:</w:t>
            </w:r>
          </w:p>
        </w:tc>
        <w:tc>
          <w:tcPr>
            <w:tcW w:w="6180" w:type="dxa"/>
            <w:vAlign w:val="bottom"/>
            <w:gridSpan w:val="3"/>
          </w:tcPr>
          <w:p>
            <w:pPr>
              <w:ind w:left="360"/>
              <w:spacing w:after="0"/>
              <w:rPr>
                <w:sz w:val="20"/>
                <w:szCs w:val="20"/>
                <w:color w:val="auto"/>
              </w:rPr>
            </w:pPr>
            <w:r>
              <w:rPr>
                <w:rFonts w:ascii="Arial" w:cs="Arial" w:eastAsia="Arial" w:hAnsi="Arial"/>
                <w:sz w:val="22"/>
                <w:szCs w:val="22"/>
                <w:color w:val="auto"/>
              </w:rPr>
              <w:t>Signature:</w:t>
            </w:r>
          </w:p>
        </w:tc>
      </w:tr>
      <w:tr>
        <w:trPr>
          <w:trHeight w:val="236"/>
        </w:trPr>
        <w:tc>
          <w:tcPr>
            <w:tcW w:w="86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4220" w:type="dxa"/>
            <w:vAlign w:val="bottom"/>
            <w:tcBorders>
              <w:top w:val="single" w:sz="8" w:color="auto"/>
              <w:bottom w:val="single" w:sz="8" w:color="auto"/>
            </w:tcBorders>
          </w:tcPr>
          <w:p>
            <w:pPr>
              <w:spacing w:after="0"/>
              <w:rPr>
                <w:sz w:val="20"/>
                <w:szCs w:val="20"/>
                <w:color w:val="auto"/>
              </w:rPr>
            </w:pPr>
          </w:p>
        </w:tc>
        <w:tc>
          <w:tcPr>
            <w:tcW w:w="1560" w:type="dxa"/>
            <w:vAlign w:val="bottom"/>
          </w:tcPr>
          <w:p>
            <w:pPr>
              <w:ind w:left="360"/>
              <w:spacing w:after="0" w:line="237" w:lineRule="exact"/>
              <w:rPr>
                <w:sz w:val="20"/>
                <w:szCs w:val="20"/>
                <w:color w:val="auto"/>
              </w:rPr>
            </w:pPr>
            <w:r>
              <w:rPr>
                <w:rFonts w:ascii="Arial" w:cs="Arial" w:eastAsia="Arial" w:hAnsi="Arial"/>
                <w:sz w:val="22"/>
                <w:szCs w:val="22"/>
                <w:color w:val="auto"/>
              </w:rPr>
              <w:t>Date:</w:t>
            </w:r>
          </w:p>
        </w:tc>
        <w:tc>
          <w:tcPr>
            <w:tcW w:w="438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912"/>
        </w:trPr>
        <w:tc>
          <w:tcPr>
            <w:tcW w:w="8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60" w:type="dxa"/>
            <w:vAlign w:val="bottom"/>
          </w:tcPr>
          <w:p>
            <w:pPr>
              <w:jc w:val="right"/>
              <w:ind w:right="877"/>
              <w:spacing w:after="0"/>
              <w:rPr>
                <w:sz w:val="20"/>
                <w:szCs w:val="20"/>
                <w:color w:val="auto"/>
              </w:rPr>
            </w:pPr>
            <w:r>
              <w:rPr>
                <w:rFonts w:ascii="Arial" w:cs="Arial" w:eastAsia="Arial" w:hAnsi="Arial"/>
                <w:sz w:val="18"/>
                <w:szCs w:val="18"/>
                <w:color w:val="auto"/>
              </w:rPr>
              <w:t>2</w:t>
            </w: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Option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86"/>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Option</w:t>
      </w:r>
      <w:r>
        <w:rPr>
          <w:rFonts w:ascii="Arial" w:cs="Arial" w:eastAsia="Arial" w:hAnsi="Arial"/>
          <w:sz w:val="22"/>
          <w:szCs w:val="22"/>
          <w:color w:val="auto"/>
        </w:rPr>
        <w:t>. Capitalized terms used in this Grant Agreement but not otherwise defined will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in Section 24 below.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208" w:lineRule="exact"/>
        <w:rPr>
          <w:rFonts w:ascii="Arial" w:cs="Arial" w:eastAsia="Arial" w:hAnsi="Arial"/>
          <w:sz w:val="22"/>
          <w:szCs w:val="22"/>
          <w:color w:val="auto"/>
        </w:rPr>
      </w:pPr>
    </w:p>
    <w:p>
      <w:pPr>
        <w:jc w:val="both"/>
        <w:ind w:left="880" w:hanging="440"/>
        <w:spacing w:after="0" w:line="274" w:lineRule="auto"/>
        <w:tabs>
          <w:tab w:leader="none" w:pos="880"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of Achievement</w:t>
      </w:r>
      <w:r>
        <w:rPr>
          <w:rFonts w:ascii="Arial" w:cs="Arial" w:eastAsia="Arial" w:hAnsi="Arial"/>
          <w:sz w:val="19"/>
          <w:szCs w:val="19"/>
          <w:color w:val="auto"/>
        </w:rPr>
        <w:t>. This Section 2 applies if the Option is subject to performance-based vesting</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The Committee shall determine the extent to which a performance-based vesting condition has been met in its sole discretion, including the manner of calculating the performance criteria and the measure of whether and to what degree such performance goals have been attained. The Committee may, subject to compliance with and only to the extent permitted by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under Applicable Law.</w:t>
      </w:r>
    </w:p>
    <w:p>
      <w:pPr>
        <w:spacing w:after="0" w:line="151" w:lineRule="exact"/>
        <w:rPr>
          <w:rFonts w:ascii="Arial" w:cs="Arial" w:eastAsia="Arial" w:hAnsi="Arial"/>
          <w:sz w:val="19"/>
          <w:szCs w:val="19"/>
          <w:b w:val="1"/>
          <w:bCs w:val="1"/>
          <w:color w:val="auto"/>
        </w:rPr>
      </w:pPr>
    </w:p>
    <w:p>
      <w:pPr>
        <w:jc w:val="both"/>
        <w:ind w:left="880" w:hanging="440"/>
        <w:spacing w:after="0" w:line="272" w:lineRule="auto"/>
        <w:tabs>
          <w:tab w:leader="none" w:pos="880"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This Option is exercisable during its term in accordance with the Vesting Schedule contained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Notice and the applicable provisions of the Grant Agreement and subject to compliance with all Applicable Laws.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Shares acquired pursuant to this Option may be issued as CDIs (except where a cashless exercise program is implemented in respect of the Option, in which case only Common Stock may be issued).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2" w:name="page133"/>
    <w:bookmarkEnd w:id="132"/>
    <w:p>
      <w:pPr>
        <w:jc w:val="both"/>
        <w:ind w:left="440"/>
        <w:spacing w:after="0" w:line="279" w:lineRule="auto"/>
        <w:rPr>
          <w:sz w:val="20"/>
          <w:szCs w:val="20"/>
          <w:color w:val="auto"/>
        </w:rPr>
      </w:pPr>
      <w:r>
        <w:rPr>
          <w:rFonts w:ascii="Arial" w:cs="Arial" w:eastAsia="Arial" w:hAnsi="Arial"/>
          <w:sz w:val="19"/>
          <w:szCs w:val="19"/>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 Fair Market Value, for reasons of administrative convenience.</w:t>
      </w:r>
    </w:p>
    <w:p>
      <w:pPr>
        <w:spacing w:after="0" w:line="144" w:lineRule="exact"/>
        <w:rPr>
          <w:sz w:val="20"/>
          <w:szCs w:val="20"/>
          <w:color w:val="auto"/>
        </w:rPr>
      </w:pPr>
    </w:p>
    <w:p>
      <w:pPr>
        <w:jc w:val="both"/>
        <w:ind w:left="440" w:hanging="440"/>
        <w:spacing w:after="0" w:line="246" w:lineRule="auto"/>
        <w:tabs>
          <w:tab w:leader="none" w:pos="44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Method of Payment</w:t>
      </w:r>
      <w:r>
        <w:rPr>
          <w:rFonts w:ascii="Arial" w:cs="Arial" w:eastAsia="Arial" w:hAnsi="Arial"/>
          <w:sz w:val="21"/>
          <w:szCs w:val="21"/>
          <w:color w:val="auto"/>
        </w:rPr>
        <w:t>. Grantee may always pay the Exercise Price by personal check (or readily available funds), wire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cashier’s check or, where the Grantee is issued Shares (and not CDIs), by consideration received by the Company pursuant to a broker-assisted cashless exercise program implemented by the Administrator in connection with this Grant whereby the amount of Shares equal to the sum of the applicable taxes and the aggregate Exercise Price in connection with the Option exercise is sold to pay those costs and the Grantee retains the net Shares. The Administrator may also allow any other method 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175" w:lineRule="exact"/>
        <w:rPr>
          <w:rFonts w:ascii="Arial" w:cs="Arial" w:eastAsia="Arial" w:hAnsi="Arial"/>
          <w:sz w:val="21"/>
          <w:szCs w:val="21"/>
          <w:b w:val="1"/>
          <w:bCs w:val="1"/>
          <w:color w:val="auto"/>
        </w:rPr>
      </w:pPr>
    </w:p>
    <w:p>
      <w:pPr>
        <w:ind w:left="440" w:hanging="440"/>
        <w:spacing w:after="0"/>
        <w:tabs>
          <w:tab w:leader="none" w:pos="440" w:val="left"/>
        </w:tabs>
        <w:numPr>
          <w:ilvl w:val="0"/>
          <w:numId w:val="87"/>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Term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300" w:lineRule="auto"/>
        <w:tabs>
          <w:tab w:leader="none" w:pos="1300" w:val="left"/>
        </w:tabs>
        <w:numPr>
          <w:ilvl w:val="1"/>
          <w:numId w:val="87"/>
        </w:numPr>
        <w:rPr>
          <w:rFonts w:ascii="Arial" w:cs="Arial" w:eastAsia="Arial" w:hAnsi="Arial"/>
          <w:sz w:val="19"/>
          <w:szCs w:val="19"/>
          <w:color w:val="auto"/>
        </w:rPr>
      </w:pPr>
      <w:r>
        <w:rPr>
          <w:rFonts w:ascii="Arial" w:cs="Arial" w:eastAsia="Arial" w:hAnsi="Arial"/>
          <w:sz w:val="19"/>
          <w:szCs w:val="19"/>
          <w:b w:val="1"/>
          <w:bCs w:val="1"/>
          <w:u w:val="single" w:color="auto"/>
          <w:color w:val="auto"/>
        </w:rPr>
        <w:t>Maximum Term</w:t>
      </w:r>
      <w:r>
        <w:rPr>
          <w:rFonts w:ascii="Arial" w:cs="Arial" w:eastAsia="Arial" w:hAnsi="Arial"/>
          <w:sz w:val="19"/>
          <w:szCs w:val="19"/>
          <w:color w:val="auto"/>
        </w:rPr>
        <w:t>. This Option will in all events expire at the close of business at Company headquarters 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Date specified in the Notice, unless it terminates earlier in connection with the termination of Grantee’s Continuous Service Status (as provided below) or a Change in Control (as provided below).</w:t>
      </w:r>
    </w:p>
    <w:p>
      <w:pPr>
        <w:spacing w:after="0" w:line="152" w:lineRule="exact"/>
        <w:rPr>
          <w:rFonts w:ascii="Arial" w:cs="Arial" w:eastAsia="Arial" w:hAnsi="Arial"/>
          <w:sz w:val="19"/>
          <w:szCs w:val="19"/>
          <w:color w:val="auto"/>
        </w:rPr>
      </w:pPr>
    </w:p>
    <w:p>
      <w:pPr>
        <w:jc w:val="both"/>
        <w:ind w:left="1300" w:hanging="436"/>
        <w:spacing w:after="0" w:line="254" w:lineRule="auto"/>
        <w:tabs>
          <w:tab w:leader="none" w:pos="1300" w:val="left"/>
        </w:tabs>
        <w:numPr>
          <w:ilvl w:val="1"/>
          <w:numId w:val="87"/>
        </w:numPr>
        <w:rPr>
          <w:rFonts w:ascii="Arial" w:cs="Arial" w:eastAsia="Arial" w:hAnsi="Arial"/>
          <w:sz w:val="21"/>
          <w:szCs w:val="21"/>
          <w:color w:val="auto"/>
        </w:rPr>
      </w:pPr>
      <w:r>
        <w:rPr>
          <w:rFonts w:ascii="Arial" w:cs="Arial" w:eastAsia="Arial" w:hAnsi="Arial"/>
          <w:sz w:val="21"/>
          <w:szCs w:val="21"/>
          <w:b w:val="1"/>
          <w:bCs w:val="1"/>
          <w:u w:val="single" w:color="auto"/>
          <w:color w:val="auto"/>
        </w:rPr>
        <w:t>Post-Termination Exercise Period</w:t>
      </w:r>
      <w:r>
        <w:rPr>
          <w:rFonts w:ascii="Arial" w:cs="Arial" w:eastAsia="Arial" w:hAnsi="Arial"/>
          <w:sz w:val="21"/>
          <w:szCs w:val="21"/>
          <w:color w:val="auto"/>
        </w:rPr>
        <w:t>. If Grantee’s Continuous Service Status terminates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Date of this Option other than for Cause, the unvested portion of this Option will automatically expire on Grantee’s date of termination, and the vested portion of this Option will remain outstanding and exercisable for the following periods, unless otherwise determined by the Committee:</w:t>
      </w:r>
    </w:p>
    <w:p>
      <w:pPr>
        <w:spacing w:after="0" w:line="198" w:lineRule="exact"/>
        <w:rPr>
          <w:rFonts w:ascii="Arial" w:cs="Arial" w:eastAsia="Arial" w:hAnsi="Arial"/>
          <w:sz w:val="21"/>
          <w:szCs w:val="21"/>
          <w:color w:val="auto"/>
        </w:rPr>
      </w:pPr>
    </w:p>
    <w:p>
      <w:pPr>
        <w:ind w:left="2140" w:hanging="210"/>
        <w:spacing w:after="0"/>
        <w:tabs>
          <w:tab w:leader="none" w:pos="2140" w:val="left"/>
        </w:tabs>
        <w:numPr>
          <w:ilvl w:val="2"/>
          <w:numId w:val="87"/>
        </w:numPr>
        <w:rPr>
          <w:rFonts w:ascii="Arial" w:cs="Arial" w:eastAsia="Arial" w:hAnsi="Arial"/>
          <w:sz w:val="19"/>
          <w:szCs w:val="19"/>
          <w:color w:val="auto"/>
        </w:rPr>
      </w:pPr>
      <w:r>
        <w:rPr>
          <w:rFonts w:ascii="Arial" w:cs="Arial" w:eastAsia="Arial" w:hAnsi="Arial"/>
          <w:sz w:val="19"/>
          <w:szCs w:val="19"/>
          <w:color w:val="auto"/>
        </w:rPr>
        <w:t>three (3) months following a termination for any reason other than Cause, Disability, or death;</w:t>
      </w:r>
    </w:p>
    <w:p>
      <w:pPr>
        <w:spacing w:after="0" w:line="267" w:lineRule="exact"/>
        <w:rPr>
          <w:rFonts w:ascii="Arial" w:cs="Arial" w:eastAsia="Arial" w:hAnsi="Arial"/>
          <w:sz w:val="19"/>
          <w:szCs w:val="19"/>
          <w:color w:val="auto"/>
        </w:rPr>
      </w:pPr>
    </w:p>
    <w:p>
      <w:pPr>
        <w:ind w:left="2140" w:hanging="210"/>
        <w:spacing w:after="0"/>
        <w:tabs>
          <w:tab w:leader="none" w:pos="2140" w:val="left"/>
        </w:tabs>
        <w:numPr>
          <w:ilvl w:val="2"/>
          <w:numId w:val="87"/>
        </w:numPr>
        <w:rPr>
          <w:rFonts w:ascii="Arial" w:cs="Arial" w:eastAsia="Arial" w:hAnsi="Arial"/>
          <w:sz w:val="22"/>
          <w:szCs w:val="22"/>
          <w:color w:val="auto"/>
        </w:rPr>
      </w:pPr>
      <w:r>
        <w:rPr>
          <w:rFonts w:ascii="Arial" w:cs="Arial" w:eastAsia="Arial" w:hAnsi="Arial"/>
          <w:sz w:val="22"/>
          <w:szCs w:val="22"/>
          <w:color w:val="auto"/>
        </w:rPr>
        <w:t>six (6) months following a termination due to Disability; and</w:t>
      </w:r>
    </w:p>
    <w:p>
      <w:pPr>
        <w:spacing w:after="0" w:line="233" w:lineRule="exact"/>
        <w:rPr>
          <w:sz w:val="20"/>
          <w:szCs w:val="20"/>
          <w:color w:val="auto"/>
        </w:rPr>
      </w:pPr>
    </w:p>
    <w:p>
      <w:pPr>
        <w:ind w:left="2180" w:right="20" w:hanging="242"/>
        <w:spacing w:after="0" w:line="250" w:lineRule="auto"/>
        <w:rPr>
          <w:sz w:val="20"/>
          <w:szCs w:val="20"/>
          <w:color w:val="auto"/>
        </w:rPr>
      </w:pPr>
      <w:r>
        <w:rPr>
          <w:rFonts w:ascii="Arial" w:cs="Arial" w:eastAsia="Arial" w:hAnsi="Arial"/>
          <w:sz w:val="22"/>
          <w:szCs w:val="22"/>
          <w:color w:val="auto"/>
        </w:rPr>
        <w:t>iii.twelve (12) months following the date of Grantee’s death, if Grantee dies while in Continuous Service Status, or during the period provided in clauses (i) or (ii) above.</w:t>
      </w:r>
    </w:p>
    <w:p>
      <w:pPr>
        <w:spacing w:after="0" w:line="196" w:lineRule="exact"/>
        <w:rPr>
          <w:sz w:val="20"/>
          <w:szCs w:val="20"/>
          <w:color w:val="auto"/>
        </w:rPr>
      </w:pPr>
    </w:p>
    <w:p>
      <w:pPr>
        <w:jc w:val="both"/>
        <w:ind w:left="1300" w:hanging="436"/>
        <w:spacing w:after="0" w:line="243" w:lineRule="auto"/>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for Cause</w:t>
      </w:r>
      <w:r>
        <w:rPr>
          <w:rFonts w:ascii="Arial" w:cs="Arial" w:eastAsia="Arial" w:hAnsi="Arial"/>
          <w:sz w:val="22"/>
          <w:szCs w:val="22"/>
          <w:color w:val="auto"/>
        </w:rPr>
        <w:t>. If Grantee’s Continuous Service Status is terminated for Cause, this Option will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and be forfeited immediately upon such Grantee’s termination of Continuous Service Status, and Grantee will be prohibited from</w:t>
      </w:r>
    </w:p>
    <w:p>
      <w:pPr>
        <w:spacing w:after="0" w:line="19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33" w:name="page134"/>
    <w:bookmarkEnd w:id="133"/>
    <w:p>
      <w:pPr>
        <w:jc w:val="both"/>
        <w:ind w:left="1300"/>
        <w:spacing w:after="0" w:line="287" w:lineRule="auto"/>
        <w:rPr>
          <w:sz w:val="20"/>
          <w:szCs w:val="20"/>
          <w:color w:val="auto"/>
        </w:rPr>
      </w:pPr>
      <w:r>
        <w:rPr>
          <w:rFonts w:ascii="Arial" w:cs="Arial" w:eastAsia="Arial" w:hAnsi="Arial"/>
          <w:sz w:val="19"/>
          <w:szCs w:val="19"/>
          <w:color w:val="auto"/>
        </w:rPr>
        <w:t>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164" w:lineRule="exact"/>
        <w:rPr>
          <w:sz w:val="20"/>
          <w:szCs w:val="20"/>
          <w:color w:val="auto"/>
        </w:rPr>
      </w:pPr>
    </w:p>
    <w:p>
      <w:pPr>
        <w:jc w:val="both"/>
        <w:ind w:left="1300" w:hanging="436"/>
        <w:spacing w:after="0" w:line="278" w:lineRule="auto"/>
        <w:tabs>
          <w:tab w:leader="none" w:pos="1300" w:val="left"/>
        </w:tabs>
        <w:numPr>
          <w:ilvl w:val="1"/>
          <w:numId w:val="89"/>
        </w:numPr>
        <w:rPr>
          <w:rFonts w:ascii="Arial" w:cs="Arial" w:eastAsia="Arial" w:hAnsi="Arial"/>
          <w:sz w:val="19"/>
          <w:szCs w:val="19"/>
          <w:color w:val="auto"/>
        </w:rPr>
      </w:pPr>
      <w:r>
        <w:rPr>
          <w:rFonts w:ascii="Arial" w:cs="Arial" w:eastAsia="Arial" w:hAnsi="Arial"/>
          <w:sz w:val="19"/>
          <w:szCs w:val="19"/>
          <w:b w:val="1"/>
          <w:bCs w:val="1"/>
          <w:u w:val="single" w:color="auto"/>
          <w:color w:val="auto"/>
        </w:rPr>
        <w:t>Determination of Termination Date</w:t>
      </w:r>
      <w:r>
        <w:rPr>
          <w:rFonts w:ascii="Arial" w:cs="Arial" w:eastAsia="Arial" w:hAnsi="Arial"/>
          <w:sz w:val="19"/>
          <w:szCs w:val="19"/>
          <w:color w:val="auto"/>
        </w:rPr>
        <w:t>. For the purposes of this Option, Grantee’s Continuous Service Status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considered terminated as of the date Grantee is no longer actively providing services to the Company or one of its Parents, Subsidiaries, or Affiliates (regardless of the reason for such termination and whether or not later found to be invalid or 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 while on a leave of absence).</w:t>
      </w:r>
    </w:p>
    <w:p>
      <w:pPr>
        <w:spacing w:after="0" w:line="172" w:lineRule="exact"/>
        <w:rPr>
          <w:rFonts w:ascii="Arial" w:cs="Arial" w:eastAsia="Arial" w:hAnsi="Arial"/>
          <w:sz w:val="19"/>
          <w:szCs w:val="19"/>
          <w:color w:val="auto"/>
        </w:rPr>
      </w:pPr>
    </w:p>
    <w:p>
      <w:pPr>
        <w:jc w:val="both"/>
        <w:ind w:left="1300" w:hanging="436"/>
        <w:spacing w:after="0" w:line="239" w:lineRule="auto"/>
        <w:tabs>
          <w:tab w:leader="none" w:pos="1300" w:val="left"/>
        </w:tabs>
        <w:numPr>
          <w:ilvl w:val="1"/>
          <w:numId w:val="89"/>
        </w:numPr>
        <w:rPr>
          <w:rFonts w:ascii="Arial" w:cs="Arial" w:eastAsia="Arial" w:hAnsi="Arial"/>
          <w:sz w:val="22"/>
          <w:szCs w:val="22"/>
          <w:color w:val="auto"/>
        </w:rPr>
      </w:pPr>
      <w:r>
        <w:rPr>
          <w:rFonts w:ascii="Arial" w:cs="Arial" w:eastAsia="Arial" w:hAnsi="Arial"/>
          <w:sz w:val="22"/>
          <w:szCs w:val="22"/>
          <w:b w:val="1"/>
          <w:bCs w:val="1"/>
          <w:u w:val="single" w:color="auto"/>
          <w:color w:val="auto"/>
        </w:rPr>
        <w:t>No Notice of Option Expiration</w:t>
      </w:r>
      <w:r>
        <w:rPr>
          <w:rFonts w:ascii="Arial" w:cs="Arial" w:eastAsia="Arial" w:hAnsi="Arial"/>
          <w:sz w:val="22"/>
          <w:szCs w:val="22"/>
          <w:color w:val="auto"/>
        </w:rPr>
        <w:t>. Grantee is responsible for keeping track of the Expiration Date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post-termination 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207" w:lineRule="exact"/>
        <w:rPr>
          <w:rFonts w:ascii="Arial" w:cs="Arial" w:eastAsia="Arial" w:hAnsi="Arial"/>
          <w:sz w:val="22"/>
          <w:szCs w:val="22"/>
          <w:color w:val="auto"/>
        </w:rPr>
      </w:pPr>
    </w:p>
    <w:p>
      <w:pPr>
        <w:jc w:val="both"/>
        <w:ind w:left="440" w:hanging="440"/>
        <w:spacing w:after="0" w:line="300" w:lineRule="auto"/>
        <w:tabs>
          <w:tab w:leader="none" w:pos="440" w:val="left"/>
        </w:tabs>
        <w:numPr>
          <w:ilvl w:val="0"/>
          <w:numId w:val="90"/>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 of Option</w:t>
      </w:r>
      <w:r>
        <w:rPr>
          <w:rFonts w:ascii="Arial" w:cs="Arial" w:eastAsia="Arial" w:hAnsi="Arial"/>
          <w:sz w:val="19"/>
          <w:szCs w:val="19"/>
          <w:color w:val="auto"/>
        </w:rPr>
        <w:t>. This Option may not be transferred in any manner other than by will or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descent or distribution or court order and may be exercised during the lifetime of Grantee only by Grantee. The terms this Grant Agreement will be binding upon the executors, administrators, heirs, successors, and assigns of Grantee.</w:t>
      </w:r>
    </w:p>
    <w:p>
      <w:pPr>
        <w:spacing w:after="0" w:line="152" w:lineRule="exact"/>
        <w:rPr>
          <w:rFonts w:ascii="Arial" w:cs="Arial" w:eastAsia="Arial" w:hAnsi="Arial"/>
          <w:sz w:val="19"/>
          <w:szCs w:val="19"/>
          <w:color w:val="auto"/>
        </w:rPr>
      </w:pPr>
    </w:p>
    <w:p>
      <w:pPr>
        <w:jc w:val="both"/>
        <w:ind w:left="440" w:hanging="440"/>
        <w:spacing w:after="0" w:line="254" w:lineRule="auto"/>
        <w:tabs>
          <w:tab w:leader="none" w:pos="440" w:val="left"/>
        </w:tabs>
        <w:numPr>
          <w:ilvl w:val="0"/>
          <w:numId w:val="90"/>
        </w:numPr>
        <w:rPr>
          <w:rFonts w:ascii="Arial" w:cs="Arial" w:eastAsia="Arial" w:hAnsi="Arial"/>
          <w:sz w:val="21"/>
          <w:szCs w:val="21"/>
          <w:color w:val="auto"/>
        </w:rPr>
      </w:pPr>
      <w:r>
        <w:rPr>
          <w:rFonts w:ascii="Arial" w:cs="Arial" w:eastAsia="Arial" w:hAnsi="Arial"/>
          <w:sz w:val="21"/>
          <w:szCs w:val="21"/>
          <w:b w:val="1"/>
          <w:bCs w:val="1"/>
          <w:u w:val="single" w:color="auto"/>
          <w:color w:val="auto"/>
        </w:rPr>
        <w:t>New Issues of Shares</w:t>
      </w:r>
      <w:r>
        <w:rPr>
          <w:rFonts w:ascii="Arial" w:cs="Arial" w:eastAsia="Arial" w:hAnsi="Arial"/>
          <w:sz w:val="21"/>
          <w:szCs w:val="21"/>
          <w:color w:val="auto"/>
        </w:rPr>
        <w:t>. While the Company is subject to the ASX Listing Rules, Grantee shall not have the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new issues of Shares to existing holders of Shares (e.g. a “rights offering”) with respect to Shares subject to this Option, unless Grantee has exercised the Option and is registered as the holder of the underlying Shares prior to the record date for the determination of entitlements to participate in the new issue.</w:t>
      </w:r>
    </w:p>
    <w:p>
      <w:pPr>
        <w:spacing w:after="0" w:line="192" w:lineRule="exact"/>
        <w:rPr>
          <w:rFonts w:ascii="Arial" w:cs="Arial" w:eastAsia="Arial" w:hAnsi="Arial"/>
          <w:sz w:val="21"/>
          <w:szCs w:val="21"/>
          <w:color w:val="auto"/>
        </w:rPr>
      </w:pPr>
    </w:p>
    <w:p>
      <w:pPr>
        <w:ind w:left="440" w:hanging="440"/>
        <w:spacing w:after="0"/>
        <w:tabs>
          <w:tab w:leader="none" w:pos="440"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or Cancellation of Option</w:t>
      </w:r>
      <w:r>
        <w:rPr>
          <w:rFonts w:ascii="Arial" w:cs="Arial" w:eastAsia="Arial" w:hAnsi="Arial"/>
          <w:sz w:val="22"/>
          <w:szCs w:val="22"/>
          <w:color w:val="auto"/>
        </w:rPr>
        <w:t>. While the Company is subject to the ASX Listing Rules:</w:t>
      </w:r>
    </w:p>
    <w:p>
      <w:pPr>
        <w:spacing w:after="0" w:line="239" w:lineRule="exact"/>
        <w:rPr>
          <w:rFonts w:ascii="Arial" w:cs="Arial" w:eastAsia="Arial" w:hAnsi="Arial"/>
          <w:sz w:val="22"/>
          <w:szCs w:val="22"/>
          <w:color w:val="auto"/>
        </w:rPr>
      </w:pPr>
    </w:p>
    <w:p>
      <w:pPr>
        <w:jc w:val="both"/>
        <w:ind w:left="1300" w:hanging="436"/>
        <w:spacing w:after="0" w:line="246" w:lineRule="auto"/>
        <w:tabs>
          <w:tab w:leader="none" w:pos="1300" w:val="left"/>
        </w:tabs>
        <w:numPr>
          <w:ilvl w:val="1"/>
          <w:numId w:val="90"/>
        </w:numPr>
        <w:rPr>
          <w:rFonts w:ascii="Arial" w:cs="Arial" w:eastAsia="Arial" w:hAnsi="Arial"/>
          <w:sz w:val="21"/>
          <w:szCs w:val="21"/>
          <w:color w:val="auto"/>
        </w:rPr>
      </w:pPr>
      <w:r>
        <w:rPr>
          <w:rFonts w:ascii="Arial" w:cs="Arial" w:eastAsia="Arial" w:hAnsi="Arial"/>
          <w:sz w:val="21"/>
          <w:szCs w:val="21"/>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 Option (i.e. any amendment or modification that is not prohibited pursuant to the first sentence of this Section 8a) can only be made with stockholder approval or on the provision of a waiver granted by ASX from the ASX Listing Rules.</w:t>
      </w:r>
    </w:p>
    <w:p>
      <w:pPr>
        <w:spacing w:after="0" w:line="1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34" w:name="page135"/>
    <w:bookmarkEnd w:id="134"/>
    <w:p>
      <w:pPr>
        <w:jc w:val="both"/>
        <w:ind w:left="1300" w:hanging="436"/>
        <w:spacing w:after="0" w:line="273" w:lineRule="auto"/>
        <w:tabs>
          <w:tab w:leader="none" w:pos="1300" w:val="left"/>
        </w:tabs>
        <w:numPr>
          <w:ilvl w:val="1"/>
          <w:numId w:val="91"/>
        </w:numPr>
        <w:rPr>
          <w:rFonts w:ascii="Arial" w:cs="Arial" w:eastAsia="Arial" w:hAnsi="Arial"/>
          <w:sz w:val="19"/>
          <w:szCs w:val="19"/>
          <w:color w:val="auto"/>
        </w:rPr>
      </w:pPr>
      <w:r>
        <w:rPr>
          <w:rFonts w:ascii="Arial" w:cs="Arial" w:eastAsia="Arial" w:hAnsi="Arial"/>
          <w:sz w:val="19"/>
          <w:szCs w:val="19"/>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(3) the amendment or modification is made to comply with the ASX Listing Rules.</w:t>
      </w:r>
    </w:p>
    <w:p>
      <w:pPr>
        <w:spacing w:after="0" w:line="215" w:lineRule="exact"/>
        <w:rPr>
          <w:rFonts w:ascii="Arial" w:cs="Arial" w:eastAsia="Arial" w:hAnsi="Arial"/>
          <w:sz w:val="19"/>
          <w:szCs w:val="19"/>
          <w:color w:val="auto"/>
        </w:rPr>
      </w:pPr>
    </w:p>
    <w:p>
      <w:pPr>
        <w:jc w:val="both"/>
        <w:ind w:left="1300" w:hanging="436"/>
        <w:spacing w:after="0"/>
        <w:tabs>
          <w:tab w:leader="none" w:pos="1300"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207" w:lineRule="exact"/>
        <w:rPr>
          <w:rFonts w:ascii="Arial" w:cs="Arial" w:eastAsia="Arial" w:hAnsi="Arial"/>
          <w:sz w:val="22"/>
          <w:szCs w:val="22"/>
          <w:color w:val="auto"/>
        </w:rPr>
      </w:pPr>
    </w:p>
    <w:p>
      <w:pPr>
        <w:ind w:left="440" w:hanging="440"/>
        <w:spacing w:after="0"/>
        <w:tabs>
          <w:tab w:leader="none" w:pos="440" w:val="left"/>
        </w:tabs>
        <w:numPr>
          <w:ilvl w:val="0"/>
          <w:numId w:val="92"/>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92"/>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Option, Grantee acknowledges that, regardless of any action</w:t>
      </w:r>
      <w:r>
        <w:rPr>
          <w:rFonts w:ascii="Arial" w:cs="Arial" w:eastAsia="Arial" w:hAnsi="Arial"/>
          <w:sz w:val="19"/>
          <w:szCs w:val="19"/>
          <w:b w:val="1"/>
          <w:bCs w:val="1"/>
          <w:color w:val="auto"/>
        </w:rPr>
        <w:t xml:space="preserve"> </w:t>
      </w:r>
      <w:r>
        <w:rPr>
          <w:rFonts w:ascii="Arial" w:cs="Arial" w:eastAsia="Arial" w:hAnsi="Arial"/>
          <w:sz w:val="19"/>
          <w:szCs w:val="19"/>
          <w:color w:val="auto"/>
        </w:rPr>
        <w:t>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83" w:lineRule="exact"/>
        <w:rPr>
          <w:rFonts w:ascii="Arial" w:cs="Arial" w:eastAsia="Arial" w:hAnsi="Arial"/>
          <w:sz w:val="19"/>
          <w:szCs w:val="19"/>
          <w:color w:val="auto"/>
        </w:rPr>
      </w:pPr>
    </w:p>
    <w:p>
      <w:pPr>
        <w:jc w:val="both"/>
        <w:ind w:left="1300" w:hanging="436"/>
        <w:spacing w:after="0" w:line="289" w:lineRule="auto"/>
        <w:tabs>
          <w:tab w:leader="none" w:pos="1300" w:val="left"/>
        </w:tabs>
        <w:numPr>
          <w:ilvl w:val="1"/>
          <w:numId w:val="92"/>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42" w:lineRule="exact"/>
        <w:rPr>
          <w:sz w:val="20"/>
          <w:szCs w:val="20"/>
          <w:color w:val="auto"/>
        </w:rPr>
      </w:pPr>
    </w:p>
    <w:p>
      <w:pPr>
        <w:ind w:left="2140" w:hanging="202"/>
        <w:spacing w:after="0" w:line="250" w:lineRule="auto"/>
        <w:rPr>
          <w:sz w:val="20"/>
          <w:szCs w:val="20"/>
          <w:color w:val="auto"/>
        </w:rPr>
      </w:pPr>
      <w:r>
        <w:rPr>
          <w:rFonts w:ascii="Arial" w:cs="Arial" w:eastAsia="Arial" w:hAnsi="Arial"/>
          <w:sz w:val="22"/>
          <w:szCs w:val="22"/>
          <w:color w:val="auto"/>
        </w:rPr>
        <w:t>i. withholding from Grantee’s wages or other cash compensation paid to Grantee by the Company and/or the Employer or any Parent, Subsidiary, or Affiliate;</w:t>
      </w:r>
    </w:p>
    <w:p>
      <w:pPr>
        <w:spacing w:after="0" w:line="18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135" w:name="page136"/>
    <w:bookmarkEnd w:id="135"/>
    <w:p>
      <w:pPr>
        <w:jc w:val="both"/>
        <w:ind w:left="2140" w:hanging="210"/>
        <w:spacing w:after="0"/>
        <w:tabs>
          <w:tab w:leader="none" w:pos="21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213" w:lineRule="exact"/>
        <w:rPr>
          <w:sz w:val="20"/>
          <w:szCs w:val="20"/>
          <w:color w:val="auto"/>
        </w:rPr>
      </w:pPr>
    </w:p>
    <w:p>
      <w:pPr>
        <w:jc w:val="both"/>
        <w:ind w:left="2180" w:hanging="242"/>
        <w:spacing w:after="0" w:line="297" w:lineRule="auto"/>
        <w:rPr>
          <w:sz w:val="20"/>
          <w:szCs w:val="20"/>
          <w:color w:val="auto"/>
        </w:rPr>
      </w:pPr>
      <w:r>
        <w:rPr>
          <w:rFonts w:ascii="Arial" w:cs="Arial" w:eastAsia="Arial" w:hAnsi="Arial"/>
          <w:sz w:val="19"/>
          <w:szCs w:val="19"/>
          <w:color w:val="auto"/>
        </w:rPr>
        <w:t>iii.withholding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161" w:lineRule="exact"/>
        <w:rPr>
          <w:sz w:val="20"/>
          <w:szCs w:val="20"/>
          <w:color w:val="auto"/>
        </w:rPr>
      </w:pPr>
    </w:p>
    <w:p>
      <w:pPr>
        <w:jc w:val="both"/>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5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70" w:lineRule="auto"/>
        <w:tabs>
          <w:tab w:leader="none" w:pos="440" w:val="left"/>
        </w:tabs>
        <w:numPr>
          <w:ilvl w:val="0"/>
          <w:numId w:val="94"/>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136" w:name="page137"/>
    <w:bookmarkEnd w:id="136"/>
    <w:p>
      <w:pPr>
        <w:jc w:val="both"/>
        <w:ind w:left="440" w:hanging="440"/>
        <w:spacing w:after="0" w:line="237" w:lineRule="auto"/>
        <w:tabs>
          <w:tab w:leader="none" w:pos="440" w:val="left"/>
        </w:tabs>
        <w:numPr>
          <w:ilvl w:val="0"/>
          <w:numId w:val="95"/>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It is intended that the terms of this Option will not result in the imposition of any tax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181" w:lineRule="exact"/>
        <w:rPr>
          <w:rFonts w:ascii="Arial" w:cs="Arial" w:eastAsia="Arial" w:hAnsi="Arial"/>
          <w:sz w:val="22"/>
          <w:szCs w:val="22"/>
          <w:color w:val="auto"/>
        </w:rPr>
      </w:pPr>
    </w:p>
    <w:p>
      <w:pPr>
        <w:jc w:val="both"/>
        <w:ind w:left="440" w:hanging="440"/>
        <w:spacing w:after="0" w:line="284" w:lineRule="auto"/>
        <w:tabs>
          <w:tab w:leader="none" w:pos="44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this Grant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can access further information regarding data privacy in the Company's Privacy Policy (which is available on the Company's website), including about how the Grantee can access and seek correction of his personal information and make a complaint if he has any concerns regarding the treatment of Data.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137" w:name="page138"/>
    <w:bookmarkEnd w:id="137"/>
    <w:p>
      <w:pPr>
        <w:jc w:val="both"/>
        <w:ind w:left="440" w:hanging="440"/>
        <w:spacing w:after="0" w:line="249" w:lineRule="auto"/>
        <w:tabs>
          <w:tab w:leader="none" w:pos="440" w:val="left"/>
        </w:tabs>
        <w:numPr>
          <w:ilvl w:val="0"/>
          <w:numId w:val="96"/>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 courts located in such State, and no other courts, where this Grant is made and/or to be performed.</w:t>
      </w:r>
    </w:p>
    <w:p>
      <w:pPr>
        <w:spacing w:after="0" w:line="170" w:lineRule="exact"/>
        <w:rPr>
          <w:rFonts w:ascii="Arial" w:cs="Arial" w:eastAsia="Arial" w:hAnsi="Arial"/>
          <w:sz w:val="21"/>
          <w:szCs w:val="21"/>
          <w:color w:val="auto"/>
        </w:rPr>
      </w:pPr>
    </w:p>
    <w:p>
      <w:pPr>
        <w:jc w:val="both"/>
        <w:ind w:left="440" w:hanging="440"/>
        <w:spacing w:after="0" w:line="273" w:lineRule="auto"/>
        <w:tabs>
          <w:tab w:leader="none" w:pos="440" w:val="left"/>
        </w:tabs>
        <w:numPr>
          <w:ilvl w:val="0"/>
          <w:numId w:val="96"/>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Grant Agreement sets forth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55" w:lineRule="exact"/>
        <w:rPr>
          <w:rFonts w:ascii="Arial" w:cs="Arial" w:eastAsia="Arial" w:hAnsi="Arial"/>
          <w:sz w:val="19"/>
          <w:szCs w:val="19"/>
          <w:color w:val="auto"/>
        </w:rPr>
      </w:pPr>
    </w:p>
    <w:p>
      <w:pPr>
        <w:jc w:val="both"/>
        <w:ind w:left="440" w:hanging="440"/>
        <w:spacing w:after="0" w:line="283" w:lineRule="auto"/>
        <w:tabs>
          <w:tab w:leader="none" w:pos="440" w:val="left"/>
        </w:tabs>
        <w:numPr>
          <w:ilvl w:val="0"/>
          <w:numId w:val="96"/>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96"/>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jc w:val="both"/>
        <w:ind w:left="440" w:hanging="440"/>
        <w:spacing w:after="0" w:line="245" w:lineRule="auto"/>
        <w:tabs>
          <w:tab w:leader="none" w:pos="440" w:val="left"/>
        </w:tabs>
        <w:numPr>
          <w:ilvl w:val="0"/>
          <w:numId w:val="96"/>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this Option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on any Shares 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138" w:name="page139"/>
    <w:bookmarkEnd w:id="138"/>
    <w:p>
      <w:pPr>
        <w:jc w:val="both"/>
        <w:ind w:left="440" w:hanging="440"/>
        <w:spacing w:after="0" w:line="280" w:lineRule="auto"/>
        <w:tabs>
          <w:tab w:leader="none" w:pos="440" w:val="left"/>
        </w:tabs>
        <w:numPr>
          <w:ilvl w:val="0"/>
          <w:numId w:val="97"/>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Grant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44"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9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1"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97"/>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76" w:lineRule="auto"/>
        <w:tabs>
          <w:tab w:leader="none" w:pos="440" w:val="left"/>
        </w:tabs>
        <w:numPr>
          <w:ilvl w:val="0"/>
          <w:numId w:val="97"/>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Electronic Delivery and Participation</w:t>
      </w:r>
      <w:r>
        <w:rPr>
          <w:rFonts w:ascii="Arial" w:cs="Arial" w:eastAsia="Arial" w:hAnsi="Arial"/>
          <w:sz w:val="19"/>
          <w:szCs w:val="19"/>
          <w:color w:val="auto"/>
        </w:rPr>
        <w:t>. By accepting this Option, Grantee agrees to participate through an</w:t>
      </w:r>
      <w:r>
        <w:rPr>
          <w:rFonts w:ascii="Arial" w:cs="Arial" w:eastAsia="Arial" w:hAnsi="Arial"/>
          <w:sz w:val="19"/>
          <w:szCs w:val="19"/>
          <w:b w:val="1"/>
          <w:bCs w:val="1"/>
          <w:color w:val="auto"/>
        </w:rPr>
        <w:t xml:space="preserve"> </w:t>
      </w:r>
      <w:r>
        <w:rPr>
          <w:rFonts w:ascii="Arial" w:cs="Arial" w:eastAsia="Arial" w:hAnsi="Arial"/>
          <w:sz w:val="19"/>
          <w:szCs w:val="19"/>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49" w:lineRule="exact"/>
        <w:rPr>
          <w:rFonts w:ascii="Arial" w:cs="Arial" w:eastAsia="Arial" w:hAnsi="Arial"/>
          <w:sz w:val="19"/>
          <w:szCs w:val="19"/>
          <w:color w:val="auto"/>
        </w:rPr>
      </w:pPr>
    </w:p>
    <w:p>
      <w:pPr>
        <w:jc w:val="both"/>
        <w:ind w:left="440" w:hanging="440"/>
        <w:spacing w:after="0" w:line="245" w:lineRule="auto"/>
        <w:tabs>
          <w:tab w:leader="none" w:pos="440" w:val="left"/>
        </w:tabs>
        <w:numPr>
          <w:ilvl w:val="0"/>
          <w:numId w:val="97"/>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of Shares</w:t>
      </w:r>
      <w:r>
        <w:rPr>
          <w:rFonts w:ascii="Arial" w:cs="Arial" w:eastAsia="Arial" w:hAnsi="Arial"/>
          <w:sz w:val="21"/>
          <w:szCs w:val="21"/>
          <w:color w:val="auto"/>
        </w:rPr>
        <w:t>. If the number of outstanding Shares is changed or the value of the Shares is otherwise affected</w:t>
      </w:r>
      <w:r>
        <w:rPr>
          <w:rFonts w:ascii="Arial" w:cs="Arial" w:eastAsia="Arial" w:hAnsi="Arial"/>
          <w:sz w:val="21"/>
          <w:szCs w:val="21"/>
          <w:b w:val="1"/>
          <w:bCs w:val="1"/>
          <w:color w:val="auto"/>
        </w:rPr>
        <w:t xml:space="preserve"> </w:t>
      </w:r>
      <w:r>
        <w:rPr>
          <w:rFonts w:ascii="Arial" w:cs="Arial" w:eastAsia="Arial" w:hAnsi="Arial"/>
          <w:sz w:val="21"/>
          <w:szCs w:val="21"/>
          <w:color w:val="auto"/>
        </w:rPr>
        <w:t>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21"/>
          <w:szCs w:val="21"/>
          <w:b w:val="1"/>
          <w:bCs w:val="1"/>
          <w:i w:val="1"/>
          <w:iCs w:val="1"/>
          <w:color w:val="auto"/>
        </w:rPr>
        <w:t>Capitalization Adjustment</w:t>
      </w:r>
      <w:r>
        <w:rPr>
          <w:rFonts w:ascii="Arial" w:cs="Arial" w:eastAsia="Arial" w:hAnsi="Arial"/>
          <w:sz w:val="21"/>
          <w:szCs w:val="21"/>
          <w:color w:val="auto"/>
        </w:rPr>
        <w:t>”), then the maximum number and class of Shares or type of security reserved for issuance and the Exercise Price and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w:t>
      </w:r>
    </w:p>
    <w:p>
      <w:pPr>
        <w:spacing w:after="0" w:line="1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139" w:name="page140"/>
    <w:bookmarkEnd w:id="139"/>
    <w:p>
      <w:pPr>
        <w:jc w:val="both"/>
        <w:ind w:left="440"/>
        <w:spacing w:after="0" w:line="287" w:lineRule="auto"/>
        <w:rPr>
          <w:sz w:val="20"/>
          <w:szCs w:val="20"/>
          <w:color w:val="auto"/>
        </w:rPr>
      </w:pPr>
      <w:r>
        <w:rPr>
          <w:rFonts w:ascii="Arial" w:cs="Arial" w:eastAsia="Arial" w:hAnsi="Arial"/>
          <w:sz w:val="19"/>
          <w:szCs w:val="19"/>
          <w:color w:val="auto"/>
        </w:rPr>
        <w:t>necessary and in accordance with the ASX Listing Rules to the number, class or type of Shares or securities that are subject to the Grant or the Exercise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64" w:lineRule="exact"/>
        <w:rPr>
          <w:sz w:val="20"/>
          <w:szCs w:val="20"/>
          <w:color w:val="auto"/>
        </w:rPr>
      </w:pPr>
    </w:p>
    <w:p>
      <w:pPr>
        <w:ind w:left="440" w:hanging="440"/>
        <w:spacing w:after="0" w:line="334" w:lineRule="auto"/>
        <w:tabs>
          <w:tab w:leader="none" w:pos="440" w:val="left"/>
        </w:tabs>
        <w:numPr>
          <w:ilvl w:val="0"/>
          <w:numId w:val="98"/>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In the event that the Company is subject to a Change in Control, any unvested portion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outstanding as of immediately prior to the Change in Control shall vest in full as of the Change in Control.</w:t>
      </w:r>
    </w:p>
    <w:p>
      <w:pPr>
        <w:spacing w:after="0" w:line="120" w:lineRule="exact"/>
        <w:rPr>
          <w:rFonts w:ascii="Arial" w:cs="Arial" w:eastAsia="Arial" w:hAnsi="Arial"/>
          <w:sz w:val="19"/>
          <w:szCs w:val="19"/>
          <w:color w:val="auto"/>
        </w:rPr>
      </w:pPr>
    </w:p>
    <w:p>
      <w:pPr>
        <w:ind w:left="440" w:hanging="440"/>
        <w:spacing w:after="0" w:line="256" w:lineRule="auto"/>
        <w:tabs>
          <w:tab w:leader="none" w:pos="440" w:val="left"/>
        </w:tabs>
        <w:numPr>
          <w:ilvl w:val="0"/>
          <w:numId w:val="98"/>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4" w:lineRule="exact"/>
        <w:rPr>
          <w:rFonts w:ascii="Arial" w:cs="Arial" w:eastAsia="Arial" w:hAnsi="Arial"/>
          <w:sz w:val="22"/>
          <w:szCs w:val="22"/>
          <w:color w:val="auto"/>
        </w:rPr>
      </w:pPr>
    </w:p>
    <w:p>
      <w:pPr>
        <w:ind w:left="44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0" w:lineRule="exact"/>
        <w:rPr>
          <w:rFonts w:ascii="Arial" w:cs="Arial" w:eastAsia="Arial" w:hAnsi="Arial"/>
          <w:sz w:val="22"/>
          <w:szCs w:val="22"/>
          <w:color w:val="auto"/>
        </w:rPr>
      </w:pPr>
    </w:p>
    <w:p>
      <w:pPr>
        <w:jc w:val="both"/>
        <w:ind w:left="440"/>
        <w:spacing w:after="0" w:line="23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0"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the ASX Limited (ABN 98 008 624 691), or the securities market which it operates, as the context requires.</w:t>
      </w:r>
    </w:p>
    <w:p>
      <w:pPr>
        <w:spacing w:after="0" w:line="174" w:lineRule="exact"/>
        <w:rPr>
          <w:rFonts w:ascii="Arial" w:cs="Arial" w:eastAsia="Arial" w:hAnsi="Arial"/>
          <w:sz w:val="22"/>
          <w:szCs w:val="22"/>
          <w:color w:val="auto"/>
        </w:rPr>
      </w:pPr>
    </w:p>
    <w:p>
      <w:pPr>
        <w:ind w:left="440" w:right="4780"/>
        <w:spacing w:after="0" w:line="504" w:lineRule="auto"/>
        <w:rPr>
          <w:rFonts w:ascii="Arial" w:cs="Arial" w:eastAsia="Arial" w:hAnsi="Arial"/>
          <w:sz w:val="22"/>
          <w:szCs w:val="22"/>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ASX Listing Rules</w:t>
      </w:r>
      <w:r>
        <w:rPr>
          <w:rFonts w:ascii="Arial" w:cs="Arial" w:eastAsia="Arial" w:hAnsi="Arial"/>
          <w:sz w:val="19"/>
          <w:szCs w:val="19"/>
          <w:color w:val="auto"/>
        </w:rPr>
        <w:t>” means the official listing rules of the ASX.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means the Board of Directors of the Company.</w:t>
      </w:r>
    </w:p>
    <w:p>
      <w:pPr>
        <w:jc w:val="both"/>
        <w:ind w:left="440"/>
        <w:spacing w:after="0" w:line="246"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40" w:name="page141"/>
    <w:bookmarkEnd w:id="140"/>
    <w:p>
      <w:pPr>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 the Company or such other ratio as may be adopted by the Company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87" w:lineRule="exact"/>
        <w:rPr>
          <w:rFonts w:ascii="Arial" w:cs="Arial" w:eastAsia="Arial" w:hAnsi="Arial"/>
          <w:sz w:val="22"/>
          <w:szCs w:val="22"/>
          <w:color w:val="auto"/>
        </w:rPr>
      </w:pPr>
    </w:p>
    <w:p>
      <w:pPr>
        <w:jc w:val="both"/>
        <w:ind w:left="860" w:hanging="436"/>
        <w:spacing w:after="0" w:line="248" w:lineRule="auto"/>
        <w:tabs>
          <w:tab w:leader="none" w:pos="860" w:val="left"/>
        </w:tabs>
        <w:numPr>
          <w:ilvl w:val="0"/>
          <w:numId w:val="99"/>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35" w:lineRule="auto"/>
        <w:tabs>
          <w:tab w:leader="none" w:pos="8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Compensation Committee of the Board or the Board acting as the Compensation Committee or those persons to whom administration of the Grant Agreement, or part of the Grant Agreement, has been delegated as permitted by Applicable Law.</w:t>
      </w:r>
    </w:p>
    <w:p>
      <w:pPr>
        <w:spacing w:after="0" w:line="19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41" w:name="page142"/>
    <w:bookmarkEnd w:id="141"/>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an Employee. Continuous Service Status shall not be considered interrupted or terminated in the case of a transfer between locations of the Company or between the Company, its Affiliates, or their respective successors. The Committee or the Administrator, in that party’s sole discretion, shall determine whether a Grantee’s Continuous Service Status has ceased and the effective date of such termination.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color w:val="auto"/>
        </w:rPr>
        <w:t xml:space="preserve">” means the Australian </w:t>
      </w:r>
      <w:r>
        <w:rPr>
          <w:rFonts w:ascii="Arial" w:cs="Arial" w:eastAsia="Arial" w:hAnsi="Arial"/>
          <w:sz w:val="22"/>
          <w:szCs w:val="22"/>
          <w:i w:val="1"/>
          <w:iCs w:val="1"/>
          <w:color w:val="auto"/>
        </w:rPr>
        <w:t>Corporations Act 2001</w:t>
      </w:r>
      <w:r>
        <w:rPr>
          <w:rFonts w:ascii="Arial" w:cs="Arial" w:eastAsia="Arial" w:hAnsi="Arial"/>
          <w:sz w:val="22"/>
          <w:szCs w:val="22"/>
          <w:color w:val="auto"/>
        </w:rPr>
        <w:t xml:space="preserve"> (Cth).</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Grantee is disabled for purposes of benefits under any long-term disability plan maintained by the Company or any Affiliate in which a Grantee participates.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Dividend Equivalent Right</w:t>
      </w:r>
      <w:r>
        <w:rPr>
          <w:rFonts w:ascii="Arial" w:cs="Arial" w:eastAsia="Arial" w:hAnsi="Arial"/>
          <w:sz w:val="19"/>
          <w:szCs w:val="19"/>
          <w:color w:val="auto"/>
        </w:rPr>
        <w:t>” means the right of a Grantee, granted at the discretion of the Committee, to receive a credit for the account of such Grantee in an amount equal to the cash, stock or other property dividends in amounts equivalent to cash, stock or other property dividends for each Share represented by a Grant held by such Grantee.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w:t>
      </w:r>
    </w:p>
    <w:p>
      <w:pPr>
        <w:spacing w:after="0" w:line="15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42" w:name="page143"/>
    <w:bookmarkEnd w:id="142"/>
    <w:p>
      <w:pPr>
        <w:jc w:val="both"/>
        <w:spacing w:after="0" w:line="235" w:lineRule="auto"/>
        <w:rPr>
          <w:sz w:val="20"/>
          <w:szCs w:val="20"/>
          <w:color w:val="auto"/>
        </w:rPr>
      </w:pPr>
      <w:r>
        <w:rPr>
          <w:rFonts w:ascii="Arial" w:cs="Arial" w:eastAsia="Arial" w:hAnsi="Arial"/>
          <w:sz w:val="22"/>
          <w:szCs w:val="22"/>
          <w:color w:val="auto"/>
        </w:rPr>
        <w:t>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means, with respect to an Option, the price per Share at which a holder may purchase the Shares issuable upon exercise of an Option.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means, as of any date, the per Share value of the Common Stock determined as follows:</w:t>
      </w:r>
    </w:p>
    <w:p>
      <w:pPr>
        <w:spacing w:after="0" w:line="218" w:lineRule="exact"/>
        <w:rPr>
          <w:sz w:val="20"/>
          <w:szCs w:val="20"/>
          <w:color w:val="auto"/>
        </w:rPr>
      </w:pPr>
    </w:p>
    <w:p>
      <w:pPr>
        <w:jc w:val="both"/>
        <w:ind w:left="840" w:hanging="308"/>
        <w:spacing w:after="0" w:line="282" w:lineRule="auto"/>
        <w:tabs>
          <w:tab w:leader="none" w:pos="840"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 unless another method is approved by the Committee and subject to compliance with Applicable Law (including Section 409A of the Code).</w:t>
      </w:r>
    </w:p>
    <w:p>
      <w:pPr>
        <w:spacing w:after="0" w:line="147" w:lineRule="exact"/>
        <w:rPr>
          <w:rFonts w:ascii="Arial" w:cs="Arial" w:eastAsia="Arial" w:hAnsi="Arial"/>
          <w:sz w:val="19"/>
          <w:szCs w:val="19"/>
          <w:color w:val="010000"/>
        </w:rPr>
      </w:pPr>
    </w:p>
    <w:p>
      <w:pPr>
        <w:jc w:val="both"/>
        <w:ind w:left="840" w:hanging="308"/>
        <w:spacing w:after="0" w:line="282" w:lineRule="auto"/>
        <w:tabs>
          <w:tab w:leader="none" w:pos="840"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147" w:lineRule="exact"/>
        <w:rPr>
          <w:rFonts w:ascii="Arial" w:cs="Arial" w:eastAsia="Arial" w:hAnsi="Arial"/>
          <w:sz w:val="19"/>
          <w:szCs w:val="19"/>
          <w:color w:val="010000"/>
        </w:rPr>
      </w:pPr>
    </w:p>
    <w:p>
      <w:pPr>
        <w:jc w:val="both"/>
        <w:ind w:left="840" w:hanging="308"/>
        <w:spacing w:after="0" w:line="297" w:lineRule="auto"/>
        <w:tabs>
          <w:tab w:leader="none" w:pos="840"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133" w:lineRule="exact"/>
        <w:rPr>
          <w:rFonts w:ascii="Arial" w:cs="Arial" w:eastAsia="Arial" w:hAnsi="Arial"/>
          <w:sz w:val="19"/>
          <w:szCs w:val="19"/>
          <w:color w:val="010000"/>
        </w:rPr>
      </w:pPr>
    </w:p>
    <w:p>
      <w:pPr>
        <w:ind w:left="840" w:hanging="308"/>
        <w:spacing w:after="0" w:line="250" w:lineRule="auto"/>
        <w:tabs>
          <w:tab w:leader="none" w:pos="840"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If none of the foregoing is applicable, by the Board or the Committee in good faith (and in accordance with Section 409A of the Code, as applicable).</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that does not qualify as an “incentive stock option” within the meaning of Section 422 of the Code.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contract right to purchase Shares at a fixed Exercise Price per Share, subject to certain conditions, if applicable, granted pursuant to this Grant Agreement.</w:t>
      </w:r>
    </w:p>
    <w:p>
      <w:pPr>
        <w:spacing w:after="0" w:line="18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143" w:name="page144"/>
    <w:bookmarkEnd w:id="143"/>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shares of Common Stock.</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19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360"/>
          </w:cols>
          <w:pgMar w:left="1200" w:top="36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9"/>
          <w:szCs w:val="19"/>
          <w:b w:val="1"/>
          <w:bCs w:val="1"/>
          <w:color w:val="444444"/>
        </w:rPr>
        <w:t>Exhibit 10.24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444444"/>
        </w:rPr>
        <w:t xml:space="preserve">FIFTH AMENDMENT TO </w:t>
      </w:r>
      <w:r>
        <w:rPr>
          <w:rFonts w:ascii="Arial" w:cs="Arial" w:eastAsia="Arial" w:hAnsi="Arial"/>
          <w:sz w:val="19"/>
          <w:szCs w:val="19"/>
          <w:u w:val="single" w:color="auto"/>
          <w:color w:val="343434"/>
        </w:rPr>
        <w:t>LEASE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212121"/>
        </w:rPr>
        <w:t xml:space="preserve">28159 Avenue </w:t>
      </w:r>
      <w:r>
        <w:rPr>
          <w:rFonts w:ascii="Arial" w:cs="Arial" w:eastAsia="Arial" w:hAnsi="Arial"/>
          <w:sz w:val="19"/>
          <w:szCs w:val="19"/>
          <w:color w:val="343434"/>
        </w:rPr>
        <w:t>Stanford</w:t>
      </w:r>
      <w:r>
        <w:rPr>
          <w:rFonts w:ascii="Arial" w:cs="Arial" w:eastAsia="Arial" w:hAnsi="Arial"/>
          <w:sz w:val="19"/>
          <w:szCs w:val="19"/>
          <w:color w:val="212121"/>
        </w:rPr>
        <w:t xml:space="preserve"> Properties, LLC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0F0F0F"/>
        </w:rPr>
        <w:t xml:space="preserve">10919 </w:t>
      </w:r>
      <w:r>
        <w:rPr>
          <w:rFonts w:ascii="Arial" w:cs="Arial" w:eastAsia="Arial" w:hAnsi="Arial"/>
          <w:sz w:val="19"/>
          <w:szCs w:val="19"/>
          <w:color w:val="212121"/>
        </w:rPr>
        <w:t>Vanowen Street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212121"/>
        </w:rPr>
        <w:t xml:space="preserve">North </w:t>
      </w:r>
      <w:r>
        <w:rPr>
          <w:rFonts w:ascii="Arial" w:cs="Arial" w:eastAsia="Arial" w:hAnsi="Arial"/>
          <w:sz w:val="19"/>
          <w:szCs w:val="19"/>
          <w:color w:val="343434"/>
        </w:rPr>
        <w:t>Hollywood, CA 91605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343434"/>
        </w:rPr>
        <w:t>January 26, 2023</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343434"/>
        </w:rPr>
        <w:t>A</w:t>
      </w:r>
      <w:r>
        <w:rPr>
          <w:rFonts w:ascii="Arial" w:cs="Arial" w:eastAsia="Arial" w:hAnsi="Arial"/>
          <w:sz w:val="19"/>
          <w:szCs w:val="19"/>
          <w:color w:val="212121"/>
        </w:rPr>
        <w:t>vita Medical Americas, LLC</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343434"/>
        </w:rPr>
        <w:t xml:space="preserve">Attn: </w:t>
      </w:r>
      <w:r>
        <w:rPr>
          <w:rFonts w:ascii="Arial" w:cs="Arial" w:eastAsia="Arial" w:hAnsi="Arial"/>
          <w:sz w:val="19"/>
          <w:szCs w:val="19"/>
          <w:color w:val="212121"/>
        </w:rPr>
        <w:t>Mr. James Corbett,</w:t>
      </w:r>
      <w:r>
        <w:rPr>
          <w:rFonts w:ascii="Arial" w:cs="Arial" w:eastAsia="Arial" w:hAnsi="Arial"/>
          <w:sz w:val="19"/>
          <w:szCs w:val="19"/>
          <w:color w:val="343434"/>
        </w:rPr>
        <w:t xml:space="preserve"> CEO</w:t>
      </w:r>
    </w:p>
    <w:p>
      <w:pPr>
        <w:ind w:left="20"/>
        <w:spacing w:after="0" w:line="237" w:lineRule="auto"/>
        <w:rPr>
          <w:sz w:val="20"/>
          <w:szCs w:val="20"/>
          <w:color w:val="auto"/>
        </w:rPr>
      </w:pPr>
      <w:r>
        <w:rPr>
          <w:rFonts w:ascii="Arial" w:cs="Arial" w:eastAsia="Arial" w:hAnsi="Arial"/>
          <w:sz w:val="19"/>
          <w:szCs w:val="19"/>
          <w:color w:val="343434"/>
        </w:rPr>
        <w:t xml:space="preserve">28159 </w:t>
      </w:r>
      <w:r>
        <w:rPr>
          <w:rFonts w:ascii="Arial" w:cs="Arial" w:eastAsia="Arial" w:hAnsi="Arial"/>
          <w:sz w:val="19"/>
          <w:szCs w:val="19"/>
          <w:color w:val="444444"/>
        </w:rPr>
        <w:t>Av</w:t>
      </w:r>
      <w:r>
        <w:rPr>
          <w:rFonts w:ascii="Arial" w:cs="Arial" w:eastAsia="Arial" w:hAnsi="Arial"/>
          <w:sz w:val="19"/>
          <w:szCs w:val="19"/>
          <w:color w:val="0F0F0F"/>
        </w:rPr>
        <w:t>enu</w:t>
      </w:r>
      <w:r>
        <w:rPr>
          <w:rFonts w:ascii="Arial" w:cs="Arial" w:eastAsia="Arial" w:hAnsi="Arial"/>
          <w:sz w:val="19"/>
          <w:szCs w:val="19"/>
          <w:color w:val="343434"/>
        </w:rPr>
        <w:t xml:space="preserve">e </w:t>
      </w:r>
      <w:r>
        <w:rPr>
          <w:rFonts w:ascii="Arial" w:cs="Arial" w:eastAsia="Arial" w:hAnsi="Arial"/>
          <w:sz w:val="19"/>
          <w:szCs w:val="19"/>
          <w:color w:val="444444"/>
        </w:rPr>
        <w:t>Stanford, Suites</w:t>
      </w:r>
      <w:r>
        <w:rPr>
          <w:rFonts w:ascii="Arial" w:cs="Arial" w:eastAsia="Arial" w:hAnsi="Arial"/>
          <w:sz w:val="19"/>
          <w:szCs w:val="19"/>
          <w:color w:val="343434"/>
        </w:rPr>
        <w:t xml:space="preserve"> 200/220</w:t>
      </w:r>
    </w:p>
    <w:p>
      <w:pPr>
        <w:ind w:left="20"/>
        <w:spacing w:after="0"/>
        <w:rPr>
          <w:sz w:val="20"/>
          <w:szCs w:val="20"/>
          <w:color w:val="auto"/>
        </w:rPr>
      </w:pPr>
      <w:r>
        <w:rPr>
          <w:rFonts w:ascii="Arial" w:cs="Arial" w:eastAsia="Arial" w:hAnsi="Arial"/>
          <w:sz w:val="19"/>
          <w:szCs w:val="19"/>
          <w:color w:val="444444"/>
        </w:rPr>
        <w:t xml:space="preserve">Valencia, </w:t>
      </w:r>
      <w:r>
        <w:rPr>
          <w:rFonts w:ascii="Arial" w:cs="Arial" w:eastAsia="Arial" w:hAnsi="Arial"/>
          <w:sz w:val="19"/>
          <w:szCs w:val="19"/>
          <w:color w:val="0F0F0F"/>
        </w:rPr>
        <w:t>CA</w:t>
      </w:r>
      <w:r>
        <w:rPr>
          <w:rFonts w:ascii="Arial" w:cs="Arial" w:eastAsia="Arial" w:hAnsi="Arial"/>
          <w:sz w:val="19"/>
          <w:szCs w:val="19"/>
          <w:color w:val="444444"/>
        </w:rPr>
        <w:t xml:space="preserve"> </w:t>
      </w:r>
      <w:r>
        <w:rPr>
          <w:rFonts w:ascii="Arial" w:cs="Arial" w:eastAsia="Arial" w:hAnsi="Arial"/>
          <w:sz w:val="19"/>
          <w:szCs w:val="19"/>
          <w:color w:val="212121"/>
        </w:rPr>
        <w:t>91355</w:t>
      </w:r>
    </w:p>
    <w:p>
      <w:pPr>
        <w:spacing w:after="0" w:line="198" w:lineRule="exact"/>
        <w:rPr>
          <w:sz w:val="20"/>
          <w:szCs w:val="20"/>
          <w:color w:val="auto"/>
        </w:rPr>
      </w:pPr>
    </w:p>
    <w:p>
      <w:pPr>
        <w:ind w:left="980" w:right="20" w:hanging="479"/>
        <w:spacing w:after="0" w:line="253" w:lineRule="auto"/>
        <w:tabs>
          <w:tab w:leader="none" w:pos="960" w:val="left"/>
        </w:tabs>
        <w:rPr>
          <w:sz w:val="20"/>
          <w:szCs w:val="20"/>
          <w:color w:val="auto"/>
        </w:rPr>
      </w:pPr>
      <w:r>
        <w:rPr>
          <w:rFonts w:ascii="Arial" w:cs="Arial" w:eastAsia="Arial" w:hAnsi="Arial"/>
          <w:sz w:val="18"/>
          <w:szCs w:val="18"/>
          <w:color w:val="343434"/>
        </w:rPr>
        <w:t>Re:</w:t>
      </w:r>
      <w:r>
        <w:rPr>
          <w:rFonts w:ascii="Arial" w:cs="Arial" w:eastAsia="Arial" w:hAnsi="Arial"/>
          <w:sz w:val="18"/>
          <w:szCs w:val="18"/>
          <w:color w:val="212121"/>
        </w:rPr>
        <w:tab/>
        <w:t xml:space="preserve">Amendment of </w:t>
      </w:r>
      <w:r>
        <w:rPr>
          <w:rFonts w:ascii="Arial" w:cs="Arial" w:eastAsia="Arial" w:hAnsi="Arial"/>
          <w:sz w:val="18"/>
          <w:szCs w:val="18"/>
          <w:color w:val="343434"/>
        </w:rPr>
        <w:t>Standard</w:t>
      </w:r>
      <w:r>
        <w:rPr>
          <w:rFonts w:ascii="Arial" w:cs="Arial" w:eastAsia="Arial" w:hAnsi="Arial"/>
          <w:sz w:val="18"/>
          <w:szCs w:val="18"/>
          <w:color w:val="212121"/>
        </w:rPr>
        <w:t xml:space="preserve"> Multi-Tenant Office Lease - Gross </w:t>
      </w:r>
      <w:r>
        <w:rPr>
          <w:rFonts w:ascii="Arial" w:cs="Arial" w:eastAsia="Arial" w:hAnsi="Arial"/>
          <w:sz w:val="18"/>
          <w:szCs w:val="18"/>
          <w:color w:val="0F0F0F"/>
        </w:rPr>
        <w:t>dated</w:t>
      </w:r>
      <w:r>
        <w:rPr>
          <w:rFonts w:ascii="Arial" w:cs="Arial" w:eastAsia="Arial" w:hAnsi="Arial"/>
          <w:sz w:val="18"/>
          <w:szCs w:val="18"/>
          <w:color w:val="212121"/>
        </w:rPr>
        <w:t xml:space="preserve"> October 3, </w:t>
      </w:r>
      <w:r>
        <w:rPr>
          <w:rFonts w:ascii="Arial" w:cs="Arial" w:eastAsia="Arial" w:hAnsi="Arial"/>
          <w:sz w:val="18"/>
          <w:szCs w:val="18"/>
          <w:color w:val="0F0F0F"/>
        </w:rPr>
        <w:t>2016</w:t>
      </w:r>
      <w:r>
        <w:rPr>
          <w:rFonts w:ascii="Arial" w:cs="Arial" w:eastAsia="Arial" w:hAnsi="Arial"/>
          <w:sz w:val="18"/>
          <w:szCs w:val="18"/>
          <w:color w:val="212121"/>
        </w:rPr>
        <w:t xml:space="preserve"> ("Office Lease"), between RIF III </w:t>
      </w:r>
      <w:r>
        <w:rPr>
          <w:rFonts w:ascii="Arial" w:cs="Arial" w:eastAsia="Arial" w:hAnsi="Arial"/>
          <w:sz w:val="18"/>
          <w:szCs w:val="18"/>
          <w:color w:val="0F0F0F"/>
        </w:rPr>
        <w:t>-</w:t>
      </w:r>
      <w:r>
        <w:rPr>
          <w:rFonts w:ascii="Arial" w:cs="Arial" w:eastAsia="Arial" w:hAnsi="Arial"/>
          <w:sz w:val="18"/>
          <w:szCs w:val="18"/>
          <w:color w:val="212121"/>
        </w:rPr>
        <w:t xml:space="preserve"> </w:t>
      </w:r>
      <w:r>
        <w:rPr>
          <w:rFonts w:ascii="Arial" w:cs="Arial" w:eastAsia="Arial" w:hAnsi="Arial"/>
          <w:sz w:val="18"/>
          <w:szCs w:val="18"/>
          <w:color w:val="343434"/>
        </w:rPr>
        <w:t>Avenue</w:t>
      </w:r>
      <w:r>
        <w:rPr>
          <w:rFonts w:ascii="Arial" w:cs="Arial" w:eastAsia="Arial" w:hAnsi="Arial"/>
          <w:sz w:val="18"/>
          <w:szCs w:val="18"/>
          <w:color w:val="212121"/>
        </w:rPr>
        <w:t xml:space="preserve"> Stanford, LLC, a California </w:t>
      </w:r>
      <w:r>
        <w:rPr>
          <w:rFonts w:ascii="Arial" w:cs="Arial" w:eastAsia="Arial" w:hAnsi="Arial"/>
          <w:sz w:val="18"/>
          <w:szCs w:val="18"/>
          <w:color w:val="0F0F0F"/>
        </w:rPr>
        <w:t>limited</w:t>
      </w:r>
      <w:r>
        <w:rPr>
          <w:rFonts w:ascii="Arial" w:cs="Arial" w:eastAsia="Arial" w:hAnsi="Arial"/>
          <w:sz w:val="18"/>
          <w:szCs w:val="18"/>
          <w:color w:val="212121"/>
        </w:rPr>
        <w:t xml:space="preserve"> liability company, </w:t>
      </w:r>
      <w:r>
        <w:rPr>
          <w:rFonts w:ascii="Arial" w:cs="Arial" w:eastAsia="Arial" w:hAnsi="Arial"/>
          <w:sz w:val="18"/>
          <w:szCs w:val="18"/>
          <w:color w:val="343434"/>
        </w:rPr>
        <w:t>predecessor-in-interest</w:t>
      </w:r>
      <w:r>
        <w:rPr>
          <w:rFonts w:ascii="Arial" w:cs="Arial" w:eastAsia="Arial" w:hAnsi="Arial"/>
          <w:sz w:val="18"/>
          <w:szCs w:val="18"/>
          <w:color w:val="212121"/>
        </w:rPr>
        <w:t xml:space="preserve"> to </w:t>
      </w:r>
      <w:r>
        <w:rPr>
          <w:rFonts w:ascii="Arial" w:cs="Arial" w:eastAsia="Arial" w:hAnsi="Arial"/>
          <w:sz w:val="18"/>
          <w:szCs w:val="18"/>
          <w:color w:val="343434"/>
        </w:rPr>
        <w:t>28159</w:t>
      </w:r>
      <w:r>
        <w:rPr>
          <w:rFonts w:ascii="Arial" w:cs="Arial" w:eastAsia="Arial" w:hAnsi="Arial"/>
          <w:sz w:val="18"/>
          <w:szCs w:val="18"/>
          <w:color w:val="212121"/>
        </w:rPr>
        <w:t xml:space="preserve"> Avenue Stanford Properties, LLC, </w:t>
      </w:r>
      <w:r>
        <w:rPr>
          <w:rFonts w:ascii="Arial" w:cs="Arial" w:eastAsia="Arial" w:hAnsi="Arial"/>
          <w:sz w:val="18"/>
          <w:szCs w:val="18"/>
          <w:color w:val="444444"/>
        </w:rPr>
        <w:t>a</w:t>
      </w:r>
      <w:r>
        <w:rPr>
          <w:rFonts w:ascii="Arial" w:cs="Arial" w:eastAsia="Arial" w:hAnsi="Arial"/>
          <w:sz w:val="18"/>
          <w:szCs w:val="18"/>
          <w:color w:val="212121"/>
        </w:rPr>
        <w:t xml:space="preserve"> California limited liability company ("Landlord") and Avita Medical Americas, </w:t>
      </w:r>
      <w:r>
        <w:rPr>
          <w:rFonts w:ascii="Arial" w:cs="Arial" w:eastAsia="Arial" w:hAnsi="Arial"/>
          <w:sz w:val="18"/>
          <w:szCs w:val="18"/>
          <w:color w:val="343434"/>
        </w:rPr>
        <w:t>LLC,</w:t>
      </w:r>
      <w:r>
        <w:rPr>
          <w:rFonts w:ascii="Arial" w:cs="Arial" w:eastAsia="Arial" w:hAnsi="Arial"/>
          <w:sz w:val="18"/>
          <w:szCs w:val="18"/>
          <w:color w:val="212121"/>
        </w:rPr>
        <w:t xml:space="preserve"> a </w:t>
      </w:r>
      <w:r>
        <w:rPr>
          <w:rFonts w:ascii="Arial" w:cs="Arial" w:eastAsia="Arial" w:hAnsi="Arial"/>
          <w:sz w:val="18"/>
          <w:szCs w:val="18"/>
          <w:color w:val="343434"/>
        </w:rPr>
        <w:t>Delaware</w:t>
      </w:r>
      <w:r>
        <w:rPr>
          <w:rFonts w:ascii="Arial" w:cs="Arial" w:eastAsia="Arial" w:hAnsi="Arial"/>
          <w:sz w:val="18"/>
          <w:szCs w:val="18"/>
          <w:color w:val="212121"/>
        </w:rPr>
        <w:t xml:space="preserve"> </w:t>
      </w:r>
      <w:r>
        <w:rPr>
          <w:rFonts w:ascii="Arial" w:cs="Arial" w:eastAsia="Arial" w:hAnsi="Arial"/>
          <w:sz w:val="18"/>
          <w:szCs w:val="18"/>
          <w:color w:val="0F0F0F"/>
        </w:rPr>
        <w:t>limited</w:t>
      </w:r>
      <w:r>
        <w:rPr>
          <w:rFonts w:ascii="Arial" w:cs="Arial" w:eastAsia="Arial" w:hAnsi="Arial"/>
          <w:sz w:val="18"/>
          <w:szCs w:val="18"/>
          <w:color w:val="212121"/>
        </w:rPr>
        <w:t xml:space="preserve"> liability </w:t>
      </w:r>
      <w:r>
        <w:rPr>
          <w:rFonts w:ascii="Arial" w:cs="Arial" w:eastAsia="Arial" w:hAnsi="Arial"/>
          <w:sz w:val="18"/>
          <w:szCs w:val="18"/>
          <w:color w:val="343434"/>
        </w:rPr>
        <w:t>company</w:t>
      </w:r>
      <w:r>
        <w:rPr>
          <w:rFonts w:ascii="Arial" w:cs="Arial" w:eastAsia="Arial" w:hAnsi="Arial"/>
          <w:sz w:val="18"/>
          <w:szCs w:val="18"/>
          <w:color w:val="212121"/>
        </w:rPr>
        <w:t xml:space="preserve"> </w:t>
      </w:r>
      <w:r>
        <w:rPr>
          <w:rFonts w:ascii="Arial" w:cs="Arial" w:eastAsia="Arial" w:hAnsi="Arial"/>
          <w:sz w:val="18"/>
          <w:szCs w:val="18"/>
          <w:color w:val="0F0F0F"/>
        </w:rPr>
        <w:t>("Tenant"),</w:t>
      </w:r>
      <w:r>
        <w:rPr>
          <w:rFonts w:ascii="Arial" w:cs="Arial" w:eastAsia="Arial" w:hAnsi="Arial"/>
          <w:sz w:val="18"/>
          <w:szCs w:val="18"/>
          <w:color w:val="212121"/>
        </w:rPr>
        <w:t xml:space="preserve"> concerning </w:t>
      </w:r>
      <w:r>
        <w:rPr>
          <w:rFonts w:ascii="Arial" w:cs="Arial" w:eastAsia="Arial" w:hAnsi="Arial"/>
          <w:sz w:val="18"/>
          <w:szCs w:val="18"/>
          <w:color w:val="343434"/>
        </w:rPr>
        <w:t>Suite</w:t>
      </w:r>
      <w:r>
        <w:rPr>
          <w:rFonts w:ascii="Arial" w:cs="Arial" w:eastAsia="Arial" w:hAnsi="Arial"/>
          <w:sz w:val="18"/>
          <w:szCs w:val="18"/>
          <w:color w:val="212121"/>
        </w:rPr>
        <w:t xml:space="preserve"> </w:t>
      </w:r>
      <w:r>
        <w:rPr>
          <w:rFonts w:ascii="Arial" w:cs="Arial" w:eastAsia="Arial" w:hAnsi="Arial"/>
          <w:sz w:val="18"/>
          <w:szCs w:val="18"/>
          <w:color w:val="444444"/>
        </w:rPr>
        <w:t>220</w:t>
      </w:r>
      <w:r>
        <w:rPr>
          <w:rFonts w:ascii="Arial" w:cs="Arial" w:eastAsia="Arial" w:hAnsi="Arial"/>
          <w:sz w:val="18"/>
          <w:szCs w:val="18"/>
          <w:color w:val="212121"/>
        </w:rPr>
        <w:t xml:space="preserve"> ("Original </w:t>
      </w:r>
      <w:r>
        <w:rPr>
          <w:rFonts w:ascii="Arial" w:cs="Arial" w:eastAsia="Arial" w:hAnsi="Arial"/>
          <w:sz w:val="18"/>
          <w:szCs w:val="18"/>
          <w:color w:val="343434"/>
        </w:rPr>
        <w:t>Premises")</w:t>
      </w:r>
      <w:r>
        <w:rPr>
          <w:rFonts w:ascii="Arial" w:cs="Arial" w:eastAsia="Arial" w:hAnsi="Arial"/>
          <w:sz w:val="18"/>
          <w:szCs w:val="18"/>
          <w:color w:val="212121"/>
        </w:rPr>
        <w:t xml:space="preserve"> in </w:t>
      </w:r>
      <w:r>
        <w:rPr>
          <w:rFonts w:ascii="Arial" w:cs="Arial" w:eastAsia="Arial" w:hAnsi="Arial"/>
          <w:sz w:val="18"/>
          <w:szCs w:val="18"/>
          <w:color w:val="343434"/>
        </w:rPr>
        <w:t>the</w:t>
      </w:r>
      <w:r>
        <w:rPr>
          <w:rFonts w:ascii="Arial" w:cs="Arial" w:eastAsia="Arial" w:hAnsi="Arial"/>
          <w:sz w:val="18"/>
          <w:szCs w:val="18"/>
          <w:color w:val="212121"/>
        </w:rPr>
        <w:t xml:space="preserve"> building located at 28159 Avenue Stanford, Valencia, CA 91355 ("Building"); as amended </w:t>
      </w:r>
      <w:r>
        <w:rPr>
          <w:rFonts w:ascii="Arial" w:cs="Arial" w:eastAsia="Arial" w:hAnsi="Arial"/>
          <w:sz w:val="18"/>
          <w:szCs w:val="18"/>
          <w:color w:val="0F0F0F"/>
        </w:rPr>
        <w:t>by that</w:t>
      </w:r>
      <w:r>
        <w:rPr>
          <w:rFonts w:ascii="Arial" w:cs="Arial" w:eastAsia="Arial" w:hAnsi="Arial"/>
          <w:sz w:val="18"/>
          <w:szCs w:val="18"/>
          <w:color w:val="212121"/>
        </w:rPr>
        <w:t xml:space="preserve"> certain First </w:t>
      </w:r>
      <w:r>
        <w:rPr>
          <w:rFonts w:ascii="Arial" w:cs="Arial" w:eastAsia="Arial" w:hAnsi="Arial"/>
          <w:sz w:val="18"/>
          <w:szCs w:val="18"/>
          <w:color w:val="343434"/>
        </w:rPr>
        <w:t>Amendment</w:t>
      </w:r>
      <w:r>
        <w:rPr>
          <w:rFonts w:ascii="Arial" w:cs="Arial" w:eastAsia="Arial" w:hAnsi="Arial"/>
          <w:sz w:val="18"/>
          <w:szCs w:val="18"/>
          <w:color w:val="212121"/>
        </w:rPr>
        <w:t xml:space="preserve"> to Lease </w:t>
      </w:r>
      <w:r>
        <w:rPr>
          <w:rFonts w:ascii="Arial" w:cs="Arial" w:eastAsia="Arial" w:hAnsi="Arial"/>
          <w:sz w:val="18"/>
          <w:szCs w:val="18"/>
          <w:color w:val="0F0F0F"/>
        </w:rPr>
        <w:t>dated</w:t>
      </w:r>
      <w:r>
        <w:rPr>
          <w:rFonts w:ascii="Arial" w:cs="Arial" w:eastAsia="Arial" w:hAnsi="Arial"/>
          <w:sz w:val="18"/>
          <w:szCs w:val="18"/>
          <w:color w:val="212121"/>
        </w:rPr>
        <w:t xml:space="preserve"> December 14, 2016, </w:t>
      </w:r>
      <w:r>
        <w:rPr>
          <w:rFonts w:ascii="Arial" w:cs="Arial" w:eastAsia="Arial" w:hAnsi="Arial"/>
          <w:sz w:val="18"/>
          <w:szCs w:val="18"/>
          <w:color w:val="0F0F0F"/>
        </w:rPr>
        <w:t>between</w:t>
      </w:r>
      <w:r>
        <w:rPr>
          <w:rFonts w:ascii="Arial" w:cs="Arial" w:eastAsia="Arial" w:hAnsi="Arial"/>
          <w:sz w:val="18"/>
          <w:szCs w:val="18"/>
          <w:color w:val="212121"/>
        </w:rPr>
        <w:t xml:space="preserve"> Landlord and Tenant ("First Amendment"); </w:t>
      </w:r>
      <w:r>
        <w:rPr>
          <w:rFonts w:ascii="Arial" w:cs="Arial" w:eastAsia="Arial" w:hAnsi="Arial"/>
          <w:sz w:val="18"/>
          <w:szCs w:val="18"/>
          <w:color w:val="0F0F0F"/>
        </w:rPr>
        <w:t>as</w:t>
      </w:r>
      <w:r>
        <w:rPr>
          <w:rFonts w:ascii="Arial" w:cs="Arial" w:eastAsia="Arial" w:hAnsi="Arial"/>
          <w:sz w:val="18"/>
          <w:szCs w:val="18"/>
          <w:color w:val="212121"/>
        </w:rPr>
        <w:t xml:space="preserve"> further amended by </w:t>
      </w:r>
      <w:r>
        <w:rPr>
          <w:rFonts w:ascii="Arial" w:cs="Arial" w:eastAsia="Arial" w:hAnsi="Arial"/>
          <w:sz w:val="18"/>
          <w:szCs w:val="18"/>
          <w:color w:val="343434"/>
        </w:rPr>
        <w:t>that</w:t>
      </w:r>
      <w:r>
        <w:rPr>
          <w:rFonts w:ascii="Arial" w:cs="Arial" w:eastAsia="Arial" w:hAnsi="Arial"/>
          <w:sz w:val="18"/>
          <w:szCs w:val="18"/>
          <w:color w:val="212121"/>
        </w:rPr>
        <w:t xml:space="preserve"> </w:t>
      </w:r>
      <w:r>
        <w:rPr>
          <w:rFonts w:ascii="Arial" w:cs="Arial" w:eastAsia="Arial" w:hAnsi="Arial"/>
          <w:sz w:val="18"/>
          <w:szCs w:val="18"/>
          <w:color w:val="0F0F0F"/>
        </w:rPr>
        <w:t>certain</w:t>
      </w:r>
      <w:r>
        <w:rPr>
          <w:rFonts w:ascii="Arial" w:cs="Arial" w:eastAsia="Arial" w:hAnsi="Arial"/>
          <w:sz w:val="18"/>
          <w:szCs w:val="18"/>
          <w:color w:val="212121"/>
        </w:rPr>
        <w:t xml:space="preserve"> Second Amendment </w:t>
      </w:r>
      <w:r>
        <w:rPr>
          <w:rFonts w:ascii="Arial" w:cs="Arial" w:eastAsia="Arial" w:hAnsi="Arial"/>
          <w:sz w:val="18"/>
          <w:szCs w:val="18"/>
          <w:color w:val="343434"/>
        </w:rPr>
        <w:t>to</w:t>
      </w:r>
      <w:r>
        <w:rPr>
          <w:rFonts w:ascii="Arial" w:cs="Arial" w:eastAsia="Arial" w:hAnsi="Arial"/>
          <w:sz w:val="18"/>
          <w:szCs w:val="18"/>
          <w:color w:val="212121"/>
        </w:rPr>
        <w:t xml:space="preserve"> </w:t>
      </w:r>
      <w:r>
        <w:rPr>
          <w:rFonts w:ascii="Arial" w:cs="Arial" w:eastAsia="Arial" w:hAnsi="Arial"/>
          <w:sz w:val="18"/>
          <w:szCs w:val="18"/>
          <w:color w:val="444444"/>
        </w:rPr>
        <w:t>Lease</w:t>
      </w:r>
      <w:r>
        <w:rPr>
          <w:rFonts w:ascii="Arial" w:cs="Arial" w:eastAsia="Arial" w:hAnsi="Arial"/>
          <w:sz w:val="18"/>
          <w:szCs w:val="18"/>
          <w:color w:val="212121"/>
        </w:rPr>
        <w:t xml:space="preserve"> dated </w:t>
      </w:r>
      <w:r>
        <w:rPr>
          <w:rFonts w:ascii="Arial" w:cs="Arial" w:eastAsia="Arial" w:hAnsi="Arial"/>
          <w:sz w:val="18"/>
          <w:szCs w:val="18"/>
          <w:color w:val="444444"/>
        </w:rPr>
        <w:t>December</w:t>
      </w:r>
      <w:r>
        <w:rPr>
          <w:rFonts w:ascii="Arial" w:cs="Arial" w:eastAsia="Arial" w:hAnsi="Arial"/>
          <w:sz w:val="18"/>
          <w:szCs w:val="18"/>
          <w:color w:val="212121"/>
        </w:rPr>
        <w:t xml:space="preserve"> 4, </w:t>
      </w:r>
      <w:r>
        <w:rPr>
          <w:rFonts w:ascii="Arial" w:cs="Arial" w:eastAsia="Arial" w:hAnsi="Arial"/>
          <w:sz w:val="18"/>
          <w:szCs w:val="18"/>
          <w:color w:val="343434"/>
        </w:rPr>
        <w:t>2017</w:t>
      </w:r>
      <w:r>
        <w:rPr>
          <w:rFonts w:ascii="Arial" w:cs="Arial" w:eastAsia="Arial" w:hAnsi="Arial"/>
          <w:sz w:val="18"/>
          <w:szCs w:val="18"/>
          <w:color w:val="212121"/>
        </w:rPr>
        <w:t xml:space="preserve"> ("Second </w:t>
      </w:r>
      <w:r>
        <w:rPr>
          <w:rFonts w:ascii="Arial" w:cs="Arial" w:eastAsia="Arial" w:hAnsi="Arial"/>
          <w:sz w:val="18"/>
          <w:szCs w:val="18"/>
          <w:color w:val="343434"/>
        </w:rPr>
        <w:t>Amendment")</w:t>
      </w:r>
      <w:r>
        <w:rPr>
          <w:rFonts w:ascii="Arial" w:cs="Arial" w:eastAsia="Arial" w:hAnsi="Arial"/>
          <w:sz w:val="18"/>
          <w:szCs w:val="18"/>
          <w:color w:val="212121"/>
        </w:rPr>
        <w:t xml:space="preserve"> </w:t>
      </w:r>
      <w:r>
        <w:rPr>
          <w:rFonts w:ascii="Arial" w:cs="Arial" w:eastAsia="Arial" w:hAnsi="Arial"/>
          <w:sz w:val="18"/>
          <w:szCs w:val="18"/>
          <w:color w:val="0F0F0F"/>
        </w:rPr>
        <w:t>between</w:t>
      </w:r>
      <w:r>
        <w:rPr>
          <w:rFonts w:ascii="Arial" w:cs="Arial" w:eastAsia="Arial" w:hAnsi="Arial"/>
          <w:sz w:val="18"/>
          <w:szCs w:val="18"/>
          <w:color w:val="212121"/>
        </w:rPr>
        <w:t xml:space="preserve"> </w:t>
      </w:r>
      <w:r>
        <w:rPr>
          <w:rFonts w:ascii="Arial" w:cs="Arial" w:eastAsia="Arial" w:hAnsi="Arial"/>
          <w:sz w:val="18"/>
          <w:szCs w:val="18"/>
          <w:color w:val="343434"/>
        </w:rPr>
        <w:t>Landlord and</w:t>
      </w:r>
      <w:r>
        <w:rPr>
          <w:rFonts w:ascii="Arial" w:cs="Arial" w:eastAsia="Arial" w:hAnsi="Arial"/>
          <w:sz w:val="18"/>
          <w:szCs w:val="18"/>
          <w:color w:val="212121"/>
        </w:rPr>
        <w:t xml:space="preserve"> </w:t>
      </w:r>
      <w:r>
        <w:rPr>
          <w:rFonts w:ascii="Arial" w:cs="Arial" w:eastAsia="Arial" w:hAnsi="Arial"/>
          <w:sz w:val="18"/>
          <w:szCs w:val="18"/>
          <w:color w:val="444444"/>
        </w:rPr>
        <w:t xml:space="preserve">Tenant concerning </w:t>
      </w:r>
      <w:r>
        <w:rPr>
          <w:rFonts w:ascii="Arial" w:cs="Arial" w:eastAsia="Arial" w:hAnsi="Arial"/>
          <w:sz w:val="18"/>
          <w:szCs w:val="18"/>
          <w:color w:val="212121"/>
        </w:rPr>
        <w:t>the Original Premises and</w:t>
      </w:r>
      <w:r>
        <w:rPr>
          <w:rFonts w:ascii="Arial" w:cs="Arial" w:eastAsia="Arial" w:hAnsi="Arial"/>
          <w:sz w:val="18"/>
          <w:szCs w:val="18"/>
          <w:color w:val="444444"/>
        </w:rPr>
        <w:t xml:space="preserve"> </w:t>
      </w:r>
      <w:r>
        <w:rPr>
          <w:rFonts w:ascii="Arial" w:cs="Arial" w:eastAsia="Arial" w:hAnsi="Arial"/>
          <w:sz w:val="18"/>
          <w:szCs w:val="18"/>
          <w:color w:val="343434"/>
        </w:rPr>
        <w:t>Suite</w:t>
      </w:r>
      <w:r>
        <w:rPr>
          <w:rFonts w:ascii="Arial" w:cs="Arial" w:eastAsia="Arial" w:hAnsi="Arial"/>
          <w:sz w:val="18"/>
          <w:szCs w:val="18"/>
          <w:color w:val="444444"/>
        </w:rPr>
        <w:t xml:space="preserve"> </w:t>
      </w:r>
      <w:r>
        <w:rPr>
          <w:rFonts w:ascii="Arial" w:cs="Arial" w:eastAsia="Arial" w:hAnsi="Arial"/>
          <w:sz w:val="18"/>
          <w:szCs w:val="18"/>
          <w:color w:val="212121"/>
        </w:rPr>
        <w:t>220 ("Expansion</w:t>
      </w:r>
      <w:r>
        <w:rPr>
          <w:rFonts w:ascii="Arial" w:cs="Arial" w:eastAsia="Arial" w:hAnsi="Arial"/>
          <w:sz w:val="18"/>
          <w:szCs w:val="18"/>
          <w:color w:val="444444"/>
        </w:rPr>
        <w:t xml:space="preserve"> </w:t>
      </w:r>
      <w:r>
        <w:rPr>
          <w:rFonts w:ascii="Arial" w:cs="Arial" w:eastAsia="Arial" w:hAnsi="Arial"/>
          <w:sz w:val="18"/>
          <w:szCs w:val="18"/>
          <w:color w:val="343434"/>
        </w:rPr>
        <w:t>Premises")</w:t>
      </w:r>
      <w:r>
        <w:rPr>
          <w:rFonts w:ascii="Arial" w:cs="Arial" w:eastAsia="Arial" w:hAnsi="Arial"/>
          <w:sz w:val="18"/>
          <w:szCs w:val="18"/>
          <w:color w:val="444444"/>
        </w:rPr>
        <w:t xml:space="preserve"> </w:t>
      </w:r>
      <w:r>
        <w:rPr>
          <w:rFonts w:ascii="Arial" w:cs="Arial" w:eastAsia="Arial" w:hAnsi="Arial"/>
          <w:sz w:val="18"/>
          <w:szCs w:val="18"/>
          <w:color w:val="212121"/>
        </w:rPr>
        <w:t>(the Original</w:t>
      </w:r>
      <w:r>
        <w:rPr>
          <w:rFonts w:ascii="Arial" w:cs="Arial" w:eastAsia="Arial" w:hAnsi="Arial"/>
          <w:sz w:val="18"/>
          <w:szCs w:val="18"/>
          <w:color w:val="444444"/>
        </w:rPr>
        <w:t xml:space="preserve"> </w:t>
      </w:r>
      <w:r>
        <w:rPr>
          <w:rFonts w:ascii="Arial" w:cs="Arial" w:eastAsia="Arial" w:hAnsi="Arial"/>
          <w:sz w:val="18"/>
          <w:szCs w:val="18"/>
          <w:color w:val="343434"/>
        </w:rPr>
        <w:t>Premises</w:t>
      </w:r>
      <w:r>
        <w:rPr>
          <w:rFonts w:ascii="Arial" w:cs="Arial" w:eastAsia="Arial" w:hAnsi="Arial"/>
          <w:sz w:val="18"/>
          <w:szCs w:val="18"/>
          <w:color w:val="444444"/>
        </w:rPr>
        <w:t xml:space="preserve"> </w:t>
      </w:r>
      <w:r>
        <w:rPr>
          <w:rFonts w:ascii="Arial" w:cs="Arial" w:eastAsia="Arial" w:hAnsi="Arial"/>
          <w:sz w:val="18"/>
          <w:szCs w:val="18"/>
          <w:color w:val="212121"/>
        </w:rPr>
        <w:t>and</w:t>
      </w:r>
      <w:r>
        <w:rPr>
          <w:rFonts w:ascii="Arial" w:cs="Arial" w:eastAsia="Arial" w:hAnsi="Arial"/>
          <w:sz w:val="18"/>
          <w:szCs w:val="18"/>
          <w:color w:val="444444"/>
        </w:rPr>
        <w:t xml:space="preserve"> </w:t>
      </w:r>
      <w:r>
        <w:rPr>
          <w:rFonts w:ascii="Arial" w:cs="Arial" w:eastAsia="Arial" w:hAnsi="Arial"/>
          <w:sz w:val="18"/>
          <w:szCs w:val="18"/>
          <w:color w:val="343434"/>
        </w:rPr>
        <w:t>Expansion</w:t>
      </w:r>
      <w:r>
        <w:rPr>
          <w:rFonts w:ascii="Arial" w:cs="Arial" w:eastAsia="Arial" w:hAnsi="Arial"/>
          <w:sz w:val="18"/>
          <w:szCs w:val="18"/>
          <w:color w:val="444444"/>
        </w:rPr>
        <w:t xml:space="preserve"> </w:t>
      </w:r>
      <w:r>
        <w:rPr>
          <w:rFonts w:ascii="Arial" w:cs="Arial" w:eastAsia="Arial" w:hAnsi="Arial"/>
          <w:sz w:val="18"/>
          <w:szCs w:val="18"/>
          <w:color w:val="212121"/>
        </w:rPr>
        <w:t>Premises shall</w:t>
      </w:r>
      <w:r>
        <w:rPr>
          <w:rFonts w:ascii="Arial" w:cs="Arial" w:eastAsia="Arial" w:hAnsi="Arial"/>
          <w:sz w:val="18"/>
          <w:szCs w:val="18"/>
          <w:color w:val="444444"/>
        </w:rPr>
        <w:t xml:space="preserve"> </w:t>
      </w:r>
      <w:r>
        <w:rPr>
          <w:rFonts w:ascii="Arial" w:cs="Arial" w:eastAsia="Arial" w:hAnsi="Arial"/>
          <w:sz w:val="18"/>
          <w:szCs w:val="18"/>
          <w:color w:val="0F0F0F"/>
        </w:rPr>
        <w:t xml:space="preserve">be collectively </w:t>
      </w:r>
      <w:r>
        <w:rPr>
          <w:rFonts w:ascii="Arial" w:cs="Arial" w:eastAsia="Arial" w:hAnsi="Arial"/>
          <w:sz w:val="18"/>
          <w:szCs w:val="18"/>
          <w:color w:val="212121"/>
        </w:rPr>
        <w:t>known as the "Premises"); as further amended</w:t>
      </w:r>
      <w:r>
        <w:rPr>
          <w:rFonts w:ascii="Arial" w:cs="Arial" w:eastAsia="Arial" w:hAnsi="Arial"/>
          <w:sz w:val="18"/>
          <w:szCs w:val="18"/>
          <w:color w:val="0F0F0F"/>
        </w:rPr>
        <w:t xml:space="preserve"> by that </w:t>
      </w:r>
      <w:r>
        <w:rPr>
          <w:rFonts w:ascii="Arial" w:cs="Arial" w:eastAsia="Arial" w:hAnsi="Arial"/>
          <w:sz w:val="18"/>
          <w:szCs w:val="18"/>
          <w:color w:val="212121"/>
        </w:rPr>
        <w:t>certain</w:t>
      </w:r>
      <w:r>
        <w:rPr>
          <w:rFonts w:ascii="Arial" w:cs="Arial" w:eastAsia="Arial" w:hAnsi="Arial"/>
          <w:sz w:val="18"/>
          <w:szCs w:val="18"/>
          <w:color w:val="0F0F0F"/>
        </w:rPr>
        <w:t xml:space="preserve"> Third Amendment </w:t>
      </w:r>
      <w:r>
        <w:rPr>
          <w:rFonts w:ascii="Arial" w:cs="Arial" w:eastAsia="Arial" w:hAnsi="Arial"/>
          <w:sz w:val="18"/>
          <w:szCs w:val="18"/>
          <w:color w:val="212121"/>
        </w:rPr>
        <w:t>to</w:t>
      </w:r>
      <w:r>
        <w:rPr>
          <w:rFonts w:ascii="Arial" w:cs="Arial" w:eastAsia="Arial" w:hAnsi="Arial"/>
          <w:sz w:val="18"/>
          <w:szCs w:val="18"/>
          <w:color w:val="0F0F0F"/>
        </w:rPr>
        <w:t xml:space="preserve"> Lease </w:t>
      </w:r>
      <w:r>
        <w:rPr>
          <w:rFonts w:ascii="Arial" w:cs="Arial" w:eastAsia="Arial" w:hAnsi="Arial"/>
          <w:sz w:val="18"/>
          <w:szCs w:val="18"/>
          <w:color w:val="212121"/>
        </w:rPr>
        <w:t>dated</w:t>
      </w:r>
      <w:r>
        <w:rPr>
          <w:rFonts w:ascii="Arial" w:cs="Arial" w:eastAsia="Arial" w:hAnsi="Arial"/>
          <w:sz w:val="18"/>
          <w:szCs w:val="18"/>
          <w:color w:val="0F0F0F"/>
        </w:rPr>
        <w:t xml:space="preserve"> November </w:t>
      </w:r>
      <w:r>
        <w:rPr>
          <w:rFonts w:ascii="Arial" w:cs="Arial" w:eastAsia="Arial" w:hAnsi="Arial"/>
          <w:sz w:val="18"/>
          <w:szCs w:val="18"/>
          <w:color w:val="212121"/>
        </w:rPr>
        <w:t>17,</w:t>
      </w:r>
      <w:r>
        <w:rPr>
          <w:rFonts w:ascii="Arial" w:cs="Arial" w:eastAsia="Arial" w:hAnsi="Arial"/>
          <w:sz w:val="18"/>
          <w:szCs w:val="18"/>
          <w:color w:val="0F0F0F"/>
        </w:rPr>
        <w:t xml:space="preserve"> 2020 </w:t>
      </w:r>
      <w:r>
        <w:rPr>
          <w:rFonts w:ascii="Arial" w:cs="Arial" w:eastAsia="Arial" w:hAnsi="Arial"/>
          <w:sz w:val="18"/>
          <w:szCs w:val="18"/>
          <w:color w:val="212121"/>
        </w:rPr>
        <w:t xml:space="preserve">("Third Amendment") </w:t>
      </w:r>
      <w:r>
        <w:rPr>
          <w:rFonts w:ascii="Arial" w:cs="Arial" w:eastAsia="Arial" w:hAnsi="Arial"/>
          <w:sz w:val="18"/>
          <w:szCs w:val="18"/>
          <w:color w:val="0F0F0F"/>
        </w:rPr>
        <w:t>between</w:t>
      </w:r>
      <w:r>
        <w:rPr>
          <w:rFonts w:ascii="Arial" w:cs="Arial" w:eastAsia="Arial" w:hAnsi="Arial"/>
          <w:sz w:val="18"/>
          <w:szCs w:val="18"/>
          <w:color w:val="212121"/>
        </w:rPr>
        <w:t xml:space="preserve"> Landlord and Tenant </w:t>
      </w:r>
      <w:r>
        <w:rPr>
          <w:rFonts w:ascii="Arial" w:cs="Arial" w:eastAsia="Arial" w:hAnsi="Arial"/>
          <w:sz w:val="18"/>
          <w:szCs w:val="18"/>
          <w:color w:val="343434"/>
        </w:rPr>
        <w:t>concerning the</w:t>
      </w:r>
      <w:r>
        <w:rPr>
          <w:rFonts w:ascii="Arial" w:cs="Arial" w:eastAsia="Arial" w:hAnsi="Arial"/>
          <w:sz w:val="18"/>
          <w:szCs w:val="18"/>
          <w:color w:val="212121"/>
        </w:rPr>
        <w:t xml:space="preserve"> Premises; and as </w:t>
      </w:r>
      <w:r>
        <w:rPr>
          <w:rFonts w:ascii="Arial" w:cs="Arial" w:eastAsia="Arial" w:hAnsi="Arial"/>
          <w:sz w:val="18"/>
          <w:szCs w:val="18"/>
          <w:color w:val="0F0F0F"/>
        </w:rPr>
        <w:t>further</w:t>
      </w:r>
      <w:r>
        <w:rPr>
          <w:rFonts w:ascii="Arial" w:cs="Arial" w:eastAsia="Arial" w:hAnsi="Arial"/>
          <w:sz w:val="18"/>
          <w:szCs w:val="18"/>
          <w:color w:val="212121"/>
        </w:rPr>
        <w:t xml:space="preserve"> amended by that certain </w:t>
      </w:r>
      <w:r>
        <w:rPr>
          <w:rFonts w:ascii="Arial" w:cs="Arial" w:eastAsia="Arial" w:hAnsi="Arial"/>
          <w:sz w:val="18"/>
          <w:szCs w:val="18"/>
          <w:color w:val="444444"/>
        </w:rPr>
        <w:t>Fourth</w:t>
      </w:r>
      <w:r>
        <w:rPr>
          <w:rFonts w:ascii="Arial" w:cs="Arial" w:eastAsia="Arial" w:hAnsi="Arial"/>
          <w:sz w:val="18"/>
          <w:szCs w:val="18"/>
          <w:color w:val="212121"/>
        </w:rPr>
        <w:t xml:space="preserve"> </w:t>
      </w:r>
      <w:r>
        <w:rPr>
          <w:rFonts w:ascii="Arial" w:cs="Arial" w:eastAsia="Arial" w:hAnsi="Arial"/>
          <w:sz w:val="18"/>
          <w:szCs w:val="18"/>
          <w:color w:val="444444"/>
        </w:rPr>
        <w:t xml:space="preserve">Amendment </w:t>
      </w:r>
      <w:r>
        <w:rPr>
          <w:rFonts w:ascii="Arial" w:cs="Arial" w:eastAsia="Arial" w:hAnsi="Arial"/>
          <w:sz w:val="18"/>
          <w:szCs w:val="18"/>
          <w:color w:val="343434"/>
        </w:rPr>
        <w:t>to Lease dated August</w:t>
      </w:r>
      <w:r>
        <w:rPr>
          <w:rFonts w:ascii="Arial" w:cs="Arial" w:eastAsia="Arial" w:hAnsi="Arial"/>
          <w:sz w:val="18"/>
          <w:szCs w:val="18"/>
          <w:color w:val="444444"/>
        </w:rPr>
        <w:t xml:space="preserve"> </w:t>
      </w:r>
      <w:r>
        <w:rPr>
          <w:rFonts w:ascii="Arial" w:cs="Arial" w:eastAsia="Arial" w:hAnsi="Arial"/>
          <w:sz w:val="18"/>
          <w:szCs w:val="18"/>
          <w:color w:val="212121"/>
        </w:rPr>
        <w:t>25, 2021 ("Fourth Amendment")</w:t>
      </w:r>
      <w:r>
        <w:rPr>
          <w:rFonts w:ascii="Arial" w:cs="Arial" w:eastAsia="Arial" w:hAnsi="Arial"/>
          <w:sz w:val="18"/>
          <w:szCs w:val="18"/>
          <w:color w:val="444444"/>
        </w:rPr>
        <w:t xml:space="preserve"> </w:t>
      </w:r>
      <w:r>
        <w:rPr>
          <w:rFonts w:ascii="Arial" w:cs="Arial" w:eastAsia="Arial" w:hAnsi="Arial"/>
          <w:sz w:val="18"/>
          <w:szCs w:val="18"/>
          <w:color w:val="343434"/>
        </w:rPr>
        <w:t>between Landlord and</w:t>
      </w:r>
      <w:r>
        <w:rPr>
          <w:rFonts w:ascii="Arial" w:cs="Arial" w:eastAsia="Arial" w:hAnsi="Arial"/>
          <w:sz w:val="18"/>
          <w:szCs w:val="18"/>
          <w:color w:val="444444"/>
        </w:rPr>
        <w:t xml:space="preserve"> </w:t>
      </w:r>
      <w:r>
        <w:rPr>
          <w:rFonts w:ascii="Arial" w:cs="Arial" w:eastAsia="Arial" w:hAnsi="Arial"/>
          <w:sz w:val="18"/>
          <w:szCs w:val="18"/>
          <w:color w:val="212121"/>
        </w:rPr>
        <w:t>Tenant concerning</w:t>
      </w:r>
      <w:r>
        <w:rPr>
          <w:rFonts w:ascii="Arial" w:cs="Arial" w:eastAsia="Arial" w:hAnsi="Arial"/>
          <w:sz w:val="18"/>
          <w:szCs w:val="18"/>
          <w:color w:val="444444"/>
        </w:rPr>
        <w:t xml:space="preserve"> </w:t>
      </w:r>
      <w:r>
        <w:rPr>
          <w:rFonts w:ascii="Arial" w:cs="Arial" w:eastAsia="Arial" w:hAnsi="Arial"/>
          <w:sz w:val="18"/>
          <w:szCs w:val="18"/>
          <w:color w:val="343434"/>
        </w:rPr>
        <w:t>the</w:t>
      </w:r>
      <w:r>
        <w:rPr>
          <w:rFonts w:ascii="Arial" w:cs="Arial" w:eastAsia="Arial" w:hAnsi="Arial"/>
          <w:sz w:val="18"/>
          <w:szCs w:val="18"/>
          <w:color w:val="444444"/>
        </w:rPr>
        <w:t xml:space="preserve"> </w:t>
      </w:r>
      <w:r>
        <w:rPr>
          <w:rFonts w:ascii="Arial" w:cs="Arial" w:eastAsia="Arial" w:hAnsi="Arial"/>
          <w:sz w:val="18"/>
          <w:szCs w:val="18"/>
          <w:color w:val="212121"/>
        </w:rPr>
        <w:t>Premises. The</w:t>
      </w:r>
      <w:r>
        <w:rPr>
          <w:rFonts w:ascii="Arial" w:cs="Arial" w:eastAsia="Arial" w:hAnsi="Arial"/>
          <w:sz w:val="18"/>
          <w:szCs w:val="18"/>
          <w:color w:val="444444"/>
        </w:rPr>
        <w:t xml:space="preserve"> </w:t>
      </w:r>
      <w:r>
        <w:rPr>
          <w:rFonts w:ascii="Arial" w:cs="Arial" w:eastAsia="Arial" w:hAnsi="Arial"/>
          <w:sz w:val="18"/>
          <w:szCs w:val="18"/>
          <w:color w:val="212121"/>
        </w:rPr>
        <w:t xml:space="preserve">Original Lease, </w:t>
      </w:r>
      <w:r>
        <w:rPr>
          <w:rFonts w:ascii="Arial" w:cs="Arial" w:eastAsia="Arial" w:hAnsi="Arial"/>
          <w:sz w:val="18"/>
          <w:szCs w:val="18"/>
          <w:color w:val="343434"/>
        </w:rPr>
        <w:t>First Amendment</w:t>
      </w:r>
      <w:r>
        <w:rPr>
          <w:rFonts w:ascii="Arial" w:cs="Arial" w:eastAsia="Arial" w:hAnsi="Arial"/>
          <w:sz w:val="18"/>
          <w:szCs w:val="18"/>
          <w:color w:val="212121"/>
        </w:rPr>
        <w:t xml:space="preserve"> to Lease, Second </w:t>
      </w:r>
      <w:r>
        <w:rPr>
          <w:rFonts w:ascii="Arial" w:cs="Arial" w:eastAsia="Arial" w:hAnsi="Arial"/>
          <w:sz w:val="18"/>
          <w:szCs w:val="18"/>
          <w:color w:val="343434"/>
        </w:rPr>
        <w:t>Amendment</w:t>
      </w:r>
      <w:r>
        <w:rPr>
          <w:rFonts w:ascii="Arial" w:cs="Arial" w:eastAsia="Arial" w:hAnsi="Arial"/>
          <w:sz w:val="18"/>
          <w:szCs w:val="18"/>
          <w:color w:val="212121"/>
        </w:rPr>
        <w:t xml:space="preserve"> </w:t>
      </w:r>
      <w:r>
        <w:rPr>
          <w:rFonts w:ascii="Arial" w:cs="Arial" w:eastAsia="Arial" w:hAnsi="Arial"/>
          <w:sz w:val="18"/>
          <w:szCs w:val="18"/>
          <w:color w:val="0F0F0F"/>
        </w:rPr>
        <w:t>to</w:t>
      </w:r>
      <w:r>
        <w:rPr>
          <w:rFonts w:ascii="Arial" w:cs="Arial" w:eastAsia="Arial" w:hAnsi="Arial"/>
          <w:sz w:val="18"/>
          <w:szCs w:val="18"/>
          <w:color w:val="212121"/>
        </w:rPr>
        <w:t xml:space="preserve"> Lease, </w:t>
      </w:r>
      <w:r>
        <w:rPr>
          <w:rFonts w:ascii="Arial" w:cs="Arial" w:eastAsia="Arial" w:hAnsi="Arial"/>
          <w:sz w:val="18"/>
          <w:szCs w:val="18"/>
          <w:color w:val="0F0F0F"/>
        </w:rPr>
        <w:t>Third</w:t>
      </w:r>
      <w:r>
        <w:rPr>
          <w:rFonts w:ascii="Arial" w:cs="Arial" w:eastAsia="Arial" w:hAnsi="Arial"/>
          <w:sz w:val="18"/>
          <w:szCs w:val="18"/>
          <w:color w:val="212121"/>
        </w:rPr>
        <w:t xml:space="preserve"> Amendment to </w:t>
      </w:r>
      <w:r>
        <w:rPr>
          <w:rFonts w:ascii="Arial" w:cs="Arial" w:eastAsia="Arial" w:hAnsi="Arial"/>
          <w:sz w:val="18"/>
          <w:szCs w:val="18"/>
          <w:color w:val="0F0F0F"/>
        </w:rPr>
        <w:t>Lease,</w:t>
      </w:r>
      <w:r>
        <w:rPr>
          <w:rFonts w:ascii="Arial" w:cs="Arial" w:eastAsia="Arial" w:hAnsi="Arial"/>
          <w:sz w:val="18"/>
          <w:szCs w:val="18"/>
          <w:color w:val="212121"/>
        </w:rPr>
        <w:t xml:space="preserve"> and Fourth Amendment to Lease </w:t>
      </w:r>
      <w:r>
        <w:rPr>
          <w:rFonts w:ascii="Arial" w:cs="Arial" w:eastAsia="Arial" w:hAnsi="Arial"/>
          <w:sz w:val="18"/>
          <w:szCs w:val="18"/>
          <w:color w:val="0F0F0F"/>
        </w:rPr>
        <w:t>shall be</w:t>
      </w:r>
      <w:r>
        <w:rPr>
          <w:rFonts w:ascii="Arial" w:cs="Arial" w:eastAsia="Arial" w:hAnsi="Arial"/>
          <w:sz w:val="18"/>
          <w:szCs w:val="18"/>
          <w:color w:val="212121"/>
        </w:rPr>
        <w:t xml:space="preserve"> collectively known as the "Lease".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444444"/>
        </w:rPr>
        <w:t xml:space="preserve">Mr. James </w:t>
      </w:r>
      <w:r>
        <w:rPr>
          <w:rFonts w:ascii="Arial" w:cs="Arial" w:eastAsia="Arial" w:hAnsi="Arial"/>
          <w:sz w:val="19"/>
          <w:szCs w:val="19"/>
          <w:color w:val="212121"/>
        </w:rPr>
        <w:t>Corbett:</w:t>
      </w:r>
    </w:p>
    <w:p>
      <w:pPr>
        <w:spacing w:after="0" w:line="214" w:lineRule="exact"/>
        <w:rPr>
          <w:sz w:val="20"/>
          <w:szCs w:val="20"/>
          <w:color w:val="auto"/>
        </w:rPr>
      </w:pPr>
    </w:p>
    <w:p>
      <w:pPr>
        <w:ind w:right="160" w:firstLine="896"/>
        <w:spacing w:after="0" w:line="289" w:lineRule="auto"/>
        <w:rPr>
          <w:sz w:val="20"/>
          <w:szCs w:val="20"/>
          <w:color w:val="auto"/>
        </w:rPr>
      </w:pPr>
      <w:r>
        <w:rPr>
          <w:rFonts w:ascii="Arial" w:cs="Arial" w:eastAsia="Arial" w:hAnsi="Arial"/>
          <w:sz w:val="18"/>
          <w:szCs w:val="18"/>
          <w:color w:val="212121"/>
        </w:rPr>
        <w:t xml:space="preserve">As additional consideration for Tenant having entered into the Lease </w:t>
      </w:r>
      <w:r>
        <w:rPr>
          <w:rFonts w:ascii="Arial" w:cs="Arial" w:eastAsia="Arial" w:hAnsi="Arial"/>
          <w:sz w:val="18"/>
          <w:szCs w:val="18"/>
          <w:color w:val="0F0F0F"/>
        </w:rPr>
        <w:t>with</w:t>
      </w:r>
      <w:r>
        <w:rPr>
          <w:rFonts w:ascii="Arial" w:cs="Arial" w:eastAsia="Arial" w:hAnsi="Arial"/>
          <w:sz w:val="18"/>
          <w:szCs w:val="18"/>
          <w:color w:val="212121"/>
        </w:rPr>
        <w:t xml:space="preserve"> Landlord and for </w:t>
      </w:r>
      <w:r>
        <w:rPr>
          <w:rFonts w:ascii="Arial" w:cs="Arial" w:eastAsia="Arial" w:hAnsi="Arial"/>
          <w:sz w:val="18"/>
          <w:szCs w:val="18"/>
          <w:color w:val="0F0F0F"/>
        </w:rPr>
        <w:t>other</w:t>
      </w:r>
      <w:r>
        <w:rPr>
          <w:rFonts w:ascii="Arial" w:cs="Arial" w:eastAsia="Arial" w:hAnsi="Arial"/>
          <w:sz w:val="18"/>
          <w:szCs w:val="18"/>
          <w:color w:val="212121"/>
        </w:rPr>
        <w:t xml:space="preserve"> good and valuable consideration, the </w:t>
      </w:r>
      <w:r>
        <w:rPr>
          <w:rFonts w:ascii="Arial" w:cs="Arial" w:eastAsia="Arial" w:hAnsi="Arial"/>
          <w:sz w:val="18"/>
          <w:szCs w:val="18"/>
          <w:color w:val="0F0F0F"/>
        </w:rPr>
        <w:t xml:space="preserve">receipt </w:t>
      </w:r>
      <w:r>
        <w:rPr>
          <w:rFonts w:ascii="Arial" w:cs="Arial" w:eastAsia="Arial" w:hAnsi="Arial"/>
          <w:sz w:val="18"/>
          <w:szCs w:val="18"/>
          <w:color w:val="212121"/>
        </w:rPr>
        <w:t>of which is hereby acknowledged, Landlord</w:t>
      </w:r>
      <w:r>
        <w:rPr>
          <w:rFonts w:ascii="Arial" w:cs="Arial" w:eastAsia="Arial" w:hAnsi="Arial"/>
          <w:sz w:val="18"/>
          <w:szCs w:val="18"/>
          <w:color w:val="0F0F0F"/>
        </w:rPr>
        <w:t xml:space="preserve"> </w:t>
      </w:r>
      <w:r>
        <w:rPr>
          <w:rFonts w:ascii="Arial" w:cs="Arial" w:eastAsia="Arial" w:hAnsi="Arial"/>
          <w:sz w:val="18"/>
          <w:szCs w:val="18"/>
          <w:color w:val="343434"/>
        </w:rPr>
        <w:t>agrees</w:t>
      </w:r>
      <w:r>
        <w:rPr>
          <w:rFonts w:ascii="Arial" w:cs="Arial" w:eastAsia="Arial" w:hAnsi="Arial"/>
          <w:sz w:val="18"/>
          <w:szCs w:val="18"/>
          <w:color w:val="0F0F0F"/>
        </w:rPr>
        <w:t xml:space="preserve"> </w:t>
      </w:r>
      <w:r>
        <w:rPr>
          <w:rFonts w:ascii="Arial" w:cs="Arial" w:eastAsia="Arial" w:hAnsi="Arial"/>
          <w:sz w:val="18"/>
          <w:szCs w:val="18"/>
          <w:color w:val="212121"/>
        </w:rPr>
        <w:t>to and does</w:t>
      </w:r>
      <w:r>
        <w:rPr>
          <w:rFonts w:ascii="Arial" w:cs="Arial" w:eastAsia="Arial" w:hAnsi="Arial"/>
          <w:sz w:val="18"/>
          <w:szCs w:val="18"/>
          <w:color w:val="0F0F0F"/>
        </w:rPr>
        <w:t xml:space="preserve"> </w:t>
      </w:r>
      <w:r>
        <w:rPr>
          <w:rFonts w:ascii="Arial" w:cs="Arial" w:eastAsia="Arial" w:hAnsi="Arial"/>
          <w:sz w:val="18"/>
          <w:szCs w:val="18"/>
          <w:color w:val="343434"/>
        </w:rPr>
        <w:t>amend</w:t>
      </w:r>
      <w:r>
        <w:rPr>
          <w:rFonts w:ascii="Arial" w:cs="Arial" w:eastAsia="Arial" w:hAnsi="Arial"/>
          <w:sz w:val="18"/>
          <w:szCs w:val="18"/>
          <w:color w:val="0F0F0F"/>
        </w:rPr>
        <w:t xml:space="preserve"> </w:t>
      </w:r>
      <w:r>
        <w:rPr>
          <w:rFonts w:ascii="Arial" w:cs="Arial" w:eastAsia="Arial" w:hAnsi="Arial"/>
          <w:sz w:val="18"/>
          <w:szCs w:val="18"/>
          <w:color w:val="212121"/>
        </w:rPr>
        <w:t>the</w:t>
      </w:r>
      <w:r>
        <w:rPr>
          <w:rFonts w:ascii="Arial" w:cs="Arial" w:eastAsia="Arial" w:hAnsi="Arial"/>
          <w:sz w:val="18"/>
          <w:szCs w:val="18"/>
          <w:color w:val="0F0F0F"/>
        </w:rPr>
        <w:t xml:space="preserve"> </w:t>
      </w:r>
      <w:r>
        <w:rPr>
          <w:rFonts w:ascii="Arial" w:cs="Arial" w:eastAsia="Arial" w:hAnsi="Arial"/>
          <w:sz w:val="18"/>
          <w:szCs w:val="18"/>
          <w:color w:val="343434"/>
        </w:rPr>
        <w:t>Lease</w:t>
      </w:r>
      <w:r>
        <w:rPr>
          <w:rFonts w:ascii="Arial" w:cs="Arial" w:eastAsia="Arial" w:hAnsi="Arial"/>
          <w:sz w:val="18"/>
          <w:szCs w:val="18"/>
          <w:color w:val="0F0F0F"/>
        </w:rPr>
        <w:t xml:space="preserve"> </w:t>
      </w:r>
      <w:r>
        <w:rPr>
          <w:rFonts w:ascii="Arial" w:cs="Arial" w:eastAsia="Arial" w:hAnsi="Arial"/>
          <w:sz w:val="18"/>
          <w:szCs w:val="18"/>
          <w:color w:val="212121"/>
        </w:rPr>
        <w:t>in the following respects.</w:t>
      </w:r>
    </w:p>
    <w:p>
      <w:pPr>
        <w:spacing w:after="0" w:line="150" w:lineRule="exact"/>
        <w:rPr>
          <w:sz w:val="20"/>
          <w:szCs w:val="20"/>
          <w:color w:val="auto"/>
        </w:rPr>
      </w:pPr>
    </w:p>
    <w:p>
      <w:pPr>
        <w:ind w:left="900" w:hanging="892"/>
        <w:spacing w:after="0"/>
        <w:tabs>
          <w:tab w:leader="none" w:pos="900" w:val="left"/>
        </w:tabs>
        <w:numPr>
          <w:ilvl w:val="0"/>
          <w:numId w:val="101"/>
        </w:numPr>
        <w:rPr>
          <w:rFonts w:ascii="Arial" w:cs="Arial" w:eastAsia="Arial" w:hAnsi="Arial"/>
          <w:sz w:val="18"/>
          <w:szCs w:val="18"/>
          <w:color w:val="343434"/>
        </w:rPr>
      </w:pPr>
      <w:r>
        <w:rPr>
          <w:rFonts w:ascii="Arial" w:cs="Arial" w:eastAsia="Arial" w:hAnsi="Arial"/>
          <w:sz w:val="18"/>
          <w:szCs w:val="18"/>
          <w:u w:val="single" w:color="auto"/>
          <w:color w:val="444444"/>
        </w:rPr>
        <w:t>Extension</w:t>
      </w:r>
      <w:r>
        <w:rPr>
          <w:rFonts w:ascii="Arial" w:cs="Arial" w:eastAsia="Arial" w:hAnsi="Arial"/>
          <w:sz w:val="18"/>
          <w:szCs w:val="18"/>
          <w:color w:val="444444"/>
        </w:rPr>
        <w:t xml:space="preserve"> </w:t>
      </w:r>
      <w:r>
        <w:rPr>
          <w:rFonts w:ascii="Arial" w:cs="Arial" w:eastAsia="Arial" w:hAnsi="Arial"/>
          <w:sz w:val="18"/>
          <w:szCs w:val="18"/>
          <w:u w:val="single" w:color="auto"/>
          <w:color w:val="212121"/>
        </w:rPr>
        <w:t>of</w:t>
      </w:r>
      <w:r>
        <w:rPr>
          <w:rFonts w:ascii="Arial" w:cs="Arial" w:eastAsia="Arial" w:hAnsi="Arial"/>
          <w:sz w:val="18"/>
          <w:szCs w:val="18"/>
          <w:color w:val="444444"/>
        </w:rPr>
        <w:t xml:space="preserve"> </w:t>
      </w:r>
      <w:r>
        <w:rPr>
          <w:rFonts w:ascii="Arial" w:cs="Arial" w:eastAsia="Arial" w:hAnsi="Arial"/>
          <w:sz w:val="18"/>
          <w:szCs w:val="18"/>
          <w:u w:val="single" w:color="auto"/>
          <w:color w:val="343434"/>
        </w:rPr>
        <w:t>Term</w:t>
      </w:r>
      <w:r>
        <w:rPr>
          <w:rFonts w:ascii="Arial" w:cs="Arial" w:eastAsia="Arial" w:hAnsi="Arial"/>
          <w:sz w:val="18"/>
          <w:szCs w:val="18"/>
          <w:color w:val="343434"/>
        </w:rPr>
        <w:t>.</w:t>
      </w:r>
      <w:r>
        <w:rPr>
          <w:rFonts w:ascii="Arial" w:cs="Arial" w:eastAsia="Arial" w:hAnsi="Arial"/>
          <w:sz w:val="18"/>
          <w:szCs w:val="18"/>
          <w:color w:val="444444"/>
        </w:rPr>
        <w:t xml:space="preserve"> Notwithstanding </w:t>
      </w:r>
      <w:r>
        <w:rPr>
          <w:rFonts w:ascii="Arial" w:cs="Arial" w:eastAsia="Arial" w:hAnsi="Arial"/>
          <w:sz w:val="18"/>
          <w:szCs w:val="18"/>
          <w:color w:val="212121"/>
        </w:rPr>
        <w:t>anything to the contrary contained</w:t>
      </w:r>
      <w:r>
        <w:rPr>
          <w:rFonts w:ascii="Arial" w:cs="Arial" w:eastAsia="Arial" w:hAnsi="Arial"/>
          <w:sz w:val="18"/>
          <w:szCs w:val="18"/>
          <w:color w:val="444444"/>
        </w:rPr>
        <w:t xml:space="preserve"> </w:t>
      </w:r>
      <w:r>
        <w:rPr>
          <w:rFonts w:ascii="Arial" w:cs="Arial" w:eastAsia="Arial" w:hAnsi="Arial"/>
          <w:sz w:val="18"/>
          <w:szCs w:val="18"/>
          <w:color w:val="343434"/>
        </w:rPr>
        <w:t>in</w:t>
      </w:r>
      <w:r>
        <w:rPr>
          <w:rFonts w:ascii="Arial" w:cs="Arial" w:eastAsia="Arial" w:hAnsi="Arial"/>
          <w:sz w:val="18"/>
          <w:szCs w:val="18"/>
          <w:color w:val="444444"/>
        </w:rPr>
        <w:t xml:space="preserve"> </w:t>
      </w:r>
      <w:r>
        <w:rPr>
          <w:rFonts w:ascii="Arial" w:cs="Arial" w:eastAsia="Arial" w:hAnsi="Arial"/>
          <w:sz w:val="18"/>
          <w:szCs w:val="18"/>
          <w:color w:val="212121"/>
        </w:rPr>
        <w:t>the</w:t>
      </w:r>
      <w:r>
        <w:rPr>
          <w:rFonts w:ascii="Arial" w:cs="Arial" w:eastAsia="Arial" w:hAnsi="Arial"/>
          <w:sz w:val="18"/>
          <w:szCs w:val="18"/>
          <w:color w:val="444444"/>
        </w:rPr>
        <w:t xml:space="preserve"> </w:t>
      </w:r>
      <w:r>
        <w:rPr>
          <w:rFonts w:ascii="Arial" w:cs="Arial" w:eastAsia="Arial" w:hAnsi="Arial"/>
          <w:sz w:val="18"/>
          <w:szCs w:val="18"/>
          <w:color w:val="343434"/>
        </w:rPr>
        <w:t>Lease,</w:t>
      </w:r>
      <w:r>
        <w:rPr>
          <w:rFonts w:ascii="Arial" w:cs="Arial" w:eastAsia="Arial" w:hAnsi="Arial"/>
          <w:sz w:val="18"/>
          <w:szCs w:val="18"/>
          <w:color w:val="444444"/>
        </w:rPr>
        <w:t xml:space="preserve"> </w:t>
      </w:r>
      <w:r>
        <w:rPr>
          <w:rFonts w:ascii="Arial" w:cs="Arial" w:eastAsia="Arial" w:hAnsi="Arial"/>
          <w:sz w:val="18"/>
          <w:szCs w:val="18"/>
          <w:color w:val="212121"/>
        </w:rPr>
        <w:t>the Term</w:t>
      </w:r>
      <w:r>
        <w:rPr>
          <w:rFonts w:ascii="Arial" w:cs="Arial" w:eastAsia="Arial" w:hAnsi="Arial"/>
          <w:sz w:val="18"/>
          <w:szCs w:val="18"/>
          <w:color w:val="444444"/>
        </w:rPr>
        <w:t xml:space="preserve"> shall </w:t>
      </w:r>
      <w:r>
        <w:rPr>
          <w:rFonts w:ascii="Arial" w:cs="Arial" w:eastAsia="Arial" w:hAnsi="Arial"/>
          <w:sz w:val="18"/>
          <w:szCs w:val="18"/>
          <w:color w:val="212121"/>
        </w:rPr>
        <w:t>be</w:t>
      </w:r>
      <w:r>
        <w:rPr>
          <w:rFonts w:ascii="Arial" w:cs="Arial" w:eastAsia="Arial" w:hAnsi="Arial"/>
          <w:sz w:val="18"/>
          <w:szCs w:val="18"/>
          <w:color w:val="444444"/>
        </w:rPr>
        <w:t xml:space="preserve"> </w:t>
      </w:r>
      <w:r>
        <w:rPr>
          <w:rFonts w:ascii="Arial" w:cs="Arial" w:eastAsia="Arial" w:hAnsi="Arial"/>
          <w:sz w:val="18"/>
          <w:szCs w:val="18"/>
          <w:color w:val="0F0F0F"/>
        </w:rPr>
        <w:t>extended</w:t>
      </w:r>
      <w:r>
        <w:rPr>
          <w:rFonts w:ascii="Arial" w:cs="Arial" w:eastAsia="Arial" w:hAnsi="Arial"/>
          <w:sz w:val="18"/>
          <w:szCs w:val="18"/>
          <w:color w:val="444444"/>
        </w:rPr>
        <w:t xml:space="preserve"> </w:t>
      </w:r>
      <w:r>
        <w:rPr>
          <w:rFonts w:ascii="Arial" w:cs="Arial" w:eastAsia="Arial" w:hAnsi="Arial"/>
          <w:sz w:val="18"/>
          <w:szCs w:val="18"/>
          <w:color w:val="212121"/>
        </w:rPr>
        <w:t>for</w:t>
      </w:r>
      <w:r>
        <w:rPr>
          <w:rFonts w:ascii="Arial" w:cs="Arial" w:eastAsia="Arial" w:hAnsi="Arial"/>
          <w:sz w:val="18"/>
          <w:szCs w:val="18"/>
          <w:color w:val="444444"/>
        </w:rPr>
        <w:t xml:space="preserve"> </w:t>
      </w:r>
      <w:r>
        <w:rPr>
          <w:rFonts w:ascii="Arial" w:cs="Arial" w:eastAsia="Arial" w:hAnsi="Arial"/>
          <w:sz w:val="18"/>
          <w:szCs w:val="18"/>
          <w:color w:val="0F0F0F"/>
        </w:rPr>
        <w:t>thirty-</w:t>
      </w:r>
      <w:r>
        <w:rPr>
          <w:rFonts w:ascii="Arial" w:cs="Arial" w:eastAsia="Arial" w:hAnsi="Arial"/>
          <w:sz w:val="18"/>
          <w:szCs w:val="18"/>
          <w:color w:val="444444"/>
        </w:rPr>
        <w:t>n</w:t>
      </w:r>
      <w:r>
        <w:rPr>
          <w:rFonts w:ascii="Arial" w:cs="Arial" w:eastAsia="Arial" w:hAnsi="Arial"/>
          <w:sz w:val="18"/>
          <w:szCs w:val="18"/>
          <w:color w:val="212121"/>
        </w:rPr>
        <w:t>ine</w:t>
      </w:r>
    </w:p>
    <w:p>
      <w:pPr>
        <w:spacing w:after="0" w:line="25" w:lineRule="exact"/>
        <w:rPr>
          <w:rFonts w:ascii="Arial" w:cs="Arial" w:eastAsia="Arial" w:hAnsi="Arial"/>
          <w:sz w:val="18"/>
          <w:szCs w:val="18"/>
          <w:color w:val="343434"/>
        </w:rPr>
      </w:pPr>
    </w:p>
    <w:p>
      <w:pPr>
        <w:ind w:left="1300" w:hanging="401"/>
        <w:spacing w:after="0"/>
        <w:tabs>
          <w:tab w:leader="none" w:pos="1300" w:val="left"/>
        </w:tabs>
        <w:numPr>
          <w:ilvl w:val="1"/>
          <w:numId w:val="101"/>
        </w:numPr>
        <w:rPr>
          <w:rFonts w:ascii="Arial" w:cs="Arial" w:eastAsia="Arial" w:hAnsi="Arial"/>
          <w:sz w:val="19"/>
          <w:szCs w:val="19"/>
          <w:color w:val="212121"/>
        </w:rPr>
      </w:pPr>
      <w:r>
        <w:rPr>
          <w:rFonts w:ascii="Arial" w:cs="Arial" w:eastAsia="Arial" w:hAnsi="Arial"/>
          <w:sz w:val="19"/>
          <w:szCs w:val="19"/>
          <w:color w:val="212121"/>
        </w:rPr>
        <w:t xml:space="preserve">months and </w:t>
      </w:r>
      <w:r>
        <w:rPr>
          <w:rFonts w:ascii="Arial" w:cs="Arial" w:eastAsia="Arial" w:hAnsi="Arial"/>
          <w:sz w:val="19"/>
          <w:szCs w:val="19"/>
          <w:color w:val="0F0F0F"/>
        </w:rPr>
        <w:t>expire</w:t>
      </w:r>
      <w:r>
        <w:rPr>
          <w:rFonts w:ascii="Arial" w:cs="Arial" w:eastAsia="Arial" w:hAnsi="Arial"/>
          <w:sz w:val="19"/>
          <w:szCs w:val="19"/>
          <w:color w:val="212121"/>
        </w:rPr>
        <w:t xml:space="preserve"> on </w:t>
      </w:r>
      <w:r>
        <w:rPr>
          <w:rFonts w:ascii="Arial" w:cs="Arial" w:eastAsia="Arial" w:hAnsi="Arial"/>
          <w:sz w:val="19"/>
          <w:szCs w:val="19"/>
          <w:color w:val="343434"/>
        </w:rPr>
        <w:t>October</w:t>
      </w:r>
      <w:r>
        <w:rPr>
          <w:rFonts w:ascii="Arial" w:cs="Arial" w:eastAsia="Arial" w:hAnsi="Arial"/>
          <w:sz w:val="19"/>
          <w:szCs w:val="19"/>
          <w:color w:val="212121"/>
        </w:rPr>
        <w:t xml:space="preserve"> 31, 2026.</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5" w:name="page146"/>
    <w:bookmarkEnd w:id="145"/>
    <w:p>
      <w:pPr>
        <w:ind w:left="860" w:hanging="852"/>
        <w:spacing w:after="0"/>
        <w:tabs>
          <w:tab w:leader="none" w:pos="860" w:val="left"/>
        </w:tabs>
        <w:numPr>
          <w:ilvl w:val="0"/>
          <w:numId w:val="102"/>
        </w:numPr>
        <w:rPr>
          <w:rFonts w:ascii="Arial" w:cs="Arial" w:eastAsia="Arial" w:hAnsi="Arial"/>
          <w:sz w:val="17"/>
          <w:szCs w:val="17"/>
          <w:color w:val="2A2A2A"/>
        </w:rPr>
      </w:pPr>
      <w:r>
        <w:rPr>
          <w:rFonts w:ascii="Arial" w:cs="Arial" w:eastAsia="Arial" w:hAnsi="Arial"/>
          <w:sz w:val="17"/>
          <w:szCs w:val="17"/>
          <w:u w:val="single" w:color="auto"/>
          <w:color w:val="2A2A2A"/>
        </w:rPr>
        <w:t>Base Rent.</w:t>
      </w:r>
      <w:r>
        <w:rPr>
          <w:rFonts w:ascii="Arial" w:cs="Arial" w:eastAsia="Arial" w:hAnsi="Arial"/>
          <w:sz w:val="17"/>
          <w:szCs w:val="17"/>
          <w:color w:val="2A2A2A"/>
        </w:rPr>
        <w:t xml:space="preserve"> Notwithstanding anything to the contrary </w:t>
      </w:r>
      <w:r>
        <w:rPr>
          <w:rFonts w:ascii="Arial" w:cs="Arial" w:eastAsia="Arial" w:hAnsi="Arial"/>
          <w:sz w:val="17"/>
          <w:szCs w:val="17"/>
          <w:color w:val="181818"/>
        </w:rPr>
        <w:t>contained in</w:t>
      </w:r>
      <w:r>
        <w:rPr>
          <w:rFonts w:ascii="Arial" w:cs="Arial" w:eastAsia="Arial" w:hAnsi="Arial"/>
          <w:sz w:val="17"/>
          <w:szCs w:val="17"/>
          <w:color w:val="2A2A2A"/>
        </w:rPr>
        <w:t xml:space="preserve"> the Lease, </w:t>
      </w:r>
      <w:r>
        <w:rPr>
          <w:rFonts w:ascii="Arial" w:cs="Arial" w:eastAsia="Arial" w:hAnsi="Arial"/>
          <w:sz w:val="17"/>
          <w:szCs w:val="17"/>
          <w:color w:val="181818"/>
        </w:rPr>
        <w:t>the</w:t>
      </w:r>
      <w:r>
        <w:rPr>
          <w:rFonts w:ascii="Arial" w:cs="Arial" w:eastAsia="Arial" w:hAnsi="Arial"/>
          <w:sz w:val="17"/>
          <w:szCs w:val="17"/>
          <w:color w:val="2A2A2A"/>
        </w:rPr>
        <w:t xml:space="preserve"> monthly Base Rent </w:t>
      </w:r>
      <w:r>
        <w:rPr>
          <w:rFonts w:ascii="Arial" w:cs="Arial" w:eastAsia="Arial" w:hAnsi="Arial"/>
          <w:sz w:val="17"/>
          <w:szCs w:val="17"/>
          <w:color w:val="181818"/>
        </w:rPr>
        <w:t>during the</w:t>
      </w:r>
      <w:r>
        <w:rPr>
          <w:rFonts w:ascii="Arial" w:cs="Arial" w:eastAsia="Arial" w:hAnsi="Arial"/>
          <w:sz w:val="17"/>
          <w:szCs w:val="17"/>
          <w:color w:val="2A2A2A"/>
        </w:rPr>
        <w:t xml:space="preserve"> extended Term shall </w:t>
      </w:r>
      <w:r>
        <w:rPr>
          <w:rFonts w:ascii="Arial" w:cs="Arial" w:eastAsia="Arial" w:hAnsi="Arial"/>
          <w:sz w:val="17"/>
          <w:szCs w:val="17"/>
          <w:color w:val="181818"/>
        </w:rPr>
        <w:t>be:</w:t>
      </w:r>
    </w:p>
    <w:p>
      <w:pPr>
        <w:spacing w:after="0" w:line="237" w:lineRule="exact"/>
        <w:rPr>
          <w:sz w:val="20"/>
          <w:szCs w:val="20"/>
          <w:color w:val="auto"/>
        </w:rPr>
      </w:pPr>
    </w:p>
    <w:tbl>
      <w:tblPr>
        <w:tblLayout w:type="fixed"/>
        <w:tblInd w:w="324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4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Monthly Base Rent</w:t>
            </w:r>
          </w:p>
        </w:tc>
      </w:tr>
      <w:tr>
        <w:trPr>
          <w:trHeight w:val="268"/>
        </w:trPr>
        <w:tc>
          <w:tcPr>
            <w:tcW w:w="1440" w:type="dxa"/>
            <w:vAlign w:val="bottom"/>
          </w:tcPr>
          <w:p>
            <w:pPr>
              <w:spacing w:after="0"/>
              <w:rPr>
                <w:sz w:val="20"/>
                <w:szCs w:val="20"/>
                <w:color w:val="auto"/>
              </w:rPr>
            </w:pPr>
            <w:r>
              <w:rPr>
                <w:rFonts w:ascii="Arial" w:cs="Arial" w:eastAsia="Arial" w:hAnsi="Arial"/>
                <w:sz w:val="19"/>
                <w:szCs w:val="19"/>
                <w:color w:val="2A2A2A"/>
              </w:rPr>
              <w:t xml:space="preserve">August l, 2023 </w:t>
            </w:r>
            <w:r>
              <w:rPr>
                <w:rFonts w:ascii="Arial" w:cs="Arial" w:eastAsia="Arial" w:hAnsi="Arial"/>
                <w:sz w:val="19"/>
                <w:szCs w:val="19"/>
                <w:color w:val="181818"/>
              </w:rPr>
              <w:t>-</w:t>
            </w:r>
          </w:p>
        </w:tc>
        <w:tc>
          <w:tcPr>
            <w:tcW w:w="1640" w:type="dxa"/>
            <w:vAlign w:val="bottom"/>
          </w:tcPr>
          <w:p>
            <w:pPr>
              <w:ind w:left="180"/>
              <w:spacing w:after="0"/>
              <w:rPr>
                <w:sz w:val="20"/>
                <w:szCs w:val="20"/>
                <w:color w:val="auto"/>
              </w:rPr>
            </w:pPr>
            <w:r>
              <w:rPr>
                <w:rFonts w:ascii="Arial" w:cs="Arial" w:eastAsia="Arial" w:hAnsi="Arial"/>
                <w:sz w:val="19"/>
                <w:szCs w:val="19"/>
                <w:color w:val="2A2A2A"/>
              </w:rPr>
              <w:t xml:space="preserve">July </w:t>
            </w:r>
            <w:r>
              <w:rPr>
                <w:rFonts w:ascii="Arial" w:cs="Arial" w:eastAsia="Arial" w:hAnsi="Arial"/>
                <w:sz w:val="19"/>
                <w:szCs w:val="19"/>
                <w:color w:val="181818"/>
              </w:rPr>
              <w:t>31,</w:t>
            </w:r>
            <w:r>
              <w:rPr>
                <w:rFonts w:ascii="Arial" w:cs="Arial" w:eastAsia="Arial" w:hAnsi="Arial"/>
                <w:sz w:val="19"/>
                <w:szCs w:val="19"/>
                <w:color w:val="2A2A2A"/>
              </w:rPr>
              <w:t xml:space="preserve"> 2024</w:t>
            </w:r>
          </w:p>
        </w:tc>
        <w:tc>
          <w:tcPr>
            <w:tcW w:w="1840" w:type="dxa"/>
            <w:vAlign w:val="bottom"/>
          </w:tcPr>
          <w:p>
            <w:pPr>
              <w:jc w:val="right"/>
              <w:ind w:right="326"/>
              <w:spacing w:after="0"/>
              <w:rPr>
                <w:sz w:val="20"/>
                <w:szCs w:val="20"/>
                <w:color w:val="auto"/>
              </w:rPr>
            </w:pPr>
            <w:r>
              <w:rPr>
                <w:rFonts w:ascii="Arial" w:cs="Arial" w:eastAsia="Arial" w:hAnsi="Arial"/>
                <w:sz w:val="19"/>
                <w:szCs w:val="19"/>
                <w:color w:val="181818"/>
              </w:rPr>
              <w:t>$35,204.38</w:t>
            </w:r>
          </w:p>
        </w:tc>
      </w:tr>
      <w:tr>
        <w:trPr>
          <w:trHeight w:val="203"/>
        </w:trPr>
        <w:tc>
          <w:tcPr>
            <w:tcW w:w="1440" w:type="dxa"/>
            <w:vAlign w:val="bottom"/>
          </w:tcPr>
          <w:p>
            <w:pPr>
              <w:spacing w:after="0" w:line="203" w:lineRule="exact"/>
              <w:rPr>
                <w:sz w:val="20"/>
                <w:szCs w:val="20"/>
                <w:color w:val="auto"/>
              </w:rPr>
            </w:pPr>
            <w:r>
              <w:rPr>
                <w:rFonts w:ascii="Arial" w:cs="Arial" w:eastAsia="Arial" w:hAnsi="Arial"/>
                <w:sz w:val="19"/>
                <w:szCs w:val="19"/>
                <w:color w:val="2A2A2A"/>
              </w:rPr>
              <w:t xml:space="preserve">August 1, 2024 </w:t>
            </w:r>
            <w:r>
              <w:rPr>
                <w:rFonts w:ascii="Arial" w:cs="Arial" w:eastAsia="Arial" w:hAnsi="Arial"/>
                <w:sz w:val="19"/>
                <w:szCs w:val="19"/>
                <w:color w:val="181818"/>
              </w:rPr>
              <w:t>-</w:t>
            </w:r>
          </w:p>
        </w:tc>
        <w:tc>
          <w:tcPr>
            <w:tcW w:w="1640" w:type="dxa"/>
            <w:vAlign w:val="bottom"/>
          </w:tcPr>
          <w:p>
            <w:pPr>
              <w:ind w:left="180"/>
              <w:spacing w:after="0" w:line="203" w:lineRule="exact"/>
              <w:rPr>
                <w:sz w:val="20"/>
                <w:szCs w:val="20"/>
                <w:color w:val="auto"/>
              </w:rPr>
            </w:pPr>
            <w:r>
              <w:rPr>
                <w:rFonts w:ascii="Arial" w:cs="Arial" w:eastAsia="Arial" w:hAnsi="Arial"/>
                <w:sz w:val="19"/>
                <w:szCs w:val="19"/>
                <w:color w:val="2A2A2A"/>
              </w:rPr>
              <w:t xml:space="preserve">July </w:t>
            </w:r>
            <w:r>
              <w:rPr>
                <w:rFonts w:ascii="Arial" w:cs="Arial" w:eastAsia="Arial" w:hAnsi="Arial"/>
                <w:sz w:val="19"/>
                <w:szCs w:val="19"/>
                <w:color w:val="181818"/>
              </w:rPr>
              <w:t>31,</w:t>
            </w:r>
            <w:r>
              <w:rPr>
                <w:rFonts w:ascii="Arial" w:cs="Arial" w:eastAsia="Arial" w:hAnsi="Arial"/>
                <w:sz w:val="19"/>
                <w:szCs w:val="19"/>
                <w:color w:val="2A2A2A"/>
              </w:rPr>
              <w:t xml:space="preserve"> 2025</w:t>
            </w:r>
          </w:p>
        </w:tc>
        <w:tc>
          <w:tcPr>
            <w:tcW w:w="1840" w:type="dxa"/>
            <w:vAlign w:val="bottom"/>
          </w:tcPr>
          <w:p>
            <w:pPr>
              <w:jc w:val="right"/>
              <w:ind w:right="326"/>
              <w:spacing w:after="0" w:line="203" w:lineRule="exact"/>
              <w:rPr>
                <w:sz w:val="20"/>
                <w:szCs w:val="20"/>
                <w:color w:val="auto"/>
              </w:rPr>
            </w:pPr>
            <w:r>
              <w:rPr>
                <w:rFonts w:ascii="Arial" w:cs="Arial" w:eastAsia="Arial" w:hAnsi="Arial"/>
                <w:sz w:val="19"/>
                <w:szCs w:val="19"/>
                <w:color w:val="2A2A2A"/>
              </w:rPr>
              <w:t>$36,260.51</w:t>
            </w:r>
          </w:p>
        </w:tc>
      </w:tr>
      <w:tr>
        <w:trPr>
          <w:trHeight w:val="203"/>
        </w:trPr>
        <w:tc>
          <w:tcPr>
            <w:tcW w:w="1440" w:type="dxa"/>
            <w:vAlign w:val="bottom"/>
          </w:tcPr>
          <w:p>
            <w:pPr>
              <w:spacing w:after="0" w:line="203" w:lineRule="exact"/>
              <w:rPr>
                <w:sz w:val="20"/>
                <w:szCs w:val="20"/>
                <w:color w:val="auto"/>
              </w:rPr>
            </w:pPr>
            <w:r>
              <w:rPr>
                <w:rFonts w:ascii="Arial" w:cs="Arial" w:eastAsia="Arial" w:hAnsi="Arial"/>
                <w:sz w:val="19"/>
                <w:szCs w:val="19"/>
                <w:color w:val="2A2A2A"/>
              </w:rPr>
              <w:t xml:space="preserve">August </w:t>
            </w:r>
            <w:r>
              <w:rPr>
                <w:rFonts w:ascii="Arial" w:cs="Arial" w:eastAsia="Arial" w:hAnsi="Arial"/>
                <w:sz w:val="19"/>
                <w:szCs w:val="19"/>
                <w:color w:val="181818"/>
              </w:rPr>
              <w:t>1,</w:t>
            </w:r>
            <w:r>
              <w:rPr>
                <w:rFonts w:ascii="Arial" w:cs="Arial" w:eastAsia="Arial" w:hAnsi="Arial"/>
                <w:sz w:val="19"/>
                <w:szCs w:val="19"/>
                <w:color w:val="2A2A2A"/>
              </w:rPr>
              <w:t xml:space="preserve"> 2025 </w:t>
            </w:r>
            <w:r>
              <w:rPr>
                <w:rFonts w:ascii="Arial" w:cs="Arial" w:eastAsia="Arial" w:hAnsi="Arial"/>
                <w:sz w:val="19"/>
                <w:szCs w:val="19"/>
                <w:color w:val="181818"/>
              </w:rPr>
              <w:t>-</w:t>
            </w:r>
          </w:p>
        </w:tc>
        <w:tc>
          <w:tcPr>
            <w:tcW w:w="1640" w:type="dxa"/>
            <w:vAlign w:val="bottom"/>
          </w:tcPr>
          <w:p>
            <w:pPr>
              <w:ind w:left="180"/>
              <w:spacing w:after="0" w:line="203" w:lineRule="exact"/>
              <w:rPr>
                <w:sz w:val="20"/>
                <w:szCs w:val="20"/>
                <w:color w:val="auto"/>
              </w:rPr>
            </w:pPr>
            <w:r>
              <w:rPr>
                <w:rFonts w:ascii="Arial" w:cs="Arial" w:eastAsia="Arial" w:hAnsi="Arial"/>
                <w:sz w:val="19"/>
                <w:szCs w:val="19"/>
                <w:color w:val="2A2A2A"/>
              </w:rPr>
              <w:t>July 31, 2026</w:t>
            </w:r>
          </w:p>
        </w:tc>
        <w:tc>
          <w:tcPr>
            <w:tcW w:w="1840" w:type="dxa"/>
            <w:vAlign w:val="bottom"/>
          </w:tcPr>
          <w:p>
            <w:pPr>
              <w:jc w:val="right"/>
              <w:ind w:right="326"/>
              <w:spacing w:after="0" w:line="203" w:lineRule="exact"/>
              <w:rPr>
                <w:sz w:val="20"/>
                <w:szCs w:val="20"/>
                <w:color w:val="auto"/>
              </w:rPr>
            </w:pPr>
            <w:r>
              <w:rPr>
                <w:rFonts w:ascii="Arial" w:cs="Arial" w:eastAsia="Arial" w:hAnsi="Arial"/>
                <w:sz w:val="19"/>
                <w:szCs w:val="19"/>
                <w:color w:val="181818"/>
              </w:rPr>
              <w:t>$37,348.33</w:t>
            </w:r>
          </w:p>
        </w:tc>
      </w:tr>
      <w:tr>
        <w:trPr>
          <w:trHeight w:val="240"/>
        </w:trPr>
        <w:tc>
          <w:tcPr>
            <w:tcW w:w="1440" w:type="dxa"/>
            <w:vAlign w:val="bottom"/>
          </w:tcPr>
          <w:p>
            <w:pPr>
              <w:spacing w:after="0"/>
              <w:rPr>
                <w:sz w:val="20"/>
                <w:szCs w:val="20"/>
                <w:color w:val="auto"/>
              </w:rPr>
            </w:pPr>
            <w:r>
              <w:rPr>
                <w:rFonts w:ascii="Arial" w:cs="Arial" w:eastAsia="Arial" w:hAnsi="Arial"/>
                <w:sz w:val="19"/>
                <w:szCs w:val="19"/>
                <w:color w:val="2A2A2A"/>
              </w:rPr>
              <w:t xml:space="preserve">August </w:t>
            </w:r>
            <w:r>
              <w:rPr>
                <w:rFonts w:ascii="Arial" w:cs="Arial" w:eastAsia="Arial" w:hAnsi="Arial"/>
                <w:sz w:val="19"/>
                <w:szCs w:val="19"/>
                <w:color w:val="181818"/>
              </w:rPr>
              <w:t>1, 2026 -</w:t>
            </w:r>
          </w:p>
        </w:tc>
        <w:tc>
          <w:tcPr>
            <w:tcW w:w="1640" w:type="dxa"/>
            <w:vAlign w:val="bottom"/>
          </w:tcPr>
          <w:p>
            <w:pPr>
              <w:ind w:left="180"/>
              <w:spacing w:after="0"/>
              <w:rPr>
                <w:sz w:val="20"/>
                <w:szCs w:val="20"/>
                <w:color w:val="auto"/>
              </w:rPr>
            </w:pPr>
            <w:r>
              <w:rPr>
                <w:rFonts w:ascii="Arial" w:cs="Arial" w:eastAsia="Arial" w:hAnsi="Arial"/>
                <w:sz w:val="19"/>
                <w:szCs w:val="19"/>
                <w:color w:val="2A2A2A"/>
                <w:w w:val="98"/>
              </w:rPr>
              <w:t xml:space="preserve">October </w:t>
            </w:r>
            <w:r>
              <w:rPr>
                <w:rFonts w:ascii="Arial" w:cs="Arial" w:eastAsia="Arial" w:hAnsi="Arial"/>
                <w:sz w:val="19"/>
                <w:szCs w:val="19"/>
                <w:color w:val="181818"/>
                <w:w w:val="98"/>
              </w:rPr>
              <w:t>31, 2026</w:t>
            </w:r>
          </w:p>
        </w:tc>
        <w:tc>
          <w:tcPr>
            <w:tcW w:w="1840" w:type="dxa"/>
            <w:vAlign w:val="bottom"/>
          </w:tcPr>
          <w:p>
            <w:pPr>
              <w:jc w:val="right"/>
              <w:ind w:right="326"/>
              <w:spacing w:after="0"/>
              <w:rPr>
                <w:sz w:val="20"/>
                <w:szCs w:val="20"/>
                <w:color w:val="auto"/>
              </w:rPr>
            </w:pPr>
            <w:r>
              <w:rPr>
                <w:rFonts w:ascii="Arial" w:cs="Arial" w:eastAsia="Arial" w:hAnsi="Arial"/>
                <w:sz w:val="19"/>
                <w:szCs w:val="19"/>
                <w:color w:val="2A2A2A"/>
              </w:rPr>
              <w:t>$38,468.78</w:t>
            </w:r>
          </w:p>
        </w:tc>
      </w:tr>
    </w:tbl>
    <w:p>
      <w:pPr>
        <w:spacing w:after="0" w:line="192" w:lineRule="exact"/>
        <w:rPr>
          <w:sz w:val="20"/>
          <w:szCs w:val="20"/>
          <w:color w:val="auto"/>
        </w:rPr>
      </w:pPr>
    </w:p>
    <w:p>
      <w:pPr>
        <w:jc w:val="both"/>
        <w:ind w:left="860" w:right="300" w:hanging="852"/>
        <w:spacing w:after="0" w:line="249" w:lineRule="auto"/>
        <w:tabs>
          <w:tab w:leader="none" w:pos="860" w:val="left"/>
        </w:tabs>
        <w:numPr>
          <w:ilvl w:val="0"/>
          <w:numId w:val="103"/>
        </w:numPr>
        <w:rPr>
          <w:rFonts w:ascii="Arial" w:cs="Arial" w:eastAsia="Arial" w:hAnsi="Arial"/>
          <w:sz w:val="19"/>
          <w:szCs w:val="19"/>
          <w:color w:val="181818"/>
        </w:rPr>
      </w:pPr>
      <w:r>
        <w:rPr>
          <w:rFonts w:ascii="Arial" w:cs="Arial" w:eastAsia="Arial" w:hAnsi="Arial"/>
          <w:sz w:val="19"/>
          <w:szCs w:val="19"/>
          <w:u w:val="single" w:color="auto"/>
          <w:color w:val="414141"/>
        </w:rPr>
        <w:t>R</w:t>
      </w:r>
      <w:r>
        <w:rPr>
          <w:rFonts w:ascii="Arial" w:cs="Arial" w:eastAsia="Arial" w:hAnsi="Arial"/>
          <w:sz w:val="19"/>
          <w:szCs w:val="19"/>
          <w:u w:val="single" w:color="auto"/>
          <w:color w:val="181818"/>
        </w:rPr>
        <w:t>ent</w:t>
      </w:r>
      <w:r>
        <w:rPr>
          <w:rFonts w:ascii="Arial" w:cs="Arial" w:eastAsia="Arial" w:hAnsi="Arial"/>
          <w:sz w:val="19"/>
          <w:szCs w:val="19"/>
          <w:color w:val="414141"/>
        </w:rPr>
        <w:t xml:space="preserve"> </w:t>
      </w:r>
      <w:r>
        <w:rPr>
          <w:rFonts w:ascii="Arial" w:cs="Arial" w:eastAsia="Arial" w:hAnsi="Arial"/>
          <w:sz w:val="19"/>
          <w:szCs w:val="19"/>
          <w:u w:val="single" w:color="auto"/>
          <w:color w:val="2A2A2A"/>
        </w:rPr>
        <w:t>Credit</w:t>
      </w:r>
      <w:r>
        <w:rPr>
          <w:rFonts w:ascii="Arial" w:cs="Arial" w:eastAsia="Arial" w:hAnsi="Arial"/>
          <w:sz w:val="19"/>
          <w:szCs w:val="19"/>
          <w:color w:val="414141"/>
        </w:rPr>
        <w:t xml:space="preserve"> </w:t>
      </w:r>
      <w:r>
        <w:rPr>
          <w:rFonts w:ascii="Arial" w:cs="Arial" w:eastAsia="Arial" w:hAnsi="Arial"/>
          <w:sz w:val="19"/>
          <w:szCs w:val="19"/>
          <w:u w:val="single" w:color="auto"/>
          <w:color w:val="414141"/>
        </w:rPr>
        <w:t>and/or</w:t>
      </w:r>
      <w:r>
        <w:rPr>
          <w:rFonts w:ascii="Arial" w:cs="Arial" w:eastAsia="Arial" w:hAnsi="Arial"/>
          <w:sz w:val="19"/>
          <w:szCs w:val="19"/>
          <w:color w:val="414141"/>
        </w:rPr>
        <w:t xml:space="preserve"> </w:t>
      </w:r>
      <w:r>
        <w:rPr>
          <w:rFonts w:ascii="Arial" w:cs="Arial" w:eastAsia="Arial" w:hAnsi="Arial"/>
          <w:sz w:val="19"/>
          <w:szCs w:val="19"/>
          <w:u w:val="single" w:color="auto"/>
          <w:color w:val="2A2A2A"/>
        </w:rPr>
        <w:t>Tenant</w:t>
      </w:r>
      <w:r>
        <w:rPr>
          <w:rFonts w:ascii="Arial" w:cs="Arial" w:eastAsia="Arial" w:hAnsi="Arial"/>
          <w:sz w:val="19"/>
          <w:szCs w:val="19"/>
          <w:color w:val="414141"/>
        </w:rPr>
        <w:t xml:space="preserve"> </w:t>
      </w:r>
      <w:r>
        <w:rPr>
          <w:rFonts w:ascii="Arial" w:cs="Arial" w:eastAsia="Arial" w:hAnsi="Arial"/>
          <w:sz w:val="19"/>
          <w:szCs w:val="19"/>
          <w:u w:val="single" w:color="auto"/>
          <w:color w:val="414141"/>
        </w:rPr>
        <w:t>Improvement Allowance</w:t>
      </w:r>
      <w:r>
        <w:rPr>
          <w:rFonts w:ascii="Arial" w:cs="Arial" w:eastAsia="Arial" w:hAnsi="Arial"/>
          <w:sz w:val="19"/>
          <w:szCs w:val="19"/>
          <w:color w:val="181818"/>
        </w:rPr>
        <w:t>.</w:t>
      </w:r>
      <w:r>
        <w:rPr>
          <w:rFonts w:ascii="Arial" w:cs="Arial" w:eastAsia="Arial" w:hAnsi="Arial"/>
          <w:sz w:val="19"/>
          <w:szCs w:val="19"/>
          <w:color w:val="414141"/>
        </w:rPr>
        <w:t xml:space="preserve"> </w:t>
      </w:r>
      <w:r>
        <w:rPr>
          <w:rFonts w:ascii="Arial" w:cs="Arial" w:eastAsia="Arial" w:hAnsi="Arial"/>
          <w:sz w:val="19"/>
          <w:szCs w:val="19"/>
          <w:color w:val="2A2A2A"/>
        </w:rPr>
        <w:t>Tenant shall have a</w:t>
      </w:r>
      <w:r>
        <w:rPr>
          <w:rFonts w:ascii="Arial" w:cs="Arial" w:eastAsia="Arial" w:hAnsi="Arial"/>
          <w:sz w:val="19"/>
          <w:szCs w:val="19"/>
          <w:color w:val="414141"/>
        </w:rPr>
        <w:t xml:space="preserve"> </w:t>
      </w:r>
      <w:r>
        <w:rPr>
          <w:rFonts w:ascii="Arial" w:cs="Arial" w:eastAsia="Arial" w:hAnsi="Arial"/>
          <w:sz w:val="19"/>
          <w:szCs w:val="19"/>
          <w:color w:val="181818"/>
        </w:rPr>
        <w:t>credit in the amount</w:t>
      </w:r>
      <w:r>
        <w:rPr>
          <w:rFonts w:ascii="Arial" w:cs="Arial" w:eastAsia="Arial" w:hAnsi="Arial"/>
          <w:sz w:val="19"/>
          <w:szCs w:val="19"/>
          <w:color w:val="414141"/>
        </w:rPr>
        <w:t xml:space="preserve"> </w:t>
      </w:r>
      <w:r>
        <w:rPr>
          <w:rFonts w:ascii="Arial" w:cs="Arial" w:eastAsia="Arial" w:hAnsi="Arial"/>
          <w:sz w:val="19"/>
          <w:szCs w:val="19"/>
          <w:color w:val="2A2A2A"/>
        </w:rPr>
        <w:t>of Sixty-Nine</w:t>
      </w:r>
      <w:r>
        <w:rPr>
          <w:rFonts w:ascii="Arial" w:cs="Arial" w:eastAsia="Arial" w:hAnsi="Arial"/>
          <w:sz w:val="19"/>
          <w:szCs w:val="19"/>
          <w:color w:val="414141"/>
        </w:rPr>
        <w:t xml:space="preserve"> </w:t>
      </w:r>
      <w:r>
        <w:rPr>
          <w:rFonts w:ascii="Arial" w:cs="Arial" w:eastAsia="Arial" w:hAnsi="Arial"/>
          <w:sz w:val="19"/>
          <w:szCs w:val="19"/>
          <w:color w:val="181818"/>
        </w:rPr>
        <w:t>Thousand</w:t>
      </w:r>
      <w:r>
        <w:rPr>
          <w:rFonts w:ascii="Arial" w:cs="Arial" w:eastAsia="Arial" w:hAnsi="Arial"/>
          <w:sz w:val="19"/>
          <w:szCs w:val="19"/>
          <w:color w:val="414141"/>
        </w:rPr>
        <w:t xml:space="preserve"> Eight </w:t>
      </w:r>
      <w:r>
        <w:rPr>
          <w:rFonts w:ascii="Arial" w:cs="Arial" w:eastAsia="Arial" w:hAnsi="Arial"/>
          <w:sz w:val="19"/>
          <w:szCs w:val="19"/>
          <w:color w:val="2A2A2A"/>
        </w:rPr>
        <w:t>Hundred</w:t>
      </w:r>
      <w:r>
        <w:rPr>
          <w:rFonts w:ascii="Arial" w:cs="Arial" w:eastAsia="Arial" w:hAnsi="Arial"/>
          <w:sz w:val="19"/>
          <w:szCs w:val="19"/>
          <w:color w:val="414141"/>
        </w:rPr>
        <w:t xml:space="preserve"> </w:t>
      </w:r>
      <w:r>
        <w:rPr>
          <w:rFonts w:ascii="Arial" w:cs="Arial" w:eastAsia="Arial" w:hAnsi="Arial"/>
          <w:sz w:val="19"/>
          <w:szCs w:val="19"/>
          <w:color w:val="181818"/>
        </w:rPr>
        <w:t xml:space="preserve">Sixty </w:t>
      </w:r>
      <w:r>
        <w:rPr>
          <w:rFonts w:ascii="Arial" w:cs="Arial" w:eastAsia="Arial" w:hAnsi="Arial"/>
          <w:sz w:val="19"/>
          <w:szCs w:val="19"/>
          <w:color w:val="2A2A2A"/>
        </w:rPr>
        <w:t>Dollars ($69,860.00)</w:t>
      </w:r>
      <w:r>
        <w:rPr>
          <w:rFonts w:ascii="Arial" w:cs="Arial" w:eastAsia="Arial" w:hAnsi="Arial"/>
          <w:sz w:val="19"/>
          <w:szCs w:val="19"/>
          <w:color w:val="181818"/>
        </w:rPr>
        <w:t xml:space="preserve"> which may </w:t>
      </w:r>
      <w:r>
        <w:rPr>
          <w:rFonts w:ascii="Arial" w:cs="Arial" w:eastAsia="Arial" w:hAnsi="Arial"/>
          <w:sz w:val="19"/>
          <w:szCs w:val="19"/>
          <w:color w:val="2A2A2A"/>
        </w:rPr>
        <w:t>be</w:t>
      </w:r>
      <w:r>
        <w:rPr>
          <w:rFonts w:ascii="Arial" w:cs="Arial" w:eastAsia="Arial" w:hAnsi="Arial"/>
          <w:sz w:val="19"/>
          <w:szCs w:val="19"/>
          <w:color w:val="181818"/>
        </w:rPr>
        <w:t xml:space="preserve"> used for a credit </w:t>
      </w:r>
      <w:r>
        <w:rPr>
          <w:rFonts w:ascii="Arial" w:cs="Arial" w:eastAsia="Arial" w:hAnsi="Arial"/>
          <w:sz w:val="19"/>
          <w:szCs w:val="19"/>
          <w:color w:val="2A2A2A"/>
        </w:rPr>
        <w:t>against</w:t>
      </w:r>
      <w:r>
        <w:rPr>
          <w:rFonts w:ascii="Arial" w:cs="Arial" w:eastAsia="Arial" w:hAnsi="Arial"/>
          <w:sz w:val="19"/>
          <w:szCs w:val="19"/>
          <w:color w:val="181818"/>
        </w:rPr>
        <w:t xml:space="preserve"> rent </w:t>
      </w:r>
      <w:r>
        <w:rPr>
          <w:rFonts w:ascii="Arial" w:cs="Arial" w:eastAsia="Arial" w:hAnsi="Arial"/>
          <w:sz w:val="19"/>
          <w:szCs w:val="19"/>
          <w:color w:val="2A2A2A"/>
        </w:rPr>
        <w:t>owed</w:t>
      </w:r>
      <w:r>
        <w:rPr>
          <w:rFonts w:ascii="Arial" w:cs="Arial" w:eastAsia="Arial" w:hAnsi="Arial"/>
          <w:sz w:val="19"/>
          <w:szCs w:val="19"/>
          <w:color w:val="181818"/>
        </w:rPr>
        <w:t xml:space="preserve"> during the </w:t>
      </w:r>
      <w:r>
        <w:rPr>
          <w:rFonts w:ascii="Arial" w:cs="Arial" w:eastAsia="Arial" w:hAnsi="Arial"/>
          <w:sz w:val="19"/>
          <w:szCs w:val="19"/>
          <w:color w:val="2A2A2A"/>
        </w:rPr>
        <w:t>Term and/or</w:t>
      </w:r>
      <w:r>
        <w:rPr>
          <w:rFonts w:ascii="Arial" w:cs="Arial" w:eastAsia="Arial" w:hAnsi="Arial"/>
          <w:sz w:val="19"/>
          <w:szCs w:val="19"/>
          <w:color w:val="181818"/>
        </w:rPr>
        <w:t xml:space="preserve"> tenant improvements inside the Premises.</w:t>
      </w:r>
    </w:p>
    <w:p>
      <w:pPr>
        <w:spacing w:after="0" w:line="183" w:lineRule="exact"/>
        <w:rPr>
          <w:rFonts w:ascii="Arial" w:cs="Arial" w:eastAsia="Arial" w:hAnsi="Arial"/>
          <w:sz w:val="19"/>
          <w:szCs w:val="19"/>
          <w:color w:val="181818"/>
        </w:rPr>
      </w:pPr>
    </w:p>
    <w:p>
      <w:pPr>
        <w:ind w:left="860" w:right="300" w:hanging="852"/>
        <w:spacing w:after="0" w:line="249" w:lineRule="auto"/>
        <w:tabs>
          <w:tab w:leader="none" w:pos="860" w:val="left"/>
        </w:tabs>
        <w:numPr>
          <w:ilvl w:val="0"/>
          <w:numId w:val="103"/>
        </w:numPr>
        <w:rPr>
          <w:rFonts w:ascii="Arial" w:cs="Arial" w:eastAsia="Arial" w:hAnsi="Arial"/>
          <w:sz w:val="19"/>
          <w:szCs w:val="19"/>
          <w:color w:val="181818"/>
        </w:rPr>
      </w:pPr>
      <w:r>
        <w:rPr>
          <w:rFonts w:ascii="Arial" w:cs="Arial" w:eastAsia="Arial" w:hAnsi="Arial"/>
          <w:sz w:val="19"/>
          <w:szCs w:val="19"/>
          <w:u w:val="single" w:color="auto"/>
          <w:color w:val="2A2A2A"/>
        </w:rPr>
        <w:t>Acceptance of Premises In Current Condition.</w:t>
      </w:r>
      <w:r>
        <w:rPr>
          <w:rFonts w:ascii="Arial" w:cs="Arial" w:eastAsia="Arial" w:hAnsi="Arial"/>
          <w:sz w:val="19"/>
          <w:szCs w:val="19"/>
          <w:color w:val="2A2A2A"/>
        </w:rPr>
        <w:t xml:space="preserve"> Tenant </w:t>
      </w:r>
      <w:r>
        <w:rPr>
          <w:rFonts w:ascii="Arial" w:cs="Arial" w:eastAsia="Arial" w:hAnsi="Arial"/>
          <w:sz w:val="19"/>
          <w:szCs w:val="19"/>
          <w:color w:val="181818"/>
        </w:rPr>
        <w:t>has</w:t>
      </w:r>
      <w:r>
        <w:rPr>
          <w:rFonts w:ascii="Arial" w:cs="Arial" w:eastAsia="Arial" w:hAnsi="Arial"/>
          <w:sz w:val="19"/>
          <w:szCs w:val="19"/>
          <w:color w:val="2A2A2A"/>
        </w:rPr>
        <w:t xml:space="preserve"> been occupying the Premises pursuant </w:t>
      </w:r>
      <w:r>
        <w:rPr>
          <w:rFonts w:ascii="Arial" w:cs="Arial" w:eastAsia="Arial" w:hAnsi="Arial"/>
          <w:sz w:val="19"/>
          <w:szCs w:val="19"/>
          <w:color w:val="414141"/>
        </w:rPr>
        <w:t>to the</w:t>
      </w:r>
      <w:r>
        <w:rPr>
          <w:rFonts w:ascii="Arial" w:cs="Arial" w:eastAsia="Arial" w:hAnsi="Arial"/>
          <w:sz w:val="19"/>
          <w:szCs w:val="19"/>
          <w:color w:val="2A2A2A"/>
        </w:rPr>
        <w:t xml:space="preserve"> Lease </w:t>
      </w:r>
      <w:r>
        <w:rPr>
          <w:rFonts w:ascii="Arial" w:cs="Arial" w:eastAsia="Arial" w:hAnsi="Arial"/>
          <w:sz w:val="19"/>
          <w:szCs w:val="19"/>
          <w:color w:val="414141"/>
        </w:rPr>
        <w:t>and as</w:t>
      </w:r>
      <w:r>
        <w:rPr>
          <w:rFonts w:ascii="Arial" w:cs="Arial" w:eastAsia="Arial" w:hAnsi="Arial"/>
          <w:sz w:val="19"/>
          <w:szCs w:val="19"/>
          <w:color w:val="2A2A2A"/>
        </w:rPr>
        <w:t xml:space="preserve"> such accepts the Premises its </w:t>
      </w:r>
      <w:r>
        <w:rPr>
          <w:rFonts w:ascii="Arial" w:cs="Arial" w:eastAsia="Arial" w:hAnsi="Arial"/>
          <w:sz w:val="19"/>
          <w:szCs w:val="19"/>
          <w:color w:val="414141"/>
        </w:rPr>
        <w:t>"as</w:t>
      </w:r>
      <w:r>
        <w:rPr>
          <w:rFonts w:ascii="Arial" w:cs="Arial" w:eastAsia="Arial" w:hAnsi="Arial"/>
          <w:sz w:val="19"/>
          <w:szCs w:val="19"/>
          <w:color w:val="181818"/>
        </w:rPr>
        <w:t>-is</w:t>
      </w:r>
      <w:r>
        <w:rPr>
          <w:rFonts w:ascii="Arial" w:cs="Arial" w:eastAsia="Arial" w:hAnsi="Arial"/>
          <w:sz w:val="19"/>
          <w:szCs w:val="19"/>
          <w:color w:val="2A2A2A"/>
        </w:rPr>
        <w:t xml:space="preserve"> and </w:t>
      </w:r>
      <w:r>
        <w:rPr>
          <w:rFonts w:ascii="Arial" w:cs="Arial" w:eastAsia="Arial" w:hAnsi="Arial"/>
          <w:sz w:val="19"/>
          <w:szCs w:val="19"/>
          <w:color w:val="414141"/>
        </w:rPr>
        <w:t>w</w:t>
      </w:r>
      <w:r>
        <w:rPr>
          <w:rFonts w:ascii="Arial" w:cs="Arial" w:eastAsia="Arial" w:hAnsi="Arial"/>
          <w:sz w:val="19"/>
          <w:szCs w:val="19"/>
          <w:color w:val="181818"/>
        </w:rPr>
        <w:t>here-is"</w:t>
      </w:r>
      <w:r>
        <w:rPr>
          <w:rFonts w:ascii="Arial" w:cs="Arial" w:eastAsia="Arial" w:hAnsi="Arial"/>
          <w:sz w:val="19"/>
          <w:szCs w:val="19"/>
          <w:color w:val="2A2A2A"/>
        </w:rPr>
        <w:t xml:space="preserve"> </w:t>
      </w:r>
      <w:r>
        <w:rPr>
          <w:rFonts w:ascii="Arial" w:cs="Arial" w:eastAsia="Arial" w:hAnsi="Arial"/>
          <w:sz w:val="19"/>
          <w:szCs w:val="19"/>
          <w:color w:val="414141"/>
        </w:rPr>
        <w:t>con</w:t>
      </w:r>
      <w:r>
        <w:rPr>
          <w:rFonts w:ascii="Arial" w:cs="Arial" w:eastAsia="Arial" w:hAnsi="Arial"/>
          <w:sz w:val="19"/>
          <w:szCs w:val="19"/>
          <w:color w:val="181818"/>
        </w:rPr>
        <w:t>ditio</w:t>
      </w:r>
      <w:r>
        <w:rPr>
          <w:rFonts w:ascii="Arial" w:cs="Arial" w:eastAsia="Arial" w:hAnsi="Arial"/>
          <w:sz w:val="19"/>
          <w:szCs w:val="19"/>
          <w:color w:val="414141"/>
        </w:rPr>
        <w:t>n.</w:t>
      </w:r>
      <w:r>
        <w:rPr>
          <w:rFonts w:ascii="Arial" w:cs="Arial" w:eastAsia="Arial" w:hAnsi="Arial"/>
          <w:sz w:val="19"/>
          <w:szCs w:val="19"/>
          <w:color w:val="2A2A2A"/>
        </w:rPr>
        <w:t xml:space="preserve"> Neither Landlord nor Tenant shall be obligated to construct </w:t>
      </w:r>
      <w:r>
        <w:rPr>
          <w:rFonts w:ascii="Arial" w:cs="Arial" w:eastAsia="Arial" w:hAnsi="Arial"/>
          <w:sz w:val="19"/>
          <w:szCs w:val="19"/>
          <w:color w:val="414141"/>
        </w:rPr>
        <w:t>an</w:t>
      </w:r>
      <w:r>
        <w:rPr>
          <w:rFonts w:ascii="Arial" w:cs="Arial" w:eastAsia="Arial" w:hAnsi="Arial"/>
          <w:sz w:val="19"/>
          <w:szCs w:val="19"/>
          <w:color w:val="181818"/>
        </w:rPr>
        <w:t>y improvements in</w:t>
      </w:r>
      <w:r>
        <w:rPr>
          <w:rFonts w:ascii="Arial" w:cs="Arial" w:eastAsia="Arial" w:hAnsi="Arial"/>
          <w:sz w:val="19"/>
          <w:szCs w:val="19"/>
          <w:color w:val="2A2A2A"/>
        </w:rPr>
        <w:t xml:space="preserve"> </w:t>
      </w:r>
      <w:r>
        <w:rPr>
          <w:rFonts w:ascii="Arial" w:cs="Arial" w:eastAsia="Arial" w:hAnsi="Arial"/>
          <w:sz w:val="19"/>
          <w:szCs w:val="19"/>
          <w:color w:val="414141"/>
        </w:rPr>
        <w:t>t</w:t>
      </w:r>
      <w:r>
        <w:rPr>
          <w:rFonts w:ascii="Arial" w:cs="Arial" w:eastAsia="Arial" w:hAnsi="Arial"/>
          <w:sz w:val="19"/>
          <w:szCs w:val="19"/>
          <w:color w:val="181818"/>
        </w:rPr>
        <w:t>he</w:t>
      </w:r>
      <w:r>
        <w:rPr>
          <w:rFonts w:ascii="Arial" w:cs="Arial" w:eastAsia="Arial" w:hAnsi="Arial"/>
          <w:sz w:val="19"/>
          <w:szCs w:val="19"/>
          <w:color w:val="2A2A2A"/>
        </w:rPr>
        <w:t xml:space="preserve"> Premises.</w:t>
      </w:r>
    </w:p>
    <w:p>
      <w:pPr>
        <w:spacing w:after="0" w:line="183" w:lineRule="exact"/>
        <w:rPr>
          <w:rFonts w:ascii="Arial" w:cs="Arial" w:eastAsia="Arial" w:hAnsi="Arial"/>
          <w:sz w:val="19"/>
          <w:szCs w:val="19"/>
          <w:color w:val="181818"/>
        </w:rPr>
      </w:pPr>
    </w:p>
    <w:p>
      <w:pPr>
        <w:ind w:left="860" w:hanging="852"/>
        <w:spacing w:after="0" w:line="263" w:lineRule="auto"/>
        <w:tabs>
          <w:tab w:leader="none" w:pos="860" w:val="left"/>
        </w:tabs>
        <w:numPr>
          <w:ilvl w:val="0"/>
          <w:numId w:val="103"/>
        </w:numPr>
        <w:rPr>
          <w:rFonts w:ascii="Arial" w:cs="Arial" w:eastAsia="Arial" w:hAnsi="Arial"/>
          <w:sz w:val="18"/>
          <w:szCs w:val="18"/>
          <w:color w:val="181818"/>
        </w:rPr>
      </w:pPr>
      <w:r>
        <w:rPr>
          <w:rFonts w:ascii="Arial" w:cs="Arial" w:eastAsia="Arial" w:hAnsi="Arial"/>
          <w:sz w:val="18"/>
          <w:szCs w:val="18"/>
          <w:u w:val="single" w:color="auto"/>
          <w:color w:val="2A2A2A"/>
        </w:rPr>
        <w:t>Brokers.</w:t>
      </w:r>
      <w:r>
        <w:rPr>
          <w:rFonts w:ascii="Arial" w:cs="Arial" w:eastAsia="Arial" w:hAnsi="Arial"/>
          <w:sz w:val="18"/>
          <w:szCs w:val="18"/>
          <w:color w:val="2A2A2A"/>
        </w:rPr>
        <w:t xml:space="preserve"> </w:t>
      </w:r>
      <w:r>
        <w:rPr>
          <w:rFonts w:ascii="Arial" w:cs="Arial" w:eastAsia="Arial" w:hAnsi="Arial"/>
          <w:sz w:val="18"/>
          <w:szCs w:val="18"/>
          <w:color w:val="181818"/>
        </w:rPr>
        <w:t>Tenant</w:t>
      </w:r>
      <w:r>
        <w:rPr>
          <w:rFonts w:ascii="Arial" w:cs="Arial" w:eastAsia="Arial" w:hAnsi="Arial"/>
          <w:sz w:val="18"/>
          <w:szCs w:val="18"/>
          <w:color w:val="2A2A2A"/>
        </w:rPr>
        <w:t xml:space="preserve"> represents </w:t>
      </w:r>
      <w:r>
        <w:rPr>
          <w:rFonts w:ascii="Arial" w:cs="Arial" w:eastAsia="Arial" w:hAnsi="Arial"/>
          <w:sz w:val="18"/>
          <w:szCs w:val="18"/>
          <w:color w:val="181818"/>
        </w:rPr>
        <w:t>and</w:t>
      </w:r>
      <w:r>
        <w:rPr>
          <w:rFonts w:ascii="Arial" w:cs="Arial" w:eastAsia="Arial" w:hAnsi="Arial"/>
          <w:sz w:val="18"/>
          <w:szCs w:val="18"/>
          <w:color w:val="2A2A2A"/>
        </w:rPr>
        <w:t xml:space="preserve"> warrants that it </w:t>
      </w:r>
      <w:r>
        <w:rPr>
          <w:rFonts w:ascii="Arial" w:cs="Arial" w:eastAsia="Arial" w:hAnsi="Arial"/>
          <w:sz w:val="18"/>
          <w:szCs w:val="18"/>
          <w:color w:val="181818"/>
        </w:rPr>
        <w:t>has dealt</w:t>
      </w:r>
      <w:r>
        <w:rPr>
          <w:rFonts w:ascii="Arial" w:cs="Arial" w:eastAsia="Arial" w:hAnsi="Arial"/>
          <w:sz w:val="18"/>
          <w:szCs w:val="18"/>
          <w:color w:val="2A2A2A"/>
        </w:rPr>
        <w:t xml:space="preserve"> with </w:t>
      </w:r>
      <w:r>
        <w:rPr>
          <w:rFonts w:ascii="Arial" w:cs="Arial" w:eastAsia="Arial" w:hAnsi="Arial"/>
          <w:sz w:val="18"/>
          <w:szCs w:val="18"/>
          <w:color w:val="181818"/>
        </w:rPr>
        <w:t>no broker,</w:t>
      </w:r>
      <w:r>
        <w:rPr>
          <w:rFonts w:ascii="Arial" w:cs="Arial" w:eastAsia="Arial" w:hAnsi="Arial"/>
          <w:sz w:val="18"/>
          <w:szCs w:val="18"/>
          <w:color w:val="2A2A2A"/>
        </w:rPr>
        <w:t xml:space="preserve"> agent </w:t>
      </w:r>
      <w:r>
        <w:rPr>
          <w:rFonts w:ascii="Arial" w:cs="Arial" w:eastAsia="Arial" w:hAnsi="Arial"/>
          <w:sz w:val="18"/>
          <w:szCs w:val="18"/>
          <w:color w:val="181818"/>
        </w:rPr>
        <w:t>or</w:t>
      </w:r>
      <w:r>
        <w:rPr>
          <w:rFonts w:ascii="Arial" w:cs="Arial" w:eastAsia="Arial" w:hAnsi="Arial"/>
          <w:sz w:val="18"/>
          <w:szCs w:val="18"/>
          <w:color w:val="2A2A2A"/>
        </w:rPr>
        <w:t xml:space="preserve"> other </w:t>
      </w:r>
      <w:r>
        <w:rPr>
          <w:rFonts w:ascii="Arial" w:cs="Arial" w:eastAsia="Arial" w:hAnsi="Arial"/>
          <w:sz w:val="18"/>
          <w:szCs w:val="18"/>
          <w:color w:val="181818"/>
        </w:rPr>
        <w:t>person</w:t>
      </w:r>
      <w:r>
        <w:rPr>
          <w:rFonts w:ascii="Arial" w:cs="Arial" w:eastAsia="Arial" w:hAnsi="Arial"/>
          <w:sz w:val="18"/>
          <w:szCs w:val="18"/>
          <w:color w:val="2A2A2A"/>
        </w:rPr>
        <w:t xml:space="preserve"> in connection </w:t>
      </w:r>
      <w:r>
        <w:rPr>
          <w:rFonts w:ascii="Arial" w:cs="Arial" w:eastAsia="Arial" w:hAnsi="Arial"/>
          <w:sz w:val="18"/>
          <w:szCs w:val="18"/>
          <w:color w:val="181818"/>
        </w:rPr>
        <w:t>with</w:t>
      </w:r>
      <w:r>
        <w:rPr>
          <w:rFonts w:ascii="Arial" w:cs="Arial" w:eastAsia="Arial" w:hAnsi="Arial"/>
          <w:sz w:val="18"/>
          <w:szCs w:val="18"/>
          <w:color w:val="2A2A2A"/>
        </w:rPr>
        <w:t xml:space="preserve"> this </w:t>
      </w:r>
      <w:r>
        <w:rPr>
          <w:rFonts w:ascii="Arial" w:cs="Arial" w:eastAsia="Arial" w:hAnsi="Arial"/>
          <w:sz w:val="18"/>
          <w:szCs w:val="18"/>
          <w:color w:val="414141"/>
        </w:rPr>
        <w:t>transaction</w:t>
      </w:r>
      <w:r>
        <w:rPr>
          <w:rFonts w:ascii="Arial" w:cs="Arial" w:eastAsia="Arial" w:hAnsi="Arial"/>
          <w:sz w:val="18"/>
          <w:szCs w:val="18"/>
          <w:color w:val="2A2A2A"/>
        </w:rPr>
        <w:t xml:space="preserve"> and </w:t>
      </w:r>
      <w:r>
        <w:rPr>
          <w:rFonts w:ascii="Arial" w:cs="Arial" w:eastAsia="Arial" w:hAnsi="Arial"/>
          <w:sz w:val="18"/>
          <w:szCs w:val="18"/>
          <w:color w:val="181818"/>
        </w:rPr>
        <w:t>that</w:t>
      </w:r>
      <w:r>
        <w:rPr>
          <w:rFonts w:ascii="Arial" w:cs="Arial" w:eastAsia="Arial" w:hAnsi="Arial"/>
          <w:sz w:val="18"/>
          <w:szCs w:val="18"/>
          <w:color w:val="2A2A2A"/>
        </w:rPr>
        <w:t xml:space="preserve"> </w:t>
      </w:r>
      <w:r>
        <w:rPr>
          <w:rFonts w:ascii="Arial" w:cs="Arial" w:eastAsia="Arial" w:hAnsi="Arial"/>
          <w:sz w:val="18"/>
          <w:szCs w:val="18"/>
          <w:color w:val="181818"/>
        </w:rPr>
        <w:t xml:space="preserve">no broker, </w:t>
      </w:r>
      <w:r>
        <w:rPr>
          <w:rFonts w:ascii="Arial" w:cs="Arial" w:eastAsia="Arial" w:hAnsi="Arial"/>
          <w:sz w:val="18"/>
          <w:szCs w:val="18"/>
          <w:color w:val="2A2A2A"/>
        </w:rPr>
        <w:t>agent</w:t>
      </w:r>
      <w:r>
        <w:rPr>
          <w:rFonts w:ascii="Arial" w:cs="Arial" w:eastAsia="Arial" w:hAnsi="Arial"/>
          <w:sz w:val="18"/>
          <w:szCs w:val="18"/>
          <w:color w:val="181818"/>
        </w:rPr>
        <w:t xml:space="preserve"> or other person </w:t>
      </w:r>
      <w:r>
        <w:rPr>
          <w:rFonts w:ascii="Arial" w:cs="Arial" w:eastAsia="Arial" w:hAnsi="Arial"/>
          <w:sz w:val="18"/>
          <w:szCs w:val="18"/>
          <w:color w:val="2A2A2A"/>
        </w:rPr>
        <w:t>brought</w:t>
      </w:r>
      <w:r>
        <w:rPr>
          <w:rFonts w:ascii="Arial" w:cs="Arial" w:eastAsia="Arial" w:hAnsi="Arial"/>
          <w:sz w:val="18"/>
          <w:szCs w:val="18"/>
          <w:color w:val="181818"/>
        </w:rPr>
        <w:t xml:space="preserve"> </w:t>
      </w:r>
      <w:r>
        <w:rPr>
          <w:rFonts w:ascii="Arial" w:cs="Arial" w:eastAsia="Arial" w:hAnsi="Arial"/>
          <w:sz w:val="18"/>
          <w:szCs w:val="18"/>
          <w:color w:val="414141"/>
        </w:rPr>
        <w:t>about</w:t>
      </w:r>
      <w:r>
        <w:rPr>
          <w:rFonts w:ascii="Arial" w:cs="Arial" w:eastAsia="Arial" w:hAnsi="Arial"/>
          <w:sz w:val="18"/>
          <w:szCs w:val="18"/>
          <w:color w:val="181818"/>
        </w:rPr>
        <w:t xml:space="preserve"> </w:t>
      </w:r>
      <w:r>
        <w:rPr>
          <w:rFonts w:ascii="Arial" w:cs="Arial" w:eastAsia="Arial" w:hAnsi="Arial"/>
          <w:sz w:val="18"/>
          <w:szCs w:val="18"/>
          <w:color w:val="2A2A2A"/>
        </w:rPr>
        <w:t>this</w:t>
      </w:r>
      <w:r>
        <w:rPr>
          <w:rFonts w:ascii="Arial" w:cs="Arial" w:eastAsia="Arial" w:hAnsi="Arial"/>
          <w:sz w:val="18"/>
          <w:szCs w:val="18"/>
          <w:color w:val="181818"/>
        </w:rPr>
        <w:t xml:space="preserve"> transaction</w:t>
      </w:r>
      <w:r>
        <w:rPr>
          <w:rFonts w:ascii="Arial" w:cs="Arial" w:eastAsia="Arial" w:hAnsi="Arial"/>
          <w:sz w:val="18"/>
          <w:szCs w:val="18"/>
          <w:color w:val="545454"/>
        </w:rPr>
        <w:t>,</w:t>
      </w:r>
      <w:r>
        <w:rPr>
          <w:rFonts w:ascii="Arial" w:cs="Arial" w:eastAsia="Arial" w:hAnsi="Arial"/>
          <w:sz w:val="18"/>
          <w:szCs w:val="18"/>
          <w:color w:val="181818"/>
        </w:rPr>
        <w:t xml:space="preserve"> </w:t>
      </w:r>
      <w:r>
        <w:rPr>
          <w:rFonts w:ascii="Arial" w:cs="Arial" w:eastAsia="Arial" w:hAnsi="Arial"/>
          <w:sz w:val="18"/>
          <w:szCs w:val="18"/>
          <w:color w:val="414141"/>
        </w:rPr>
        <w:t>other</w:t>
      </w:r>
      <w:r>
        <w:rPr>
          <w:rFonts w:ascii="Arial" w:cs="Arial" w:eastAsia="Arial" w:hAnsi="Arial"/>
          <w:sz w:val="18"/>
          <w:szCs w:val="18"/>
          <w:color w:val="181818"/>
        </w:rPr>
        <w:t xml:space="preserve"> </w:t>
      </w:r>
      <w:r>
        <w:rPr>
          <w:rFonts w:ascii="Arial" w:cs="Arial" w:eastAsia="Arial" w:hAnsi="Arial"/>
          <w:sz w:val="18"/>
          <w:szCs w:val="18"/>
          <w:color w:val="2A2A2A"/>
        </w:rPr>
        <w:t>than</w:t>
      </w:r>
      <w:r>
        <w:rPr>
          <w:rFonts w:ascii="Arial" w:cs="Arial" w:eastAsia="Arial" w:hAnsi="Arial"/>
          <w:sz w:val="18"/>
          <w:szCs w:val="18"/>
          <w:color w:val="181818"/>
        </w:rPr>
        <w:t xml:space="preserve"> CBRE, </w:t>
      </w:r>
      <w:r>
        <w:rPr>
          <w:rFonts w:ascii="Arial" w:cs="Arial" w:eastAsia="Arial" w:hAnsi="Arial"/>
          <w:sz w:val="18"/>
          <w:szCs w:val="18"/>
          <w:color w:val="2A2A2A"/>
        </w:rPr>
        <w:t>Inc., and Tenant</w:t>
      </w:r>
      <w:r>
        <w:rPr>
          <w:rFonts w:ascii="Arial" w:cs="Arial" w:eastAsia="Arial" w:hAnsi="Arial"/>
          <w:sz w:val="18"/>
          <w:szCs w:val="18"/>
          <w:color w:val="181818"/>
        </w:rPr>
        <w:t xml:space="preserve"> agrees </w:t>
      </w:r>
      <w:r>
        <w:rPr>
          <w:rFonts w:ascii="Arial" w:cs="Arial" w:eastAsia="Arial" w:hAnsi="Arial"/>
          <w:sz w:val="18"/>
          <w:szCs w:val="18"/>
          <w:color w:val="2A2A2A"/>
        </w:rPr>
        <w:t>to</w:t>
      </w:r>
      <w:r>
        <w:rPr>
          <w:rFonts w:ascii="Arial" w:cs="Arial" w:eastAsia="Arial" w:hAnsi="Arial"/>
          <w:sz w:val="18"/>
          <w:szCs w:val="18"/>
          <w:color w:val="181818"/>
        </w:rPr>
        <w:t xml:space="preserve"> indemnify </w:t>
      </w:r>
      <w:r>
        <w:rPr>
          <w:rFonts w:ascii="Arial" w:cs="Arial" w:eastAsia="Arial" w:hAnsi="Arial"/>
          <w:sz w:val="18"/>
          <w:szCs w:val="18"/>
          <w:color w:val="2A2A2A"/>
        </w:rPr>
        <w:t>and</w:t>
      </w:r>
      <w:r>
        <w:rPr>
          <w:rFonts w:ascii="Arial" w:cs="Arial" w:eastAsia="Arial" w:hAnsi="Arial"/>
          <w:sz w:val="18"/>
          <w:szCs w:val="18"/>
          <w:color w:val="181818"/>
        </w:rPr>
        <w:t xml:space="preserve"> hold Landlord </w:t>
      </w:r>
      <w:r>
        <w:rPr>
          <w:rFonts w:ascii="Arial" w:cs="Arial" w:eastAsia="Arial" w:hAnsi="Arial"/>
          <w:sz w:val="18"/>
          <w:szCs w:val="18"/>
          <w:color w:val="2A2A2A"/>
        </w:rPr>
        <w:t>harmless from</w:t>
      </w:r>
      <w:r>
        <w:rPr>
          <w:rFonts w:ascii="Arial" w:cs="Arial" w:eastAsia="Arial" w:hAnsi="Arial"/>
          <w:sz w:val="18"/>
          <w:szCs w:val="18"/>
          <w:color w:val="181818"/>
        </w:rPr>
        <w:t xml:space="preserve"> and against any claims </w:t>
      </w:r>
      <w:r>
        <w:rPr>
          <w:rFonts w:ascii="Arial" w:cs="Arial" w:eastAsia="Arial" w:hAnsi="Arial"/>
          <w:sz w:val="18"/>
          <w:szCs w:val="18"/>
          <w:color w:val="2A2A2A"/>
        </w:rPr>
        <w:t>by</w:t>
      </w:r>
      <w:r>
        <w:rPr>
          <w:rFonts w:ascii="Arial" w:cs="Arial" w:eastAsia="Arial" w:hAnsi="Arial"/>
          <w:sz w:val="18"/>
          <w:szCs w:val="18"/>
          <w:color w:val="181818"/>
        </w:rPr>
        <w:t xml:space="preserve"> any </w:t>
      </w:r>
      <w:r>
        <w:rPr>
          <w:rFonts w:ascii="Arial" w:cs="Arial" w:eastAsia="Arial" w:hAnsi="Arial"/>
          <w:sz w:val="18"/>
          <w:szCs w:val="18"/>
          <w:color w:val="2A2A2A"/>
        </w:rPr>
        <w:t>other</w:t>
      </w:r>
      <w:r>
        <w:rPr>
          <w:rFonts w:ascii="Arial" w:cs="Arial" w:eastAsia="Arial" w:hAnsi="Arial"/>
          <w:sz w:val="18"/>
          <w:szCs w:val="18"/>
          <w:color w:val="181818"/>
        </w:rPr>
        <w:t xml:space="preserve"> broker, </w:t>
      </w:r>
      <w:r>
        <w:rPr>
          <w:rFonts w:ascii="Arial" w:cs="Arial" w:eastAsia="Arial" w:hAnsi="Arial"/>
          <w:sz w:val="18"/>
          <w:szCs w:val="18"/>
          <w:color w:val="2A2A2A"/>
        </w:rPr>
        <w:t>agent</w:t>
      </w:r>
      <w:r>
        <w:rPr>
          <w:rFonts w:ascii="Arial" w:cs="Arial" w:eastAsia="Arial" w:hAnsi="Arial"/>
          <w:sz w:val="18"/>
          <w:szCs w:val="18"/>
          <w:color w:val="181818"/>
        </w:rPr>
        <w:t xml:space="preserve"> or other </w:t>
      </w:r>
      <w:r>
        <w:rPr>
          <w:rFonts w:ascii="Arial" w:cs="Arial" w:eastAsia="Arial" w:hAnsi="Arial"/>
          <w:sz w:val="18"/>
          <w:szCs w:val="18"/>
          <w:color w:val="2A2A2A"/>
        </w:rPr>
        <w:t>person claiming a</w:t>
      </w:r>
      <w:r>
        <w:rPr>
          <w:rFonts w:ascii="Arial" w:cs="Arial" w:eastAsia="Arial" w:hAnsi="Arial"/>
          <w:sz w:val="18"/>
          <w:szCs w:val="18"/>
          <w:color w:val="181818"/>
        </w:rPr>
        <w:t xml:space="preserve"> commission or other form of </w:t>
      </w:r>
      <w:r>
        <w:rPr>
          <w:rFonts w:ascii="Arial" w:cs="Arial" w:eastAsia="Arial" w:hAnsi="Arial"/>
          <w:sz w:val="18"/>
          <w:szCs w:val="18"/>
          <w:color w:val="2A2A2A"/>
        </w:rPr>
        <w:t xml:space="preserve">compensation </w:t>
      </w:r>
      <w:r>
        <w:rPr>
          <w:rFonts w:ascii="Arial" w:cs="Arial" w:eastAsia="Arial" w:hAnsi="Arial"/>
          <w:sz w:val="18"/>
          <w:szCs w:val="18"/>
          <w:color w:val="181818"/>
        </w:rPr>
        <w:t>by</w:t>
      </w:r>
      <w:r>
        <w:rPr>
          <w:rFonts w:ascii="Arial" w:cs="Arial" w:eastAsia="Arial" w:hAnsi="Arial"/>
          <w:sz w:val="18"/>
          <w:szCs w:val="18"/>
          <w:color w:val="2A2A2A"/>
        </w:rPr>
        <w:t xml:space="preserve"> virtue </w:t>
      </w:r>
      <w:r>
        <w:rPr>
          <w:rFonts w:ascii="Arial" w:cs="Arial" w:eastAsia="Arial" w:hAnsi="Arial"/>
          <w:sz w:val="18"/>
          <w:szCs w:val="18"/>
          <w:color w:val="181818"/>
        </w:rPr>
        <w:t>of having dealt with</w:t>
      </w:r>
      <w:r>
        <w:rPr>
          <w:rFonts w:ascii="Arial" w:cs="Arial" w:eastAsia="Arial" w:hAnsi="Arial"/>
          <w:sz w:val="18"/>
          <w:szCs w:val="18"/>
          <w:color w:val="2A2A2A"/>
        </w:rPr>
        <w:t xml:space="preserve"> Tenant </w:t>
      </w:r>
      <w:r>
        <w:rPr>
          <w:rFonts w:ascii="Arial" w:cs="Arial" w:eastAsia="Arial" w:hAnsi="Arial"/>
          <w:sz w:val="18"/>
          <w:szCs w:val="18"/>
          <w:color w:val="181818"/>
        </w:rPr>
        <w:t>with regard to this leasing</w:t>
      </w:r>
      <w:r>
        <w:rPr>
          <w:rFonts w:ascii="Arial" w:cs="Arial" w:eastAsia="Arial" w:hAnsi="Arial"/>
          <w:sz w:val="18"/>
          <w:szCs w:val="18"/>
          <w:color w:val="2A2A2A"/>
        </w:rPr>
        <w:t xml:space="preserve"> transaction.</w:t>
      </w:r>
    </w:p>
    <w:p>
      <w:pPr>
        <w:spacing w:after="0" w:line="173" w:lineRule="exact"/>
        <w:rPr>
          <w:sz w:val="20"/>
          <w:szCs w:val="20"/>
          <w:color w:val="auto"/>
        </w:rPr>
      </w:pPr>
    </w:p>
    <w:p>
      <w:pPr>
        <w:ind w:right="40" w:firstLine="1"/>
        <w:spacing w:after="0" w:line="261" w:lineRule="auto"/>
        <w:rPr>
          <w:sz w:val="20"/>
          <w:szCs w:val="20"/>
          <w:color w:val="auto"/>
        </w:rPr>
      </w:pPr>
      <w:r>
        <w:rPr>
          <w:rFonts w:ascii="Arial" w:cs="Arial" w:eastAsia="Arial" w:hAnsi="Arial"/>
          <w:sz w:val="19"/>
          <w:szCs w:val="19"/>
          <w:color w:val="2A2A2A"/>
        </w:rPr>
        <w:t xml:space="preserve">Except as </w:t>
      </w:r>
      <w:r>
        <w:rPr>
          <w:rFonts w:ascii="Arial" w:cs="Arial" w:eastAsia="Arial" w:hAnsi="Arial"/>
          <w:sz w:val="19"/>
          <w:szCs w:val="19"/>
          <w:color w:val="181818"/>
        </w:rPr>
        <w:t>explic</w:t>
      </w:r>
      <w:r>
        <w:rPr>
          <w:rFonts w:ascii="Arial" w:cs="Arial" w:eastAsia="Arial" w:hAnsi="Arial"/>
          <w:sz w:val="19"/>
          <w:szCs w:val="19"/>
          <w:color w:val="414141"/>
        </w:rPr>
        <w:t>itly set forth</w:t>
      </w:r>
      <w:r>
        <w:rPr>
          <w:rFonts w:ascii="Arial" w:cs="Arial" w:eastAsia="Arial" w:hAnsi="Arial"/>
          <w:sz w:val="19"/>
          <w:szCs w:val="19"/>
          <w:color w:val="2A2A2A"/>
        </w:rPr>
        <w:t xml:space="preserve"> in thiss Fifth </w:t>
      </w:r>
      <w:r>
        <w:rPr>
          <w:rFonts w:ascii="Arial" w:cs="Arial" w:eastAsia="Arial" w:hAnsi="Arial"/>
          <w:sz w:val="19"/>
          <w:szCs w:val="19"/>
          <w:color w:val="414141"/>
        </w:rPr>
        <w:t>Amendment</w:t>
      </w:r>
      <w:r>
        <w:rPr>
          <w:rFonts w:ascii="Arial" w:cs="Arial" w:eastAsia="Arial" w:hAnsi="Arial"/>
          <w:sz w:val="19"/>
          <w:szCs w:val="19"/>
          <w:color w:val="2A2A2A"/>
        </w:rPr>
        <w:t xml:space="preserve"> to Lease, all </w:t>
      </w:r>
      <w:r>
        <w:rPr>
          <w:rFonts w:ascii="Arial" w:cs="Arial" w:eastAsia="Arial" w:hAnsi="Arial"/>
          <w:sz w:val="19"/>
          <w:szCs w:val="19"/>
          <w:color w:val="181818"/>
        </w:rPr>
        <w:t>defined</w:t>
      </w:r>
      <w:r>
        <w:rPr>
          <w:rFonts w:ascii="Arial" w:cs="Arial" w:eastAsia="Arial" w:hAnsi="Arial"/>
          <w:sz w:val="19"/>
          <w:szCs w:val="19"/>
          <w:color w:val="2A2A2A"/>
        </w:rPr>
        <w:t xml:space="preserve"> terms </w:t>
      </w:r>
      <w:r>
        <w:rPr>
          <w:rFonts w:ascii="Arial" w:cs="Arial" w:eastAsia="Arial" w:hAnsi="Arial"/>
          <w:sz w:val="19"/>
          <w:szCs w:val="19"/>
          <w:color w:val="181818"/>
        </w:rPr>
        <w:t>herein</w:t>
      </w:r>
      <w:r>
        <w:rPr>
          <w:rFonts w:ascii="Arial" w:cs="Arial" w:eastAsia="Arial" w:hAnsi="Arial"/>
          <w:sz w:val="19"/>
          <w:szCs w:val="19"/>
          <w:color w:val="2A2A2A"/>
        </w:rPr>
        <w:t xml:space="preserve"> shall have </w:t>
      </w:r>
      <w:r>
        <w:rPr>
          <w:rFonts w:ascii="Arial" w:cs="Arial" w:eastAsia="Arial" w:hAnsi="Arial"/>
          <w:sz w:val="19"/>
          <w:szCs w:val="19"/>
          <w:color w:val="181818"/>
        </w:rPr>
        <w:t>the</w:t>
      </w:r>
      <w:r>
        <w:rPr>
          <w:rFonts w:ascii="Arial" w:cs="Arial" w:eastAsia="Arial" w:hAnsi="Arial"/>
          <w:sz w:val="19"/>
          <w:szCs w:val="19"/>
          <w:color w:val="2A2A2A"/>
        </w:rPr>
        <w:t xml:space="preserve"> respective meanings </w:t>
      </w:r>
      <w:r>
        <w:rPr>
          <w:rFonts w:ascii="Arial" w:cs="Arial" w:eastAsia="Arial" w:hAnsi="Arial"/>
          <w:sz w:val="19"/>
          <w:szCs w:val="19"/>
          <w:color w:val="181818"/>
        </w:rPr>
        <w:t>as</w:t>
      </w:r>
      <w:r>
        <w:rPr>
          <w:rFonts w:ascii="Arial" w:cs="Arial" w:eastAsia="Arial" w:hAnsi="Arial"/>
          <w:sz w:val="19"/>
          <w:szCs w:val="19"/>
          <w:color w:val="2A2A2A"/>
        </w:rPr>
        <w:t xml:space="preserve"> set forth </w:t>
      </w:r>
      <w:r>
        <w:rPr>
          <w:rFonts w:ascii="Arial" w:cs="Arial" w:eastAsia="Arial" w:hAnsi="Arial"/>
          <w:sz w:val="19"/>
          <w:szCs w:val="19"/>
          <w:color w:val="181818"/>
        </w:rPr>
        <w:t>in</w:t>
      </w:r>
      <w:r>
        <w:rPr>
          <w:rFonts w:ascii="Arial" w:cs="Arial" w:eastAsia="Arial" w:hAnsi="Arial"/>
          <w:sz w:val="19"/>
          <w:szCs w:val="19"/>
          <w:color w:val="2A2A2A"/>
        </w:rPr>
        <w:t xml:space="preserve"> the Lease </w:t>
      </w:r>
      <w:r>
        <w:rPr>
          <w:rFonts w:ascii="Arial" w:cs="Arial" w:eastAsia="Arial" w:hAnsi="Arial"/>
          <w:sz w:val="19"/>
          <w:szCs w:val="19"/>
          <w:color w:val="181818"/>
        </w:rPr>
        <w:t xml:space="preserve">and </w:t>
      </w:r>
      <w:r>
        <w:rPr>
          <w:rFonts w:ascii="Arial" w:cs="Arial" w:eastAsia="Arial" w:hAnsi="Arial"/>
          <w:sz w:val="19"/>
          <w:szCs w:val="19"/>
          <w:color w:val="2A2A2A"/>
        </w:rPr>
        <w:t>the terms and</w:t>
      </w:r>
      <w:r>
        <w:rPr>
          <w:rFonts w:ascii="Arial" w:cs="Arial" w:eastAsia="Arial" w:hAnsi="Arial"/>
          <w:sz w:val="19"/>
          <w:szCs w:val="19"/>
          <w:color w:val="181818"/>
        </w:rPr>
        <w:t xml:space="preserve"> provisions of the </w:t>
      </w:r>
      <w:r>
        <w:rPr>
          <w:rFonts w:ascii="Arial" w:cs="Arial" w:eastAsia="Arial" w:hAnsi="Arial"/>
          <w:sz w:val="19"/>
          <w:szCs w:val="19"/>
          <w:color w:val="2A2A2A"/>
        </w:rPr>
        <w:t>Lease</w:t>
      </w:r>
      <w:r>
        <w:rPr>
          <w:rFonts w:ascii="Arial" w:cs="Arial" w:eastAsia="Arial" w:hAnsi="Arial"/>
          <w:sz w:val="19"/>
          <w:szCs w:val="19"/>
          <w:color w:val="181818"/>
        </w:rPr>
        <w:t xml:space="preserve"> shall be </w:t>
      </w:r>
      <w:r>
        <w:rPr>
          <w:rFonts w:ascii="Arial" w:cs="Arial" w:eastAsia="Arial" w:hAnsi="Arial"/>
          <w:sz w:val="19"/>
          <w:szCs w:val="19"/>
          <w:color w:val="2A2A2A"/>
        </w:rPr>
        <w:t>and</w:t>
      </w:r>
      <w:r>
        <w:rPr>
          <w:rFonts w:ascii="Arial" w:cs="Arial" w:eastAsia="Arial" w:hAnsi="Arial"/>
          <w:sz w:val="19"/>
          <w:szCs w:val="19"/>
          <w:color w:val="181818"/>
        </w:rPr>
        <w:t xml:space="preserve"> remain in full </w:t>
      </w:r>
      <w:r>
        <w:rPr>
          <w:rFonts w:ascii="Arial" w:cs="Arial" w:eastAsia="Arial" w:hAnsi="Arial"/>
          <w:sz w:val="19"/>
          <w:szCs w:val="19"/>
          <w:color w:val="2A2A2A"/>
        </w:rPr>
        <w:t>force and</w:t>
      </w:r>
      <w:r>
        <w:rPr>
          <w:rFonts w:ascii="Arial" w:cs="Arial" w:eastAsia="Arial" w:hAnsi="Arial"/>
          <w:sz w:val="19"/>
          <w:szCs w:val="19"/>
          <w:color w:val="181818"/>
        </w:rPr>
        <w:t xml:space="preserve"> effect.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2A2A2A"/>
        </w:rPr>
        <w:t xml:space="preserve">[Signatures on </w:t>
      </w:r>
      <w:r>
        <w:rPr>
          <w:rFonts w:ascii="Arial" w:cs="Arial" w:eastAsia="Arial" w:hAnsi="Arial"/>
          <w:sz w:val="19"/>
          <w:szCs w:val="19"/>
          <w:i w:val="1"/>
          <w:iCs w:val="1"/>
          <w:color w:val="414141"/>
        </w:rPr>
        <w:t>Next</w:t>
      </w:r>
      <w:r>
        <w:rPr>
          <w:rFonts w:ascii="Arial" w:cs="Arial" w:eastAsia="Arial" w:hAnsi="Arial"/>
          <w:sz w:val="19"/>
          <w:szCs w:val="19"/>
          <w:i w:val="1"/>
          <w:iCs w:val="1"/>
          <w:color w:val="2A2A2A"/>
        </w:rPr>
        <w:t xml:space="preserv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146" w:name="page147"/>
    <w:bookmarkEnd w:id="146"/>
    <w:p>
      <w:pPr>
        <w:ind w:left="6200"/>
        <w:spacing w:after="0"/>
        <w:rPr>
          <w:sz w:val="20"/>
          <w:szCs w:val="20"/>
          <w:color w:val="auto"/>
        </w:rPr>
      </w:pPr>
      <w:r>
        <w:rPr>
          <w:rFonts w:ascii="Arial" w:cs="Arial" w:eastAsia="Arial" w:hAnsi="Arial"/>
          <w:sz w:val="19"/>
          <w:szCs w:val="19"/>
          <w:color w:val="050505"/>
        </w:rPr>
        <w:t>Very truly yours,</w:t>
      </w: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9"/>
          <w:szCs w:val="19"/>
          <w:color w:val="050505"/>
        </w:rPr>
        <w:t>"Landlord":</w:t>
      </w: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8"/>
          <w:szCs w:val="18"/>
          <w:color w:val="050505"/>
        </w:rPr>
        <w:t>28159 Avenue Stanford Properties, LLC,</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19"/>
          <w:szCs w:val="19"/>
          <w:color w:val="050505"/>
        </w:rPr>
        <w:t>a California limited liability company</w:t>
      </w:r>
    </w:p>
    <w:p>
      <w:pPr>
        <w:spacing w:after="0" w:line="198" w:lineRule="exact"/>
        <w:rPr>
          <w:sz w:val="20"/>
          <w:szCs w:val="20"/>
          <w:color w:val="auto"/>
        </w:rPr>
      </w:pPr>
    </w:p>
    <w:p>
      <w:pPr>
        <w:ind w:left="6200"/>
        <w:spacing w:after="0"/>
        <w:tabs>
          <w:tab w:leader="none" w:pos="6660" w:val="left"/>
        </w:tabs>
        <w:rPr>
          <w:sz w:val="20"/>
          <w:szCs w:val="20"/>
          <w:color w:val="auto"/>
        </w:rPr>
      </w:pPr>
      <w:r>
        <w:rPr>
          <w:rFonts w:ascii="Arial" w:cs="Arial" w:eastAsia="Arial" w:hAnsi="Arial"/>
          <w:sz w:val="19"/>
          <w:szCs w:val="19"/>
          <w:color w:val="050505"/>
        </w:rPr>
        <w:t>By:</w:t>
        <w:tab/>
        <w:t>FREDMORE, LLC,</w:t>
      </w:r>
    </w:p>
    <w:p>
      <w:pPr>
        <w:spacing w:after="0" w:line="14" w:lineRule="exact"/>
        <w:rPr>
          <w:sz w:val="20"/>
          <w:szCs w:val="20"/>
          <w:color w:val="auto"/>
        </w:rPr>
      </w:pPr>
    </w:p>
    <w:p>
      <w:pPr>
        <w:ind w:left="6680"/>
        <w:spacing w:after="0"/>
        <w:rPr>
          <w:sz w:val="20"/>
          <w:szCs w:val="20"/>
          <w:color w:val="auto"/>
        </w:rPr>
      </w:pPr>
      <w:r>
        <w:rPr>
          <w:rFonts w:ascii="Arial" w:cs="Arial" w:eastAsia="Arial" w:hAnsi="Arial"/>
          <w:sz w:val="18"/>
          <w:szCs w:val="18"/>
          <w:color w:val="050505"/>
        </w:rPr>
        <w:t>a California limited liability company</w:t>
      </w:r>
    </w:p>
    <w:p>
      <w:pPr>
        <w:spacing w:after="0" w:line="209" w:lineRule="exact"/>
        <w:rPr>
          <w:sz w:val="20"/>
          <w:szCs w:val="20"/>
          <w:color w:val="auto"/>
        </w:rPr>
      </w:pPr>
    </w:p>
    <w:p>
      <w:pPr>
        <w:ind w:left="6680"/>
        <w:spacing w:after="0"/>
        <w:tabs>
          <w:tab w:leader="none" w:pos="7140" w:val="left"/>
        </w:tabs>
        <w:rPr>
          <w:sz w:val="20"/>
          <w:szCs w:val="20"/>
          <w:color w:val="auto"/>
        </w:rPr>
      </w:pPr>
      <w:r>
        <w:rPr>
          <w:rFonts w:ascii="Arial" w:cs="Arial" w:eastAsia="Arial" w:hAnsi="Arial"/>
          <w:sz w:val="16"/>
          <w:szCs w:val="16"/>
          <w:color w:val="050505"/>
        </w:rPr>
        <w:t>By:</w:t>
        <w:tab/>
        <w:t>The Rosenthal Revocable Trust</w:t>
      </w:r>
    </w:p>
    <w:p>
      <w:pPr>
        <w:spacing w:after="0" w:line="48" w:lineRule="exact"/>
        <w:rPr>
          <w:sz w:val="20"/>
          <w:szCs w:val="20"/>
          <w:color w:val="auto"/>
        </w:rPr>
      </w:pPr>
    </w:p>
    <w:p>
      <w:pPr>
        <w:ind w:left="6680"/>
        <w:spacing w:after="0"/>
        <w:rPr>
          <w:sz w:val="20"/>
          <w:szCs w:val="20"/>
          <w:color w:val="auto"/>
        </w:rPr>
      </w:pPr>
      <w:r>
        <w:rPr>
          <w:rFonts w:ascii="Arial" w:cs="Arial" w:eastAsia="Arial" w:hAnsi="Arial"/>
          <w:sz w:val="19"/>
          <w:szCs w:val="19"/>
          <w:color w:val="050505"/>
        </w:rPr>
        <w:t>dated 6/3/03,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139700</wp:posOffset>
            </wp:positionV>
            <wp:extent cx="1962785" cy="9861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196278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050505"/>
        </w:rPr>
        <w:t>The Foregoing Is Accepted And Agreed To:</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050505"/>
        </w:rPr>
        <w:t>"Tenant":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050505"/>
        </w:rPr>
        <w:t>Avita Medical Americas, LLC,</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050505"/>
        </w:rPr>
        <w:t>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2134235" cy="3860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21342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050505"/>
        </w:rPr>
        <w:t xml:space="preserve">Date: </w:t>
      </w:r>
      <w:r>
        <w:rPr>
          <w:rFonts w:ascii="Arial" w:cs="Arial" w:eastAsia="Arial" w:hAnsi="Arial"/>
          <w:sz w:val="19"/>
          <w:szCs w:val="19"/>
          <w:u w:val="single" w:color="auto"/>
          <w:color w:val="050505"/>
        </w:rPr>
        <w:t>2/1/2023</w:t>
      </w: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39"/>
          </w:cols>
          <w:pgMar w:left="320" w:top="792"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100" w:firstLine="1"/>
        <w:spacing w:after="0" w:line="311" w:lineRule="auto"/>
        <w:rPr>
          <w:sz w:val="20"/>
          <w:szCs w:val="20"/>
          <w:color w:val="auto"/>
        </w:rPr>
      </w:pPr>
      <w:r>
        <w:rPr>
          <w:rFonts w:ascii="Arial" w:cs="Arial" w:eastAsia="Arial" w:hAnsi="Arial"/>
          <w:sz w:val="16"/>
          <w:szCs w:val="16"/>
          <w:color w:val="auto"/>
        </w:rPr>
        <w:t>We have issued our report dated February 23, 2023, with respect to the consolidated financial statements included in the Annual Report of AVITA Medical, Inc. on Form 10-K for the year ended December 31, 2022. We consent to the incorporation by reference of the said report in the Registration Statements of AVITA Medical, Inc. on Form S-3 (File No. 333-249419) and on Forms S-8 (File No. 333-248446 and File No. 333-250924).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202</w:t>
      </w:r>
      <w:r>
        <w:rPr>
          <w:rFonts w:ascii="Arial" w:cs="Arial" w:eastAsia="Arial" w:hAnsi="Arial"/>
          <w:sz w:val="19"/>
          <w:szCs w:val="19"/>
          <w:color w:val="auto"/>
        </w:rPr>
        <w:t>3</w:t>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Corbett, certify that:</w:t>
      </w:r>
    </w:p>
    <w:p>
      <w:pPr>
        <w:spacing w:after="0" w:line="117" w:lineRule="exact"/>
        <w:rPr>
          <w:sz w:val="20"/>
          <w:szCs w:val="20"/>
          <w:color w:val="auto"/>
        </w:rPr>
      </w:pPr>
    </w:p>
    <w:p>
      <w:pPr>
        <w:ind w:left="1380" w:hanging="616"/>
        <w:spacing w:after="0"/>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AVITA Medical, Inc.;</w:t>
      </w:r>
    </w:p>
    <w:p>
      <w:pPr>
        <w:spacing w:after="0" w:line="117" w:lineRule="exact"/>
        <w:rPr>
          <w:rFonts w:ascii="Arial" w:cs="Arial" w:eastAsia="Arial" w:hAnsi="Arial"/>
          <w:sz w:val="18"/>
          <w:szCs w:val="18"/>
          <w:color w:val="auto"/>
        </w:rPr>
      </w:pPr>
    </w:p>
    <w:p>
      <w:pPr>
        <w:ind w:left="1380" w:right="100" w:hanging="616"/>
        <w:spacing w:after="0" w:line="263" w:lineRule="auto"/>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80" w:right="160" w:hanging="616"/>
        <w:spacing w:after="0" w:line="342" w:lineRule="auto"/>
        <w:tabs>
          <w:tab w:leader="none" w:pos="13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80" w:right="40" w:hanging="616"/>
        <w:spacing w:after="0" w:line="291" w:lineRule="auto"/>
        <w:tabs>
          <w:tab w:leader="none" w:pos="13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1980" w:right="200" w:hanging="609"/>
        <w:spacing w:after="0" w:line="263" w:lineRule="auto"/>
        <w:tabs>
          <w:tab w:leader="none" w:pos="1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980" w:right="220" w:hanging="609"/>
        <w:spacing w:after="0" w:line="286" w:lineRule="auto"/>
        <w:tabs>
          <w:tab w:leader="none" w:pos="19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1980" w:right="300" w:hanging="609"/>
        <w:spacing w:after="0" w:line="263" w:lineRule="auto"/>
        <w:tabs>
          <w:tab w:leader="none" w:pos="1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80" w:right="300" w:hanging="609"/>
        <w:spacing w:after="0" w:line="311" w:lineRule="auto"/>
        <w:tabs>
          <w:tab w:leader="none" w:pos="19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80" w:right="340" w:hanging="616"/>
        <w:spacing w:after="0" w:line="263" w:lineRule="auto"/>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5" w:lineRule="exact"/>
        <w:rPr>
          <w:rFonts w:ascii="Arial" w:cs="Arial" w:eastAsia="Arial" w:hAnsi="Arial"/>
          <w:sz w:val="18"/>
          <w:szCs w:val="18"/>
          <w:color w:val="auto"/>
        </w:rPr>
      </w:pPr>
    </w:p>
    <w:p>
      <w:pPr>
        <w:ind w:left="1980" w:right="100" w:hanging="609"/>
        <w:spacing w:after="0" w:line="263" w:lineRule="auto"/>
        <w:tabs>
          <w:tab w:leader="none" w:pos="1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80" w:right="120" w:hanging="609"/>
        <w:spacing w:after="0" w:line="277" w:lineRule="auto"/>
        <w:tabs>
          <w:tab w:leader="none" w:pos="1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23, 2023</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Corbett</w:t>
            </w:r>
          </w:p>
        </w:tc>
      </w:tr>
      <w:tr>
        <w:trPr>
          <w:trHeight w:val="195"/>
        </w:trPr>
        <w:tc>
          <w:tcPr>
            <w:tcW w:w="55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20"/>
              <w:spacing w:after="0" w:line="195" w:lineRule="exact"/>
              <w:rPr>
                <w:sz w:val="20"/>
                <w:szCs w:val="20"/>
                <w:color w:val="auto"/>
              </w:rPr>
            </w:pPr>
            <w:r>
              <w:rPr>
                <w:rFonts w:ascii="Arial" w:cs="Arial" w:eastAsia="Arial" w:hAnsi="Arial"/>
                <w:sz w:val="18"/>
                <w:szCs w:val="18"/>
                <w:color w:val="auto"/>
              </w:rPr>
              <w:t>James Corbett</w:t>
            </w:r>
          </w:p>
        </w:tc>
      </w:tr>
      <w:tr>
        <w:trPr>
          <w:trHeight w:val="230"/>
        </w:trPr>
        <w:tc>
          <w:tcPr>
            <w:tcW w:w="5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Ekins, certify that:</w:t>
      </w:r>
    </w:p>
    <w:p>
      <w:pPr>
        <w:spacing w:after="0" w:line="117" w:lineRule="exact"/>
        <w:rPr>
          <w:sz w:val="20"/>
          <w:szCs w:val="20"/>
          <w:color w:val="auto"/>
        </w:rPr>
      </w:pPr>
    </w:p>
    <w:p>
      <w:pPr>
        <w:ind w:left="1380" w:hanging="616"/>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AVITA Medical, Inc.;</w:t>
      </w:r>
    </w:p>
    <w:p>
      <w:pPr>
        <w:spacing w:after="0" w:line="117" w:lineRule="exact"/>
        <w:rPr>
          <w:rFonts w:ascii="Arial" w:cs="Arial" w:eastAsia="Arial" w:hAnsi="Arial"/>
          <w:sz w:val="18"/>
          <w:szCs w:val="18"/>
          <w:color w:val="auto"/>
        </w:rPr>
      </w:pPr>
    </w:p>
    <w:p>
      <w:pPr>
        <w:ind w:left="1380" w:right="100" w:hanging="616"/>
        <w:spacing w:after="0" w:line="263" w:lineRule="auto"/>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80" w:right="160" w:hanging="616"/>
        <w:spacing w:after="0" w:line="342" w:lineRule="auto"/>
        <w:tabs>
          <w:tab w:leader="none" w:pos="13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80" w:right="40" w:hanging="616"/>
        <w:spacing w:after="0" w:line="291" w:lineRule="auto"/>
        <w:tabs>
          <w:tab w:leader="none" w:pos="13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1980" w:right="200" w:hanging="609"/>
        <w:spacing w:after="0" w:line="263" w:lineRule="auto"/>
        <w:tabs>
          <w:tab w:leader="none" w:pos="1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980" w:right="220" w:hanging="609"/>
        <w:spacing w:after="0" w:line="286" w:lineRule="auto"/>
        <w:tabs>
          <w:tab w:leader="none" w:pos="19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1980" w:right="300" w:hanging="609"/>
        <w:spacing w:after="0" w:line="263" w:lineRule="auto"/>
        <w:tabs>
          <w:tab w:leader="none" w:pos="1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80" w:right="300" w:hanging="609"/>
        <w:spacing w:after="0" w:line="311" w:lineRule="auto"/>
        <w:tabs>
          <w:tab w:leader="none" w:pos="19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80" w:right="340" w:hanging="616"/>
        <w:spacing w:after="0" w:line="263" w:lineRule="auto"/>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5" w:lineRule="exact"/>
        <w:rPr>
          <w:rFonts w:ascii="Arial" w:cs="Arial" w:eastAsia="Arial" w:hAnsi="Arial"/>
          <w:sz w:val="18"/>
          <w:szCs w:val="18"/>
          <w:color w:val="auto"/>
        </w:rPr>
      </w:pPr>
    </w:p>
    <w:p>
      <w:pPr>
        <w:ind w:left="1980" w:right="100" w:hanging="609"/>
        <w:spacing w:after="0" w:line="263" w:lineRule="auto"/>
        <w:tabs>
          <w:tab w:leader="none" w:pos="1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80" w:right="120" w:hanging="609"/>
        <w:spacing w:after="0" w:line="277" w:lineRule="auto"/>
        <w:tabs>
          <w:tab w:leader="none" w:pos="1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23, 2023</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Sean Ekins</w:t>
            </w:r>
          </w:p>
        </w:tc>
      </w:tr>
      <w:tr>
        <w:trPr>
          <w:trHeight w:val="195"/>
        </w:trPr>
        <w:tc>
          <w:tcPr>
            <w:tcW w:w="55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20"/>
              <w:spacing w:after="0" w:line="195" w:lineRule="exact"/>
              <w:rPr>
                <w:sz w:val="20"/>
                <w:szCs w:val="20"/>
                <w:color w:val="auto"/>
              </w:rPr>
            </w:pPr>
            <w:r>
              <w:rPr>
                <w:rFonts w:ascii="Arial" w:cs="Arial" w:eastAsia="Arial" w:hAnsi="Arial"/>
                <w:sz w:val="18"/>
                <w:szCs w:val="18"/>
                <w:color w:val="auto"/>
              </w:rPr>
              <w:t>Sean Ekins</w:t>
            </w:r>
          </w:p>
        </w:tc>
      </w:tr>
      <w:tr>
        <w:trPr>
          <w:trHeight w:val="230"/>
        </w:trPr>
        <w:tc>
          <w:tcPr>
            <w:tcW w:w="5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20"/>
              <w:spacing w:after="0"/>
              <w:rPr>
                <w:sz w:val="20"/>
                <w:szCs w:val="20"/>
                <w:color w:val="auto"/>
              </w:rPr>
            </w:pPr>
            <w:r>
              <w:rPr>
                <w:rFonts w:ascii="Arial" w:cs="Arial" w:eastAsia="Arial" w:hAnsi="Arial"/>
                <w:sz w:val="18"/>
                <w:szCs w:val="18"/>
                <w:color w:val="auto"/>
              </w:rPr>
              <w:t>Interim Chief Financial Officer</w:t>
            </w:r>
          </w:p>
        </w:tc>
      </w:tr>
    </w:tbl>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Annual Report on Form 10-K for the annual period ended December 31, 2022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Dated: February 23, 2023</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Corbett</w:t>
            </w:r>
          </w:p>
        </w:tc>
      </w:tr>
      <w:tr>
        <w:trPr>
          <w:trHeight w:val="195"/>
        </w:trPr>
        <w:tc>
          <w:tcPr>
            <w:tcW w:w="55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ind w:left="140"/>
              <w:spacing w:after="0" w:line="195" w:lineRule="exact"/>
              <w:rPr>
                <w:sz w:val="20"/>
                <w:szCs w:val="20"/>
                <w:color w:val="auto"/>
              </w:rPr>
            </w:pPr>
            <w:r>
              <w:rPr>
                <w:rFonts w:ascii="Arial" w:cs="Arial" w:eastAsia="Arial" w:hAnsi="Arial"/>
                <w:sz w:val="18"/>
                <w:szCs w:val="18"/>
                <w:color w:val="auto"/>
              </w:rPr>
              <w:t>James Corbett</w:t>
            </w:r>
          </w:p>
        </w:tc>
      </w:tr>
      <w:tr>
        <w:trPr>
          <w:trHeight w:val="230"/>
        </w:trPr>
        <w:tc>
          <w:tcPr>
            <w:tcW w:w="5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Dated: February 23, 2023</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Sean Ekins</w:t>
            </w:r>
          </w:p>
        </w:tc>
      </w:tr>
      <w:tr>
        <w:trPr>
          <w:trHeight w:val="195"/>
        </w:trPr>
        <w:tc>
          <w:tcPr>
            <w:tcW w:w="55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ind w:left="140"/>
              <w:spacing w:after="0" w:line="195" w:lineRule="exact"/>
              <w:rPr>
                <w:sz w:val="20"/>
                <w:szCs w:val="20"/>
                <w:color w:val="auto"/>
              </w:rPr>
            </w:pPr>
            <w:r>
              <w:rPr>
                <w:rFonts w:ascii="Arial" w:cs="Arial" w:eastAsia="Arial" w:hAnsi="Arial"/>
                <w:sz w:val="18"/>
                <w:szCs w:val="18"/>
                <w:color w:val="auto"/>
              </w:rPr>
              <w:t>Sean Ekins</w:t>
            </w:r>
          </w:p>
        </w:tc>
      </w:tr>
      <w:tr>
        <w:trPr>
          <w:trHeight w:val="230"/>
        </w:trPr>
        <w:tc>
          <w:tcPr>
            <w:tcW w:w="5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Interim Chief Financial Officer</w:t>
            </w:r>
          </w:p>
        </w:tc>
      </w:tr>
    </w:tbl>
    <w:p>
      <w:pPr>
        <w:spacing w:after="0" w:line="211"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1."/>
      <w:numFmt w:val="decimal"/>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1)"/>
      <w:numFmt w:val="lowerLetter"/>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1)"/>
      <w:numFmt w:val="decimal"/>
      <w:start w:val="1"/>
    </w:lvl>
  </w:abstractNum>
  <w:abstractNum w:abstractNumId="23">
    <w:nsid w:val="5FF87E05"/>
    <w:multiLevelType w:val="hybridMultilevel"/>
    <w:lvl w:ilvl="0">
      <w:lvlJc w:val="left"/>
      <w:lvlText w:val="(%1)"/>
      <w:numFmt w:val="decimal"/>
      <w:start w:val="4"/>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1)"/>
      <w:numFmt w:val="decimal"/>
      <w:start w:val="2"/>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
      <w:numFmt w:val="bullet"/>
      <w:start w:val="1"/>
    </w:lvl>
    <w:lvl w:ilvl="1">
      <w:lvlJc w:val="left"/>
      <w:lvlText w:val="(%2)"/>
      <w:numFmt w:val="decimal"/>
      <w:start w:val="1"/>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1)"/>
      <w:numFmt w:val="decimal"/>
      <w:start w:val="10"/>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lvl w:ilvl="1">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1)"/>
      <w:numFmt w:val="decimal"/>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1)"/>
      <w:numFmt w:val="decimal"/>
      <w:start w:val="1"/>
    </w:lvl>
  </w:abstractNum>
  <w:abstractNum w:abstractNumId="38">
    <w:nsid w:val="42C296BD"/>
    <w:multiLevelType w:val="hybridMultilevel"/>
    <w:lvl w:ilvl="0">
      <w:lvlJc w:val="left"/>
      <w:lvlText w:val="(%1)"/>
      <w:numFmt w:val="lowerLetter"/>
      <w:start w:val="1"/>
    </w:lvl>
    <w:lvl w:ilvl="1">
      <w:lvlJc w:val="left"/>
      <w:lvlText w:val="(%2)"/>
      <w:numFmt w:val="decimal"/>
      <w:start w:val="1"/>
    </w:lvl>
  </w:abstractNum>
  <w:abstractNum w:abstractNumId="39">
    <w:nsid w:val="168E121F"/>
    <w:multiLevelType w:val="hybridMultilevel"/>
    <w:lvl w:ilvl="0">
      <w:lvlJc w:val="left"/>
      <w:lvlText w:val="†"/>
      <w:numFmt w:val="bullet"/>
      <w:start w:val="1"/>
    </w:lvl>
    <w:lvl w:ilvl="1">
      <w:lvlJc w:val="left"/>
      <w:lvlText w:val="%2"/>
      <w:numFmt w:val="decimal"/>
      <w:start w:val="104"/>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1)"/>
      <w:numFmt w:val="lowerRoman"/>
      <w:start w:val="2"/>
    </w:lvl>
  </w:abstractNum>
  <w:abstractNum w:abstractNumId="46">
    <w:nsid w:val="613EFDC5"/>
    <w:multiLevelType w:val="hybridMultilevel"/>
    <w:lvl w:ilvl="0">
      <w:lvlJc w:val="left"/>
      <w:lvlText w:val="%1)"/>
      <w:numFmt w:val="lowerLetter"/>
      <w:start w:val="1"/>
    </w:lvl>
  </w:abstractNum>
  <w:abstractNum w:abstractNumId="47">
    <w:nsid w:val="BF72B14"/>
    <w:multiLevelType w:val="hybridMultilevel"/>
    <w:lvl w:ilvl="0">
      <w:lvlJc w:val="left"/>
      <w:lvlText w:val="•"/>
      <w:numFmt w:val="bullet"/>
      <w:start w:val="1"/>
    </w:lvl>
    <w:lvl w:ilvl="1">
      <w:lvlJc w:val="left"/>
      <w:lvlText w:val="•"/>
      <w:numFmt w:val="bullet"/>
      <w:start w:val="1"/>
    </w:lvl>
  </w:abstractNum>
  <w:abstractNum w:abstractNumId="48">
    <w:nsid w:val="11447B73"/>
    <w:multiLevelType w:val="hybridMultilevel"/>
    <w:lvl w:ilvl="0">
      <w:lvlJc w:val="left"/>
      <w:lvlText w:val="•"/>
      <w:numFmt w:val="bullet"/>
      <w:start w:val="1"/>
    </w:lvl>
    <w:lvl w:ilvl="1">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1)"/>
      <w:numFmt w:val="decimal"/>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decimal"/>
      <w:start w:val="5"/>
    </w:lvl>
  </w:abstractNum>
  <w:abstractNum w:abstractNumId="55">
    <w:nsid w:val="4962813B"/>
    <w:multiLevelType w:val="hybridMultilevel"/>
    <w:lvl w:ilvl="0">
      <w:lvlJc w:val="left"/>
      <w:lvlText w:val="%1."/>
      <w:numFmt w:val="decimal"/>
      <w:start w:val="1"/>
    </w:lvl>
  </w:abstractNum>
  <w:abstractNum w:abstractNumId="56">
    <w:nsid w:val="60B6DF7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7">
    <w:nsid w:val="6A5EE64"/>
    <w:multiLevelType w:val="hybridMultilevel"/>
    <w:lvl w:ilvl="0">
      <w:lvlJc w:val="left"/>
      <w:lvlText w:val="%1"/>
      <w:numFmt w:val="decimal"/>
      <w:start w:val="1"/>
    </w:lvl>
    <w:lvl w:ilvl="1">
      <w:lvlJc w:val="left"/>
      <w:lvlText w:val="%2."/>
      <w:numFmt w:val="lowerLetter"/>
      <w:start w:val="3"/>
    </w:lvl>
  </w:abstractNum>
  <w:abstractNum w:abstractNumId="58">
    <w:nsid w:val="14330624"/>
    <w:multiLevelType w:val="hybridMultilevel"/>
    <w:lvl w:ilvl="0">
      <w:lvlJc w:val="left"/>
      <w:lvlText w:val="%1."/>
      <w:numFmt w:val="decimal"/>
      <w:start w:val="6"/>
    </w:lvl>
    <w:lvl w:ilvl="1">
      <w:lvlJc w:val="left"/>
      <w:lvlText w:val="%2"/>
      <w:numFmt w:val="lowerLetter"/>
      <w:start w:val="1"/>
    </w:lvl>
  </w:abstractNum>
  <w:abstractNum w:abstractNumId="59">
    <w:nsid w:val="7FFFCA11"/>
    <w:multiLevelType w:val="hybridMultilevel"/>
    <w:lvl w:ilvl="0">
      <w:lvlJc w:val="left"/>
      <w:lvlText w:val="%1."/>
      <w:numFmt w:val="decimal"/>
      <w:start w:val="8"/>
    </w:lvl>
    <w:lvl w:ilvl="1">
      <w:lvlJc w:val="left"/>
      <w:lvlText w:val="%2."/>
      <w:numFmt w:val="lowerLetter"/>
      <w:start w:val="1"/>
    </w:lvl>
  </w:abstractNum>
  <w:abstractNum w:abstractNumId="60">
    <w:nsid w:val="1A27709E"/>
    <w:multiLevelType w:val="hybridMultilevel"/>
    <w:lvl w:ilvl="0">
      <w:lvlJc w:val="left"/>
      <w:lvlText w:val="%1."/>
      <w:numFmt w:val="decimal"/>
      <w:start w:val="9"/>
    </w:lvl>
    <w:lvl w:ilvl="1">
      <w:lvlJc w:val="left"/>
      <w:lvlText w:val="%2."/>
      <w:numFmt w:val="lowerLetter"/>
      <w:start w:val="1"/>
    </w:lvl>
  </w:abstractNum>
  <w:abstractNum w:abstractNumId="61">
    <w:nsid w:val="71EA1109"/>
    <w:multiLevelType w:val="hybridMultilevel"/>
    <w:lvl w:ilvl="0">
      <w:lvlJc w:val="left"/>
      <w:lvlText w:val="%1."/>
      <w:numFmt w:val="lowerLetter"/>
      <w:start w:val="2"/>
    </w:lvl>
    <w:lvl w:ilvl="1">
      <w:lvlJc w:val="left"/>
      <w:lvlText w:val="%2."/>
      <w:numFmt w:val="lowerRoman"/>
      <w:start w:val="1"/>
    </w:lvl>
  </w:abstractNum>
  <w:abstractNum w:abstractNumId="62">
    <w:nsid w:val="100F59DC"/>
    <w:multiLevelType w:val="hybridMultilevel"/>
    <w:lvl w:ilvl="0">
      <w:lvlJc w:val="left"/>
      <w:lvlText w:val="%1."/>
      <w:numFmt w:val="decimal"/>
      <w:start w:val="10"/>
    </w:lvl>
  </w:abstractNum>
  <w:abstractNum w:abstractNumId="63">
    <w:nsid w:val="7FB7E0AA"/>
    <w:multiLevelType w:val="hybridMultilevel"/>
    <w:lvl w:ilvl="0">
      <w:lvlJc w:val="left"/>
      <w:lvlText w:val="%1."/>
      <w:numFmt w:val="decimal"/>
      <w:start w:val="11"/>
    </w:lvl>
  </w:abstractNum>
  <w:abstractNum w:abstractNumId="64">
    <w:nsid w:val="6EB5BD4"/>
    <w:multiLevelType w:val="hybridMultilevel"/>
    <w:lvl w:ilvl="0">
      <w:lvlJc w:val="left"/>
      <w:lvlText w:val="%1."/>
      <w:numFmt w:val="decimal"/>
      <w:start w:val="13"/>
    </w:lvl>
  </w:abstractNum>
  <w:abstractNum w:abstractNumId="65">
    <w:nsid w:val="6F6DD9AC"/>
    <w:multiLevelType w:val="hybridMultilevel"/>
    <w:lvl w:ilvl="0">
      <w:lvlJc w:val="left"/>
      <w:lvlText w:val="%1."/>
      <w:numFmt w:val="decimal"/>
      <w:start w:val="16"/>
    </w:lvl>
  </w:abstractNum>
  <w:abstractNum w:abstractNumId="66">
    <w:nsid w:val="94211F2"/>
    <w:multiLevelType w:val="hybridMultilevel"/>
    <w:lvl w:ilvl="0">
      <w:lvlJc w:val="left"/>
      <w:lvlText w:val="%1."/>
      <w:numFmt w:val="decimal"/>
      <w:start w:val="22"/>
    </w:lvl>
  </w:abstractNum>
  <w:abstractNum w:abstractNumId="67">
    <w:nsid w:val="885E1B"/>
    <w:multiLevelType w:val="hybridMultilevel"/>
    <w:lvl w:ilvl="0">
      <w:lvlJc w:val="left"/>
      <w:lvlText w:val="%1."/>
      <w:numFmt w:val="lowerLetter"/>
      <w:start w:val="1"/>
    </w:lvl>
  </w:abstractNum>
  <w:abstractNum w:abstractNumId="68">
    <w:nsid w:val="76272110"/>
    <w:multiLevelType w:val="hybridMultilevel"/>
    <w:lvl w:ilvl="0">
      <w:lvlJc w:val="left"/>
      <w:lvlText w:val="%1."/>
      <w:numFmt w:val="lowerLetter"/>
      <w:start w:val="1"/>
    </w:lvl>
  </w:abstractNum>
  <w:abstractNum w:abstractNumId="69">
    <w:nsid w:val="4C04A8AF"/>
    <w:multiLevelType w:val="hybridMultilevel"/>
    <w:lvl w:ilvl="0">
      <w:lvlJc w:val="left"/>
      <w:lvlText w:val="%1."/>
      <w:numFmt w:val="lowerLetter"/>
      <w:start w:val="3"/>
    </w:lvl>
  </w:abstractNum>
  <w:abstractNum w:abstractNumId="70">
    <w:nsid w:val="1716703B"/>
    <w:multiLevelType w:val="hybridMultilevel"/>
    <w:lvl w:ilvl="0">
      <w:lvlJc w:val="left"/>
      <w:lvlText w:val="%1."/>
      <w:numFmt w:val="decimal"/>
      <w:start w:val="1"/>
    </w:lvl>
  </w:abstractNum>
  <w:abstractNum w:abstractNumId="71">
    <w:nsid w:val="14E17E33"/>
    <w:multiLevelType w:val="hybridMultilevel"/>
    <w:lvl w:ilvl="0">
      <w:lvlJc w:val="left"/>
      <w:lvlText w:val="%1."/>
      <w:numFmt w:val="decimal"/>
      <w:start w:val="5"/>
    </w:lvl>
  </w:abstractNum>
  <w:abstractNum w:abstractNumId="72">
    <w:nsid w:val="3222E7CD"/>
    <w:multiLevelType w:val="hybridMultilevel"/>
    <w:lvl w:ilvl="0">
      <w:lvlJc w:val="left"/>
      <w:lvlText w:val="%1."/>
      <w:numFmt w:val="decimal"/>
      <w:start w:val="1"/>
    </w:lvl>
    <w:lvl w:ilvl="1">
      <w:lvlJc w:val="left"/>
      <w:lvlText w:val="%2."/>
      <w:numFmt w:val="lowerLetter"/>
      <w:start w:val="1"/>
    </w:lvl>
  </w:abstractNum>
  <w:abstractNum w:abstractNumId="73">
    <w:nsid w:val="74DE0EE3"/>
    <w:multiLevelType w:val="hybridMultilevel"/>
    <w:lvl w:ilvl="0">
      <w:lvlJc w:val="left"/>
      <w:lvlText w:val="%1."/>
      <w:numFmt w:val="decimal"/>
      <w:start w:val="4"/>
    </w:lvl>
    <w:lvl w:ilvl="1">
      <w:lvlJc w:val="left"/>
      <w:lvlText w:val="%2."/>
      <w:numFmt w:val="lowerLetter"/>
      <w:start w:val="1"/>
    </w:lvl>
  </w:abstractNum>
  <w:abstractNum w:abstractNumId="74">
    <w:nsid w:val="68EBC550"/>
    <w:multiLevelType w:val="hybridMultilevel"/>
    <w:lvl w:ilvl="0">
      <w:lvlJc w:val="left"/>
      <w:lvlText w:val="%1."/>
      <w:numFmt w:val="lowerLetter"/>
      <w:start w:val="2"/>
    </w:lvl>
    <w:lvl w:ilvl="1">
      <w:lvlJc w:val="left"/>
      <w:lvlText w:val="%2."/>
      <w:numFmt w:val="lowerRoman"/>
      <w:start w:val="1"/>
    </w:lvl>
  </w:abstractNum>
  <w:abstractNum w:abstractNumId="75">
    <w:nsid w:val="2DF6D648"/>
    <w:multiLevelType w:val="hybridMultilevel"/>
    <w:lvl w:ilvl="0">
      <w:lvlJc w:val="left"/>
      <w:lvlText w:val="%1."/>
      <w:numFmt w:val="decimal"/>
      <w:start w:val="8"/>
    </w:lvl>
  </w:abstractNum>
  <w:abstractNum w:abstractNumId="76">
    <w:nsid w:val="46B7D447"/>
    <w:multiLevelType w:val="hybridMultilevel"/>
    <w:lvl w:ilvl="0">
      <w:lvlJc w:val="left"/>
      <w:lvlText w:val="%1."/>
      <w:numFmt w:val="decimal"/>
      <w:start w:val="9"/>
    </w:lvl>
  </w:abstractNum>
  <w:abstractNum w:abstractNumId="77">
    <w:nsid w:val="4A2AC315"/>
    <w:multiLevelType w:val="hybridMultilevel"/>
    <w:lvl w:ilvl="0">
      <w:lvlJc w:val="left"/>
      <w:lvlText w:val="%1."/>
      <w:numFmt w:val="decimal"/>
      <w:start w:val="11"/>
    </w:lvl>
  </w:abstractNum>
  <w:abstractNum w:abstractNumId="78">
    <w:nsid w:val="39EE015C"/>
    <w:multiLevelType w:val="hybridMultilevel"/>
    <w:lvl w:ilvl="0">
      <w:lvlJc w:val="left"/>
      <w:lvlText w:val="%1."/>
      <w:numFmt w:val="decimal"/>
      <w:start w:val="13"/>
    </w:lvl>
  </w:abstractNum>
  <w:abstractNum w:abstractNumId="79">
    <w:nsid w:val="57FC4FBB"/>
    <w:multiLevelType w:val="hybridMultilevel"/>
    <w:lvl w:ilvl="0">
      <w:lvlJc w:val="left"/>
      <w:lvlText w:val="%1."/>
      <w:numFmt w:val="decimal"/>
      <w:start w:val="18"/>
    </w:lvl>
  </w:abstractNum>
  <w:abstractNum w:abstractNumId="80">
    <w:nsid w:val="CC1016F"/>
    <w:multiLevelType w:val="hybridMultilevel"/>
    <w:lvl w:ilvl="0">
      <w:lvlJc w:val="left"/>
      <w:lvlText w:val="%1."/>
      <w:numFmt w:val="lowerLetter"/>
      <w:start w:val="1"/>
    </w:lvl>
  </w:abstractNum>
  <w:abstractNum w:abstractNumId="81">
    <w:nsid w:val="43F18422"/>
    <w:multiLevelType w:val="hybridMultilevel"/>
    <w:lvl w:ilvl="0">
      <w:lvlJc w:val="left"/>
      <w:lvlText w:val="%1."/>
      <w:numFmt w:val="lowerLetter"/>
      <w:start w:val="2"/>
    </w:lvl>
  </w:abstractNum>
  <w:abstractNum w:abstractNumId="82">
    <w:nsid w:val="60EF0119"/>
    <w:multiLevelType w:val="hybridMultilevel"/>
    <w:lvl w:ilvl="0">
      <w:lvlJc w:val="left"/>
      <w:lvlText w:val="(%1)"/>
      <w:numFmt w:val="lowerRoman"/>
      <w:start w:val="3"/>
    </w:lvl>
  </w:abstractNum>
  <w:abstractNum w:abstractNumId="83">
    <w:nsid w:val="26F324BA"/>
    <w:multiLevelType w:val="hybridMultilevel"/>
    <w:lvl w:ilvl="0">
      <w:lvlJc w:val="left"/>
      <w:lvlText w:val="%1."/>
      <w:numFmt w:val="decimal"/>
      <w:start w:val="1"/>
    </w:lvl>
  </w:abstractNum>
  <w:abstractNum w:abstractNumId="84">
    <w:nsid w:val="7F01579B"/>
    <w:multiLevelType w:val="hybridMultilevel"/>
    <w:lvl w:ilvl="0">
      <w:lvlJc w:val="left"/>
      <w:lvlText w:val="%1."/>
      <w:numFmt w:val="decimal"/>
      <w:start w:val="4"/>
    </w:lvl>
  </w:abstractNum>
  <w:abstractNum w:abstractNumId="85">
    <w:nsid w:val="49DA307D"/>
    <w:multiLevelType w:val="hybridMultilevel"/>
    <w:lvl w:ilvl="0">
      <w:lvlJc w:val="left"/>
      <w:lvlText w:val="%1."/>
      <w:numFmt w:val="decimal"/>
      <w:start w:val="1"/>
    </w:lvl>
  </w:abstractNum>
  <w:abstractNum w:abstractNumId="86">
    <w:nsid w:val="7055A5F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7">
    <w:nsid w:val="5FB8370B"/>
    <w:multiLevelType w:val="hybridMultilevel"/>
    <w:lvl w:ilvl="0">
      <w:lvlJc w:val="left"/>
      <w:lvlText w:val="%1."/>
      <w:numFmt w:val="lowerLetter"/>
      <w:start w:val="3"/>
    </w:lvl>
  </w:abstractNum>
  <w:abstractNum w:abstractNumId="88">
    <w:nsid w:val="50801EE1"/>
    <w:multiLevelType w:val="hybridMultilevel"/>
    <w:lvl w:ilvl="0">
      <w:lvlJc w:val="left"/>
      <w:lvlText w:val="%1"/>
      <w:numFmt w:val="decimal"/>
      <w:start w:val="1"/>
    </w:lvl>
    <w:lvl w:ilvl="1">
      <w:lvlJc w:val="left"/>
      <w:lvlText w:val="%2."/>
      <w:numFmt w:val="lowerLetter"/>
      <w:start w:val="4"/>
    </w:lvl>
  </w:abstractNum>
  <w:abstractNum w:abstractNumId="89">
    <w:nsid w:val="488AC1A"/>
    <w:multiLevelType w:val="hybridMultilevel"/>
    <w:lvl w:ilvl="0">
      <w:lvlJc w:val="left"/>
      <w:lvlText w:val="%1."/>
      <w:numFmt w:val="decimal"/>
      <w:start w:val="6"/>
    </w:lvl>
    <w:lvl w:ilvl="1">
      <w:lvlJc w:val="left"/>
      <w:lvlText w:val="%2."/>
      <w:numFmt w:val="lowerLetter"/>
      <w:start w:val="1"/>
    </w:lvl>
  </w:abstractNum>
  <w:abstractNum w:abstractNumId="90">
    <w:nsid w:val="5FB8011C"/>
    <w:multiLevelType w:val="hybridMultilevel"/>
    <w:lvl w:ilvl="0">
      <w:lvlJc w:val="left"/>
      <w:lvlText w:val="%1"/>
      <w:numFmt w:val="decimal"/>
      <w:start w:val="1"/>
    </w:lvl>
    <w:lvl w:ilvl="1">
      <w:lvlJc w:val="left"/>
      <w:lvlText w:val="%2."/>
      <w:numFmt w:val="lowerLetter"/>
      <w:start w:val="2"/>
    </w:lvl>
  </w:abstractNum>
  <w:abstractNum w:abstractNumId="91">
    <w:nsid w:val="6AA78F7F"/>
    <w:multiLevelType w:val="hybridMultilevel"/>
    <w:lvl w:ilvl="0">
      <w:lvlJc w:val="left"/>
      <w:lvlText w:val="%1."/>
      <w:numFmt w:val="decimal"/>
      <w:start w:val="9"/>
    </w:lvl>
    <w:lvl w:ilvl="1">
      <w:lvlJc w:val="left"/>
      <w:lvlText w:val="%2."/>
      <w:numFmt w:val="lowerLetter"/>
      <w:start w:val="1"/>
    </w:lvl>
  </w:abstractNum>
  <w:abstractNum w:abstractNumId="92">
    <w:nsid w:val="7672BD23"/>
    <w:multiLevelType w:val="hybridMultilevel"/>
    <w:lvl w:ilvl="0">
      <w:lvlJc w:val="left"/>
      <w:lvlText w:val="%1."/>
      <w:numFmt w:val="lowerRoman"/>
      <w:start w:val="2"/>
    </w:lvl>
  </w:abstractNum>
  <w:abstractNum w:abstractNumId="93">
    <w:nsid w:val="6FC75AF8"/>
    <w:multiLevelType w:val="hybridMultilevel"/>
    <w:lvl w:ilvl="0">
      <w:lvlJc w:val="left"/>
      <w:lvlText w:val="%1."/>
      <w:numFmt w:val="decimal"/>
      <w:start w:val="10"/>
    </w:lvl>
  </w:abstractNum>
  <w:abstractNum w:abstractNumId="94">
    <w:nsid w:val="6A5F7029"/>
    <w:multiLevelType w:val="hybridMultilevel"/>
    <w:lvl w:ilvl="0">
      <w:lvlJc w:val="left"/>
      <w:lvlText w:val="%1."/>
      <w:numFmt w:val="decimal"/>
      <w:start w:val="11"/>
    </w:lvl>
  </w:abstractNum>
  <w:abstractNum w:abstractNumId="95">
    <w:nsid w:val="7D5E18F8"/>
    <w:multiLevelType w:val="hybridMultilevel"/>
    <w:lvl w:ilvl="0">
      <w:lvlJc w:val="left"/>
      <w:lvlText w:val="%1."/>
      <w:numFmt w:val="decimal"/>
      <w:start w:val="13"/>
    </w:lvl>
  </w:abstractNum>
  <w:abstractNum w:abstractNumId="96">
    <w:nsid w:val="5F3534A4"/>
    <w:multiLevelType w:val="hybridMultilevel"/>
    <w:lvl w:ilvl="0">
      <w:lvlJc w:val="left"/>
      <w:lvlText w:val="%1."/>
      <w:numFmt w:val="decimal"/>
      <w:start w:val="18"/>
    </w:lvl>
  </w:abstractNum>
  <w:abstractNum w:abstractNumId="97">
    <w:nsid w:val="73A1821B"/>
    <w:multiLevelType w:val="hybridMultilevel"/>
    <w:lvl w:ilvl="0">
      <w:lvlJc w:val="left"/>
      <w:lvlText w:val="%1."/>
      <w:numFmt w:val="decimal"/>
      <w:start w:val="23"/>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lowerLetter"/>
      <w:start w:val="1"/>
    </w:lvl>
  </w:abstractNum>
  <w:abstractNum w:abstractNumId="100">
    <w:nsid w:val="3FA62ACA"/>
    <w:multiLevelType w:val="hybridMultilevel"/>
    <w:lvl w:ilvl="0">
      <w:lvlJc w:val="left"/>
      <w:lvlText w:val="%1."/>
      <w:numFmt w:val="decimal"/>
      <w:start w:val="1"/>
    </w:lvl>
    <w:lvl w:ilvl="1">
      <w:lvlJc w:val="left"/>
      <w:lvlText w:val="(%2)"/>
      <w:numFmt w:val="decimal"/>
      <w:start w:val="39"/>
    </w:lvl>
  </w:abstractNum>
  <w:abstractNum w:abstractNumId="101">
    <w:nsid w:val="14FCE74E"/>
    <w:multiLevelType w:val="hybridMultilevel"/>
    <w:lvl w:ilvl="0">
      <w:lvlJc w:val="left"/>
      <w:lvlText w:val="%1."/>
      <w:numFmt w:val="decimal"/>
      <w:start w:val="2"/>
    </w:lvl>
  </w:abstractNum>
  <w:abstractNum w:abstractNumId="102">
    <w:nsid w:val="6A3DD3E8"/>
    <w:multiLevelType w:val="hybridMultilevel"/>
    <w:lvl w:ilvl="0">
      <w:lvlJc w:val="left"/>
      <w:lvlText w:val="%1."/>
      <w:numFmt w:val="decimal"/>
      <w:start w:val="3"/>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jpeg"/><Relationship Id="rId206" Type="http://schemas.openxmlformats.org/officeDocument/2006/relationships/image" Target="media/image174.jpeg"/><Relationship Id="rId80" Type="http://schemas.openxmlformats.org/officeDocument/2006/relationships/hyperlink" Target="http://www.sec.gov/Archives/edgar/data/1762303/000119312520112315/d918609dex992.htm" TargetMode="External"/><Relationship Id="rId81" Type="http://schemas.openxmlformats.org/officeDocument/2006/relationships/hyperlink" Target="http://www.sec.gov/Archives/edgar/data/1762303/000119312520183429/d75062dex31.htm" TargetMode="External"/><Relationship Id="rId82" Type="http://schemas.openxmlformats.org/officeDocument/2006/relationships/hyperlink" Target="http://www.sec.gov/Archives/edgar/data/1762303/000156459022007617/rcel-ex32_14.htm" TargetMode="External"/><Relationship Id="rId83" Type="http://schemas.openxmlformats.org/officeDocument/2006/relationships/hyperlink" Target="http://www.sec.gov/Archives/edgar/data/1762303/000156459022007617/rcel-ex33_530.htm" TargetMode="External"/><Relationship Id="rId84" Type="http://schemas.openxmlformats.org/officeDocument/2006/relationships/hyperlink" Target="http://www.sec.gov/Archives/edgar/data/1762303/000119312519249606/d757806dex41.htm" TargetMode="External"/><Relationship Id="rId85" Type="http://schemas.openxmlformats.org/officeDocument/2006/relationships/hyperlink" Target="http://www.sec.gov/Archives/edgar/data/1762303/000119312519249606/d757806dex42.htm" TargetMode="External"/><Relationship Id="rId86" Type="http://schemas.openxmlformats.org/officeDocument/2006/relationships/hyperlink" Target="http://www.sec.gov/Archives/edgar/data/1762303/000119312519249606/d757806dex43.htm" TargetMode="External"/><Relationship Id="rId87" Type="http://schemas.openxmlformats.org/officeDocument/2006/relationships/hyperlink" Target="http://www.sec.gov/Archives/edgar/data/1762303/000119312519249606/d757806dex44.htm" TargetMode="External"/><Relationship Id="rId88" Type="http://schemas.openxmlformats.org/officeDocument/2006/relationships/hyperlink" Target="http://www.sec.gov/Archives/edgar/data/1762303/000119312519249606/d757806dex45.htm" TargetMode="External"/><Relationship Id="rId89" Type="http://schemas.openxmlformats.org/officeDocument/2006/relationships/hyperlink" Target="http://www.sec.gov/Archives/edgar/data/1762303/000119312519249606/d757806dex46.htm" TargetMode="External"/><Relationship Id="rId90" Type="http://schemas.openxmlformats.org/officeDocument/2006/relationships/hyperlink" Target="http://www.sec.gov/Archives/edgar/data/1762303/000119312519249606/d757806dex47.htm" TargetMode="External"/><Relationship Id="rId91" Type="http://schemas.openxmlformats.org/officeDocument/2006/relationships/hyperlink" Target="http://www.sec.gov/Archives/edgar/data/1762303/000119312519249606/d757806dex48.htm" TargetMode="External"/><Relationship Id="rId92" Type="http://schemas.openxmlformats.org/officeDocument/2006/relationships/hyperlink" Target="http://www.sec.gov/Archives/edgar/data/1762303/000119312519249606/d757806dex49.htm" TargetMode="External"/><Relationship Id="rId95" Type="http://schemas.openxmlformats.org/officeDocument/2006/relationships/hyperlink" Target="http://www.sec.gov/Archives/edgar/data/1762303/000156459022007617/rcel-ex1010_21.htm" TargetMode="External"/><Relationship Id="rId96" Type="http://schemas.openxmlformats.org/officeDocument/2006/relationships/hyperlink" Target="http://www.sec.gov/Archives/edgar/data/1762303/000156459022007617/rcel-ex1011_16.htm" TargetMode="External"/><Relationship Id="rId97" Type="http://schemas.openxmlformats.org/officeDocument/2006/relationships/hyperlink" Target="http://www.sec.gov/Archives/edgar/data/1762303/000156459022007617/rcel-ex1012_17.htm" TargetMode="External"/><Relationship Id="rId98" Type="http://schemas.openxmlformats.org/officeDocument/2006/relationships/hyperlink" Target="http://www.sec.gov/Archives/edgar/data/1762303/000156459022007617/rcel-ex1013_15.htm" TargetMode="External"/><Relationship Id="rId99" Type="http://schemas.openxmlformats.org/officeDocument/2006/relationships/hyperlink" Target="http://www.sec.gov/Archives/edgar/data/1762303/000156459022007617/rcel-ex1014_13.htm" TargetMode="External"/><Relationship Id="rId100" Type="http://schemas.openxmlformats.org/officeDocument/2006/relationships/hyperlink" Target="http://www.sec.gov/Archives/edgar/data/1762303/000156459022007617/rcel-ex1015_6.htm" TargetMode="External"/><Relationship Id="rId101" Type="http://schemas.openxmlformats.org/officeDocument/2006/relationships/hyperlink" Target="http://www.sec.gov/Archives/edgar/data/1762303/000156459022007617/rcel-ex1016_12.htm" TargetMode="External"/><Relationship Id="rId102" Type="http://schemas.openxmlformats.org/officeDocument/2006/relationships/hyperlink" Target="http://www.sec.gov/Archives/edgar/data/1762303/000156459022007617/rcel-ex1017_10.htm" TargetMode="External"/><Relationship Id="rId103" Type="http://schemas.openxmlformats.org/officeDocument/2006/relationships/hyperlink" Target="http://www.sec.gov/Archives/edgar/data/1762303/000156459022007617/rcel-ex1018_20.htm" TargetMode="External"/><Relationship Id="rId104" Type="http://schemas.openxmlformats.org/officeDocument/2006/relationships/hyperlink" Target="http://www.sec.gov/Archives/edgar/data/1762303/000156459022007617/rcel-ex1029_543.htm" TargetMode="External"/><Relationship Id="rId105" Type="http://schemas.openxmlformats.org/officeDocument/2006/relationships/hyperlink" Target="http://www.sec.gov/Archives/edgar/data/1762303/000156459022007617/rcel-ex1030_535.htm" TargetMode="External"/><Relationship Id="rId106" Type="http://schemas.openxmlformats.org/officeDocument/2006/relationships/hyperlink" Target="http://www.sec.gov/Archives/edgar/data/1762303/000156459022007617/rcel-ex211_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2023-02-23T15:38:00Z</dcterms:created>
  <dcterms:modified xsi:type="dcterms:W3CDTF">2023-02-23T15:38:00Z</dcterms:modified>
</cp:coreProperties>
</file>