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40"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Shiroma Donna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06/30/2020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Avita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RCEL</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40"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AVITA THERAPEUTICS,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28159 AVENUE STANFORD,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220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5"/>
                <w:szCs w:val="15"/>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VALENCIA CA</w:t>
            </w:r>
          </w:p>
        </w:tc>
        <w:tc>
          <w:tcPr>
            <w:tcW w:w="860" w:type="dxa"/>
            <w:vAlign w:val="bottom"/>
          </w:tcPr>
          <w:p>
            <w:pPr>
              <w:jc w:val="right"/>
              <w:spacing w:after="0"/>
              <w:rPr>
                <w:sz w:val="20"/>
                <w:szCs w:val="20"/>
                <w:color w:val="auto"/>
              </w:rPr>
            </w:pPr>
            <w:r>
              <w:rPr>
                <w:rFonts w:ascii="Arial" w:cs="Arial" w:eastAsia="Arial" w:hAnsi="Arial"/>
                <w:sz w:val="20"/>
                <w:szCs w:val="20"/>
                <w:color w:val="0000FF"/>
              </w:rPr>
              <w:t>91355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903"/>
        <w:spacing w:after="0"/>
        <w:rPr>
          <w:sz w:val="20"/>
          <w:szCs w:val="20"/>
          <w:color w:val="auto"/>
        </w:rPr>
      </w:pPr>
      <w:r>
        <w:rPr>
          <w:rFonts w:ascii="Arial" w:cs="Arial" w:eastAsia="Arial" w:hAnsi="Arial"/>
          <w:sz w:val="20"/>
          <w:szCs w:val="20"/>
          <w:color w:val="0000FF"/>
        </w:rPr>
        <w:t>General Counsel</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40" w:orient="portrait"/>
          <w:cols w:equalWidth="0" w:num="3">
            <w:col w:w="4277" w:space="720"/>
            <w:col w:w="3003" w:space="269"/>
            <w:col w:w="2671"/>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2420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42062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Stock Options (Right to Buy)</w:t>
            </w:r>
            <w:r>
              <w:rPr>
                <w:rFonts w:ascii="Arial" w:cs="Arial" w:eastAsia="Arial" w:hAnsi="Arial"/>
                <w:sz w:val="25"/>
                <w:szCs w:val="25"/>
                <w:color w:val="008000"/>
                <w:vertAlign w:val="superscript"/>
              </w:rPr>
              <w:t>(1)</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93"/>
              </w:rPr>
              <w:t>06/25/2028</w:t>
            </w:r>
          </w:p>
        </w:tc>
        <w:tc>
          <w:tcPr>
            <w:tcW w:w="174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Borders>
              <w:bottom w:val="single" w:sz="8" w:color="2C2C2C"/>
            </w:tcBorders>
          </w:tcPr>
          <w:p>
            <w:pPr>
              <w:jc w:val="center"/>
              <w:ind w:left="35"/>
              <w:spacing w:after="0"/>
              <w:rPr>
                <w:sz w:val="20"/>
                <w:szCs w:val="20"/>
                <w:color w:val="auto"/>
              </w:rPr>
            </w:pPr>
            <w:r>
              <w:rPr>
                <w:rFonts w:ascii="Arial" w:cs="Arial" w:eastAsia="Arial" w:hAnsi="Arial"/>
                <w:sz w:val="20"/>
                <w:szCs w:val="20"/>
                <w:color w:val="0000FF"/>
                <w:w w:val="87"/>
              </w:rPr>
              <w:t>4,000</w:t>
            </w:r>
          </w:p>
        </w:tc>
        <w:tc>
          <w:tcPr>
            <w:tcW w:w="980" w:type="dxa"/>
            <w:vAlign w:val="bottom"/>
            <w:tcBorders>
              <w:bottom w:val="single" w:sz="8" w:color="2C2C2C"/>
            </w:tcBorders>
          </w:tcPr>
          <w:p>
            <w:pPr>
              <w:ind w:left="240"/>
              <w:spacing w:after="0"/>
              <w:rPr>
                <w:sz w:val="20"/>
                <w:szCs w:val="20"/>
                <w:color w:val="auto"/>
              </w:rPr>
            </w:pPr>
            <w:r>
              <w:rPr>
                <w:rFonts w:ascii="Arial" w:cs="Arial" w:eastAsia="Arial" w:hAnsi="Arial"/>
                <w:sz w:val="20"/>
                <w:szCs w:val="20"/>
                <w:color w:val="0000FF"/>
              </w:rPr>
              <w:t>4.38</w:t>
            </w:r>
            <w:r>
              <w:rPr>
                <w:rFonts w:ascii="Arial" w:cs="Arial" w:eastAsia="Arial" w:hAnsi="Arial"/>
                <w:sz w:val="25"/>
                <w:szCs w:val="25"/>
                <w:color w:val="008000"/>
                <w:vertAlign w:val="superscript"/>
              </w:rPr>
              <w:t>(3)</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Stock Options (Right to Buy)</w:t>
            </w:r>
            <w:r>
              <w:rPr>
                <w:rFonts w:ascii="Arial" w:cs="Arial" w:eastAsia="Arial" w:hAnsi="Arial"/>
                <w:sz w:val="25"/>
                <w:szCs w:val="25"/>
                <w:color w:val="008000"/>
                <w:vertAlign w:val="superscript"/>
              </w:rPr>
              <w:t>(1)</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(4)</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87"/>
              </w:rPr>
              <w:t>11/01/2028</w:t>
            </w:r>
          </w:p>
        </w:tc>
        <w:tc>
          <w:tcPr>
            <w:tcW w:w="174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Borders>
              <w:bottom w:val="single" w:sz="8" w:color="2C2C2C"/>
            </w:tcBorders>
          </w:tcPr>
          <w:p>
            <w:pPr>
              <w:jc w:val="center"/>
              <w:ind w:left="15"/>
              <w:spacing w:after="0"/>
              <w:rPr>
                <w:sz w:val="20"/>
                <w:szCs w:val="20"/>
                <w:color w:val="auto"/>
              </w:rPr>
            </w:pPr>
            <w:r>
              <w:rPr>
                <w:rFonts w:ascii="Arial" w:cs="Arial" w:eastAsia="Arial" w:hAnsi="Arial"/>
                <w:sz w:val="20"/>
                <w:szCs w:val="20"/>
                <w:color w:val="0000FF"/>
                <w:w w:val="88"/>
              </w:rPr>
              <w:t>26,100</w:t>
            </w:r>
          </w:p>
        </w:tc>
        <w:tc>
          <w:tcPr>
            <w:tcW w:w="980" w:type="dxa"/>
            <w:vAlign w:val="bottom"/>
            <w:tcBorders>
              <w:bottom w:val="single" w:sz="8" w:color="2C2C2C"/>
            </w:tcBorders>
          </w:tcPr>
          <w:p>
            <w:pPr>
              <w:ind w:left="240"/>
              <w:spacing w:after="0"/>
              <w:rPr>
                <w:sz w:val="20"/>
                <w:szCs w:val="20"/>
                <w:color w:val="auto"/>
              </w:rPr>
            </w:pPr>
            <w:r>
              <w:rPr>
                <w:rFonts w:ascii="Arial" w:cs="Arial" w:eastAsia="Arial" w:hAnsi="Arial"/>
                <w:sz w:val="20"/>
                <w:szCs w:val="20"/>
                <w:color w:val="0000FF"/>
              </w:rPr>
              <w:t>6.35</w:t>
            </w:r>
            <w:r>
              <w:rPr>
                <w:rFonts w:ascii="Arial" w:cs="Arial" w:eastAsia="Arial" w:hAnsi="Arial"/>
                <w:sz w:val="25"/>
                <w:szCs w:val="25"/>
                <w:color w:val="008000"/>
                <w:vertAlign w:val="superscript"/>
              </w:rPr>
              <w:t>(5)</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Stock Options (Right to Buy)</w:t>
            </w:r>
            <w:r>
              <w:rPr>
                <w:rFonts w:ascii="Arial" w:cs="Arial" w:eastAsia="Arial" w:hAnsi="Arial"/>
                <w:sz w:val="25"/>
                <w:szCs w:val="25"/>
                <w:color w:val="008000"/>
                <w:vertAlign w:val="superscript"/>
              </w:rPr>
              <w:t>(1)</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(6)</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87"/>
              </w:rPr>
              <w:t>11/30/2028</w:t>
            </w:r>
          </w:p>
        </w:tc>
        <w:tc>
          <w:tcPr>
            <w:tcW w:w="174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Borders>
              <w:bottom w:val="single" w:sz="8" w:color="2C2C2C"/>
            </w:tcBorders>
          </w:tcPr>
          <w:p>
            <w:pPr>
              <w:jc w:val="center"/>
              <w:ind w:left="15"/>
              <w:spacing w:after="0"/>
              <w:rPr>
                <w:sz w:val="20"/>
                <w:szCs w:val="20"/>
                <w:color w:val="auto"/>
              </w:rPr>
            </w:pPr>
            <w:r>
              <w:rPr>
                <w:rFonts w:ascii="Arial" w:cs="Arial" w:eastAsia="Arial" w:hAnsi="Arial"/>
                <w:sz w:val="20"/>
                <w:szCs w:val="20"/>
                <w:color w:val="0000FF"/>
                <w:w w:val="88"/>
              </w:rPr>
              <w:t>64,700</w:t>
            </w:r>
          </w:p>
        </w:tc>
        <w:tc>
          <w:tcPr>
            <w:tcW w:w="980" w:type="dxa"/>
            <w:vAlign w:val="bottom"/>
            <w:tcBorders>
              <w:bottom w:val="single" w:sz="8" w:color="2C2C2C"/>
            </w:tcBorders>
          </w:tcPr>
          <w:p>
            <w:pPr>
              <w:ind w:left="240"/>
              <w:spacing w:after="0"/>
              <w:rPr>
                <w:sz w:val="20"/>
                <w:szCs w:val="20"/>
                <w:color w:val="auto"/>
              </w:rPr>
            </w:pPr>
            <w:r>
              <w:rPr>
                <w:rFonts w:ascii="Arial" w:cs="Arial" w:eastAsia="Arial" w:hAnsi="Arial"/>
                <w:sz w:val="20"/>
                <w:szCs w:val="20"/>
                <w:color w:val="0000FF"/>
              </w:rPr>
              <w:t>5.99</w:t>
            </w:r>
            <w:r>
              <w:rPr>
                <w:rFonts w:ascii="Arial" w:cs="Arial" w:eastAsia="Arial" w:hAnsi="Arial"/>
                <w:sz w:val="25"/>
                <w:szCs w:val="25"/>
                <w:color w:val="008000"/>
                <w:vertAlign w:val="superscript"/>
              </w:rPr>
              <w:t>(7)</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Stock Options (Right to Buy)</w:t>
            </w:r>
            <w:r>
              <w:rPr>
                <w:rFonts w:ascii="Arial" w:cs="Arial" w:eastAsia="Arial" w:hAnsi="Arial"/>
                <w:sz w:val="25"/>
                <w:szCs w:val="25"/>
                <w:color w:val="008000"/>
                <w:vertAlign w:val="superscript"/>
              </w:rPr>
              <w:t>(1)</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(8)</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93"/>
              </w:rPr>
              <w:t>06/25/2028</w:t>
            </w:r>
          </w:p>
        </w:tc>
        <w:tc>
          <w:tcPr>
            <w:tcW w:w="174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Borders>
              <w:bottom w:val="single" w:sz="8" w:color="2C2C2C"/>
            </w:tcBorders>
          </w:tcPr>
          <w:p>
            <w:pPr>
              <w:jc w:val="center"/>
              <w:ind w:left="35"/>
              <w:spacing w:after="0"/>
              <w:rPr>
                <w:sz w:val="20"/>
                <w:szCs w:val="20"/>
                <w:color w:val="auto"/>
              </w:rPr>
            </w:pPr>
            <w:r>
              <w:rPr>
                <w:rFonts w:ascii="Arial" w:cs="Arial" w:eastAsia="Arial" w:hAnsi="Arial"/>
                <w:sz w:val="20"/>
                <w:szCs w:val="20"/>
                <w:color w:val="0000FF"/>
                <w:w w:val="87"/>
              </w:rPr>
              <w:t>4,200</w:t>
            </w:r>
          </w:p>
        </w:tc>
        <w:tc>
          <w:tcPr>
            <w:tcW w:w="980" w:type="dxa"/>
            <w:vAlign w:val="bottom"/>
            <w:tcBorders>
              <w:bottom w:val="single" w:sz="8" w:color="2C2C2C"/>
            </w:tcBorders>
          </w:tcPr>
          <w:p>
            <w:pPr>
              <w:ind w:left="240"/>
              <w:spacing w:after="0"/>
              <w:rPr>
                <w:sz w:val="20"/>
                <w:szCs w:val="20"/>
                <w:color w:val="auto"/>
              </w:rPr>
            </w:pPr>
            <w:r>
              <w:rPr>
                <w:rFonts w:ascii="Arial" w:cs="Arial" w:eastAsia="Arial" w:hAnsi="Arial"/>
                <w:sz w:val="20"/>
                <w:szCs w:val="20"/>
                <w:color w:val="0000FF"/>
              </w:rPr>
              <w:t>4.38</w:t>
            </w:r>
            <w:r>
              <w:rPr>
                <w:rFonts w:ascii="Arial" w:cs="Arial" w:eastAsia="Arial" w:hAnsi="Arial"/>
                <w:sz w:val="25"/>
                <w:szCs w:val="25"/>
                <w:color w:val="008000"/>
                <w:vertAlign w:val="superscript"/>
              </w:rPr>
              <w:t>(3)</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-1142365</wp:posOffset>
            </wp:positionV>
            <wp:extent cx="6927850" cy="991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991235"/>
                    </a:xfrm>
                    <a:prstGeom prst="rect">
                      <a:avLst/>
                    </a:prstGeom>
                    <a:noFill/>
                  </pic:spPr>
                </pic:pic>
              </a:graphicData>
            </a:graphic>
          </wp:anchor>
        </w:drawing>
      </w:r>
    </w:p>
    <w:p>
      <w:pPr>
        <w:spacing w:after="0" w:line="15" w:lineRule="exact"/>
        <w:rPr>
          <w:sz w:val="24"/>
          <w:szCs w:val="24"/>
          <w:color w:val="auto"/>
        </w:rPr>
      </w:pPr>
    </w:p>
    <w:p>
      <w:pPr>
        <w:jc w:val="both"/>
        <w:ind w:left="40" w:right="10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Stock Options were originally exercisable for ordinary shares of Avita Medical, Ltd. ("Predecessor"). Pursuant to the scheme of arrangement, completed on June 30, 2020, the Stock Options became exercisable for shares of Common Stock of the Issuer in the ratio of one share of Common Stock for every 100 ordinary shares of Predecessor for which the Stock Options would otherwise be exercisable.</w:t>
      </w:r>
    </w:p>
    <w:p>
      <w:pPr>
        <w:spacing w:after="0" w:line="35"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Stock Options become exercisable in four equal annual installments beginning on June 25, 2019.</w:t>
      </w:r>
    </w:p>
    <w:p>
      <w:pPr>
        <w:spacing w:after="0" w:line="52" w:lineRule="exact"/>
        <w:rPr>
          <w:rFonts w:ascii="Arial" w:cs="Arial" w:eastAsia="Arial" w:hAnsi="Arial"/>
          <w:sz w:val="15"/>
          <w:szCs w:val="15"/>
          <w:color w:val="008000"/>
        </w:rPr>
      </w:pPr>
    </w:p>
    <w:p>
      <w:pPr>
        <w:jc w:val="both"/>
        <w:ind w:left="40" w:right="10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exercise price was converted from A$5.9, which reflects the 100:1 consolidation ratio applied in converting ordinary shares of Predecessor to shares of the Issuer's Common Stock, using the exchange rate as in effect on the date of grant (June 25, 2018). The actual exercise price will be the Australian dollar amount regardless of the exchange rate on the date of grant or of exercise.</w:t>
      </w:r>
    </w:p>
    <w:p>
      <w:pPr>
        <w:spacing w:after="0" w:line="35"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Stock Options become exercisable in four equal annual installments beginning on November 1, 2019.</w:t>
      </w:r>
    </w:p>
    <w:p>
      <w:pPr>
        <w:spacing w:after="0" w:line="52" w:lineRule="exact"/>
        <w:rPr>
          <w:rFonts w:ascii="Arial" w:cs="Arial" w:eastAsia="Arial" w:hAnsi="Arial"/>
          <w:sz w:val="15"/>
          <w:szCs w:val="15"/>
          <w:color w:val="008000"/>
        </w:rPr>
      </w:pPr>
    </w:p>
    <w:p>
      <w:pPr>
        <w:ind w:left="40" w:right="4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exercise price was converted from A$8.9, which reflects the 100:1 consolidation ratio applied in converting ordinary shares of Predecessor to shares of the Issuer's Common Stock, using the exchange rate as in effect on the date of grant (November 1, 2018). The actual exercise price will be the Australian dollar amount regardless of the exchange rate on the date of grant or of exercise.</w:t>
      </w:r>
    </w:p>
    <w:p>
      <w:pPr>
        <w:spacing w:after="0" w:line="35"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Stock Options become exercisable in four equal annual installments beginning on November 30, 2019.</w:t>
      </w:r>
    </w:p>
    <w:p>
      <w:pPr>
        <w:spacing w:after="0" w:line="52" w:lineRule="exact"/>
        <w:rPr>
          <w:rFonts w:ascii="Arial" w:cs="Arial" w:eastAsia="Arial" w:hAnsi="Arial"/>
          <w:sz w:val="15"/>
          <w:szCs w:val="15"/>
          <w:color w:val="008000"/>
        </w:rPr>
      </w:pPr>
    </w:p>
    <w:p>
      <w:pPr>
        <w:jc w:val="both"/>
        <w:ind w:left="40" w:right="12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exercise price was converted from A$8.2, which reflects the 100:1 consolidation ratio applied in converting ordinary shares of Predecessor to shares of the Issuer's Common Stock, using the exchange rate as in effect on the date of grant (November 30, 2018). The actual exercise price will be the Australian dollar amount regardless of the exchange rate on the date of grant or of exercise.</w:t>
      </w:r>
    </w:p>
    <w:p>
      <w:pPr>
        <w:spacing w:after="0" w:line="35"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Stock Options became exercisable based on performance-based vesting criteria.</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6"/>
              </w:rPr>
              <w:t>/s/ Donna Shiroma</w:t>
            </w:r>
          </w:p>
        </w:tc>
        <w:tc>
          <w:tcPr>
            <w:tcW w:w="72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07/10/2020</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87"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ectPr>
          <w:pgSz w:w="11900" w:h="16840" w:orient="portrait"/>
          <w:cols w:equalWidth="0" w:num="1">
            <w:col w:w="10940"/>
          </w:cols>
          <w:pgMar w:left="480" w:top="236" w:right="479" w:bottom="0" w:gutter="0" w:footer="0" w:header="0"/>
          <w:type w:val="continuous"/>
        </w:sectPr>
      </w:pPr>
    </w:p>
    <w:bookmarkStart w:id="1" w:name="page2"/>
    <w:bookmarkEnd w:id="1"/>
    <w:p>
      <w:pPr>
        <w:spacing w:after="0" w:line="263"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1"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1420" w:firstLine="937"/>
        <w:spacing w:after="0" w:line="236"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Coleman Wombwell of K&amp;L Gates LLP the undersigned's true and lawful attorneys in fact and agents to:</w:t>
      </w:r>
    </w:p>
    <w:p>
      <w:pPr>
        <w:spacing w:after="0" w:line="232" w:lineRule="exact"/>
        <w:rPr>
          <w:sz w:val="20"/>
          <w:szCs w:val="20"/>
          <w:color w:val="auto"/>
        </w:rPr>
      </w:pPr>
    </w:p>
    <w:p>
      <w:pPr>
        <w:ind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w:t>
      </w:r>
    </w:p>
    <w:p>
      <w:pPr>
        <w:spacing w:after="0" w:line="4" w:lineRule="exact"/>
        <w:rPr>
          <w:rFonts w:ascii="Courier New" w:cs="Courier New" w:eastAsia="Courier New" w:hAnsi="Courier New"/>
          <w:sz w:val="20"/>
          <w:szCs w:val="20"/>
          <w:color w:val="auto"/>
        </w:rPr>
      </w:pPr>
    </w:p>
    <w:p>
      <w:pPr>
        <w:ind w:right="1640"/>
        <w:spacing w:after="0" w:line="269"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207" w:lineRule="exact"/>
        <w:rPr>
          <w:rFonts w:ascii="Courier New" w:cs="Courier New" w:eastAsia="Courier New" w:hAnsi="Courier New"/>
          <w:sz w:val="20"/>
          <w:szCs w:val="20"/>
          <w:color w:val="auto"/>
        </w:rPr>
      </w:pPr>
    </w:p>
    <w:p>
      <w:pPr>
        <w:ind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 Forms 3, 4 and 5 (including amendments thereto and joint</w:t>
      </w:r>
    </w:p>
    <w:p>
      <w:pPr>
        <w:spacing w:after="0" w:line="4" w:lineRule="exact"/>
        <w:rPr>
          <w:rFonts w:ascii="Courier New" w:cs="Courier New" w:eastAsia="Courier New" w:hAnsi="Courier New"/>
          <w:sz w:val="20"/>
          <w:szCs w:val="20"/>
          <w:color w:val="auto"/>
        </w:rPr>
      </w:pPr>
    </w:p>
    <w:p>
      <w:pPr>
        <w:ind w:right="1420"/>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230" w:lineRule="exact"/>
        <w:rPr>
          <w:rFonts w:ascii="Courier New" w:cs="Courier New" w:eastAsia="Courier New" w:hAnsi="Courier New"/>
          <w:sz w:val="20"/>
          <w:szCs w:val="20"/>
          <w:color w:val="auto"/>
        </w:rPr>
      </w:pPr>
    </w:p>
    <w:p>
      <w:pPr>
        <w:ind w:right="240"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3, 4 or 5 (including amendments thereto and joint filing agreements in connection</w:t>
      </w:r>
    </w:p>
    <w:p>
      <w:pPr>
        <w:spacing w:after="0" w:line="6" w:lineRule="exact"/>
        <w:rPr>
          <w:rFonts w:ascii="Courier New" w:cs="Courier New" w:eastAsia="Courier New" w:hAnsi="Courier New"/>
          <w:sz w:val="20"/>
          <w:szCs w:val="20"/>
          <w:color w:val="auto"/>
        </w:rPr>
      </w:pPr>
    </w:p>
    <w:p>
      <w:pPr>
        <w:ind w:right="2820"/>
        <w:spacing w:after="0" w:line="28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therewith) and file such forms with the SEC and any stock exchange, self-regulatory association or any similar authority; and</w:t>
      </w:r>
    </w:p>
    <w:p>
      <w:pPr>
        <w:spacing w:after="0" w:line="19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spacing w:after="0" w:line="1" w:lineRule="exact"/>
        <w:rPr>
          <w:rFonts w:ascii="Courier New" w:cs="Courier New" w:eastAsia="Courier New" w:hAnsi="Courier New"/>
          <w:sz w:val="18"/>
          <w:szCs w:val="18"/>
          <w:color w:val="auto"/>
        </w:rPr>
      </w:pPr>
    </w:p>
    <w:p>
      <w:pPr>
        <w:ind w:right="142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2"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The undersigned hereby grants to such attorney in fact full power and authority to do and perform any and every act and thing whatsoever requisite, necessary,</w:t>
      </w:r>
    </w:p>
    <w:p>
      <w:pPr>
        <w:spacing w:after="0" w:line="2" w:lineRule="exact"/>
        <w:rPr>
          <w:sz w:val="20"/>
          <w:szCs w:val="20"/>
          <w:color w:val="auto"/>
        </w:rPr>
      </w:pPr>
    </w:p>
    <w:p>
      <w:pPr>
        <w:ind w:right="1420"/>
        <w:spacing w:after="0" w:line="267" w:lineRule="auto"/>
        <w:rPr>
          <w:sz w:val="20"/>
          <w:szCs w:val="20"/>
          <w:color w:val="auto"/>
        </w:rPr>
      </w:pPr>
      <w:r>
        <w:rPr>
          <w:rFonts w:ascii="Courier New" w:cs="Courier New" w:eastAsia="Courier New" w:hAnsi="Courier New"/>
          <w:sz w:val="18"/>
          <w:szCs w:val="18"/>
          <w:color w:val="auto"/>
        </w:rPr>
        <w:t>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34"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 in fact or (c) as to any attorney-in-fact individually, until such attorney-in-fact is no longer employed by the Company or K&amp;L Gates LLP, as applicable.</w:t>
      </w:r>
    </w:p>
    <w:p>
      <w:pPr>
        <w:spacing w:after="0" w:line="232"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2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20"/>
          <w:szCs w:val="20"/>
          <w:color w:val="auto"/>
        </w:rPr>
        <w:t>June 19, 2020</w:t>
      </w:r>
    </w:p>
    <w:p>
      <w:pPr>
        <w:spacing w:after="0" w:line="200" w:lineRule="exact"/>
        <w:rPr>
          <w:sz w:val="20"/>
          <w:szCs w:val="20"/>
          <w:color w:val="auto"/>
        </w:rPr>
      </w:pPr>
    </w:p>
    <w:p>
      <w:pPr>
        <w:spacing w:after="0" w:line="24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Donna Shiroma</w:t>
      </w:r>
    </w:p>
    <w:p>
      <w:pPr>
        <w:spacing w:after="0" w:line="238" w:lineRule="auto"/>
        <w:tabs>
          <w:tab w:leader="none" w:pos="92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20"/>
          <w:szCs w:val="20"/>
          <w:color w:val="auto"/>
        </w:rPr>
        <w:t>Donna Shiroma</w:t>
      </w:r>
    </w:p>
    <w:sectPr>
      <w:pgSz w:w="11900" w:h="16838" w:orient="portrait"/>
      <w:cols w:equalWidth="0" w:num="1">
        <w:col w:w="10660"/>
      </w:cols>
      <w:pgMar w:left="480" w:top="13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816251" TargetMode="External"/><Relationship Id="rId11"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2020-07-10T15:39:39Z</dcterms:created>
  <dcterms:modified xsi:type="dcterms:W3CDTF">2020-07-10T15:39:39Z</dcterms:modified>
</cp:coreProperties>
</file>