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417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Panaccio Lou</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9"/>
            <w:vMerge w:val="continue"/>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ind w:left="200"/>
              <w:spacing w:after="0" w:line="122"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ind w:left="28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6"/>
            <w:vMerge w:val="restart"/>
          </w:tcPr>
          <w:p>
            <w:pPr>
              <w:ind w:left="240"/>
              <w:spacing w:after="0"/>
              <w:rPr>
                <w:sz w:val="20"/>
                <w:szCs w:val="20"/>
                <w:color w:val="auto"/>
              </w:rPr>
            </w:pPr>
            <w:r>
              <w:rPr>
                <w:rFonts w:ascii="Arial" w:cs="Arial" w:eastAsia="Arial" w:hAnsi="Arial"/>
                <w:sz w:val="17"/>
                <w:szCs w:val="17"/>
                <w:color w:val="0000FF"/>
              </w:rPr>
              <w:t>12/22/2021</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AVITA THERAPUETICS, INC.</w:t>
            </w:r>
          </w:p>
        </w:tc>
        <w:tc>
          <w:tcPr>
            <w:tcW w:w="126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28159 AVENUE STANFORD, SUITE 220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0"/>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VALENCIA</w:t>
            </w:r>
          </w:p>
        </w:tc>
        <w:tc>
          <w:tcPr>
            <w:tcW w:w="120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91355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220"/>
              <w:spacing w:after="0" w:line="131"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12/22/2021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9"/>
              </w:rPr>
              <w:t>4,350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80"/>
              <w:spacing w:after="0"/>
              <w:rPr>
                <w:sz w:val="20"/>
                <w:szCs w:val="20"/>
                <w:color w:val="auto"/>
              </w:rPr>
            </w:pPr>
            <w:r>
              <w:rPr>
                <w:rFonts w:ascii="Arial" w:cs="Arial" w:eastAsia="Arial" w:hAnsi="Arial"/>
                <w:sz w:val="11"/>
                <w:szCs w:val="11"/>
                <w:color w:val="008000"/>
              </w:rPr>
              <w:t>(1)</w:t>
            </w:r>
          </w:p>
        </w:tc>
        <w:tc>
          <w:tcPr>
            <w:tcW w:w="1340" w:type="dxa"/>
            <w:vAlign w:val="bottom"/>
            <w:tcBorders>
              <w:bottom w:val="single" w:sz="8" w:color="2C2C2C"/>
            </w:tcBorders>
            <w:gridSpan w:val="4"/>
          </w:tcPr>
          <w:p>
            <w:pPr>
              <w:jc w:val="center"/>
              <w:ind w:right="201"/>
              <w:spacing w:after="0" w:line="312" w:lineRule="exact"/>
              <w:rPr>
                <w:sz w:val="20"/>
                <w:szCs w:val="20"/>
                <w:color w:val="auto"/>
              </w:rPr>
            </w:pPr>
            <w:r>
              <w:rPr>
                <w:rFonts w:ascii="Arial" w:cs="Arial" w:eastAsia="Arial" w:hAnsi="Arial"/>
                <w:sz w:val="33"/>
                <w:szCs w:val="33"/>
                <w:color w:val="0000FF"/>
                <w:vertAlign w:val="subscript"/>
              </w:rPr>
              <w:t>18,442</w:t>
            </w:r>
            <w:r>
              <w:rPr>
                <w:rFonts w:ascii="Arial" w:cs="Arial" w:eastAsia="Arial" w:hAnsi="Arial"/>
                <w:sz w:val="11"/>
                <w:szCs w:val="11"/>
                <w:color w:val="008000"/>
              </w:rPr>
              <w:t>(2)(3)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4"/>
            <w:vMerge w:val="restart"/>
          </w:tcPr>
          <w:p>
            <w:pPr>
              <w:jc w:val="center"/>
              <w:ind w:right="301"/>
              <w:spacing w:after="0"/>
              <w:rPr>
                <w:sz w:val="20"/>
                <w:szCs w:val="20"/>
                <w:color w:val="auto"/>
              </w:rPr>
            </w:pPr>
            <w:r>
              <w:rPr>
                <w:rFonts w:ascii="Arial" w:cs="Arial" w:eastAsia="Arial" w:hAnsi="Arial"/>
                <w:sz w:val="17"/>
                <w:szCs w:val="17"/>
                <w:color w:val="0000FF"/>
              </w:rPr>
              <w:t>5,972</w:t>
            </w:r>
            <w:r>
              <w:rPr>
                <w:rFonts w:ascii="Arial" w:cs="Arial" w:eastAsia="Arial" w:hAnsi="Arial"/>
                <w:sz w:val="21"/>
                <w:szCs w:val="21"/>
                <w:color w:val="008000"/>
                <w:vertAlign w:val="superscript"/>
              </w:rPr>
              <w:t>(4)</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Options</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12/22/2021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2,550</w:t>
            </w:r>
          </w:p>
        </w:tc>
        <w:tc>
          <w:tcPr>
            <w:tcW w:w="320" w:type="dxa"/>
            <w:vAlign w:val="bottom"/>
          </w:tcPr>
          <w:p>
            <w:pPr>
              <w:spacing w:after="0"/>
              <w:rPr>
                <w:sz w:val="12"/>
                <w:szCs w:val="12"/>
                <w:color w:val="auto"/>
              </w:rPr>
            </w:pPr>
          </w:p>
        </w:tc>
        <w:tc>
          <w:tcPr>
            <w:tcW w:w="760" w:type="dxa"/>
            <w:vAlign w:val="bottom"/>
            <w:gridSpan w:val="3"/>
            <w:vMerge w:val="restart"/>
          </w:tcPr>
          <w:p>
            <w:pPr>
              <w:ind w:left="300"/>
              <w:spacing w:after="0"/>
              <w:rPr>
                <w:sz w:val="20"/>
                <w:szCs w:val="20"/>
                <w:color w:val="auto"/>
              </w:rPr>
            </w:pPr>
            <w:r>
              <w:rPr>
                <w:rFonts w:ascii="Arial" w:cs="Arial" w:eastAsia="Arial" w:hAnsi="Arial"/>
                <w:sz w:val="11"/>
                <w:szCs w:val="11"/>
                <w:color w:val="008000"/>
              </w:rPr>
              <w:t>(6)</w:t>
            </w: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12/22/2031</w:t>
            </w: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2,550</w:t>
            </w:r>
          </w:p>
        </w:tc>
        <w:tc>
          <w:tcPr>
            <w:tcW w:w="780" w:type="dxa"/>
            <w:vAlign w:val="bottom"/>
            <w:gridSpan w:val="3"/>
            <w:vMerge w:val="restart"/>
          </w:tcPr>
          <w:p>
            <w:pPr>
              <w:jc w:val="right"/>
              <w:ind w:right="2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60" w:type="dxa"/>
            <w:vAlign w:val="bottom"/>
            <w:vMerge w:val="restart"/>
          </w:tcPr>
          <w:p>
            <w:pPr>
              <w:ind w:left="260"/>
              <w:spacing w:after="0"/>
              <w:rPr>
                <w:sz w:val="20"/>
                <w:szCs w:val="20"/>
                <w:color w:val="auto"/>
              </w:rPr>
            </w:pPr>
            <w:r>
              <w:rPr>
                <w:rFonts w:ascii="Arial" w:cs="Arial" w:eastAsia="Arial" w:hAnsi="Arial"/>
                <w:sz w:val="13"/>
                <w:szCs w:val="13"/>
                <w:color w:val="0000FF"/>
                <w:w w:val="85"/>
              </w:rPr>
              <w:t>2,550</w:t>
            </w:r>
          </w:p>
        </w:tc>
        <w:tc>
          <w:tcPr>
            <w:tcW w:w="28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Restricted Stock Units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70,460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70,460 CDIs, which translate into 14,092 of the shares of Common Stock set forth above.</w:t>
      </w:r>
    </w:p>
    <w:p>
      <w:pPr>
        <w:spacing w:after="0" w:line="14"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29,860 CDIs, which translate into the 5,972 shares of Common Stock set forth above.</w:t>
      </w:r>
    </w:p>
    <w:p>
      <w:pPr>
        <w:spacing w:after="0" w:line="45" w:lineRule="exact"/>
        <w:rPr>
          <w:rFonts w:ascii="Arial" w:cs="Arial" w:eastAsia="Arial" w:hAnsi="Arial"/>
          <w:sz w:val="13"/>
          <w:szCs w:val="13"/>
          <w:color w:val="008000"/>
        </w:rPr>
      </w:pPr>
    </w:p>
    <w:p>
      <w:pPr>
        <w:ind w:left="40" w:right="3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CDIs are held by The Panaccio Superannuation Fund (the "Fund"). The Reporting Person is a director of Tercus Pty Ltd, trustee of the Fund, and is a beneficiary of the Fund. The Reporting Person may be deemed to have shared voting and dispositive power over the CDIs held by the Fund but disclaims such beneficial ownership, except to the extent of his pecuniary interest therein.</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3"/>
              </w:rPr>
              <w:t>/s/ Donna Shiroma, by power</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12/27/2021</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9"/>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37"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2021-12-27T15:33:24Z</dcterms:created>
  <dcterms:modified xsi:type="dcterms:W3CDTF">2021-12-27T15:33:24Z</dcterms:modified>
</cp:coreProperties>
</file>