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AVITA Medical,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p>
      <w:pPr>
        <w:spacing w:after="0" w:line="200" w:lineRule="exact"/>
        <w:rPr>
          <w:sz w:val="24"/>
          <w:szCs w:val="24"/>
          <w:color w:val="auto"/>
        </w:rPr>
      </w:pPr>
    </w:p>
    <w:p>
      <w:pPr>
        <w:spacing w:after="0" w:line="222"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85-1021707</w:t>
      </w:r>
    </w:p>
    <w:p>
      <w:pPr>
        <w:spacing w:after="0" w:line="12" w:lineRule="exact"/>
        <w:rPr>
          <w:sz w:val="24"/>
          <w:szCs w:val="24"/>
          <w:color w:val="auto"/>
        </w:rPr>
      </w:pPr>
    </w:p>
    <w:p>
      <w:pPr>
        <w:sectPr>
          <w:pgSz w:w="11900" w:h="16838" w:orient="portrait"/>
          <w:cols w:equalWidth="0" w:num="3">
            <w:col w:w="3600" w:space="720"/>
            <w:col w:w="1680" w:space="720"/>
            <w:col w:w="2299"/>
          </w:cols>
          <w:pgMar w:left="1440" w:top="297" w:right="1440" w:bottom="1440" w:gutter="0" w:footer="0" w:header="0"/>
          <w:type w:val="continuous"/>
        </w:sectPr>
      </w:pPr>
    </w:p>
    <w:p>
      <w:pPr>
        <w:spacing w:after="0" w:line="20"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639"/>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67" w:lineRule="exact"/>
        <w:rPr>
          <w:sz w:val="24"/>
          <w:szCs w:val="24"/>
          <w:color w:val="auto"/>
        </w:rPr>
      </w:pPr>
    </w:p>
    <w:p>
      <w:pPr>
        <w:sectPr>
          <w:pgSz w:w="11900" w:h="16838" w:orient="portrait"/>
          <w:cols w:equalWidth="0" w:num="3">
            <w:col w:w="3580" w:space="720"/>
            <w:col w:w="1600" w:space="720"/>
            <w:col w:w="2399"/>
          </w:cols>
          <w:pgMar w:left="1440" w:top="29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1"/>
          <w:szCs w:val="11"/>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661.367.9170</w:t>
      </w:r>
    </w:p>
    <w:p>
      <w:pPr>
        <w:spacing w:after="0" w:line="21" w:lineRule="exact"/>
        <w:rPr>
          <w:sz w:val="24"/>
          <w:szCs w:val="24"/>
          <w:color w:val="auto"/>
        </w:rPr>
      </w:pPr>
    </w:p>
    <w:p>
      <w:pPr>
        <w:sectPr>
          <w:pgSz w:w="11900" w:h="16838" w:orient="portrait"/>
          <w:cols w:equalWidth="0" w:num="2">
            <w:col w:w="5340" w:space="720"/>
            <w:col w:w="2959"/>
          </w:cols>
          <w:pgMar w:left="1440" w:top="297"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39"/>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p>
      <w:pPr>
        <w:spacing w:after="0" w:line="136" w:lineRule="exact"/>
        <w:rPr>
          <w:sz w:val="24"/>
          <w:szCs w:val="24"/>
          <w:color w:val="auto"/>
        </w:rPr>
      </w:pPr>
    </w:p>
    <w:p>
      <w:pPr>
        <w:sectPr>
          <w:pgSz w:w="11900" w:h="16838" w:orient="portrait"/>
          <w:cols w:equalWidth="0" w:num="2">
            <w:col w:w="4600" w:space="720"/>
            <w:col w:w="3699"/>
          </w:cols>
          <w:pgMar w:left="1440" w:top="29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6"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4"/>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840" w:right="899"/>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 w:name="page2"/>
    <w:bookmarkEnd w:id="1"/>
    <w:p>
      <w:pPr>
        <w:ind w:left="8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 Reg Fd Disclosure; Item 8.01 Other Events.</w:t>
      </w:r>
    </w:p>
    <w:p>
      <w:pPr>
        <w:spacing w:after="0" w:line="82"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On February 28, 2023, AVITA Medical, Inc. (the “Company”), held a webinar briefing and presentation for shareholders and prospective investors. Jim Corbett, CEO, and Sean Ekins, acting CFO, presented the webinar, which covered highlights from the Company’s recent Fourth Quarter 2022 Earnings Conference Call, and concluded with Q&amp;A. Webcasts of both events are available on the Company’s website under Investor Events and Presentations. A slide deck presented during the webinar is attached hereto as Exhibit 99.1.</w:t>
      </w:r>
    </w:p>
    <w:p>
      <w:pPr>
        <w:spacing w:after="0" w:line="122" w:lineRule="exact"/>
        <w:rPr>
          <w:sz w:val="20"/>
          <w:szCs w:val="20"/>
          <w:color w:val="auto"/>
        </w:rPr>
      </w:pPr>
    </w:p>
    <w:p>
      <w:pPr>
        <w:ind w:left="840" w:right="859" w:firstLine="294"/>
        <w:spacing w:after="0" w:line="300" w:lineRule="auto"/>
        <w:rPr>
          <w:sz w:val="20"/>
          <w:szCs w:val="20"/>
          <w:color w:val="auto"/>
        </w:rPr>
      </w:pPr>
      <w:r>
        <w:rPr>
          <w:rFonts w:ascii="Times New Roman" w:cs="Times New Roman" w:eastAsia="Times New Roman" w:hAnsi="Times New Roman"/>
          <w:sz w:val="11"/>
          <w:szCs w:val="11"/>
          <w:color w:val="auto"/>
        </w:rPr>
        <w:t>The information under Item 7.01, Item 8.01, and Exhibit 99.1, is preliminary, has not been audited, and is subject to change. The information disclosed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0" w:type="dxa"/>
            <w:vAlign w:val="bottom"/>
          </w:tcPr>
          <w:p>
            <w:pPr>
              <w:spacing w:after="0"/>
              <w:rPr>
                <w:sz w:val="1"/>
                <w:szCs w:val="1"/>
                <w:color w:val="auto"/>
              </w:rPr>
            </w:pPr>
          </w:p>
        </w:tc>
      </w:tr>
      <w:tr>
        <w:trPr>
          <w:trHeight w:val="115"/>
        </w:trPr>
        <w:tc>
          <w:tcPr>
            <w:tcW w:w="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No.</w:t>
            </w:r>
          </w:p>
        </w:tc>
        <w:tc>
          <w:tcPr>
            <w:tcW w:w="6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280" w:type="dxa"/>
            <w:vAlign w:val="bottom"/>
          </w:tcPr>
          <w:p>
            <w:pPr>
              <w:spacing w:after="0"/>
              <w:rPr>
                <w:sz w:val="14"/>
                <w:szCs w:val="14"/>
                <w:color w:val="auto"/>
              </w:rPr>
            </w:pPr>
          </w:p>
        </w:tc>
        <w:tc>
          <w:tcPr>
            <w:tcW w:w="10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8"/>
              </w:rPr>
              <w:t>Investor Presentation</w:t>
            </w:r>
          </w:p>
        </w:tc>
        <w:tc>
          <w:tcPr>
            <w:tcW w:w="5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8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March 2, 2023</w:t>
      </w:r>
    </w:p>
    <w:p>
      <w:pPr>
        <w:spacing w:after="0" w:line="1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AVITA MEDICAL, INC.</w:t>
      </w:r>
    </w:p>
    <w:p>
      <w:pPr>
        <w:spacing w:after="0" w:line="152"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i w:val="1"/>
          <w:iCs w:val="1"/>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12065</wp:posOffset>
            </wp:positionV>
            <wp:extent cx="161734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Donna Shiroma</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General Counsel</w:t>
      </w:r>
    </w:p>
    <w:p>
      <w:pPr>
        <w:sectPr>
          <w:pgSz w:w="11900" w:h="16838" w:orient="portrait"/>
          <w:cols w:equalWidth="0" w:num="1">
            <w:col w:w="9019"/>
          </w:cols>
          <w:pgMar w:left="1440" w:top="242" w:right="1440" w:bottom="1440" w:gutter="0" w:footer="0" w:header="0"/>
        </w:sectPr>
      </w:pPr>
    </w:p>
    <w:bookmarkStart w:id="3" w:name="page4"/>
    <w:bookmarkEnd w:id="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5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2023-03-02T15:21:37Z</dcterms:created>
  <dcterms:modified xsi:type="dcterms:W3CDTF">2023-03-02T15:21:37Z</dcterms:modified>
</cp:coreProperties>
</file>