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PERRY MICHAEL S</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right="180"/>
        <w:spacing w:after="0" w:line="342" w:lineRule="auto"/>
        <w:rPr>
          <w:sz w:val="20"/>
          <w:szCs w:val="20"/>
          <w:color w:val="auto"/>
        </w:rPr>
      </w:pPr>
      <w:r>
        <w:rPr>
          <w:rFonts w:ascii="Times New Roman" w:cs="Times New Roman" w:eastAsia="Times New Roman" w:hAnsi="Times New Roman"/>
          <w:sz w:val="16"/>
          <w:szCs w:val="16"/>
          <w:color w:val="0000FF"/>
        </w:rPr>
        <w:t>C/O AVITA THERAPEUTICS, INC. 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Avita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RCEL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4" w:lineRule="exact"/>
        <w:rPr>
          <w:sz w:val="24"/>
          <w:szCs w:val="24"/>
          <w:color w:val="auto"/>
        </w:rPr>
      </w:pPr>
    </w:p>
    <w:p>
      <w:pPr>
        <w:sectPr>
          <w:pgSz w:w="11900" w:h="16838" w:orient="portrait"/>
          <w:cols w:equalWidth="0" w:num="3">
            <w:col w:w="3200" w:space="720"/>
            <w:col w:w="3100" w:space="720"/>
            <w:col w:w="3340"/>
          </w:cols>
          <w:pgMar w:left="460" w:top="217" w:right="359" w:bottom="39"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VALENCIA</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91355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151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515110"/>
                    </a:xfrm>
                    <a:prstGeom prst="rect">
                      <a:avLst/>
                    </a:prstGeom>
                    <a:noFill/>
                  </pic:spPr>
                </pic:pic>
              </a:graphicData>
            </a:graphic>
          </wp:anchor>
        </w:drawing>
      </w:r>
    </w:p>
    <w:p>
      <w:pPr>
        <w:spacing w:after="0" w:line="347" w:lineRule="exact"/>
        <w:rPr>
          <w:sz w:val="24"/>
          <w:szCs w:val="24"/>
          <w:color w:val="auto"/>
        </w:rPr>
      </w:pPr>
    </w:p>
    <w:p>
      <w:pPr>
        <w:sectPr>
          <w:pgSz w:w="11900" w:h="16838" w:orient="portrait"/>
          <w:cols w:equalWidth="0" w:num="2">
            <w:col w:w="3760" w:space="160"/>
            <w:col w:w="7160"/>
          </w:cols>
          <w:pgMar w:left="460" w:top="217" w:right="359" w:bottom="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4"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4"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3"/>
              </w:rPr>
              <w:t>09/09/2020</w:t>
            </w:r>
            <w:r>
              <w:rPr>
                <w:rFonts w:ascii="Times New Roman" w:cs="Times New Roman" w:eastAsia="Times New Roman" w:hAnsi="Times New Roman"/>
                <w:sz w:val="21"/>
                <w:szCs w:val="21"/>
                <w:color w:val="008000"/>
                <w:w w:val="93"/>
                <w:vertAlign w:val="superscript"/>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w w:val="84"/>
              </w:rPr>
              <w:t>A</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83,333</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0"/>
              </w:rPr>
              <w:t>431,572</w:t>
            </w:r>
            <w:r>
              <w:rPr>
                <w:rFonts w:ascii="Times New Roman" w:cs="Times New Roman" w:eastAsia="Times New Roman" w:hAnsi="Times New Roman"/>
                <w:sz w:val="21"/>
                <w:szCs w:val="21"/>
                <w:color w:val="008000"/>
                <w:w w:val="90"/>
                <w:vertAlign w:val="superscript"/>
              </w:rPr>
              <w:t>(2)(3)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09/10/2020</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7,128</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26.26</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424,444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09/11/2020</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20,000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26.02</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404,444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480" w:type="dxa"/>
            <w:vAlign w:val="bottom"/>
          </w:tcPr>
          <w:p>
            <w:pPr>
              <w:spacing w:after="0"/>
              <w:rPr>
                <w:sz w:val="12"/>
                <w:szCs w:val="12"/>
                <w:color w:val="auto"/>
              </w:rPr>
            </w:pPr>
          </w:p>
        </w:tc>
        <w:tc>
          <w:tcPr>
            <w:tcW w:w="30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008000"/>
                <w:w w:val="77"/>
              </w:rPr>
              <w:t>(8)</w:t>
            </w: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1"/>
                <w:szCs w:val="11"/>
                <w:color w:val="008000"/>
              </w:rPr>
              <w:t>(9)</w:t>
            </w:r>
          </w:p>
        </w:tc>
        <w:tc>
          <w:tcPr>
            <w:tcW w:w="114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25,000</w:t>
            </w:r>
          </w:p>
        </w:tc>
        <w:tc>
          <w:tcPr>
            <w:tcW w:w="30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09/09/2020</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11/30/2028</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150,000</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480" w:type="dxa"/>
            <w:vAlign w:val="bottom"/>
          </w:tcPr>
          <w:p>
            <w:pPr>
              <w:ind w:left="200"/>
              <w:spacing w:after="0"/>
              <w:rPr>
                <w:sz w:val="20"/>
                <w:szCs w:val="20"/>
                <w:color w:val="auto"/>
              </w:rPr>
            </w:pPr>
            <w:r>
              <w:rPr>
                <w:rFonts w:ascii="Arial" w:cs="Arial" w:eastAsia="Arial" w:hAnsi="Arial"/>
                <w:sz w:val="12"/>
                <w:szCs w:val="12"/>
                <w:color w:val="auto"/>
                <w:w w:val="93"/>
              </w:rPr>
              <w:t>$</w:t>
            </w:r>
            <w:r>
              <w:rPr>
                <w:rFonts w:ascii="Times New Roman" w:cs="Times New Roman" w:eastAsia="Times New Roman" w:hAnsi="Times New Roman"/>
                <w:sz w:val="12"/>
                <w:szCs w:val="12"/>
                <w:color w:val="0000FF"/>
                <w:w w:val="93"/>
              </w:rPr>
              <w:t>5.99</w:t>
            </w:r>
          </w:p>
        </w:tc>
        <w:tc>
          <w:tcPr>
            <w:tcW w:w="300" w:type="dxa"/>
            <w:vAlign w:val="bottom"/>
          </w:tcPr>
          <w:p>
            <w:pPr>
              <w:spacing w:after="0"/>
              <w:rPr>
                <w:sz w:val="12"/>
                <w:szCs w:val="12"/>
                <w:color w:val="auto"/>
              </w:rPr>
            </w:pPr>
          </w:p>
        </w:tc>
        <w:tc>
          <w:tcPr>
            <w:tcW w:w="104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09/09/2020</w:t>
            </w:r>
          </w:p>
        </w:tc>
        <w:tc>
          <w:tcPr>
            <w:tcW w:w="1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-1952625</wp:posOffset>
            </wp:positionV>
            <wp:extent cx="7033895" cy="2112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1264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(7)</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issued in connection with the vesting of Restricted Stock Units ("RSUs"), which were originally granted on November 30, 2018, upon the satisfaction of a performance-based vesting condition.</w:t>
      </w:r>
    </w:p>
    <w:p>
      <w:pPr>
        <w:spacing w:after="0" w:line="17" w:lineRule="exact"/>
        <w:rPr>
          <w:rFonts w:ascii="Times New Roman" w:cs="Times New Roman" w:eastAsia="Times New Roman" w:hAnsi="Times New Roman"/>
          <w:sz w:val="13"/>
          <w:szCs w:val="13"/>
          <w:color w:val="008000"/>
        </w:rPr>
      </w:pPr>
    </w:p>
    <w:p>
      <w:pPr>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1,266,125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holds 1,266,125 CDIs, which translate into 253,225 of the shares of Common Stock set forth above.</w:t>
      </w:r>
    </w:p>
    <w:p>
      <w:pPr>
        <w:spacing w:after="0" w:line="26" w:lineRule="exact"/>
        <w:rPr>
          <w:rFonts w:ascii="Times New Roman" w:cs="Times New Roman" w:eastAsia="Times New Roman" w:hAnsi="Times New Roman"/>
          <w:sz w:val="13"/>
          <w:szCs w:val="13"/>
          <w:color w:val="008000"/>
        </w:rPr>
      </w:pPr>
    </w:p>
    <w:p>
      <w:pPr>
        <w:jc w:val="both"/>
        <w:ind w:left="40" w:right="30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95,014 unvested RSUs, each representing a contingent right to be issued one share of Common Stock, that are subject to time-based vesting criteria. These RSUs were originally rights to receive ordinary shares of AVITA Medical, Ltd., an Australian public company and predecessor to the Issuer ("Predecessor"). Pursuant to a scheme of arrangement, completed on June 30, 2020 (the "Scheme"), the RSUs became rights to be issued shares of Common Stock of the Issuer in the ratio of one share of Common Stock for every 100 ordinary shares of Predecessor to which the holder would otherwise have been entitled. The RSUs vest in two equal installments on June 1, 2021 and 2022.</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order to pay withholding taxes due in connection with the vesting of RSUs.</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$26.00 to $26.53.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$25.77 to $26.26. The Reporting Person undertakes to provide to the Issuer, any security holder of the Issuer, or the staff of the Securities and Exchange Commission, upon request, full information regarding the number of the shares of Common Stock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originally exercisable for ordinary shares of Predecessor. Pursuant to the Scheme, the Stock Options became exercisable for shares of Common Stock of the Issuer in the ratio of one share of Common Stock for every 100 ordinary shares of Predecessor for which the Stock Options would otherwise have been exercisable.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was converted from A$8.20, which reflects the 100:1 consolidation ratio applied in converting ordinary shares of Predecessor to shares of the Issuer's Common Stock, using the exchange rate as published by the Reserve Bank of Australia in effect on the date of grant (November 30, 2018). The actual exercise price will be the Australian dollar amount regardless of the exchange rate on the date of grant or of exercise.</w:t>
      </w:r>
    </w:p>
    <w:p>
      <w:pPr>
        <w:spacing w:after="0" w:line="26" w:lineRule="exact"/>
        <w:rPr>
          <w:rFonts w:ascii="Times New Roman" w:cs="Times New Roman" w:eastAsia="Times New Roman" w:hAnsi="Times New Roman"/>
          <w:sz w:val="13"/>
          <w:szCs w:val="13"/>
          <w:color w:val="008000"/>
        </w:rPr>
      </w:pPr>
    </w:p>
    <w:p>
      <w:pPr>
        <w:ind w:left="40" w:right="6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30, 2018, the Reporting Person was granted Stock Options to purchase 150,000 shares of Common Stock, vesting based on the satisfaction of certain time-based and performance-based conditions. On September 9, 2020, the performance-based vesting condition with respect to the last 25,000 unvested Stock Options was satisfied.</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7"/>
          <w:szCs w:val="17"/>
          <w:color w:val="0000FF"/>
        </w:rPr>
        <w:t xml:space="preserve">/s/ Donna Shiroma, by power of </w:t>
      </w:r>
      <w:r>
        <w:rPr>
          <w:rFonts w:ascii="Times New Roman" w:cs="Times New Roman" w:eastAsia="Times New Roman" w:hAnsi="Times New Roman"/>
          <w:sz w:val="33"/>
          <w:szCs w:val="33"/>
          <w:color w:val="0000FF"/>
          <w:vertAlign w:val="subscript"/>
        </w:rPr>
        <w:t>09/11/2020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48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86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50379"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2020-09-11T19:01:15Z</dcterms:created>
  <dcterms:modified xsi:type="dcterms:W3CDTF">2020-09-11T19:01:15Z</dcterms:modified>
</cp:coreProperties>
</file>