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03976d424b2.htm"/>
        <w:bookmarkStart w:id="1" w:name="ksd303976d424b2"/>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424(b)(2) </w:t>
      </w:r>
    </w:p>
    <w:p>
      <w:pPr>
        <w:pStyle w:val="TextBody"/>
        <w:spacing w:before="0" w:after="0"/>
        <w:jc w:val="right"/>
        <w:rPr>
          <w:rFonts w:ascii="Times New Roman" w:hAnsi="Times New Roman"/>
          <w:b/>
          <w:sz w:val="20"/>
        </w:rPr>
      </w:pPr>
      <w:r>
        <w:rPr>
          <w:rFonts w:ascii="Times New Roman" w:hAnsi="Times New Roman"/>
          <w:b/>
          <w:sz w:val="20"/>
        </w:rPr>
        <w:t xml:space="preserve">Registration No. 333-271276 </w:t>
      </w:r>
    </w:p>
    <w:p>
      <w:pPr>
        <w:pStyle w:val="TextBody"/>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to the Prospectus dated April</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rPr>
        <w:t>2023</w:t>
      </w:r>
      <w:r>
        <w:rPr>
          <w:rFonts w:ascii="Times New Roman" w:hAnsi="Times New Roman"/>
          <w:sz w:val="20"/>
        </w:rPr>
        <w:t xml:space="preserve">) </w:t>
      </w:r>
    </w:p>
    <w:p>
      <w:pPr>
        <w:pStyle w:val="TextBody"/>
        <w:spacing w:before="240" w:after="0"/>
        <w:jc w:val="center"/>
        <w:rPr>
          <w:rFonts w:ascii="Times New Roman" w:hAnsi="Times New Roman"/>
          <w:b/>
          <w:sz w:val="36"/>
        </w:rPr>
      </w:pPr>
      <w:r>
        <w:rPr>
          <w:rFonts w:ascii="Times New Roman" w:hAnsi="Times New Roman"/>
          <w:b/>
          <w:sz w:val="36"/>
        </w:rPr>
        <w:t xml:space="preserve">Up to 3,799,164 </w:t>
      </w:r>
    </w:p>
    <w:p>
      <w:pPr>
        <w:pStyle w:val="TextBody"/>
        <w:spacing w:before="0" w:after="0"/>
        <w:jc w:val="center"/>
        <w:rPr>
          <w:rFonts w:ascii="Times New Roman" w:hAnsi="Times New Roman"/>
          <w:b/>
          <w:sz w:val="36"/>
        </w:rPr>
      </w:pPr>
      <w:r>
        <w:rPr>
          <w:rFonts w:ascii="Times New Roman" w:hAnsi="Times New Roman"/>
          <w:b/>
          <w:sz w:val="36"/>
        </w:rPr>
        <w:t xml:space="preserve">Shares of </w:t>
      </w:r>
    </w:p>
    <w:p>
      <w:pPr>
        <w:pStyle w:val="TextBody"/>
        <w:spacing w:before="240" w:after="0"/>
        <w:jc w:val="center"/>
        <w:rPr>
          <w:rFonts w:ascii="Times New Roman" w:hAnsi="Times New Roman"/>
          <w:b/>
          <w:sz w:val="48"/>
        </w:rPr>
      </w:pPr>
      <w:r>
        <w:rPr>
          <w:rFonts w:ascii="Times New Roman" w:hAnsi="Times New Roman"/>
          <w:b/>
          <w:sz w:val="48"/>
        </w:rPr>
        <w:t xml:space="preserve">AVITA Medical, Inc.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have entered into a sales agreement with Cowen and Company, LLC, or Cowen, relating to shares of our common stock offered by this prospectus supplement and the accompanying prospectus. In accordance with the terms of the sales agreement, we may offer and sell up to 3,799,164 shares of our common stock from time to time through Cowen acting as our agent. </w:t>
      </w:r>
    </w:p>
    <w:p>
      <w:pPr>
        <w:pStyle w:val="TextBody"/>
        <w:spacing w:before="240" w:after="0"/>
        <w:jc w:val="left"/>
        <w:rPr>
          <w:rFonts w:ascii="Times New Roman" w:hAnsi="Times New Roman"/>
          <w:sz w:val="20"/>
        </w:rPr>
      </w:pPr>
      <w:r>
        <w:rPr>
          <w:rFonts w:ascii="Times New Roman" w:hAnsi="Times New Roman"/>
          <w:sz w:val="20"/>
        </w:rPr>
        <w:t xml:space="preserve">Our common stock trades on The Nasdaq Stock Market LLC under the symbol RCEL. Our CHESS Depositary Interests (CDIs) are listed on the Australian Securities Exchange (ASX) under the symbol AVH, with five CDIs being equivalent to one share of our common stock. On April 20, 2023, the last reported sale price for our common stock on Nasdaq was $14.32 per share and the last reported sale price of our CDIs on the ASX was $4.29 per CDI. </w:t>
      </w:r>
    </w:p>
    <w:p>
      <w:pPr>
        <w:pStyle w:val="TextBody"/>
        <w:spacing w:before="240" w:after="0"/>
        <w:jc w:val="left"/>
        <w:rPr>
          <w:rFonts w:ascii="Times New Roman" w:hAnsi="Times New Roman"/>
          <w:sz w:val="20"/>
        </w:rPr>
      </w:pPr>
      <w:r>
        <w:rPr>
          <w:rFonts w:ascii="Times New Roman" w:hAnsi="Times New Roman"/>
          <w:sz w:val="20"/>
        </w:rPr>
        <w:t xml:space="preserve">Sales of our common stock, if any, under this prospectus will be made in sales deemed to be at the market offerings as defined in Rule 415 promulgated under the Securities Act of 1933, as amended, or the Securities Act. Cowen is not required to sell any specific amount of securities, but will act as our sales agent using commercially reasonable efforts consistent with its normal trading and sales practices, on mutually agreed terms between Cowen and us. There is no arrangement for funds to be received in any escrow, trust or similar arrangement. </w:t>
      </w:r>
    </w:p>
    <w:p>
      <w:pPr>
        <w:pStyle w:val="TextBody"/>
        <w:spacing w:before="240" w:after="0"/>
        <w:jc w:val="left"/>
        <w:rPr>
          <w:rFonts w:ascii="Times New Roman" w:hAnsi="Times New Roman"/>
          <w:sz w:val="20"/>
        </w:rPr>
      </w:pPr>
      <w:r>
        <w:rPr>
          <w:rFonts w:ascii="Times New Roman" w:hAnsi="Times New Roman"/>
          <w:sz w:val="20"/>
        </w:rPr>
        <w:t xml:space="preserve">The compensation to Cowen for sales of common stock sold pursuant to the sales agreement will be an amount equal to 3%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and the Exchange Act of 1934, as amended, or the Exchange Act. </w:t>
      </w:r>
    </w:p>
    <w:p>
      <w:pPr>
        <w:pStyle w:val="TextBody"/>
        <w:spacing w:before="240" w:after="0"/>
        <w:jc w:val="left"/>
        <w:rPr>
          <w:rFonts w:ascii="Times New Roman" w:hAnsi="Times New Roman"/>
          <w:sz w:val="20"/>
        </w:rPr>
      </w:pPr>
      <w:r>
        <w:rPr>
          <w:rFonts w:ascii="Times New Roman" w:hAnsi="Times New Roman"/>
          <w:sz w:val="20"/>
        </w:rPr>
        <w:t xml:space="preserve">We are an emerging growth company as that term is defined in the Jumpstart Our Business Startups Act of 2012 and, as such, are subject to certain reduced public company reporting requirements. See The CompanyImplications of Being an Emerging Growth Company in the accompanying prospectus.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Our business and an investment in our securities involve significant risks. Please read carefully the section entitled </w:t>
      </w:r>
      <w:hyperlink w:anchor="suptx303976_4">
        <w:r>
          <w:rPr>
            <w:rStyle w:val="InternetLink"/>
            <w:rFonts w:ascii="Times New Roman" w:hAnsi="Times New Roman"/>
            <w:b/>
            <w:sz w:val="24"/>
          </w:rPr>
          <w:t xml:space="preserve">Risk Factors </w:t>
        </w:r>
      </w:hyperlink>
      <w:r>
        <w:rPr>
          <w:rFonts w:ascii="Times New Roman" w:hAnsi="Times New Roman"/>
          <w:b/>
          <w:sz w:val="24"/>
        </w:rPr>
        <w:t xml:space="preserve"> beginning on page S-5 of this prospectus supplement and in the documents incorporated by reference into this prospectus supplement. </w:t>
      </w:r>
    </w:p>
    <w:p>
      <w:pPr>
        <w:pStyle w:val="TextBody"/>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spacing w:before="240" w:after="0"/>
        <w:jc w:val="center"/>
        <w:rPr>
          <w:rFonts w:ascii="Times New Roman" w:hAnsi="Times New Roman"/>
          <w:b/>
          <w:sz w:val="32"/>
        </w:rPr>
      </w:pPr>
      <w:r>
        <w:rPr>
          <w:rFonts w:ascii="Times New Roman" w:hAnsi="Times New Roman"/>
          <w:b/>
          <w:sz w:val="32"/>
        </w:rPr>
        <w:t xml:space="preserve">TD Cowen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supplement is April 25, 2023.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82"/>
        <w:gridCol w:w="163"/>
        <w:gridCol w:w="60"/>
        <w:gridCol w:w="471"/>
        <w:gridCol w:w="63"/>
      </w:tblGrid>
      <w:tr>
        <w:trPr/>
        <w:tc>
          <w:tcPr>
            <w:tcW w:w="978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7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1">
              <w:r>
                <w:rPr>
                  <w:rStyle w:val="InternetLink"/>
                  <w:rFonts w:ascii="Times New Roman" w:hAnsi="Times New Roman"/>
                  <w:sz w:val="20"/>
                </w:rPr>
                <w:t>ABOUT THIS PROSPECTUS SUPPLEMENT</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2">
              <w:r>
                <w:rPr>
                  <w:rStyle w:val="InternetLink"/>
                  <w:rFonts w:ascii="Times New Roman" w:hAnsi="Times New Roman"/>
                  <w:sz w:val="20"/>
                </w:rPr>
                <w:t>SPECIAL NOTE REGARDING FORWARD-LOOKING STATEMENTS</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S-2</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3">
              <w:r>
                <w:rPr>
                  <w:rStyle w:val="InternetLink"/>
                  <w:rFonts w:ascii="Times New Roman" w:hAnsi="Times New Roman"/>
                  <w:sz w:val="20"/>
                </w:rPr>
                <w:t>PROSPECTUS SUPPLEMENT SUMMARY</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S-3</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4">
              <w:r>
                <w:rPr>
                  <w:rStyle w:val="InternetLink"/>
                  <w:rFonts w:ascii="Times New Roman" w:hAnsi="Times New Roman"/>
                  <w:sz w:val="20"/>
                </w:rPr>
                <w:t>RISK FACTORS</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S-5</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5">
              <w:r>
                <w:rPr>
                  <w:rStyle w:val="InternetLink"/>
                  <w:rFonts w:ascii="Times New Roman" w:hAnsi="Times New Roman"/>
                  <w:sz w:val="20"/>
                </w:rPr>
                <w:t>USE OF PROCEEDS</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S-7</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6">
              <w:r>
                <w:rPr>
                  <w:rStyle w:val="InternetLink"/>
                  <w:rFonts w:ascii="Times New Roman" w:hAnsi="Times New Roman"/>
                  <w:sz w:val="20"/>
                </w:rPr>
                <w:t>DIVIDEND POLICY</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S-7</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7">
              <w:r>
                <w:rPr>
                  <w:rStyle w:val="InternetLink"/>
                  <w:rFonts w:ascii="Times New Roman" w:hAnsi="Times New Roman"/>
                  <w:sz w:val="20"/>
                </w:rPr>
                <w:t>DILUTION</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S-8</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8">
              <w:r>
                <w:rPr>
                  <w:rStyle w:val="InternetLink"/>
                  <w:rFonts w:ascii="Times New Roman" w:hAnsi="Times New Roman"/>
                  <w:sz w:val="20"/>
                </w:rPr>
                <w:t>PLAN OF DISTRIBUTION</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S-9</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9">
              <w:r>
                <w:rPr>
                  <w:rStyle w:val="InternetLink"/>
                  <w:rFonts w:ascii="Times New Roman" w:hAnsi="Times New Roman"/>
                  <w:sz w:val="20"/>
                </w:rPr>
                <w:t>LEGAL MATTERS</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S-10</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10">
              <w:r>
                <w:rPr>
                  <w:rStyle w:val="InternetLink"/>
                  <w:rFonts w:ascii="Times New Roman" w:hAnsi="Times New Roman"/>
                  <w:sz w:val="20"/>
                </w:rPr>
                <w:t>EXPERTS</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S-10</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11">
              <w:r>
                <w:rPr>
                  <w:rStyle w:val="InternetLink"/>
                  <w:rFonts w:ascii="Times New Roman" w:hAnsi="Times New Roman"/>
                  <w:sz w:val="20"/>
                </w:rPr>
                <w:t>WHERE YOU CAN FIND MORE INFORMATION</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S-10</w:t>
            </w:r>
          </w:p>
        </w:tc>
        <w:tc>
          <w:tcPr>
            <w:tcW w:w="63" w:type="dxa"/>
            <w:tcBorders/>
            <w:shd w:fill="auto" w:val="clear"/>
            <w:vAlign w:val="bottom"/>
          </w:tcPr>
          <w:p>
            <w:pPr>
              <w:pStyle w:val="TableContents"/>
              <w:spacing w:before="0" w:after="283"/>
              <w:rPr/>
            </w:pPr>
            <w:r>
              <w:rPr/>
              <w:t> </w:t>
            </w:r>
          </w:p>
        </w:tc>
      </w:tr>
      <w:tr>
        <w:trPr/>
        <w:tc>
          <w:tcPr>
            <w:tcW w:w="9782" w:type="dxa"/>
            <w:tcBorders/>
            <w:shd w:fill="auto" w:val="clear"/>
          </w:tcPr>
          <w:p>
            <w:pPr>
              <w:pStyle w:val="TableContents"/>
              <w:spacing w:before="0" w:after="0"/>
              <w:rPr/>
            </w:pPr>
            <w:hyperlink w:anchor="suptx303976_12">
              <w:r>
                <w:rPr>
                  <w:rStyle w:val="InternetLink"/>
                  <w:rFonts w:ascii="Times New Roman" w:hAnsi="Times New Roman"/>
                  <w:sz w:val="20"/>
                </w:rPr>
                <w:t>INCORPORATION OF CERTAIN INFORMATION BY REFERENCE</w:t>
              </w:r>
            </w:hyperlink>
          </w:p>
        </w:tc>
        <w:tc>
          <w:tcPr>
            <w:tcW w:w="1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S-10</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tx303976_1"/>
      <w:bookmarkEnd w:id="3"/>
      <w:r>
        <w:rPr>
          <w:rFonts w:ascii="Times New Roman" w:hAnsi="Times New Roman"/>
          <w:b/>
          <w:sz w:val="20"/>
        </w:rPr>
        <w:t xml:space="preserve">ABOUT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part of a registration statement on Form S-3 that we filed with the U.S. Securities and Exchange Commission, or the SEC, utilizing a shelf registration process. Under this shelf registration process, we may from time to time sell up to 3,799,164 shares of our common stock under this prospectus supplement and accompanying prospectus at prices and on terms to be determined by market conditions at the time of the offering. </w:t>
      </w:r>
    </w:p>
    <w:p>
      <w:pPr>
        <w:pStyle w:val="TextBody"/>
        <w:spacing w:before="240" w:after="0"/>
        <w:jc w:val="left"/>
        <w:rPr>
          <w:rFonts w:ascii="Times New Roman" w:hAnsi="Times New Roman"/>
          <w:sz w:val="20"/>
        </w:rPr>
      </w:pPr>
      <w:r>
        <w:rPr>
          <w:rFonts w:ascii="Times New Roman" w:hAnsi="Times New Roman"/>
          <w:sz w:val="20"/>
        </w:rPr>
        <w:t xml:space="preserve">Before buying any of the common stock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 </w:t>
      </w:r>
    </w:p>
    <w:p>
      <w:pPr>
        <w:pStyle w:val="TextBody"/>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the accompanying prospectus and in any document incorporated by reference in this prospectus supplement, on the other hand, you should rely on the information in this prospectus supplement and the documents incorporated by reference herein,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w:t>
      </w:r>
    </w:p>
    <w:p>
      <w:pPr>
        <w:pStyle w:val="TextBody"/>
        <w:spacing w:before="240" w:after="0"/>
        <w:jc w:val="left"/>
        <w:rPr>
          <w:rFonts w:ascii="Times New Roman" w:hAnsi="Times New Roman"/>
          <w:sz w:val="20"/>
        </w:rPr>
      </w:pPr>
      <w:r>
        <w:rPr>
          <w:rFonts w:ascii="Times New Roman" w:hAnsi="Times New Roman"/>
          <w:sz w:val="20"/>
        </w:rPr>
        <w:t xml:space="preserve">We have not, and Cowen has not, authorized anyone to provide you with different information than that contained or incorporated by reference in this prospectus supplement and any related free writing prospectus filed by us with the SEC. We and Cowen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 xml:space="preserve">You should also read and consider the information in the documents to which we have referred you in the sections entitled Where You Can Find More Information and Incorporation of Certain Information by Reference in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supplement to AVITA, we, our, us and the Company refer, collectively, to AVITA Medical, Inc., a Delaware corporation, and its consolidated subsidiaries.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20" w:after="0"/>
        <w:jc w:val="center"/>
        <w:rPr>
          <w:rFonts w:ascii="Times New Roman" w:hAnsi="Times New Roman"/>
          <w:b/>
          <w:sz w:val="20"/>
        </w:rPr>
      </w:pPr>
      <w:bookmarkStart w:id="4" w:name="suptx303976_2"/>
      <w:bookmarkEnd w:id="4"/>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Section 27A of the Securities Act and Section 21E of the Securities Exchange Act. The words anticipate, believe, ensure, expect, if, intend, estimate, probable, project, forecasts, predict, outlook, aim, will, could, should, would, may, likely and similar expressions, and the negative thereof, are intended to identify forward-looking statements. These forward-looking statements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the benefits of our RECELL System;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initiation, timing, progress and results of our ongoing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and degree of market acceptance of our RECELL System;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6"/>
        <w:gridCol w:w="9591"/>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estimates of our expenses, future revenue and capital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additional funds for our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our ability to operate our business without infringing the intellectual property rights of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reliance on third-party supply and manufacturing partners to supply the materials and components for our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attract and retain qualified key management and technical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existing and new governmental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sales, marketing and distribution capabilities and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relating to our competitors or our industry;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extent to which the COVID-19 pandemic and related governmental regulations and restrictions may impact our business, including our research, clinical trials, manufacturing and financial condition. </w:t>
            </w:r>
          </w:p>
        </w:tc>
      </w:tr>
    </w:tbl>
    <w:p>
      <w:pPr>
        <w:pStyle w:val="TextBody"/>
        <w:spacing w:before="240" w:after="0"/>
        <w:jc w:val="left"/>
        <w:rPr>
          <w:rFonts w:ascii="Times New Roman" w:hAnsi="Times New Roman"/>
          <w:sz w:val="20"/>
        </w:rPr>
      </w:pPr>
      <w:r>
        <w:rPr>
          <w:rFonts w:ascii="Times New Roman" w:hAnsi="Times New Roman"/>
          <w:sz w:val="20"/>
        </w:rPr>
        <w:t xml:space="preserve">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 </w:t>
      </w:r>
    </w:p>
    <w:p>
      <w:pPr>
        <w:pStyle w:val="TextBody"/>
        <w:spacing w:before="240" w:after="0"/>
        <w:jc w:val="left"/>
        <w:rPr>
          <w:rFonts w:ascii="Times New Roman" w:hAnsi="Times New Roman"/>
          <w:sz w:val="20"/>
        </w:rPr>
      </w:pPr>
      <w:r>
        <w:rPr>
          <w:rFonts w:ascii="Times New Roman" w:hAnsi="Times New Roman"/>
          <w:sz w:val="20"/>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Times New Roman" w:hAnsi="Times New Roman"/>
          <w:sz w:val="20"/>
          <w:u w:val="single"/>
        </w:rPr>
        <w:t>http://www.sec.gov</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uptx303976_3"/>
      <w:bookmarkEnd w:id="5"/>
      <w:r>
        <w:rPr>
          <w:rFonts w:ascii="Times New Roman" w:hAnsi="Times New Roman"/>
          <w:b/>
          <w:sz w:val="20"/>
        </w:rPr>
        <w:t xml:space="preserve">PROSPECTUS SUPPLEMENT SUMMARY </w:t>
      </w:r>
    </w:p>
    <w:p>
      <w:pPr>
        <w:pStyle w:val="TextBody"/>
        <w:spacing w:before="240" w:after="0"/>
        <w:jc w:val="left"/>
        <w:rPr>
          <w:rFonts w:ascii="Times New Roman" w:hAnsi="Times New Roman"/>
          <w:i/>
          <w:sz w:val="20"/>
        </w:rPr>
      </w:pPr>
      <w:r>
        <w:rPr>
          <w:rFonts w:ascii="Times New Roman" w:hAnsi="Times New Roman"/>
          <w:i/>
          <w:sz w:val="20"/>
        </w:rPr>
        <w:t xml:space="preserve">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2022, as well as our consolidated financial statements and the related notes and the other documents incorporated by reference into this prospectus supplement and the accompanying prospectus. </w:t>
      </w:r>
    </w:p>
    <w:p>
      <w:pPr>
        <w:pStyle w:val="TextBody"/>
        <w:spacing w:before="360" w:after="0"/>
        <w:jc w:val="left"/>
        <w:rPr>
          <w:rFonts w:ascii="Times New Roman" w:hAnsi="Times New Roman"/>
          <w:b/>
          <w:sz w:val="20"/>
        </w:rPr>
      </w:pPr>
      <w:r>
        <w:rPr>
          <w:rFonts w:ascii="Times New Roman" w:hAnsi="Times New Roman"/>
          <w:b/>
          <w:sz w:val="20"/>
        </w:rPr>
        <w:t xml:space="preserve">Business Overview </w:t>
      </w:r>
    </w:p>
    <w:p>
      <w:pPr>
        <w:pStyle w:val="TextBody"/>
        <w:spacing w:before="120" w:after="0"/>
        <w:jc w:val="left"/>
        <w:rPr>
          <w:rFonts w:ascii="Times New Roman" w:hAnsi="Times New Roman"/>
          <w:sz w:val="20"/>
        </w:rPr>
      </w:pPr>
      <w:r>
        <w:rPr>
          <w:rFonts w:ascii="Times New Roman" w:hAnsi="Times New Roman"/>
          <w:sz w:val="20"/>
        </w:rPr>
        <w:t>AVITA Medical, Inc. (collectively, including its subsidiaries, </w:t>
      </w:r>
      <w:r>
        <w:rPr>
          <w:rFonts w:ascii="Times New Roman" w:hAnsi="Times New Roman"/>
          <w:b/>
          <w:sz w:val="20"/>
        </w:rPr>
        <w:t>AVITA Medical</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our</w:t>
      </w:r>
      <w:r>
        <w:rPr>
          <w:rFonts w:ascii="Times New Roman" w:hAnsi="Times New Roman"/>
          <w:sz w:val="20"/>
        </w:rPr>
        <w:t>, </w:t>
      </w:r>
      <w:r>
        <w:rPr>
          <w:rFonts w:ascii="Times New Roman" w:hAnsi="Times New Roman"/>
          <w:b/>
          <w:sz w:val="20"/>
        </w:rPr>
        <w:t>us</w:t>
      </w:r>
      <w:r>
        <w:rPr>
          <w:rFonts w:ascii="Times New Roman" w:hAnsi="Times New Roman"/>
          <w:sz w:val="20"/>
        </w:rPr>
        <w:t> or </w:t>
      </w:r>
      <w:r>
        <w:rPr>
          <w:rFonts w:ascii="Times New Roman" w:hAnsi="Times New Roman"/>
          <w:b/>
          <w:sz w:val="20"/>
        </w:rPr>
        <w:t>Company</w:t>
      </w:r>
      <w:r>
        <w:rPr>
          <w:rFonts w:ascii="Times New Roman" w:hAnsi="Times New Roman"/>
          <w:sz w:val="20"/>
        </w:rPr>
        <w:t>) is a regenerative medicine company leading the development and commercialization of devices and autologous cellular therapies for skin restoration. Our patented and proprietary RECELL® System (</w:t>
      </w:r>
      <w:r>
        <w:rPr>
          <w:rFonts w:ascii="Times New Roman" w:hAnsi="Times New Roman"/>
          <w:b/>
          <w:sz w:val="20"/>
        </w:rPr>
        <w:t>RECELL System</w:t>
      </w:r>
      <w:r>
        <w:rPr>
          <w:rFonts w:ascii="Times New Roman" w:hAnsi="Times New Roman"/>
          <w:sz w:val="20"/>
        </w:rPr>
        <w:t> or </w:t>
      </w:r>
      <w:r>
        <w:rPr>
          <w:rFonts w:ascii="Times New Roman" w:hAnsi="Times New Roman"/>
          <w:b/>
          <w:sz w:val="20"/>
        </w:rPr>
        <w:t>RECELL</w:t>
      </w:r>
      <w:r>
        <w:rPr>
          <w:rFonts w:ascii="Times New Roman" w:hAnsi="Times New Roman"/>
          <w:sz w:val="20"/>
        </w:rPr>
        <w:t xml:space="preserve">) technology platform harnesses the regenerative properties of a patients own skin to create Spray-On Skin Cells, an autologous skin cell suspension that is sprayed onto the patient to regenerate natural healthy skin. </w:t>
      </w:r>
    </w:p>
    <w:p>
      <w:pPr>
        <w:pStyle w:val="TextBody"/>
        <w:spacing w:before="240" w:after="0"/>
        <w:jc w:val="left"/>
        <w:rPr>
          <w:rFonts w:ascii="Times New Roman" w:hAnsi="Times New Roman"/>
          <w:sz w:val="20"/>
        </w:rPr>
      </w:pPr>
      <w:r>
        <w:rPr>
          <w:rFonts w:ascii="Times New Roman" w:hAnsi="Times New Roman"/>
          <w:sz w:val="20"/>
        </w:rPr>
        <w:t>The RECELL System has a long-established safety profile, and clear potential for clinical and health-economic value propositions across a range of skin-related clinical indications. The patented and proprietary platform technology underlying Spray-On Skin Cells originated in Australia, based on the seminal work of Professor Fiona Wood and fellow scientist Marie Stoner. RECELL was initially launched in the E.U. in 2005, and then in Australia in 2006, ahead of pivotal outcomes data demonstrating clinical performance relative to standard care. Pivotal trials were conducted in the U.S. beginning in 2010. In September 2018, the U.S. Food and Drug Administration (</w:t>
      </w:r>
      <w:r>
        <w:rPr>
          <w:rFonts w:ascii="Times New Roman" w:hAnsi="Times New Roman"/>
          <w:b/>
          <w:sz w:val="20"/>
        </w:rPr>
        <w:t>FDA</w:t>
      </w:r>
      <w:r>
        <w:rPr>
          <w:rFonts w:ascii="Times New Roman" w:hAnsi="Times New Roman"/>
          <w:sz w:val="20"/>
        </w:rPr>
        <w:t>) approved RECELL as a Class 3 device through a premarket approval (</w:t>
      </w:r>
      <w:r>
        <w:rPr>
          <w:rFonts w:ascii="Times New Roman" w:hAnsi="Times New Roman"/>
          <w:b/>
          <w:sz w:val="20"/>
        </w:rPr>
        <w:t>PMA</w:t>
      </w:r>
      <w:r>
        <w:rPr>
          <w:rFonts w:ascii="Times New Roman" w:hAnsi="Times New Roman"/>
          <w:sz w:val="20"/>
        </w:rPr>
        <w:t xml:space="preserve">) for the treatment of acute thermal burn injuries in patients 18 years and older. Following receipt of our original PMA, we commenced commercialization of the RECELL System in January 2019 in the United States. RECELL is a first-of-kind medical device approved through FDAs Center for Biologics Evaluation and Research, and the first Class 3 device approved for use in burn care in over 20 years. </w:t>
      </w:r>
    </w:p>
    <w:p>
      <w:pPr>
        <w:pStyle w:val="TextBody"/>
        <w:spacing w:before="360" w:after="0"/>
        <w:jc w:val="left"/>
        <w:rPr>
          <w:rFonts w:ascii="Times New Roman" w:hAnsi="Times New Roman"/>
          <w:b/>
          <w:sz w:val="20"/>
        </w:rPr>
      </w:pPr>
      <w:r>
        <w:rPr>
          <w:rFonts w:ascii="Times New Roman" w:hAnsi="Times New Roman"/>
          <w:b/>
          <w:sz w:val="20"/>
        </w:rPr>
        <w:t xml:space="preserve">Company Information </w:t>
      </w:r>
    </w:p>
    <w:p>
      <w:pPr>
        <w:pStyle w:val="TextBody"/>
        <w:spacing w:before="120" w:after="0"/>
        <w:jc w:val="left"/>
        <w:rPr>
          <w:rFonts w:ascii="Times New Roman" w:hAnsi="Times New Roman"/>
          <w:sz w:val="20"/>
        </w:rPr>
      </w:pPr>
      <w:r>
        <w:rPr>
          <w:rFonts w:ascii="Times New Roman" w:hAnsi="Times New Roman"/>
          <w:sz w:val="20"/>
        </w:rPr>
        <w:t xml:space="preserve">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Offering </w:t>
      </w:r>
    </w:p>
    <w:p>
      <w:pPr>
        <w:pStyle w:val="TextBody"/>
        <w:spacing w:before="240" w:after="0"/>
        <w:jc w:val="left"/>
        <w:rPr>
          <w:rFonts w:ascii="Times New Roman" w:hAnsi="Times New Roman"/>
          <w:i/>
          <w:sz w:val="20"/>
        </w:rPr>
      </w:pPr>
      <w:r>
        <w:rPr>
          <w:rFonts w:ascii="Times New Roman" w:hAnsi="Times New Roman"/>
          <w:i/>
          <w:sz w:val="20"/>
        </w:rPr>
        <w:t xml:space="preserve">The following is a brief summary of some of the terms of the offering and is qualified in its entirety by reference to the more detailed information appearing elsewhere in this prospectus supplement and the accompanying prospectus. For a more complete description of the terms of our common stock, see Description of Common Stock We May Offer in the accompanying prospectus.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97"/>
        <w:gridCol w:w="121"/>
        <w:gridCol w:w="7421"/>
      </w:tblGrid>
      <w:tr>
        <w:trPr/>
        <w:tc>
          <w:tcPr>
            <w:tcW w:w="299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421" w:type="dxa"/>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283"/>
              <w:rPr>
                <w:b/>
              </w:rPr>
            </w:pPr>
            <w:r>
              <w:rPr>
                <w:b/>
              </w:rPr>
              <w:t>Common Stock Offered by Us</w:t>
            </w:r>
          </w:p>
        </w:tc>
        <w:tc>
          <w:tcPr>
            <w:tcW w:w="121" w:type="dxa"/>
            <w:tcBorders/>
            <w:shd w:fill="auto" w:val="clear"/>
            <w:vAlign w:val="bottom"/>
          </w:tcPr>
          <w:p>
            <w:pPr>
              <w:pStyle w:val="TableContents"/>
              <w:spacing w:before="0" w:after="283"/>
              <w:rPr/>
            </w:pPr>
            <w:r>
              <w:rPr/>
              <w:t>  </w:t>
            </w:r>
          </w:p>
        </w:tc>
        <w:tc>
          <w:tcPr>
            <w:tcW w:w="7421" w:type="dxa"/>
            <w:tcBorders/>
            <w:shd w:fill="auto" w:val="clear"/>
          </w:tcPr>
          <w:p>
            <w:pPr>
              <w:pStyle w:val="TableContents"/>
              <w:spacing w:before="0" w:after="283"/>
              <w:rPr/>
            </w:pPr>
            <w:r>
              <w:rPr/>
              <w:t>Up to 3,799,164 shares of our common stock.</w:t>
            </w:r>
          </w:p>
        </w:tc>
      </w:tr>
      <w:tr>
        <w:trPr>
          <w:trHeight w:val="120" w:hRule="atLeast"/>
        </w:trPr>
        <w:tc>
          <w:tcPr>
            <w:tcW w:w="2997" w:type="dxa"/>
            <w:tcBorders/>
            <w:shd w:fill="auto" w:val="clear"/>
            <w:vAlign w:val="center"/>
          </w:tcPr>
          <w:p>
            <w:pPr>
              <w:pStyle w:val="TableContents"/>
              <w:spacing w:before="0" w:after="283"/>
              <w:rPr>
                <w:sz w:val="4"/>
                <w:szCs w:val="4"/>
              </w:rPr>
            </w:pPr>
            <w:r>
              <w:rPr>
                <w:sz w:val="4"/>
                <w:szCs w:val="4"/>
              </w:rPr>
            </w:r>
          </w:p>
        </w:tc>
        <w:tc>
          <w:tcPr>
            <w:tcW w:w="7542" w:type="dxa"/>
            <w:gridSpan w:val="2"/>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283"/>
              <w:rPr>
                <w:b/>
              </w:rPr>
            </w:pPr>
            <w:r>
              <w:rPr>
                <w:b/>
              </w:rPr>
              <w:t>Manner of Offering</w:t>
            </w:r>
          </w:p>
        </w:tc>
        <w:tc>
          <w:tcPr>
            <w:tcW w:w="121" w:type="dxa"/>
            <w:tcBorders/>
            <w:shd w:fill="auto" w:val="clear"/>
            <w:vAlign w:val="bottom"/>
          </w:tcPr>
          <w:p>
            <w:pPr>
              <w:pStyle w:val="TableContents"/>
              <w:spacing w:before="0" w:after="283"/>
              <w:rPr/>
            </w:pPr>
            <w:r>
              <w:rPr/>
              <w:t>  </w:t>
            </w:r>
          </w:p>
        </w:tc>
        <w:tc>
          <w:tcPr>
            <w:tcW w:w="7421" w:type="dxa"/>
            <w:tcBorders/>
            <w:shd w:fill="auto" w:val="clear"/>
          </w:tcPr>
          <w:p>
            <w:pPr>
              <w:pStyle w:val="TableContents"/>
              <w:spacing w:before="0" w:after="283"/>
              <w:rPr/>
            </w:pPr>
            <w:r>
              <w:rPr/>
              <w:t>At the market offerings that may be made from time to time through our sales agent, Cowen and Company, LLC. See Plan of Distribution on page S-9 for further information.</w:t>
            </w:r>
          </w:p>
        </w:tc>
      </w:tr>
      <w:tr>
        <w:trPr>
          <w:trHeight w:val="120" w:hRule="atLeast"/>
        </w:trPr>
        <w:tc>
          <w:tcPr>
            <w:tcW w:w="2997" w:type="dxa"/>
            <w:tcBorders/>
            <w:shd w:fill="auto" w:val="clear"/>
            <w:vAlign w:val="center"/>
          </w:tcPr>
          <w:p>
            <w:pPr>
              <w:pStyle w:val="TableContents"/>
              <w:spacing w:before="0" w:after="283"/>
              <w:rPr>
                <w:sz w:val="4"/>
                <w:szCs w:val="4"/>
              </w:rPr>
            </w:pPr>
            <w:r>
              <w:rPr>
                <w:sz w:val="4"/>
                <w:szCs w:val="4"/>
              </w:rPr>
            </w:r>
          </w:p>
        </w:tc>
        <w:tc>
          <w:tcPr>
            <w:tcW w:w="7542" w:type="dxa"/>
            <w:gridSpan w:val="2"/>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283"/>
              <w:rPr>
                <w:b/>
              </w:rPr>
            </w:pPr>
            <w:r>
              <w:rPr>
                <w:b/>
              </w:rPr>
              <w:t>Use of Proceeds</w:t>
            </w:r>
          </w:p>
        </w:tc>
        <w:tc>
          <w:tcPr>
            <w:tcW w:w="121" w:type="dxa"/>
            <w:tcBorders/>
            <w:shd w:fill="auto" w:val="clear"/>
            <w:vAlign w:val="bottom"/>
          </w:tcPr>
          <w:p>
            <w:pPr>
              <w:pStyle w:val="TableContents"/>
              <w:spacing w:before="0" w:after="283"/>
              <w:rPr/>
            </w:pPr>
            <w:r>
              <w:rPr/>
              <w:t>  </w:t>
            </w:r>
          </w:p>
        </w:tc>
        <w:tc>
          <w:tcPr>
            <w:tcW w:w="7421" w:type="dxa"/>
            <w:tcBorders/>
            <w:shd w:fill="auto" w:val="clear"/>
          </w:tcPr>
          <w:p>
            <w:pPr>
              <w:pStyle w:val="TableContents"/>
              <w:spacing w:before="0" w:after="283"/>
              <w:rPr/>
            </w:pPr>
            <w:r>
              <w:rPr/>
              <w:t>We intend to use the net proceeds from the sale of any securities offered under this prospectus supplement for general corporate purposes. Although we have not yet identified specific uses for these proceeds, we currently anticipate using the proceeds to fund some or all of the following purposes: our product development pipeline and to pursue approvals of our products for additional indications, which may include licensing arrangements. See Use of Proceeds on page S-7 for further information.</w:t>
            </w:r>
          </w:p>
        </w:tc>
      </w:tr>
      <w:tr>
        <w:trPr>
          <w:trHeight w:val="120" w:hRule="atLeast"/>
        </w:trPr>
        <w:tc>
          <w:tcPr>
            <w:tcW w:w="2997" w:type="dxa"/>
            <w:tcBorders/>
            <w:shd w:fill="auto" w:val="clear"/>
            <w:vAlign w:val="center"/>
          </w:tcPr>
          <w:p>
            <w:pPr>
              <w:pStyle w:val="TableContents"/>
              <w:spacing w:before="0" w:after="283"/>
              <w:rPr>
                <w:sz w:val="4"/>
                <w:szCs w:val="4"/>
              </w:rPr>
            </w:pPr>
            <w:r>
              <w:rPr>
                <w:sz w:val="4"/>
                <w:szCs w:val="4"/>
              </w:rPr>
            </w:r>
          </w:p>
        </w:tc>
        <w:tc>
          <w:tcPr>
            <w:tcW w:w="7542" w:type="dxa"/>
            <w:gridSpan w:val="2"/>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283"/>
              <w:rPr>
                <w:b/>
              </w:rPr>
            </w:pPr>
            <w:r>
              <w:rPr>
                <w:b/>
              </w:rPr>
              <w:t>Risk Factors</w:t>
            </w:r>
          </w:p>
        </w:tc>
        <w:tc>
          <w:tcPr>
            <w:tcW w:w="121" w:type="dxa"/>
            <w:tcBorders/>
            <w:shd w:fill="auto" w:val="clear"/>
            <w:vAlign w:val="bottom"/>
          </w:tcPr>
          <w:p>
            <w:pPr>
              <w:pStyle w:val="TableContents"/>
              <w:spacing w:before="0" w:after="283"/>
              <w:rPr/>
            </w:pPr>
            <w:r>
              <w:rPr/>
              <w:t>  </w:t>
            </w:r>
          </w:p>
        </w:tc>
        <w:tc>
          <w:tcPr>
            <w:tcW w:w="7421" w:type="dxa"/>
            <w:tcBorders/>
            <w:shd w:fill="auto" w:val="clear"/>
          </w:tcPr>
          <w:p>
            <w:pPr>
              <w:pStyle w:val="TableContents"/>
              <w:spacing w:before="0" w:after="283"/>
              <w:rPr/>
            </w:pPr>
            <w:r>
              <w:rPr/>
              <w:t>Investing in our common stock involves certain risks. See Risk Factors beginning on page S-5 of this prospectus supplement and the risk factors set forth in our most recently filed Annual Report on Form 10-K for the year ended December 31, 2022, which are incorporated by reference into this prospectus supplement.</w:t>
            </w:r>
          </w:p>
        </w:tc>
      </w:tr>
      <w:tr>
        <w:trPr>
          <w:trHeight w:val="120" w:hRule="atLeast"/>
        </w:trPr>
        <w:tc>
          <w:tcPr>
            <w:tcW w:w="2997" w:type="dxa"/>
            <w:tcBorders/>
            <w:shd w:fill="auto" w:val="clear"/>
            <w:vAlign w:val="center"/>
          </w:tcPr>
          <w:p>
            <w:pPr>
              <w:pStyle w:val="TableContents"/>
              <w:spacing w:before="0" w:after="283"/>
              <w:rPr>
                <w:sz w:val="4"/>
                <w:szCs w:val="4"/>
              </w:rPr>
            </w:pPr>
            <w:r>
              <w:rPr>
                <w:sz w:val="4"/>
                <w:szCs w:val="4"/>
              </w:rPr>
            </w:r>
          </w:p>
        </w:tc>
        <w:tc>
          <w:tcPr>
            <w:tcW w:w="7542" w:type="dxa"/>
            <w:gridSpan w:val="2"/>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283"/>
              <w:rPr>
                <w:b/>
              </w:rPr>
            </w:pPr>
            <w:r>
              <w:rPr>
                <w:b/>
              </w:rPr>
              <w:t>The Nasdaq Stock Market LLC Trading Symbol</w:t>
            </w:r>
          </w:p>
        </w:tc>
        <w:tc>
          <w:tcPr>
            <w:tcW w:w="121" w:type="dxa"/>
            <w:tcBorders/>
            <w:shd w:fill="auto" w:val="clear"/>
            <w:vAlign w:val="bottom"/>
          </w:tcPr>
          <w:p>
            <w:pPr>
              <w:pStyle w:val="TableContents"/>
              <w:spacing w:before="0" w:after="283"/>
              <w:rPr/>
            </w:pPr>
            <w:r>
              <w:rPr/>
              <w:t>  </w:t>
            </w:r>
          </w:p>
        </w:tc>
        <w:tc>
          <w:tcPr>
            <w:tcW w:w="7421" w:type="dxa"/>
            <w:tcBorders/>
            <w:shd w:fill="auto" w:val="clear"/>
          </w:tcPr>
          <w:p>
            <w:pPr>
              <w:pStyle w:val="TableContents"/>
              <w:spacing w:before="0" w:after="283"/>
              <w:rPr/>
            </w:pPr>
            <w:r>
              <w:rPr/>
              <w:t>RCEL</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tx303976_4"/>
      <w:bookmarkEnd w:id="6"/>
      <w:r>
        <w:rPr>
          <w:rFonts w:ascii="Times New Roman" w:hAnsi="Times New Roman"/>
          <w:b/>
          <w:sz w:val="20"/>
        </w:rPr>
        <w:t xml:space="preserve">RISK FACTORS </w:t>
      </w:r>
    </w:p>
    <w:p>
      <w:pPr>
        <w:pStyle w:val="TextBody"/>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 factors, as well as the risk factors set forth in our Annual Report on Form 10-K for the year ended December 31, 2022, as updated by our subsequent filings under the Securities Exchange Act of 1934, as amended, each of which is incorporated by reference in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 </w:t>
      </w:r>
    </w:p>
    <w:p>
      <w:pPr>
        <w:pStyle w:val="TextBody"/>
        <w:spacing w:before="360" w:after="0"/>
        <w:jc w:val="left"/>
        <w:rPr>
          <w:rFonts w:ascii="Times New Roman" w:hAnsi="Times New Roman"/>
          <w:b/>
          <w:sz w:val="20"/>
        </w:rPr>
      </w:pPr>
      <w:r>
        <w:rPr>
          <w:rFonts w:ascii="Times New Roman" w:hAnsi="Times New Roman"/>
          <w:b/>
          <w:sz w:val="20"/>
        </w:rPr>
        <w:t xml:space="preserve">Additional Risks Relating to this Offering </w:t>
      </w:r>
    </w:p>
    <w:p>
      <w:pPr>
        <w:pStyle w:val="TextBody"/>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proceeds from this offering, and we may not use the proceeds effectively. </w:t>
      </w:r>
    </w:p>
    <w:p>
      <w:pPr>
        <w:pStyle w:val="TextBody"/>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you do not agree with or that do not improve our results of operations or enhance the value of our common stock  see Use of Proceeds. Our failure to apply these funds effectively could have a material adverse effect on our business and cause the price of our common stock to decline. </w:t>
      </w:r>
    </w:p>
    <w:p>
      <w:pPr>
        <w:pStyle w:val="TextBody"/>
        <w:spacing w:before="360" w:after="0"/>
        <w:jc w:val="left"/>
        <w:rPr>
          <w:rFonts w:ascii="Times New Roman" w:hAnsi="Times New Roman"/>
          <w:sz w:val="20"/>
        </w:rPr>
      </w:pPr>
      <w:r>
        <w:rPr>
          <w:rFonts w:ascii="Times New Roman" w:hAnsi="Times New Roman"/>
          <w:b/>
          <w:i/>
          <w:sz w:val="20"/>
        </w:rPr>
        <w:t>Because we do not intend to pay dividends on our common stock, stockholders will benefit from an investment in our stock only if it appreciates in value</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We have never declared or paid any cash dividends on our shares of stock. 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our board of directors deems relevant, including among others, our results of operations, financial condition and cash requirements, as well as business prospects. Accordingly, realization of a gain on stockholders investments will depend on the appreciation of the price of our stock. There is no guarantee that our stock will appreciate in value. </w:t>
      </w:r>
    </w:p>
    <w:p>
      <w:pPr>
        <w:pStyle w:val="TextBody"/>
        <w:spacing w:before="360" w:after="0"/>
        <w:jc w:val="left"/>
        <w:rPr>
          <w:rFonts w:ascii="Times New Roman" w:hAnsi="Times New Roman"/>
          <w:b/>
          <w:i/>
          <w:sz w:val="20"/>
        </w:rPr>
      </w:pPr>
      <w:r>
        <w:rPr>
          <w:rFonts w:ascii="Times New Roman" w:hAnsi="Times New Roman"/>
          <w:b/>
          <w:i/>
          <w:sz w:val="20"/>
        </w:rPr>
        <w:t xml:space="preserve">Sales of a significant number of shares of our common stock in the public markets, and other transactions that we may pursue, could depress the market price of our common stock. </w:t>
      </w:r>
    </w:p>
    <w:p>
      <w:pPr>
        <w:pStyle w:val="TextBody"/>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markets and the perception that those sales may occur could adversely affect the market price of our common stock. The completion of this offering will notably increase the number of shares of our common stock that may be sold in the public market because the shares of our common stock issued by us through this offering will be freely tradeable without restriction on further registration under the Securities Act. In addition, future issuances of equity securities may dilute the interests of our existing stockholders, including you, and could cause the market price of our common stock to decline. </w:t>
      </w:r>
    </w:p>
    <w:p>
      <w:pPr>
        <w:pStyle w:val="TextBody"/>
        <w:spacing w:before="360" w:after="0"/>
        <w:jc w:val="left"/>
        <w:rPr>
          <w:rFonts w:ascii="Times New Roman" w:hAnsi="Times New Roman"/>
          <w:b/>
          <w:i/>
          <w:sz w:val="20"/>
        </w:rPr>
      </w:pPr>
      <w:r>
        <w:rPr>
          <w:rFonts w:ascii="Times New Roman" w:hAnsi="Times New Roman"/>
          <w:b/>
          <w:i/>
          <w:sz w:val="20"/>
        </w:rPr>
        <w:t xml:space="preserve">Our stock price may be volatile and purchasers of our common stock could incur substantial losses. </w:t>
      </w:r>
    </w:p>
    <w:p>
      <w:pPr>
        <w:pStyle w:val="TextBody"/>
        <w:spacing w:before="120" w:after="0"/>
        <w:jc w:val="left"/>
        <w:rPr>
          <w:rFonts w:ascii="Times New Roman" w:hAnsi="Times New Roman"/>
          <w:sz w:val="20"/>
        </w:rPr>
      </w:pPr>
      <w:r>
        <w:rPr>
          <w:rFonts w:ascii="Times New Roman" w:hAnsi="Times New Roman"/>
          <w:sz w:val="20"/>
        </w:rPr>
        <w:t xml:space="preserve">Our stock price has been volatile. The market price for our common stock may be influenced by many factors, including the other risks described in this section titled Risk Factors, the risk factors set forth in our Annual Report on Form 10-K for the year ended December 31, 2022, additional SEC filings we incorporate by reference herein and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expected fluctuations in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expected changes in our growth rates or our competitors growth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results of clinical trials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results of clinical trials of our competitors products and announcements by competitors of related regulatory approvals;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regulatory actions with respect to our products or our competitors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reports of one or more patient serious adverse events;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in the industry;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or the failure of our competitors to meet analysts projections or guidance that we or our competitors may give to the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inflation, interest rates and the war in Ukraine, as well as other global economic and social events on the capital markets and equity share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of exchange rates between the U.S. dollar and the Australian dollar;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issuances by us of debt or equity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litigation involving our company, including shareholder litigation;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investigations or audits by regulators into the operations of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proceedings initiated by our competitors or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sales or perceived potential sales of the common stock or CDIs by us, our directors, senior management or our stockholders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short selling or other market manipulation activities;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terrorist acts, acts of war or periods of widespread civil unrest;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economic and social effects of the COVID-19 virus or other pandemics;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natural disasters and other calamities;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market conditions for biopharmaceutical stocks;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inability to raise additional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market prices for our product or for our raw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key personnel for us or our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or proposed changes in laws and regulations affecting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conditions in the financial markets in general or changes in general economic conditions;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COVID-19 on our operations, clinical trials (including patient enrollment), availability of materials from our suppliers, and sales of our products.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tx303976_5"/>
      <w:bookmarkEnd w:id="7"/>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may issue and sell up to 3,799,164 shares of our common stock from time to time. Because there is no minimum offering amount required as a condition to close this offering, the actual total public offering amount, commissions and net proceeds to us, if any, are not determinable at this time. </w:t>
      </w:r>
    </w:p>
    <w:p>
      <w:pPr>
        <w:pStyle w:val="TextBody"/>
        <w:spacing w:before="240" w:after="0"/>
        <w:jc w:val="left"/>
        <w:rPr>
          <w:rFonts w:ascii="Times New Roman" w:hAnsi="Times New Roman"/>
          <w:sz w:val="20"/>
        </w:rPr>
      </w:pPr>
      <w:r>
        <w:rPr>
          <w:rFonts w:ascii="Times New Roman" w:hAnsi="Times New Roman"/>
          <w:sz w:val="20"/>
        </w:rPr>
        <w:t xml:space="preserve">We currently intend to use the net proceeds from this offering for general corporate purposes. Although we have not yet identified specific uses for these proceeds, we currently anticipate using the proceeds to fund some or all of the following purposes: our product development pipeline and to pursue approvals of our products for additional indications, which may include licensing arrangements. </w:t>
      </w:r>
    </w:p>
    <w:p>
      <w:pPr>
        <w:pStyle w:val="TextBody"/>
        <w:spacing w:before="240" w:after="0"/>
        <w:jc w:val="left"/>
        <w:rPr>
          <w:rFonts w:ascii="Times New Roman" w:hAnsi="Times New Roman"/>
          <w:sz w:val="20"/>
        </w:rPr>
      </w:pPr>
      <w:r>
        <w:rPr>
          <w:rFonts w:ascii="Times New Roman" w:hAnsi="Times New Roman"/>
          <w:sz w:val="20"/>
        </w:rPr>
        <w:t xml:space="preserve">We have not determined the exact amounts we plan to spend on any of the items listed above or the timing of these expenditures. The amounts and timing of our actual expenditures may vary significantly depending on numerous factors, including the actual net proceeds from this offering, the progress of our development efforts, the status of and results from clinical trials and manufacturing activities, as well as any collaborations that we may enter into with third parties for our product candidates, and any unforeseen cash needs. As a result, our management will retain broad discretion over the allocation of the net proceeds from this offering. We have no current understandings, agreements or commitments for any material acquisitions or additional licenses of any products, businesses or technologies. </w:t>
      </w:r>
    </w:p>
    <w:p>
      <w:pPr>
        <w:pStyle w:val="TextBody"/>
        <w:spacing w:before="240" w:after="0"/>
        <w:jc w:val="left"/>
        <w:rPr>
          <w:rFonts w:ascii="Times New Roman" w:hAnsi="Times New Roman"/>
          <w:sz w:val="20"/>
        </w:rPr>
      </w:pPr>
      <w:r>
        <w:rPr>
          <w:rFonts w:ascii="Times New Roman" w:hAnsi="Times New Roman"/>
          <w:sz w:val="20"/>
        </w:rPr>
        <w:t xml:space="preserve">Pending the uses described above, we intend to invest the net proceeds from this offering in short-term, investment-grade, interest-bearing securities such as money market accounts, certificates of deposit, commercial paper, and guaranteed obligations of the U.S. government. </w:t>
      </w:r>
    </w:p>
    <w:p>
      <w:pPr>
        <w:pStyle w:val="TextBody"/>
        <w:spacing w:before="480" w:after="0"/>
        <w:jc w:val="center"/>
        <w:rPr>
          <w:rFonts w:ascii="Times New Roman" w:hAnsi="Times New Roman"/>
          <w:b/>
          <w:sz w:val="20"/>
        </w:rPr>
      </w:pPr>
      <w:bookmarkStart w:id="8" w:name="suptx303976_6"/>
      <w:bookmarkEnd w:id="8"/>
      <w:r>
        <w:rPr>
          <w:rFonts w:ascii="Times New Roman" w:hAnsi="Times New Roman"/>
          <w:b/>
          <w:sz w:val="20"/>
        </w:rPr>
        <w:t xml:space="preserve">DIVIDEND POLICY </w:t>
      </w:r>
    </w:p>
    <w:p>
      <w:pPr>
        <w:pStyle w:val="TextBody"/>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tx303976_7"/>
      <w:bookmarkEnd w:id="9"/>
      <w:r>
        <w:rPr>
          <w:rFonts w:ascii="Times New Roman" w:hAnsi="Times New Roman"/>
          <w:b/>
          <w:sz w:val="20"/>
        </w:rPr>
        <w:t xml:space="preserve">DILUTION </w:t>
      </w:r>
    </w:p>
    <w:p>
      <w:pPr>
        <w:pStyle w:val="TextBody"/>
        <w:spacing w:before="240" w:after="0"/>
        <w:jc w:val="left"/>
        <w:rPr>
          <w:rFonts w:ascii="Times New Roman" w:hAnsi="Times New Roman"/>
          <w:sz w:val="20"/>
        </w:rPr>
      </w:pPr>
      <w:r>
        <w:rPr>
          <w:rFonts w:ascii="Times New Roman" w:hAnsi="Times New Roman"/>
          <w:sz w:val="20"/>
        </w:rPr>
        <w:t xml:space="preserve">If you invest in our common stock in this offering, your interest will be diluted to the extent of the difference between the public offering price per share of our common stock and the net tangible book value per share of our common stock after this offering. We calculate net tangible book value per share by dividing our net tangible assets (tangible assets less total liabilities) by the number of shares of our common stock issued and outstanding. </w:t>
      </w:r>
    </w:p>
    <w:p>
      <w:pPr>
        <w:pStyle w:val="TextBody"/>
        <w:spacing w:before="240" w:after="0"/>
        <w:jc w:val="left"/>
        <w:rPr>
          <w:rFonts w:ascii="Times New Roman" w:hAnsi="Times New Roman"/>
          <w:sz w:val="20"/>
        </w:rPr>
      </w:pPr>
      <w:r>
        <w:rPr>
          <w:rFonts w:ascii="Times New Roman" w:hAnsi="Times New Roman"/>
          <w:sz w:val="20"/>
        </w:rPr>
        <w:t xml:space="preserve">Our net tangible book value at December 31, 2022 was $84.0 million, or $3.33 per share, based on 25,208,436 shares of our common stock outstanding as of such date. After giving effect to the assumed sale by us of 3,799,164 shares of our common stock at an assumed public offering price of $14.32 per share (the last sale price of our common stock on April 20, 2023 as reported on The Nasdaq Stock Market LLC), less the estimated commission and estimated offering expenses payable by us, our net tangible book value at December 31, 2022 would have been $136.4 million, or $4.70 per share. This represents an immediate increase in pro forma net tangible book value of $1.37 per share to existing stockholders and an immediate dilution of $9.62 per share to investors in this offering. The following table illustrates this per share dilution. The as-adjusted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43"/>
        <w:gridCol w:w="292"/>
        <w:gridCol w:w="144"/>
        <w:gridCol w:w="447"/>
        <w:gridCol w:w="60"/>
        <w:gridCol w:w="292"/>
        <w:gridCol w:w="144"/>
        <w:gridCol w:w="579"/>
        <w:gridCol w:w="65"/>
      </w:tblGrid>
      <w:tr>
        <w:trPr/>
        <w:tc>
          <w:tcPr>
            <w:tcW w:w="514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143" w:type="dxa"/>
            <w:tcBorders/>
            <w:shd w:fill="CCEEFF" w:val="clear"/>
          </w:tcPr>
          <w:p>
            <w:pPr>
              <w:pStyle w:val="TableContents"/>
              <w:spacing w:before="0" w:after="0"/>
              <w:rPr>
                <w:rFonts w:ascii="Times New Roman" w:hAnsi="Times New Roman"/>
                <w:sz w:val="20"/>
              </w:rPr>
            </w:pPr>
            <w:r>
              <w:rPr>
                <w:rFonts w:ascii="Times New Roman" w:hAnsi="Times New Roman"/>
                <w:sz w:val="20"/>
              </w:rPr>
              <w:t>Assumed public offering price per share of common stock</w:t>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4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579" w:type="dxa"/>
            <w:tcBorders/>
            <w:shd w:fill="CCEEFF" w:val="clear"/>
            <w:vAlign w:val="bottom"/>
          </w:tcPr>
          <w:p>
            <w:pPr>
              <w:pStyle w:val="TableContents"/>
              <w:spacing w:before="0" w:after="283"/>
              <w:jc w:val="right"/>
              <w:rPr/>
            </w:pPr>
            <w:r>
              <w:rPr/>
              <w:t>14.32</w:t>
            </w:r>
          </w:p>
        </w:tc>
        <w:tc>
          <w:tcPr>
            <w:tcW w:w="65" w:type="dxa"/>
            <w:tcBorders/>
            <w:shd w:fill="CCEEFF" w:val="clear"/>
            <w:vAlign w:val="bottom"/>
          </w:tcPr>
          <w:p>
            <w:pPr>
              <w:pStyle w:val="TableContents"/>
              <w:spacing w:before="0" w:after="283"/>
              <w:rPr/>
            </w:pPr>
            <w:r>
              <w:rPr/>
              <w:t> </w:t>
            </w:r>
          </w:p>
        </w:tc>
      </w:tr>
      <w:tr>
        <w:trPr/>
        <w:tc>
          <w:tcPr>
            <w:tcW w:w="5143" w:type="dxa"/>
            <w:tcBorders/>
            <w:shd w:fill="auto" w:val="clear"/>
          </w:tcPr>
          <w:p>
            <w:pPr>
              <w:pStyle w:val="TableContents"/>
              <w:spacing w:before="0" w:after="0"/>
              <w:rPr>
                <w:rFonts w:ascii="Times New Roman" w:hAnsi="Times New Roman"/>
                <w:sz w:val="20"/>
              </w:rPr>
            </w:pPr>
            <w:r>
              <w:rPr>
                <w:rFonts w:ascii="Times New Roman" w:hAnsi="Times New Roman"/>
                <w:sz w:val="20"/>
              </w:rPr>
              <w:t>Net tangible book value per share as of December 31, 2022</w:t>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jc w:val="right"/>
              <w:rPr/>
            </w:pPr>
            <w:r>
              <w:rPr/>
              <w:t>3.33</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5143" w:type="dxa"/>
            <w:tcBorders/>
            <w:shd w:fill="CCEEFF" w:val="clear"/>
          </w:tcPr>
          <w:p>
            <w:pPr>
              <w:pStyle w:val="TableContents"/>
              <w:spacing w:before="0" w:after="0"/>
              <w:rPr>
                <w:rFonts w:ascii="Times New Roman" w:hAnsi="Times New Roman"/>
                <w:sz w:val="20"/>
              </w:rPr>
            </w:pPr>
            <w:r>
              <w:rPr>
                <w:rFonts w:ascii="Times New Roman" w:hAnsi="Times New Roman"/>
                <w:sz w:val="20"/>
              </w:rPr>
              <w:t>Increase per share attributable to this offering</w:t>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jc w:val="right"/>
              <w:rPr/>
            </w:pPr>
            <w:r>
              <w:rPr/>
              <w:t>1.37</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579"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143"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4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5143" w:type="dxa"/>
            <w:tcBorders/>
            <w:shd w:fill="auto" w:val="clear"/>
          </w:tcPr>
          <w:p>
            <w:pPr>
              <w:pStyle w:val="TableContents"/>
              <w:spacing w:before="0" w:after="0"/>
              <w:rPr>
                <w:rFonts w:ascii="Times New Roman" w:hAnsi="Times New Roman"/>
                <w:sz w:val="20"/>
              </w:rPr>
            </w:pPr>
            <w:r>
              <w:rPr>
                <w:rFonts w:ascii="Times New Roman" w:hAnsi="Times New Roman"/>
                <w:sz w:val="20"/>
              </w:rPr>
              <w:t>As-adjusted net tangible book value per share as of December 31, 2022 after this offering</w:t>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w:t>
            </w:r>
          </w:p>
        </w:tc>
        <w:tc>
          <w:tcPr>
            <w:tcW w:w="579" w:type="dxa"/>
            <w:tcBorders/>
            <w:shd w:fill="auto" w:val="clear"/>
            <w:vAlign w:val="bottom"/>
          </w:tcPr>
          <w:p>
            <w:pPr>
              <w:pStyle w:val="TableContents"/>
              <w:spacing w:before="0" w:after="283"/>
              <w:jc w:val="right"/>
              <w:rPr/>
            </w:pPr>
            <w:r>
              <w:rPr/>
              <w:t>4.70</w:t>
            </w:r>
          </w:p>
        </w:tc>
        <w:tc>
          <w:tcPr>
            <w:tcW w:w="65" w:type="dxa"/>
            <w:tcBorders/>
            <w:shd w:fill="auto" w:val="clear"/>
            <w:vAlign w:val="bottom"/>
          </w:tcPr>
          <w:p>
            <w:pPr>
              <w:pStyle w:val="TableContents"/>
              <w:spacing w:before="0" w:after="283"/>
              <w:rPr/>
            </w:pPr>
            <w:r>
              <w:rPr/>
              <w:t> </w:t>
            </w:r>
          </w:p>
        </w:tc>
      </w:tr>
      <w:tr>
        <w:trPr/>
        <w:tc>
          <w:tcPr>
            <w:tcW w:w="5143" w:type="dxa"/>
            <w:tcBorders/>
            <w:shd w:fill="CCEEFF" w:val="clear"/>
          </w:tcPr>
          <w:p>
            <w:pPr>
              <w:pStyle w:val="TableContents"/>
              <w:spacing w:before="0" w:after="0"/>
              <w:rPr>
                <w:rFonts w:ascii="Times New Roman" w:hAnsi="Times New Roman"/>
                <w:sz w:val="20"/>
              </w:rPr>
            </w:pPr>
            <w:r>
              <w:rPr>
                <w:rFonts w:ascii="Times New Roman" w:hAnsi="Times New Roman"/>
                <w:sz w:val="20"/>
              </w:rPr>
              <w:t>Dilution per share to new investors participating in this offering</w:t>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4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579" w:type="dxa"/>
            <w:tcBorders/>
            <w:shd w:fill="CCEEFF" w:val="clear"/>
            <w:vAlign w:val="bottom"/>
          </w:tcPr>
          <w:p>
            <w:pPr>
              <w:pStyle w:val="TableContents"/>
              <w:spacing w:before="0" w:after="283"/>
              <w:jc w:val="right"/>
              <w:rPr/>
            </w:pPr>
            <w:r>
              <w:rPr/>
              <w:t>9.62</w:t>
            </w:r>
          </w:p>
        </w:tc>
        <w:tc>
          <w:tcPr>
            <w:tcW w:w="65" w:type="dxa"/>
            <w:tcBorders/>
            <w:shd w:fill="CCEEFF" w:val="clear"/>
            <w:vAlign w:val="bottom"/>
          </w:tcPr>
          <w:p>
            <w:pPr>
              <w:pStyle w:val="TableContents"/>
              <w:spacing w:before="0" w:after="283"/>
              <w:rPr/>
            </w:pPr>
            <w:r>
              <w:rPr/>
              <w:t> </w:t>
            </w:r>
          </w:p>
        </w:tc>
      </w:tr>
      <w:tr>
        <w:trPr/>
        <w:tc>
          <w:tcPr>
            <w:tcW w:w="5143"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0"/>
              <w:rPr/>
            </w:pPr>
            <w:r>
              <w:rPr/>
              <w:t> </w:t>
            </w:r>
          </w:p>
        </w:tc>
        <w:tc>
          <w:tcPr>
            <w:tcW w:w="579"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table and calculations above are based on 25,208,436 shares of our common stock outstanding as of December 31, 2022, and exclude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2,235,446 shares of our common stock issuable upon the exercise of stock options outstanding as of December 31, 2022, at a weighted average exercise price of $12.47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460,518 shares of our common stock issuable upon the vesting of restricted stock units outstanding as of December 31,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244,675 additional shares of our common stock available for future issuance under our 2020 Omnibus Incentive Plan as of December 31,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tx303976_8"/>
      <w:bookmarkEnd w:id="10"/>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have entered into a sales agreement with Cowen, under which we may issue and sell from time to time up to 3,799,164 shares of our common stock through Cowen as our sales agent. Sales of our common stock, if any, will be made at market prices by any method that is deemed to be an at the market offering as defined in Rule 415 under the Securities Act, including sales made directly on The Nasdaq Stock Market LLC or any other trading market for our common stock. If authorized by us in writing, Cowen may purchase shares of our common stock as principal. </w:t>
      </w:r>
    </w:p>
    <w:p>
      <w:pPr>
        <w:pStyle w:val="TextBody"/>
        <w:spacing w:before="240" w:after="0"/>
        <w:jc w:val="left"/>
        <w:rPr>
          <w:rFonts w:ascii="Times New Roman" w:hAnsi="Times New Roman"/>
          <w:sz w:val="20"/>
        </w:rPr>
      </w:pPr>
      <w:r>
        <w:rPr>
          <w:rFonts w:ascii="Times New Roman" w:hAnsi="Times New Roman"/>
          <w:sz w:val="20"/>
        </w:rPr>
        <w:t xml:space="preserve">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 </w:t>
      </w:r>
    </w:p>
    <w:p>
      <w:pPr>
        <w:pStyle w:val="TextBody"/>
        <w:spacing w:before="240" w:after="0"/>
        <w:jc w:val="left"/>
        <w:rPr>
          <w:rFonts w:ascii="Times New Roman" w:hAnsi="Times New Roman"/>
          <w:sz w:val="20"/>
        </w:rPr>
      </w:pPr>
      <w:r>
        <w:rPr>
          <w:rFonts w:ascii="Times New Roman" w:hAnsi="Times New Roman"/>
          <w:sz w:val="20"/>
        </w:rPr>
        <w:t xml:space="preserve">The aggregate compensation payable to Cowen as sales agent equals 3% of the gross sales price of the shares sold through it pursuant to the sales agreement. We have also agreed to reimburse Cowen up to $95,000 of Cowens actual outside legal expenses incurred by Cowen in connection with this offering. We estimate that the total expenses of the offering payable by us, excluding commissions payable to Cowen under the sales agreement, will be approximately $320,000. </w:t>
      </w:r>
    </w:p>
    <w:p>
      <w:pPr>
        <w:pStyle w:val="TextBody"/>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spacing w:before="240" w:after="0"/>
        <w:jc w:val="left"/>
        <w:rPr>
          <w:rFonts w:ascii="Times New Roman" w:hAnsi="Times New Roman"/>
          <w:sz w:val="20"/>
        </w:rPr>
      </w:pPr>
      <w:r>
        <w:rPr>
          <w:rFonts w:ascii="Times New Roman" w:hAnsi="Times New Roman"/>
          <w:sz w:val="20"/>
        </w:rPr>
        <w:t xml:space="preserve">Cowen will provide written confirmation to us following the close of trading on The Nasdaq Stock Market LLC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 </w:t>
      </w:r>
    </w:p>
    <w:p>
      <w:pPr>
        <w:pStyle w:val="TextBody"/>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Cowen under the sales agreement, the net proceeds to us and the compensation paid by us to Cowen in connection with the sales of common stock. We will also report the number of shares of common stock sold through Cowen under the sales agreement to the ASX in accordance with the requirements of the ASX Listing Rules. </w:t>
      </w:r>
    </w:p>
    <w:p>
      <w:pPr>
        <w:pStyle w:val="TextBody"/>
        <w:spacing w:before="240" w:after="0"/>
        <w:jc w:val="left"/>
        <w:rPr>
          <w:rFonts w:ascii="Times New Roman" w:hAnsi="Times New Roman"/>
          <w:sz w:val="20"/>
        </w:rPr>
      </w:pPr>
      <w:r>
        <w:rPr>
          <w:rFonts w:ascii="Times New Roman" w:hAnsi="Times New Roman"/>
          <w:sz w:val="20"/>
        </w:rPr>
        <w:t xml:space="preserve">ASX Listing Rules may impose limits on the number of shares that we can issue under the sales agreement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 </w:t>
      </w:r>
    </w:p>
    <w:p>
      <w:pPr>
        <w:pStyle w:val="TextBody"/>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second business day that is also a trading day following the date on which any sales were made in return for payment of the net proceeds to us. After May 28, 2024, settlement for sales of common stock will occur on the first business day that is also a trading day (or such earlier day as is industry practice for regular-way trading) following the date on which any sales were made in return for payment of the net proceeds to us. There is no arrangement for funds to be received in an escrow, trust or similar arrangement. </w:t>
      </w:r>
    </w:p>
    <w:p>
      <w:pPr>
        <w:pStyle w:val="TextBody"/>
        <w:spacing w:before="240" w:after="0"/>
        <w:jc w:val="left"/>
        <w:rPr>
          <w:rFonts w:ascii="Times New Roman" w:hAnsi="Times New Roman"/>
          <w:sz w:val="20"/>
        </w:rPr>
      </w:pPr>
      <w:r>
        <w:rPr>
          <w:rFonts w:ascii="Times New Roman" w:hAnsi="Times New Roman"/>
          <w:sz w:val="20"/>
        </w:rPr>
        <w:t xml:space="preserve">In connection with the sale of our common stock on our behalf, Cowen may be deemed to be an underwriter within the meaning of the Securities Act, and the compensation paid to Cowen may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 </w:t>
      </w:r>
    </w:p>
    <w:p>
      <w:pPr>
        <w:pStyle w:val="TextBody"/>
        <w:spacing w:before="240" w:after="0"/>
        <w:jc w:val="left"/>
        <w:rPr>
          <w:rFonts w:ascii="Times New Roman" w:hAnsi="Times New Roman"/>
          <w:sz w:val="20"/>
        </w:rPr>
      </w:pPr>
      <w:r>
        <w:rPr>
          <w:rFonts w:ascii="Times New Roman" w:hAnsi="Times New Roman"/>
          <w:sz w:val="20"/>
        </w:rPr>
        <w:t xml:space="preserve">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Cowen and/or its affiliates have provided, and may in the future provide, various investment banking and other financial services for us for which services they have received and, may in the future receive, customary fees. </w:t>
      </w:r>
    </w:p>
    <w:p>
      <w:pPr>
        <w:pStyle w:val="TextBody"/>
        <w:spacing w:before="480" w:after="0"/>
        <w:jc w:val="center"/>
        <w:rPr>
          <w:rFonts w:ascii="Times New Roman" w:hAnsi="Times New Roman"/>
          <w:b/>
          <w:sz w:val="20"/>
        </w:rPr>
      </w:pPr>
      <w:bookmarkStart w:id="11" w:name="suptx303976_9"/>
      <w:bookmarkEnd w:id="1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issuance of the securities offered hereby will be passed upon for us by K&amp;L Gates LLP, Seattle, Washington. The sales agent is represented in this offering by Davis Polk  &amp; Wardwell LLP, Menlo Park, California. </w:t>
      </w:r>
    </w:p>
    <w:p>
      <w:pPr>
        <w:pStyle w:val="TextBody"/>
        <w:spacing w:before="480" w:after="0"/>
        <w:jc w:val="center"/>
        <w:rPr>
          <w:rFonts w:ascii="Times New Roman" w:hAnsi="Times New Roman"/>
          <w:b/>
          <w:sz w:val="20"/>
        </w:rPr>
      </w:pPr>
      <w:bookmarkStart w:id="12" w:name="suptx303976_10"/>
      <w:bookmarkEnd w:id="1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spacing w:before="480" w:after="0"/>
        <w:jc w:val="center"/>
        <w:rPr>
          <w:rFonts w:ascii="Times New Roman" w:hAnsi="Times New Roman"/>
          <w:b/>
          <w:sz w:val="20"/>
        </w:rPr>
      </w:pPr>
      <w:bookmarkStart w:id="13" w:name="suptx303976_11"/>
      <w:bookmarkEnd w:id="13"/>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 </w:t>
      </w:r>
    </w:p>
    <w:p>
      <w:pPr>
        <w:pStyle w:val="TextBody"/>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 </w:t>
      </w:r>
    </w:p>
    <w:p>
      <w:pPr>
        <w:pStyle w:val="TextBody"/>
        <w:spacing w:before="240" w:after="0"/>
        <w:jc w:val="left"/>
        <w:rPr>
          <w:rFonts w:ascii="Times New Roman" w:hAnsi="Times New Roman"/>
          <w:sz w:val="20"/>
        </w:rPr>
      </w:pPr>
      <w:r>
        <w:rPr>
          <w:rFonts w:ascii="Times New Roman" w:hAnsi="Times New Roman"/>
          <w:sz w:val="20"/>
        </w:rPr>
        <w:t xml:space="preserve">We also maintain a website at www.avitamedical.com. The information set forth on, or accessible through, our website is not part of this prospectus supplement. </w:t>
      </w:r>
    </w:p>
    <w:p>
      <w:pPr>
        <w:pStyle w:val="TextBody"/>
        <w:spacing w:before="480" w:after="0"/>
        <w:jc w:val="center"/>
        <w:rPr>
          <w:rFonts w:ascii="Times New Roman" w:hAnsi="Times New Roman"/>
          <w:b/>
          <w:sz w:val="20"/>
        </w:rPr>
      </w:pPr>
      <w:bookmarkStart w:id="14" w:name="suptx303976_12"/>
      <w:bookmarkEnd w:id="14"/>
      <w:r>
        <w:rPr>
          <w:rFonts w:ascii="Times New Roman" w:hAnsi="Times New Roman"/>
          <w:b/>
          <w:sz w:val="20"/>
        </w:rPr>
        <w:t xml:space="preserve">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February 23,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pPr>
            <w:r>
              <w:rPr>
                <w:rFonts w:ascii="Times New Roman" w:hAnsi="Times New Roman"/>
                <w:sz w:val="20"/>
              </w:rPr>
              <w:t>Our Current Reports on Form 8-K filed with the SEC on</w:t>
            </w:r>
            <w:hyperlink r:id="rId3">
              <w:r>
                <w:rPr>
                  <w:rStyle w:val="InternetLink"/>
                  <w:rFonts w:ascii="Times New Roman" w:hAnsi="Times New Roman"/>
                  <w:sz w:val="20"/>
                </w:rPr>
                <w:t xml:space="preserve"> January 20, 2023</w:t>
              </w:r>
            </w:hyperlink>
            <w:r>
              <w:rPr>
                <w:rFonts w:ascii="Times New Roman" w:hAnsi="Times New Roman"/>
                <w:sz w:val="20"/>
              </w:rPr>
              <w:t xml:space="preserve">, </w:t>
            </w:r>
            <w:hyperlink r:id="rId4">
              <w:r>
                <w:rPr>
                  <w:rStyle w:val="InternetLink"/>
                  <w:rFonts w:ascii="Times New Roman" w:hAnsi="Times New Roman"/>
                  <w:sz w:val="20"/>
                </w:rPr>
                <w:t>March  21, 2023</w:t>
              </w:r>
            </w:hyperlink>
            <w:r>
              <w:rPr>
                <w:rFonts w:ascii="Times New Roman" w:hAnsi="Times New Roman"/>
                <w:sz w:val="20"/>
              </w:rPr>
              <w:t xml:space="preserve">, </w:t>
            </w:r>
            <w:hyperlink r:id="rId5">
              <w:r>
                <w:rPr>
                  <w:rStyle w:val="InternetLink"/>
                  <w:rFonts w:ascii="Times New Roman" w:hAnsi="Times New Roman"/>
                  <w:sz w:val="20"/>
                </w:rPr>
                <w:t>March  22, 2023</w:t>
              </w:r>
            </w:hyperlink>
            <w:r>
              <w:rPr>
                <w:rFonts w:ascii="Times New Roman" w:hAnsi="Times New Roman"/>
                <w:sz w:val="20"/>
              </w:rPr>
              <w:t xml:space="preserve">, and </w:t>
            </w:r>
            <w:hyperlink r:id="rId6">
              <w:r>
                <w:rPr>
                  <w:rStyle w:val="InternetLink"/>
                  <w:rFonts w:ascii="Times New Roman" w:hAnsi="Times New Roman"/>
                  <w:sz w:val="20"/>
                </w:rPr>
                <w:t>March 27, 2023</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pPr>
            <w:r>
              <w:rPr>
                <w:rFonts w:ascii="Times New Roman" w:hAnsi="Times New Roman"/>
                <w:sz w:val="20"/>
              </w:rPr>
              <w:t xml:space="preserve">A description of our common stock contained in </w:t>
            </w:r>
            <w:hyperlink r:id="rId7">
              <w:r>
                <w:rPr>
                  <w:rStyle w:val="InternetLink"/>
                  <w:rFonts w:ascii="Times New Roman" w:hAnsi="Times New Roman"/>
                  <w:sz w:val="20"/>
                </w:rPr>
                <w:t>Exhibit 4.1</w:t>
              </w:r>
            </w:hyperlink>
            <w:r>
              <w:rPr>
                <w:rFonts w:ascii="Times New Roman" w:hAnsi="Times New Roman"/>
                <w:sz w:val="20"/>
              </w:rPr>
              <w:t xml:space="preserve"> to our Annual Report on Form 10-K filed February 23, 2022, including any amendment or reports filed for the purpose of updating this description;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reports and other documents subsequently filed by us pursuant to Sections 13(a), 13(c), 14 or 15(d) of the Exchange Act prior to the termination of this offering (other than information furnished under Item 2.02 or Item 7.01 of any Form 8-K which information is not deemed filed under the Exchange Act).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 </w:t>
      </w:r>
    </w:p>
    <w:p>
      <w:pPr>
        <w:pStyle w:val="TextBody"/>
        <w:spacing w:before="240" w:after="0"/>
        <w:jc w:val="center"/>
        <w:rPr>
          <w:rFonts w:ascii="Times New Roman" w:hAnsi="Times New Roman"/>
          <w:sz w:val="20"/>
        </w:rPr>
      </w:pPr>
      <w:r>
        <w:rPr>
          <w:rFonts w:ascii="Times New Roman" w:hAnsi="Times New Roman"/>
          <w:sz w:val="20"/>
        </w:rPr>
        <w:t xml:space="preserve">AVITA Medical, Inc. </w:t>
      </w:r>
    </w:p>
    <w:p>
      <w:pPr>
        <w:pStyle w:val="TextBody"/>
        <w:spacing w:before="0" w:after="0"/>
        <w:jc w:val="center"/>
        <w:rPr>
          <w:rFonts w:ascii="Times New Roman" w:hAnsi="Times New Roman"/>
          <w:sz w:val="20"/>
        </w:rPr>
      </w:pPr>
      <w:r>
        <w:rPr>
          <w:rFonts w:ascii="Times New Roman" w:hAnsi="Times New Roman"/>
          <w:sz w:val="20"/>
        </w:rPr>
        <w:t xml:space="preserve">28159 Avenue Stanford </w:t>
      </w:r>
    </w:p>
    <w:p>
      <w:pPr>
        <w:pStyle w:val="TextBody"/>
        <w:spacing w:before="0" w:after="0"/>
        <w:jc w:val="center"/>
        <w:rPr>
          <w:rFonts w:ascii="Times New Roman" w:hAnsi="Times New Roman"/>
          <w:sz w:val="20"/>
        </w:rPr>
      </w:pPr>
      <w:r>
        <w:rPr>
          <w:rFonts w:ascii="Times New Roman" w:hAnsi="Times New Roman"/>
          <w:sz w:val="20"/>
        </w:rPr>
        <w:t xml:space="preserve">Suite 220 </w:t>
      </w:r>
    </w:p>
    <w:p>
      <w:pPr>
        <w:pStyle w:val="TextBody"/>
        <w:spacing w:before="0" w:after="0"/>
        <w:jc w:val="center"/>
        <w:rPr>
          <w:rFonts w:ascii="Times New Roman" w:hAnsi="Times New Roman"/>
          <w:sz w:val="20"/>
        </w:rPr>
      </w:pPr>
      <w:r>
        <w:rPr>
          <w:rFonts w:ascii="Times New Roman" w:hAnsi="Times New Roman"/>
          <w:sz w:val="20"/>
        </w:rPr>
        <w:t xml:space="preserve">Valencia, CA 91355 </w:t>
      </w:r>
    </w:p>
    <w:p>
      <w:pPr>
        <w:pStyle w:val="TextBody"/>
        <w:spacing w:before="0" w:after="0"/>
        <w:jc w:val="center"/>
        <w:rPr>
          <w:rFonts w:ascii="Times New Roman" w:hAnsi="Times New Roman"/>
          <w:sz w:val="20"/>
        </w:rPr>
      </w:pPr>
      <w:r>
        <w:rPr>
          <w:rFonts w:ascii="Times New Roman" w:hAnsi="Times New Roman"/>
          <w:sz w:val="20"/>
        </w:rPr>
        <w:t>(661) 367-9170</w:t>
      </w:r>
    </w:p>
    <w:p>
      <w:pPr>
        <w:pStyle w:val="TextBody"/>
        <w:spacing w:before="0" w:after="0"/>
        <w:jc w:val="center"/>
        <w:rPr>
          <w:rFonts w:ascii="Times New Roman" w:hAnsi="Times New Roman"/>
          <w:sz w:val="20"/>
        </w:rPr>
      </w:pPr>
      <w:r>
        <w:rPr>
          <w:rFonts w:ascii="Times New Roman" w:hAnsi="Times New Roman"/>
          <w:sz w:val="20"/>
        </w:rPr>
        <w:t xml:space="preserve">Attn: Donna Shiroma, General Counsel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240" w:after="0"/>
        <w:jc w:val="center"/>
        <w:rPr>
          <w:rFonts w:ascii="Times New Roman" w:hAnsi="Times New Roman"/>
          <w:b/>
          <w:sz w:val="48"/>
        </w:rPr>
      </w:pPr>
      <w:r>
        <w:rPr>
          <w:rFonts w:ascii="Times New Roman" w:hAnsi="Times New Roman"/>
          <w:b/>
          <w:sz w:val="48"/>
        </w:rPr>
        <w:t xml:space="preserve">AVITA MEDICAL, INC. </w:t>
      </w:r>
    </w:p>
    <w:p>
      <w:pPr>
        <w:pStyle w:val="TextBody"/>
        <w:spacing w:before="0" w:after="0"/>
        <w:jc w:val="left"/>
        <w:rPr/>
      </w:pPr>
      <w:r>
        <w:rPr/>
        <w:t> </w:t>
      </w:r>
    </w:p>
    <w:p>
      <w:pPr>
        <w:pStyle w:val="TextBody"/>
        <w:spacing w:before="0" w:after="0"/>
        <w:jc w:val="center"/>
        <w:rPr/>
      </w:pPr>
      <w:r>
        <w:rPr/>
        <w:drawing>
          <wp:inline distT="0" distB="0" distL="0" distR="0">
            <wp:extent cx="23145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2314575" cy="1009650"/>
                    </a:xfrm>
                    <a:prstGeom prst="rect">
                      <a:avLst/>
                    </a:prstGeom>
                  </pic:spPr>
                </pic:pic>
              </a:graphicData>
            </a:graphic>
          </wp:inline>
        </w:drawing>
      </w:r>
      <w:r>
        <w:rPr/>
        <w:t xml:space="preserve"> </w:t>
      </w:r>
    </w:p>
    <w:p>
      <w:pPr>
        <w:pStyle w:val="TextBody"/>
        <w:spacing w:before="240" w:after="0"/>
        <w:jc w:val="center"/>
        <w:rPr>
          <w:rFonts w:ascii="Times New Roman" w:hAnsi="Times New Roman"/>
          <w:b/>
          <w:sz w:val="36"/>
        </w:rPr>
      </w:pPr>
      <w:r>
        <w:rPr>
          <w:rFonts w:ascii="Times New Roman" w:hAnsi="Times New Roman"/>
          <w:b/>
          <w:sz w:val="36"/>
        </w:rPr>
        <w:t xml:space="preserve">$200,000,000 </w:t>
      </w:r>
    </w:p>
    <w:p>
      <w:pPr>
        <w:pStyle w:val="TextBody"/>
        <w:spacing w:before="240" w:after="0"/>
        <w:jc w:val="center"/>
        <w:rPr>
          <w:rFonts w:ascii="Times New Roman" w:hAnsi="Times New Roman"/>
          <w:b/>
          <w:sz w:val="28"/>
        </w:rPr>
      </w:pPr>
      <w:r>
        <w:rPr>
          <w:rFonts w:ascii="Times New Roman" w:hAnsi="Times New Roman"/>
          <w:b/>
          <w:sz w:val="28"/>
        </w:rPr>
        <w:t xml:space="preserve">of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center"/>
        <w:rPr>
          <w:rFonts w:ascii="Times New Roman" w:hAnsi="Times New Roman"/>
          <w:b/>
          <w:sz w:val="28"/>
        </w:rPr>
      </w:pPr>
      <w:r>
        <w:rPr>
          <w:rFonts w:ascii="Times New Roman" w:hAnsi="Times New Roman"/>
          <w:b/>
          <w:sz w:val="28"/>
        </w:rPr>
        <w:t xml:space="preserve">PREFERRED STOCK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center"/>
        <w:rPr>
          <w:rFonts w:ascii="Times New Roman" w:hAnsi="Times New Roman"/>
          <w:b/>
          <w:sz w:val="28"/>
        </w:rPr>
      </w:pPr>
      <w:r>
        <w:rPr>
          <w:rFonts w:ascii="Times New Roman" w:hAnsi="Times New Roman"/>
          <w:b/>
          <w:sz w:val="28"/>
        </w:rPr>
        <w:t xml:space="preserve">UNITS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 </w:t>
      </w:r>
    </w:p>
    <w:p>
      <w:pPr>
        <w:pStyle w:val="TextBody"/>
        <w:spacing w:before="240" w:after="0"/>
        <w:jc w:val="left"/>
        <w:rPr>
          <w:rFonts w:ascii="Times New Roman" w:hAnsi="Times New Roman"/>
          <w:sz w:val="20"/>
        </w:rPr>
      </w:pPr>
      <w:r>
        <w:rPr>
          <w:rFonts w:ascii="Times New Roman" w:hAnsi="Times New Roman"/>
          <w:sz w:val="20"/>
        </w:rPr>
        <w:t xml:space="preserve">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 </w:t>
      </w:r>
    </w:p>
    <w:p>
      <w:pPr>
        <w:pStyle w:val="TextBody"/>
        <w:spacing w:before="240" w:after="0"/>
        <w:jc w:val="left"/>
        <w:rPr>
          <w:rFonts w:ascii="Times New Roman" w:hAnsi="Times New Roman"/>
          <w:sz w:val="20"/>
        </w:rPr>
      </w:pPr>
      <w:r>
        <w:rPr>
          <w:rFonts w:ascii="Times New Roman" w:hAnsi="Times New Roman"/>
          <w:sz w:val="20"/>
        </w:rPr>
        <w:t xml:space="preserve">Our common stock trades on The Nasdaq Stock Market LLC under the symbol RCEL. On Apri1 12, 2023, the last reported sale price for our common stock was $15.81 per share.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See </w:t>
      </w:r>
      <w:hyperlink w:anchor="tx303976_3">
        <w:r>
          <w:rPr>
            <w:rStyle w:val="InternetLink"/>
            <w:rFonts w:ascii="Times New Roman" w:hAnsi="Times New Roman"/>
            <w:b/>
            <w:sz w:val="24"/>
          </w:rPr>
          <w:t>Risk Factors</w:t>
        </w:r>
      </w:hyperlink>
      <w:r>
        <w:rPr>
          <w:rFonts w:ascii="Times New Roman" w:hAnsi="Times New Roman"/>
          <w:b/>
          <w:sz w:val="24"/>
        </w:rPr>
        <w:t xml:space="preserve"> beginning on page 2 of this prospectus, together with risk factors contained in any applicable prospectus supplement, for factors you should consider before buying any of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April 25, 2023.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94"/>
        <w:gridCol w:w="266"/>
        <w:gridCol w:w="96"/>
        <w:gridCol w:w="421"/>
        <w:gridCol w:w="62"/>
      </w:tblGrid>
      <w:tr>
        <w:trPr/>
        <w:tc>
          <w:tcPr>
            <w:tcW w:w="969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5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
              <w:r>
                <w:rPr>
                  <w:rStyle w:val="InternetLink"/>
                  <w:rFonts w:ascii="Times New Roman" w:hAnsi="Times New Roman"/>
                  <w:sz w:val="20"/>
                </w:rPr>
                <w:t>ABOUT THIS PROSPECTUS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2">
              <w:r>
                <w:rPr>
                  <w:rStyle w:val="InternetLink"/>
                  <w:rFonts w:ascii="Times New Roman" w:hAnsi="Times New Roman"/>
                  <w:sz w:val="20"/>
                </w:rPr>
                <w:t>FORWARD-LOOKING STATEMENTS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3">
              <w:r>
                <w:rPr>
                  <w:rStyle w:val="InternetLink"/>
                  <w:rFonts w:ascii="Times New Roman" w:hAnsi="Times New Roman"/>
                  <w:sz w:val="20"/>
                </w:rPr>
                <w:t>RISK FACTORS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4">
              <w:r>
                <w:rPr>
                  <w:rStyle w:val="InternetLink"/>
                  <w:rFonts w:ascii="Times New Roman" w:hAnsi="Times New Roman"/>
                  <w:sz w:val="20"/>
                </w:rPr>
                <w:t>USE OF PROCEEDS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5">
              <w:r>
                <w:rPr>
                  <w:rStyle w:val="InternetLink"/>
                  <w:rFonts w:ascii="Times New Roman" w:hAnsi="Times New Roman"/>
                  <w:sz w:val="20"/>
                </w:rPr>
                <w:t>DESCRIPTION OF COMMON STOCK WE MAY OFFER</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6">
              <w:r>
                <w:rPr>
                  <w:rStyle w:val="InternetLink"/>
                  <w:rFonts w:ascii="Times New Roman" w:hAnsi="Times New Roman"/>
                  <w:sz w:val="20"/>
                </w:rPr>
                <w:t>Common Stock</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7">
              <w:r>
                <w:rPr>
                  <w:rStyle w:val="InternetLink"/>
                  <w:rFonts w:ascii="Times New Roman" w:hAnsi="Times New Roman"/>
                  <w:sz w:val="20"/>
                </w:rPr>
                <w:t>Preferred Stock</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8">
              <w:r>
                <w:rPr>
                  <w:rStyle w:val="InternetLink"/>
                  <w:rFonts w:ascii="Times New Roman" w:hAnsi="Times New Roman"/>
                  <w:sz w:val="20"/>
                </w:rPr>
                <w:t>Limitation of Liability; Indemnification</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9">
              <w:r>
                <w:rPr>
                  <w:rStyle w:val="InternetLink"/>
                  <w:rFonts w:ascii="Times New Roman" w:hAnsi="Times New Roman"/>
                  <w:sz w:val="20"/>
                </w:rPr>
                <w:t>Securities Exchange Listings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0">
              <w:r>
                <w:rPr>
                  <w:rStyle w:val="InternetLink"/>
                  <w:rFonts w:ascii="Times New Roman" w:hAnsi="Times New Roman"/>
                  <w:sz w:val="20"/>
                </w:rPr>
                <w:t>Transfer Agent and Registrar</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1">
              <w:r>
                <w:rPr>
                  <w:rStyle w:val="InternetLink"/>
                  <w:rFonts w:ascii="Times New Roman" w:hAnsi="Times New Roman"/>
                  <w:sz w:val="20"/>
                </w:rPr>
                <w:t>DESCRIPTION OF WARRANTS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2">
              <w:r>
                <w:rPr>
                  <w:rStyle w:val="InternetLink"/>
                  <w:rFonts w:ascii="Times New Roman" w:hAnsi="Times New Roman"/>
                  <w:sz w:val="20"/>
                </w:rPr>
                <w:t>Exercise of Warrants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3">
              <w:r>
                <w:rPr>
                  <w:rStyle w:val="InternetLink"/>
                  <w:rFonts w:ascii="Times New Roman" w:hAnsi="Times New Roman"/>
                  <w:sz w:val="20"/>
                </w:rPr>
                <w:t>Modifications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4">
              <w:r>
                <w:rPr>
                  <w:rStyle w:val="InternetLink"/>
                  <w:rFonts w:ascii="Times New Roman" w:hAnsi="Times New Roman"/>
                  <w:sz w:val="20"/>
                </w:rPr>
                <w:t>Enforceability of Rights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10</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5">
              <w:r>
                <w:rPr>
                  <w:rStyle w:val="InternetLink"/>
                  <w:rFonts w:ascii="Times New Roman" w:hAnsi="Times New Roman"/>
                  <w:sz w:val="20"/>
                </w:rPr>
                <w:t>DESCRIPTION OF UNITS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11</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6">
              <w:r>
                <w:rPr>
                  <w:rStyle w:val="InternetLink"/>
                  <w:rFonts w:ascii="Times New Roman" w:hAnsi="Times New Roman"/>
                  <w:sz w:val="20"/>
                </w:rPr>
                <w:t>CHESS DEPOSITARY INTERESTS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11</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7">
              <w:r>
                <w:rPr>
                  <w:rStyle w:val="InternetLink"/>
                  <w:rFonts w:ascii="Times New Roman" w:hAnsi="Times New Roman"/>
                  <w:sz w:val="20"/>
                </w:rPr>
                <w:t>PLAN OF DISTRIBUTION</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8">
              <w:r>
                <w:rPr>
                  <w:rStyle w:val="InternetLink"/>
                  <w:rFonts w:ascii="Times New Roman" w:hAnsi="Times New Roman"/>
                  <w:sz w:val="20"/>
                </w:rPr>
                <w:t>LEGAL MATTERS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19">
              <w:r>
                <w:rPr>
                  <w:rStyle w:val="InternetLink"/>
                  <w:rFonts w:ascii="Times New Roman" w:hAnsi="Times New Roman"/>
                  <w:sz w:val="20"/>
                </w:rPr>
                <w:t>EXPERTS</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20">
              <w:r>
                <w:rPr>
                  <w:rStyle w:val="InternetLink"/>
                  <w:rFonts w:ascii="Times New Roman" w:hAnsi="Times New Roman"/>
                  <w:sz w:val="20"/>
                </w:rPr>
                <w:t>WHERE YOU CAN FIND MORE INFORMATION</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694" w:type="dxa"/>
            <w:tcBorders/>
            <w:shd w:fill="auto" w:val="clear"/>
          </w:tcPr>
          <w:p>
            <w:pPr>
              <w:pStyle w:val="TableContents"/>
              <w:spacing w:before="0" w:after="0"/>
              <w:rPr/>
            </w:pPr>
            <w:hyperlink w:anchor="tx303976_21">
              <w:r>
                <w:rPr>
                  <w:rStyle w:val="InternetLink"/>
                  <w:rFonts w:ascii="Times New Roman" w:hAnsi="Times New Roman"/>
                  <w:sz w:val="20"/>
                </w:rPr>
                <w:t>INCORPORATION OF CERTAIN INFORMATION BY REFERENCE</w:t>
              </w:r>
            </w:hyperlink>
          </w:p>
        </w:tc>
        <w:tc>
          <w:tcPr>
            <w:tcW w:w="26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303976_1"/>
      <w:bookmarkEnd w:id="16"/>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Unless the context requires otherwise or unless otherwise noted, all references in this prospectus or any prospectus supplement to AVITA Medical and to the Company, we, us or our are to AVITA Medical, Inc. and its subsidiaries.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480" w:after="0"/>
        <w:jc w:val="center"/>
        <w:rPr>
          <w:rFonts w:ascii="Times New Roman" w:hAnsi="Times New Roman"/>
          <w:b/>
          <w:sz w:val="20"/>
        </w:rPr>
      </w:pPr>
      <w:bookmarkStart w:id="17" w:name="tx303976_2"/>
      <w:bookmarkEnd w:id="17"/>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 </w:t>
      </w:r>
    </w:p>
    <w:p>
      <w:pPr>
        <w:pStyle w:val="TextBody"/>
        <w:spacing w:before="240" w:after="0"/>
        <w:jc w:val="left"/>
        <w:rPr>
          <w:rFonts w:ascii="Times New Roman" w:hAnsi="Times New Roman"/>
          <w:sz w:val="20"/>
        </w:rPr>
      </w:pPr>
      <w:r>
        <w:rPr>
          <w:rFonts w:ascii="Times New Roman" w:hAnsi="Times New Roman"/>
          <w:sz w:val="20"/>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2022. These documents are available through the SECs Electronic Data Gathering and Analysis Retrieval System at </w:t>
      </w:r>
      <w:r>
        <w:rPr>
          <w:rFonts w:ascii="Times New Roman" w:hAnsi="Times New Roman"/>
          <w:sz w:val="20"/>
          <w:u w:val="single"/>
        </w:rPr>
        <w:t>http://www.sec.gov</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COMPANY </w:t>
      </w:r>
    </w:p>
    <w:p>
      <w:pPr>
        <w:pStyle w:val="TextBody"/>
        <w:spacing w:before="240" w:after="0"/>
        <w:jc w:val="left"/>
        <w:rPr>
          <w:rFonts w:ascii="Times New Roman" w:hAnsi="Times New Roman"/>
          <w:sz w:val="20"/>
        </w:rPr>
      </w:pPr>
      <w:r>
        <w:rPr>
          <w:rFonts w:ascii="Times New Roman" w:hAnsi="Times New Roman"/>
          <w:sz w:val="20"/>
        </w:rPr>
        <w:t>AVITA Medical, Inc. and its subsidiaries (including AVITA Medical Pty Limited (</w:t>
      </w:r>
      <w:r>
        <w:rPr>
          <w:rFonts w:ascii="Times New Roman" w:hAnsi="Times New Roman"/>
          <w:b/>
          <w:sz w:val="20"/>
        </w:rPr>
        <w:t>AVITA Australia</w:t>
      </w:r>
      <w:r>
        <w:rPr>
          <w:rFonts w:ascii="Times New Roman" w:hAnsi="Times New Roman"/>
          <w:sz w:val="20"/>
        </w:rPr>
        <w:t>) (collectively, </w:t>
      </w:r>
      <w:r>
        <w:rPr>
          <w:rFonts w:ascii="Times New Roman" w:hAnsi="Times New Roman"/>
          <w:b/>
          <w:sz w:val="20"/>
        </w:rPr>
        <w:t>AVITA Medical</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our</w:t>
      </w:r>
      <w:r>
        <w:rPr>
          <w:rFonts w:ascii="Times New Roman" w:hAnsi="Times New Roman"/>
          <w:sz w:val="20"/>
        </w:rPr>
        <w:t>, </w:t>
      </w:r>
      <w:r>
        <w:rPr>
          <w:rFonts w:ascii="Times New Roman" w:hAnsi="Times New Roman"/>
          <w:b/>
          <w:sz w:val="20"/>
        </w:rPr>
        <w:t>us</w:t>
      </w:r>
      <w:r>
        <w:rPr>
          <w:rFonts w:ascii="Times New Roman" w:hAnsi="Times New Roman"/>
          <w:sz w:val="20"/>
        </w:rPr>
        <w:t> or </w:t>
      </w:r>
      <w:r>
        <w:rPr>
          <w:rFonts w:ascii="Times New Roman" w:hAnsi="Times New Roman"/>
          <w:b/>
          <w:sz w:val="20"/>
        </w:rPr>
        <w:t>Company</w:t>
      </w:r>
      <w:r>
        <w:rPr>
          <w:rFonts w:ascii="Times New Roman" w:hAnsi="Times New Roman"/>
          <w:sz w:val="20"/>
        </w:rPr>
        <w:t>), is a regenerative medicine company leading the development and commercialization of devices and autologous cellular therapies for skin restoration. Our patented and proprietary RECELL® System (</w:t>
      </w:r>
      <w:r>
        <w:rPr>
          <w:rFonts w:ascii="Times New Roman" w:hAnsi="Times New Roman"/>
          <w:b/>
          <w:sz w:val="20"/>
        </w:rPr>
        <w:t>RECELL System</w:t>
      </w:r>
      <w:r>
        <w:rPr>
          <w:rFonts w:ascii="Times New Roman" w:hAnsi="Times New Roman"/>
          <w:sz w:val="20"/>
        </w:rPr>
        <w:t> or </w:t>
      </w:r>
      <w:r>
        <w:rPr>
          <w:rFonts w:ascii="Times New Roman" w:hAnsi="Times New Roman"/>
          <w:b/>
          <w:sz w:val="20"/>
        </w:rPr>
        <w:t>RECELL</w:t>
      </w:r>
      <w:r>
        <w:rPr>
          <w:rFonts w:ascii="Times New Roman" w:hAnsi="Times New Roman"/>
          <w:sz w:val="20"/>
        </w:rPr>
        <w:t xml:space="preserve">) technology platform harnesses the regenerative properties of a patients own skin to create Spray-On Skin Cells, an autologous skin cell suspension that is sprayed onto the patient to regenerate natural healthy skin. </w:t>
      </w:r>
    </w:p>
    <w:p>
      <w:pPr>
        <w:pStyle w:val="TextBody"/>
        <w:spacing w:before="240" w:after="0"/>
        <w:jc w:val="left"/>
        <w:rPr>
          <w:rFonts w:ascii="Times New Roman" w:hAnsi="Times New Roman"/>
          <w:sz w:val="20"/>
        </w:rPr>
      </w:pPr>
      <w:r>
        <w:rPr>
          <w:rFonts w:ascii="Times New Roman" w:hAnsi="Times New Roman"/>
          <w:sz w:val="20"/>
        </w:rPr>
        <w:t xml:space="preserve">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 </w:t>
      </w:r>
    </w:p>
    <w:p>
      <w:pPr>
        <w:pStyle w:val="TextBody"/>
        <w:spacing w:before="480" w:after="0"/>
        <w:jc w:val="center"/>
        <w:rPr>
          <w:rFonts w:ascii="Times New Roman" w:hAnsi="Times New Roman"/>
          <w:b/>
          <w:sz w:val="20"/>
        </w:rPr>
      </w:pPr>
      <w:r>
        <w:rPr>
          <w:rFonts w:ascii="Times New Roman" w:hAnsi="Times New Roman"/>
          <w:b/>
          <w:sz w:val="20"/>
        </w:rPr>
        <w:t xml:space="preserve">IMPLICATIONS OF BEING AN EMERGING GROWTH COMPANY </w:t>
      </w:r>
    </w:p>
    <w:p>
      <w:pPr>
        <w:pStyle w:val="TextBody"/>
        <w:spacing w:before="240" w:after="0"/>
        <w:jc w:val="left"/>
        <w:rPr>
          <w:rFonts w:ascii="Times New Roman" w:hAnsi="Times New Roman"/>
          <w:sz w:val="20"/>
        </w:rPr>
      </w:pPr>
      <w:r>
        <w:rPr>
          <w:rFonts w:ascii="Times New Roman" w:hAnsi="Times New Roman"/>
          <w:sz w:val="20"/>
        </w:rPr>
        <w:t>As of the date of this prospectus, we are an emerging growth company, as defined in the Jumpstart Our Business Startups Act of 2012 (</w:t>
      </w:r>
      <w:r>
        <w:rPr>
          <w:rFonts w:ascii="Times New Roman" w:hAnsi="Times New Roman"/>
          <w:b/>
          <w:sz w:val="20"/>
        </w:rPr>
        <w:t>JOBS Act</w:t>
      </w:r>
      <w:r>
        <w:rPr>
          <w:rFonts w:ascii="Times New Roman" w:hAnsi="Times New Roman"/>
          <w:sz w:val="20"/>
        </w:rPr>
        <w:t xml:space="preserve">).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w:t>
      </w:r>
    </w:p>
    <w:p>
      <w:pPr>
        <w:pStyle w:val="TextBody"/>
        <w:spacing w:before="240" w:after="0"/>
        <w:jc w:val="left"/>
        <w:rPr>
          <w:rFonts w:ascii="Times New Roman" w:hAnsi="Times New Roman"/>
          <w:sz w:val="20"/>
        </w:rPr>
      </w:pPr>
      <w:r>
        <w:rPr>
          <w:rFonts w:ascii="Times New Roman" w:hAnsi="Times New Roman"/>
          <w:sz w:val="20"/>
        </w:rPr>
        <w:t xml:space="preserve">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 Statement on August 27, 2020, will be December 31, 2025, (ii) the last day of the fiscal year in which we have total annual gross revenue of at least $1.235 billion, (iii) the last day of the fiscal year in which we are deemed to be a large accelerated filer as defined in Rule 12b-2 under the Exchange Act, or (iv) the date on which we have issued more than $1.0 billion in non-convertible debt securities during the prior three-year period. </w:t>
      </w:r>
    </w:p>
    <w:p>
      <w:pPr>
        <w:pStyle w:val="TextBody"/>
        <w:spacing w:before="480" w:after="0"/>
        <w:jc w:val="center"/>
        <w:rPr>
          <w:rFonts w:ascii="Times New Roman" w:hAnsi="Times New Roman"/>
          <w:b/>
          <w:sz w:val="20"/>
        </w:rPr>
      </w:pPr>
      <w:bookmarkStart w:id="18" w:name="tx303976_3"/>
      <w:bookmarkEnd w:id="18"/>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 </w:t>
      </w:r>
    </w:p>
    <w:p>
      <w:pPr>
        <w:pStyle w:val="TextBody"/>
        <w:spacing w:before="240" w:after="0"/>
        <w:jc w:val="left"/>
        <w:rPr>
          <w:rFonts w:ascii="Times New Roman" w:hAnsi="Times New Roman"/>
          <w:sz w:val="20"/>
        </w:rPr>
      </w:pPr>
      <w:r>
        <w:rPr>
          <w:rFonts w:ascii="Times New Roman" w:hAnsi="Times New Roman"/>
          <w:sz w:val="20"/>
        </w:rPr>
        <w:t xml:space="preserve">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 </w:t>
      </w:r>
    </w:p>
    <w:p>
      <w:pPr>
        <w:pStyle w:val="TextBody"/>
        <w:spacing w:before="480" w:after="0"/>
        <w:jc w:val="center"/>
        <w:rPr>
          <w:rFonts w:ascii="Times New Roman" w:hAnsi="Times New Roman"/>
          <w:b/>
          <w:sz w:val="20"/>
        </w:rPr>
      </w:pPr>
      <w:bookmarkStart w:id="19" w:name="tx303976_4"/>
      <w:bookmarkEnd w:id="19"/>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Unless specified otherwise in the applicable prospectus supplement, we expect to use the net proceeds we receive from the sale of the securities offered by this prospectus for general corporate purposes, which may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capital expenditures;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working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research and development;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repayment of debt;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repurchases and redemptions of securities. </w:t>
            </w:r>
          </w:p>
        </w:tc>
      </w:tr>
    </w:tbl>
    <w:p>
      <w:pPr>
        <w:pStyle w:val="TextBody"/>
        <w:spacing w:before="240" w:after="0"/>
        <w:jc w:val="left"/>
        <w:rPr>
          <w:rFonts w:ascii="Times New Roman" w:hAnsi="Times New Roman"/>
          <w:sz w:val="20"/>
        </w:rPr>
      </w:pPr>
      <w:r>
        <w:rPr>
          <w:rFonts w:ascii="Times New Roman" w:hAnsi="Times New Roman"/>
          <w:sz w:val="20"/>
        </w:rPr>
        <w:t xml:space="preserve">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short-term indebtedness.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x303976_5"/>
      <w:bookmarkEnd w:id="20"/>
      <w:r>
        <w:rPr>
          <w:rFonts w:ascii="Times New Roman" w:hAnsi="Times New Roman"/>
          <w:b/>
          <w:sz w:val="20"/>
        </w:rPr>
        <w:t xml:space="preserve">DESCRIPTION OF COMMON STOCK WE MAY OFFER </w:t>
      </w:r>
    </w:p>
    <w:p>
      <w:pPr>
        <w:pStyle w:val="TextBody"/>
        <w:spacing w:before="240" w:after="0"/>
        <w:jc w:val="left"/>
        <w:rPr>
          <w:rFonts w:ascii="Times New Roman" w:hAnsi="Times New Roman"/>
          <w:sz w:val="20"/>
        </w:rPr>
      </w:pPr>
      <w:r>
        <w:rPr>
          <w:rFonts w:ascii="Times New Roman" w:hAnsi="Times New Roman"/>
          <w:sz w:val="20"/>
        </w:rPr>
        <w:t>We are a Delaware corporation. The rights of our stockholders are governed by the Delaware General Corporation Law, or the DGCL, and our amended certificate of incorporation (the </w:t>
      </w:r>
      <w:r>
        <w:rPr>
          <w:rFonts w:ascii="Times New Roman" w:hAnsi="Times New Roman"/>
          <w:b/>
          <w:sz w:val="20"/>
        </w:rPr>
        <w:t>Certificate</w:t>
      </w:r>
      <w:r>
        <w:rPr>
          <w:rFonts w:ascii="Times New Roman" w:hAnsi="Times New Roman"/>
          <w:sz w:val="20"/>
        </w:rPr>
        <w:t>) and our amended and restated bylaws (the </w:t>
      </w:r>
      <w:r>
        <w:rPr>
          <w:rFonts w:ascii="Times New Roman" w:hAnsi="Times New Roman"/>
          <w:b/>
          <w:sz w:val="20"/>
        </w:rPr>
        <w:t>Bylaws</w:t>
      </w:r>
      <w:r>
        <w:rPr>
          <w:rFonts w:ascii="Times New Roman" w:hAnsi="Times New Roman"/>
          <w:sz w:val="20"/>
        </w:rPr>
        <w:t xml:space="preserve">).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 </w:t>
      </w:r>
    </w:p>
    <w:p>
      <w:pPr>
        <w:pStyle w:val="TextBody"/>
        <w:spacing w:before="360" w:after="0"/>
        <w:jc w:val="left"/>
        <w:rPr>
          <w:rFonts w:ascii="Times New Roman" w:hAnsi="Times New Roman"/>
          <w:b/>
          <w:sz w:val="20"/>
        </w:rPr>
      </w:pPr>
      <w:bookmarkStart w:id="21" w:name="tx303976_6"/>
      <w:bookmarkEnd w:id="21"/>
      <w:r>
        <w:rPr>
          <w:rFonts w:ascii="Times New Roman" w:hAnsi="Times New Roman"/>
          <w:b/>
          <w:sz w:val="20"/>
        </w:rPr>
        <w:t xml:space="preserve">Common Stock </w:t>
      </w:r>
    </w:p>
    <w:p>
      <w:pPr>
        <w:pStyle w:val="TextBody"/>
        <w:spacing w:before="12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 </w:t>
      </w:r>
    </w:p>
    <w:p>
      <w:pPr>
        <w:pStyle w:val="TextBody"/>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 </w:t>
      </w:r>
    </w:p>
    <w:p>
      <w:pPr>
        <w:pStyle w:val="TextBody"/>
        <w:spacing w:before="360" w:after="0"/>
        <w:jc w:val="left"/>
        <w:rPr>
          <w:rFonts w:ascii="Times New Roman" w:hAnsi="Times New Roman"/>
          <w:b/>
          <w:i/>
          <w:sz w:val="20"/>
        </w:rPr>
      </w:pPr>
      <w:r>
        <w:rPr>
          <w:rFonts w:ascii="Times New Roman" w:hAnsi="Times New Roman"/>
          <w:b/>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 </w:t>
      </w:r>
    </w:p>
    <w:p>
      <w:pPr>
        <w:pStyle w:val="TextBody"/>
        <w:spacing w:before="360" w:after="0"/>
        <w:jc w:val="left"/>
        <w:rPr>
          <w:rFonts w:ascii="Times New Roman" w:hAnsi="Times New Roman"/>
          <w:b/>
          <w:i/>
          <w:sz w:val="20"/>
        </w:rPr>
      </w:pPr>
      <w:r>
        <w:rPr>
          <w:rFonts w:ascii="Times New Roman" w:hAnsi="Times New Roman"/>
          <w:b/>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 </w:t>
      </w:r>
    </w:p>
    <w:p>
      <w:pPr>
        <w:pStyle w:val="TextBody"/>
        <w:spacing w:before="360" w:after="0"/>
        <w:jc w:val="left"/>
        <w:rPr>
          <w:rFonts w:ascii="Times New Roman" w:hAnsi="Times New Roman"/>
          <w:b/>
          <w:i/>
          <w:sz w:val="20"/>
        </w:rPr>
      </w:pPr>
      <w:r>
        <w:rPr>
          <w:rFonts w:ascii="Times New Roman" w:hAnsi="Times New Roman"/>
          <w:b/>
          <w:i/>
          <w:sz w:val="20"/>
        </w:rPr>
        <w:t>Fully Paid and Non-assessable</w:t>
      </w:r>
    </w:p>
    <w:p>
      <w:pPr>
        <w:pStyle w:val="TextBody"/>
        <w:spacing w:before="120" w:after="0"/>
        <w:jc w:val="left"/>
        <w:rPr>
          <w:rFonts w:ascii="Times New Roman" w:hAnsi="Times New Roman"/>
          <w:sz w:val="20"/>
        </w:rPr>
      </w:pPr>
      <w:r>
        <w:rPr>
          <w:rFonts w:ascii="Times New Roman" w:hAnsi="Times New Roman"/>
          <w:sz w:val="20"/>
        </w:rPr>
        <w:t>All outstanding shares of our common stock are fully paid and non-assessable.</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Annual Stockholder Meetings </w:t>
      </w:r>
    </w:p>
    <w:p>
      <w:pPr>
        <w:pStyle w:val="TextBody"/>
        <w:spacing w:before="120" w:after="0"/>
        <w:jc w:val="left"/>
        <w:rPr>
          <w:rFonts w:ascii="Times New Roman" w:hAnsi="Times New Roman"/>
          <w:sz w:val="20"/>
        </w:rPr>
      </w:pPr>
      <w:r>
        <w:rPr>
          <w:rFonts w:ascii="Times New Roman" w:hAnsi="Times New Roman"/>
          <w:sz w:val="20"/>
        </w:rPr>
        <w:t xml:space="preserve">Our Certificate and Bylaws provide that annual stockholder meetings will be held at a date, place (if any) and time, as exclusively selected by our board of directors. To the extent permitted under applicable law, we may but are not obligated to conduct meetings by remote communications, including by webcast. </w:t>
      </w:r>
    </w:p>
    <w:p>
      <w:pPr>
        <w:pStyle w:val="TextBody"/>
        <w:spacing w:before="360" w:after="0"/>
        <w:jc w:val="left"/>
        <w:rPr>
          <w:rFonts w:ascii="Times New Roman" w:hAnsi="Times New Roman"/>
          <w:b/>
          <w:i/>
          <w:sz w:val="20"/>
        </w:rPr>
      </w:pPr>
      <w:bookmarkStart w:id="22" w:name="tx303976_7"/>
      <w:bookmarkEnd w:id="22"/>
      <w:r>
        <w:rPr>
          <w:rFonts w:ascii="Times New Roman" w:hAnsi="Times New Roman"/>
          <w:b/>
          <w:i/>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 </w:t>
      </w:r>
    </w:p>
    <w:p>
      <w:pPr>
        <w:pStyle w:val="TextBody"/>
        <w:spacing w:before="360" w:after="0"/>
        <w:jc w:val="left"/>
        <w:rPr>
          <w:rFonts w:ascii="Times New Roman" w:hAnsi="Times New Roman"/>
          <w:b/>
          <w:i/>
          <w:sz w:val="20"/>
        </w:rPr>
      </w:pPr>
      <w:r>
        <w:rPr>
          <w:rFonts w:ascii="Times New Roman" w:hAnsi="Times New Roman"/>
          <w:b/>
          <w:i/>
          <w:sz w:val="20"/>
        </w:rPr>
        <w:t xml:space="preserve">Anti-Takeover Effects of Provisions of the Certificate and Bylaws and DGCL </w:t>
      </w:r>
    </w:p>
    <w:p>
      <w:pPr>
        <w:pStyle w:val="TextBody"/>
        <w:spacing w:before="120" w:after="0"/>
        <w:jc w:val="left"/>
        <w:rPr>
          <w:rFonts w:ascii="Times New Roman" w:hAnsi="Times New Roman"/>
          <w:sz w:val="20"/>
        </w:rPr>
      </w:pPr>
      <w:r>
        <w:rPr>
          <w:rFonts w:ascii="Times New Roman" w:hAnsi="Times New Roman"/>
          <w:sz w:val="20"/>
        </w:rPr>
        <w:t xml:space="preserve">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 </w:t>
      </w:r>
    </w:p>
    <w:p>
      <w:pPr>
        <w:pStyle w:val="TextBody"/>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the Company to first negotiate with the Board. </w:t>
      </w:r>
    </w:p>
    <w:p>
      <w:pPr>
        <w:pStyle w:val="TextBody"/>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spacing w:before="120" w:after="0"/>
        <w:jc w:val="left"/>
        <w:rPr>
          <w:rFonts w:ascii="Times New Roman" w:hAnsi="Times New Roman"/>
          <w:sz w:val="20"/>
        </w:rPr>
      </w:pPr>
      <w:r>
        <w:rPr>
          <w:rFonts w:ascii="Times New Roman" w:hAnsi="Times New Roman"/>
          <w:sz w:val="20"/>
        </w:rPr>
        <w:t xml:space="preserve">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 </w:t>
      </w:r>
    </w:p>
    <w:p>
      <w:pPr>
        <w:pStyle w:val="TextBody"/>
        <w:spacing w:before="240" w:after="0"/>
        <w:jc w:val="left"/>
        <w:rPr>
          <w:rFonts w:ascii="Times New Roman" w:hAnsi="Times New Roman"/>
          <w:sz w:val="20"/>
        </w:rPr>
      </w:pPr>
      <w:r>
        <w:rPr>
          <w:rFonts w:ascii="Times New Roman" w:hAnsi="Times New Roman"/>
          <w:sz w:val="20"/>
        </w:rPr>
        <w:t xml:space="preserve">However, the above provisions of Section 203 do not apply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board approves the transaction that made the stockholder an interested stockholder or the business combination before the date of that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after the completion of the transaction that resulted in the stockholder becoming an interested stockholder, that stockholder owned at least 85% of our voting stock outstanding at the time the transaction commenced, excluding shares owned by our officers and directors;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or subsequent to the date of the transaction, the business combinations approved by our board and authorized at a meeting of our stockholders by an affirmative vote of at least two-thirds of the outstanding voting stock not owned by the interested stockholder.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 </w:t>
      </w:r>
    </w:p>
    <w:p>
      <w:pPr>
        <w:pStyle w:val="TextBody"/>
        <w:spacing w:before="360" w:after="0"/>
        <w:jc w:val="left"/>
        <w:rPr>
          <w:rFonts w:ascii="Times New Roman" w:hAnsi="Times New Roman"/>
          <w:i/>
          <w:sz w:val="20"/>
        </w:rPr>
      </w:pPr>
      <w:r>
        <w:rPr>
          <w:rFonts w:ascii="Times New Roman" w:hAnsi="Times New Roman"/>
          <w:i/>
          <w:sz w:val="20"/>
        </w:rPr>
        <w:t xml:space="preserve">Special Stockholder Meetings </w:t>
      </w:r>
    </w:p>
    <w:p>
      <w:pPr>
        <w:pStyle w:val="TextBody"/>
        <w:spacing w:before="120" w:after="0"/>
        <w:jc w:val="left"/>
        <w:rPr>
          <w:rFonts w:ascii="Times New Roman" w:hAnsi="Times New Roman"/>
          <w:sz w:val="20"/>
        </w:rPr>
      </w:pPr>
      <w:r>
        <w:rPr>
          <w:rFonts w:ascii="Times New Roman" w:hAnsi="Times New Roman"/>
          <w:sz w:val="20"/>
        </w:rPr>
        <w:t xml:space="preserve">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 </w:t>
      </w:r>
    </w:p>
    <w:p>
      <w:pPr>
        <w:pStyle w:val="TextBody"/>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spacing w:before="120" w:after="0"/>
        <w:jc w:val="left"/>
        <w:rPr>
          <w:rFonts w:ascii="Times New Roman" w:hAnsi="Times New Roman"/>
          <w:sz w:val="20"/>
        </w:rPr>
      </w:pPr>
      <w:r>
        <w:rPr>
          <w:rFonts w:ascii="Times New Roman" w:hAnsi="Times New Roman"/>
          <w:sz w:val="20"/>
        </w:rPr>
        <w:t xml:space="preserve">The Bylaws establish advance notice procedures with respect to stockholder proposals and the nomination of candidates for election as directors. </w:t>
      </w:r>
    </w:p>
    <w:p>
      <w:pPr>
        <w:pStyle w:val="TextBody"/>
        <w:spacing w:before="360" w:after="0"/>
        <w:jc w:val="left"/>
        <w:rPr>
          <w:rFonts w:ascii="Times New Roman" w:hAnsi="Times New Roman"/>
          <w:i/>
          <w:sz w:val="20"/>
        </w:rPr>
      </w:pPr>
      <w:r>
        <w:rPr>
          <w:rFonts w:ascii="Times New Roman" w:hAnsi="Times New Roman"/>
          <w:i/>
          <w:sz w:val="20"/>
        </w:rPr>
        <w:t xml:space="preserve">Composition of our Board of Directors; Election and Removal of Directors; Filling Vacancies </w:t>
      </w:r>
    </w:p>
    <w:p>
      <w:pPr>
        <w:pStyle w:val="TextBody"/>
        <w:spacing w:before="120" w:after="0"/>
        <w:jc w:val="left"/>
        <w:rPr>
          <w:rFonts w:ascii="Times New Roman" w:hAnsi="Times New Roman"/>
          <w:sz w:val="20"/>
        </w:rPr>
      </w:pPr>
      <w:r>
        <w:rPr>
          <w:rFonts w:ascii="Times New Roman" w:hAnsi="Times New Roman"/>
          <w:sz w:val="20"/>
        </w:rPr>
        <w:t xml:space="preserve">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 </w:t>
      </w:r>
    </w:p>
    <w:p>
      <w:pPr>
        <w:pStyle w:val="TextBody"/>
        <w:spacing w:before="240" w:after="0"/>
        <w:jc w:val="left"/>
        <w:rPr>
          <w:rFonts w:ascii="Times New Roman" w:hAnsi="Times New Roman"/>
          <w:sz w:val="20"/>
        </w:rPr>
      </w:pPr>
      <w:r>
        <w:rPr>
          <w:rFonts w:ascii="Times New Roman" w:hAnsi="Times New Roman"/>
          <w:sz w:val="20"/>
        </w:rPr>
        <w:t xml:space="preserve">In a contested election, a plurality voting standard will apply to director elections. The directors of the Company are elected until the expiration of the term for which they are elected and until their respective successors are duly elected and qualified. </w:t>
      </w:r>
    </w:p>
    <w:p>
      <w:pPr>
        <w:pStyle w:val="TextBody"/>
        <w:spacing w:before="240" w:after="0"/>
        <w:jc w:val="left"/>
        <w:rPr>
          <w:rFonts w:ascii="Times New Roman" w:hAnsi="Times New Roman"/>
          <w:sz w:val="20"/>
        </w:rPr>
      </w:pPr>
      <w:r>
        <w:rPr>
          <w:rFonts w:ascii="Times New Roman" w:hAnsi="Times New Roman"/>
          <w:sz w:val="20"/>
        </w:rPr>
        <w:t xml:space="preserve">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 </w:t>
      </w:r>
    </w:p>
    <w:p>
      <w:pPr>
        <w:pStyle w:val="TextBody"/>
        <w:spacing w:before="360" w:after="0"/>
        <w:jc w:val="left"/>
        <w:rPr>
          <w:rFonts w:ascii="Times New Roman" w:hAnsi="Times New Roman"/>
          <w:i/>
          <w:sz w:val="20"/>
        </w:rPr>
      </w:pPr>
      <w:r>
        <w:rPr>
          <w:rFonts w:ascii="Times New Roman" w:hAnsi="Times New Roman"/>
          <w:i/>
          <w:sz w:val="20"/>
        </w:rPr>
        <w:t xml:space="preserve">Amendment of the Certificate and Bylaws </w:t>
      </w:r>
    </w:p>
    <w:p>
      <w:pPr>
        <w:pStyle w:val="TextBody"/>
        <w:spacing w:before="120" w:after="0"/>
        <w:jc w:val="left"/>
        <w:rPr>
          <w:rFonts w:ascii="Times New Roman" w:hAnsi="Times New Roman"/>
          <w:sz w:val="20"/>
        </w:rPr>
      </w:pPr>
      <w:r>
        <w:rPr>
          <w:rFonts w:ascii="Times New Roman" w:hAnsi="Times New Roman"/>
          <w:sz w:val="20"/>
        </w:rPr>
        <w:t xml:space="preserve">The Certificate may be amended in any manner permitted under the DGCL and the Bylaws may be amended by the holders of at a majority of the voting power of the then outstanding voting stock or by our board of directors. </w:t>
      </w:r>
    </w:p>
    <w:p>
      <w:pPr>
        <w:pStyle w:val="TextBody"/>
        <w:spacing w:before="360" w:after="0"/>
        <w:jc w:val="left"/>
        <w:rPr>
          <w:rFonts w:ascii="Times New Roman" w:hAnsi="Times New Roman"/>
          <w:i/>
          <w:sz w:val="20"/>
        </w:rPr>
      </w:pPr>
      <w:bookmarkStart w:id="23" w:name="tx303976_8"/>
      <w:bookmarkEnd w:id="23"/>
      <w:r>
        <w:rPr>
          <w:rFonts w:ascii="Times New Roman" w:hAnsi="Times New Roman"/>
          <w:i/>
          <w:sz w:val="20"/>
        </w:rPr>
        <w:t xml:space="preserve">Limitations of Liability and Indemnification Matters </w:t>
      </w:r>
    </w:p>
    <w:p>
      <w:pPr>
        <w:pStyle w:val="TextBody"/>
        <w:spacing w:before="120" w:after="0"/>
        <w:jc w:val="left"/>
        <w:rPr>
          <w:rFonts w:ascii="Times New Roman" w:hAnsi="Times New Roman"/>
          <w:sz w:val="20"/>
        </w:rPr>
      </w:pPr>
      <w:r>
        <w:rPr>
          <w:rFonts w:ascii="Times New Roman" w:hAnsi="Times New Roman"/>
          <w:sz w:val="20"/>
        </w:rPr>
        <w:t xml:space="preserve">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 </w:t>
      </w:r>
    </w:p>
    <w:p>
      <w:pPr>
        <w:pStyle w:val="TextBody"/>
        <w:spacing w:before="240" w:after="0"/>
        <w:jc w:val="left"/>
        <w:rPr>
          <w:rFonts w:ascii="Times New Roman" w:hAnsi="Times New Roman"/>
          <w:sz w:val="20"/>
        </w:rPr>
      </w:pPr>
      <w:r>
        <w:rPr>
          <w:rFonts w:ascii="Times New Roman" w:hAnsi="Times New Roman"/>
          <w:sz w:val="20"/>
        </w:rPr>
        <w:t xml:space="preserve">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 </w:t>
      </w:r>
    </w:p>
    <w:p>
      <w:pPr>
        <w:pStyle w:val="TextBody"/>
        <w:spacing w:before="360" w:after="0"/>
        <w:jc w:val="left"/>
        <w:rPr>
          <w:rFonts w:ascii="Times New Roman" w:hAnsi="Times New Roman"/>
          <w:b/>
          <w:i/>
          <w:sz w:val="20"/>
        </w:rPr>
      </w:pPr>
      <w:bookmarkStart w:id="24" w:name="tx303976_9"/>
      <w:bookmarkEnd w:id="24"/>
      <w:r>
        <w:rPr>
          <w:rFonts w:ascii="Times New Roman" w:hAnsi="Times New Roman"/>
          <w:b/>
          <w:i/>
          <w:sz w:val="20"/>
        </w:rPr>
        <w:t xml:space="preserve">Securities Exchange Listings </w:t>
      </w:r>
    </w:p>
    <w:p>
      <w:pPr>
        <w:pStyle w:val="TextBody"/>
        <w:spacing w:before="120" w:after="0"/>
        <w:jc w:val="left"/>
        <w:rPr>
          <w:rFonts w:ascii="Times New Roman" w:hAnsi="Times New Roman"/>
          <w:sz w:val="20"/>
        </w:rPr>
      </w:pPr>
      <w:r>
        <w:rPr>
          <w:rFonts w:ascii="Times New Roman" w:hAnsi="Times New Roman"/>
          <w:sz w:val="20"/>
        </w:rPr>
        <w:t xml:space="preserve">Shares of our common stock are listed on The Nasdaq Stock Market LLC under the symbol RCEL. Our Chess Depositary Interests (CDIs) are quoted on the Australian Securities Exchange Ltd (ASX) under the ticker code, AVH. One share of common stock on Nasdaq is equivalent to five CDIs on the ASX.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bookmarkStart w:id="25" w:name="tx303976_10"/>
      <w:bookmarkEnd w:id="25"/>
      <w:r>
        <w:rPr>
          <w:rFonts w:ascii="Times New Roman" w:hAnsi="Times New Roman"/>
          <w:b/>
          <w:i/>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and its address is 250 Royall St., Canton, Massachusetts 02021.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DESCRIPTION OF PREFERRED STOCK WE MAY OFFER </w:t>
      </w:r>
    </w:p>
    <w:p>
      <w:pPr>
        <w:pStyle w:val="TextBody"/>
        <w:spacing w:before="240" w:after="0"/>
        <w:jc w:val="left"/>
        <w:rPr>
          <w:rFonts w:ascii="Times New Roman" w:hAnsi="Times New Roman"/>
          <w:sz w:val="20"/>
        </w:rPr>
      </w:pPr>
      <w:r>
        <w:rPr>
          <w:rFonts w:ascii="Times New Roman" w:hAnsi="Times New Roman"/>
          <w:sz w:val="20"/>
        </w:rPr>
        <w:t xml:space="preserve">We may offer shares of our preferred stock from time to time, in one or more series of preferred stock. Pursuant to our Certificate, we have the authority to issue 10,000,000 shares of preferred stock, $0.0001 par value. As of April 12, 2023,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 </w:t>
      </w:r>
    </w:p>
    <w:p>
      <w:pPr>
        <w:pStyle w:val="TextBody"/>
        <w:spacing w:before="240" w:after="0"/>
        <w:jc w:val="left"/>
        <w:rPr>
          <w:rFonts w:ascii="Times New Roman" w:hAnsi="Times New Roman"/>
          <w:sz w:val="20"/>
        </w:rPr>
      </w:pPr>
      <w:r>
        <w:rPr>
          <w:rFonts w:ascii="Times New Roman" w:hAnsi="Times New Roman"/>
          <w:sz w:val="20"/>
        </w:rPr>
        <w:t xml:space="preserve">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 </w:t>
      </w:r>
    </w:p>
    <w:p>
      <w:pPr>
        <w:pStyle w:val="TextBody"/>
        <w:spacing w:before="240" w:after="0"/>
        <w:jc w:val="left"/>
        <w:rPr>
          <w:rFonts w:ascii="Times New Roman" w:hAnsi="Times New Roman"/>
          <w:sz w:val="20"/>
        </w:rPr>
      </w:pPr>
      <w:r>
        <w:rPr>
          <w:rFonts w:ascii="Times New Roman" w:hAnsi="Times New Roman"/>
          <w:sz w:val="20"/>
        </w:rPr>
        <w:t xml:space="preserve">The certificate of designation and prospectus supplement relating to any series of preferred stock we are offering will include specific terms relating to the offering. These terms will include some or all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of the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maximum number of shares of the series of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dividend rate, if any, or the method of calculating and paying the dividend, the date from which dividends will accrue and whether dividends will be cumulative;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liquidation preference;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sinking fund or other provisions that would obligate us to redeem or purchase the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terms for the conversion or exchange of the preferred stock for other securities of us or any other entity;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voting rights;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preferences and relative, participating, optional or other special rights or any qualifications, limitations, or restrictions on the rights of the shares. </w:t>
            </w:r>
          </w:p>
        </w:tc>
      </w:tr>
    </w:tbl>
    <w:p>
      <w:pPr>
        <w:pStyle w:val="TextBody"/>
        <w:spacing w:before="240" w:after="0"/>
        <w:jc w:val="left"/>
        <w:rPr>
          <w:rFonts w:ascii="Times New Roman" w:hAnsi="Times New Roman"/>
          <w:sz w:val="20"/>
        </w:rPr>
      </w:pPr>
      <w:r>
        <w:rPr>
          <w:rFonts w:ascii="Times New Roman" w:hAnsi="Times New Roman"/>
          <w:sz w:val="20"/>
        </w:rPr>
        <w:t>Any shares of preferred stock we issue will, at the time of issuance, be fully paid and non-assessable.</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303976_11"/>
      <w:bookmarkEnd w:id="26"/>
      <w:r>
        <w:rPr>
          <w:rFonts w:ascii="Times New Roman" w:hAnsi="Times New Roman"/>
          <w:b/>
          <w:sz w:val="20"/>
        </w:rPr>
        <w:t xml:space="preserve">DESCRIPTION OF WARRANTS WE MAY OFFER </w:t>
      </w:r>
    </w:p>
    <w:p>
      <w:pPr>
        <w:pStyle w:val="TextBody"/>
        <w:spacing w:before="240" w:after="0"/>
        <w:jc w:val="left"/>
        <w:rPr>
          <w:rFonts w:ascii="Times New Roman" w:hAnsi="Times New Roman"/>
          <w:sz w:val="20"/>
        </w:rPr>
      </w:pPr>
      <w:r>
        <w:rPr>
          <w:rFonts w:ascii="Times New Roman" w:hAnsi="Times New Roman"/>
          <w:sz w:val="20"/>
        </w:rPr>
        <w:t xml:space="preserve">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 </w:t>
      </w:r>
    </w:p>
    <w:p>
      <w:pPr>
        <w:pStyle w:val="TextBody"/>
        <w:spacing w:before="240" w:after="0"/>
        <w:jc w:val="left"/>
        <w:rPr>
          <w:rFonts w:ascii="Times New Roman" w:hAnsi="Times New Roman"/>
          <w:sz w:val="20"/>
        </w:rPr>
      </w:pPr>
      <w:r>
        <w:rPr>
          <w:rFonts w:ascii="Times New Roman" w:hAnsi="Times New Roman"/>
          <w:sz w:val="20"/>
        </w:rPr>
        <w:t xml:space="preserve">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 </w:t>
      </w:r>
    </w:p>
    <w:p>
      <w:pPr>
        <w:pStyle w:val="TextBody"/>
        <w:spacing w:before="240" w:after="0"/>
        <w:jc w:val="left"/>
        <w:rPr>
          <w:rFonts w:ascii="Times New Roman" w:hAnsi="Times New Roman"/>
          <w:sz w:val="20"/>
        </w:rPr>
      </w:pPr>
      <w:r>
        <w:rPr>
          <w:rFonts w:ascii="Times New Roman" w:hAnsi="Times New Roman"/>
          <w:sz w:val="20"/>
        </w:rPr>
        <w:t xml:space="preserve">A prospectus supplement relating to any warrants that we are offering will include specific terms relating to the offering. These terms will include some or all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aggregate number of warrants offered;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number and terms of the common stock or preferred stock purchasable upon exercise of the warrants, and procedures by which those numbers may be adjusted;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price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dates or periods during which the warrants are exercisable;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any securities with which the warrants are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warrants are issued as a unit with another security, the date on and after which the warrants and the other security will be separately transferable;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exercise price is not payable in U.S. dollars, the foreign currency, currency unit or composite currency in which the exercise price is denominated;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minimum or maximum amount of warrants that may be exercised at any one time;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warrants. </w:t>
            </w:r>
          </w:p>
        </w:tc>
      </w:tr>
    </w:tbl>
    <w:p>
      <w:pPr>
        <w:pStyle w:val="TextBody"/>
        <w:spacing w:before="360" w:after="0"/>
        <w:jc w:val="left"/>
        <w:rPr>
          <w:rFonts w:ascii="Times New Roman" w:hAnsi="Times New Roman"/>
          <w:b/>
          <w:sz w:val="20"/>
        </w:rPr>
      </w:pPr>
      <w:bookmarkStart w:id="27" w:name="tx303976_12"/>
      <w:bookmarkEnd w:id="27"/>
      <w:r>
        <w:rPr>
          <w:rFonts w:ascii="Times New Roman" w:hAnsi="Times New Roman"/>
          <w:b/>
          <w:sz w:val="20"/>
        </w:rPr>
        <w:t xml:space="preserve">Exercise of Warrants </w:t>
      </w:r>
    </w:p>
    <w:p>
      <w:pPr>
        <w:pStyle w:val="TextBody"/>
        <w:spacing w:before="120" w:after="0"/>
        <w:jc w:val="left"/>
        <w:rPr>
          <w:rFonts w:ascii="Times New Roman" w:hAnsi="Times New Roman"/>
          <w:sz w:val="20"/>
        </w:rPr>
      </w:pPr>
      <w:r>
        <w:rPr>
          <w:rFonts w:ascii="Times New Roman" w:hAnsi="Times New Roman"/>
          <w:sz w:val="20"/>
        </w:rPr>
        <w:t xml:space="preserve">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 </w:t>
      </w:r>
    </w:p>
    <w:p>
      <w:pPr>
        <w:pStyle w:val="TextBody"/>
        <w:spacing w:before="240" w:after="0"/>
        <w:jc w:val="left"/>
        <w:rPr>
          <w:rFonts w:ascii="Times New Roman" w:hAnsi="Times New Roman"/>
          <w:sz w:val="20"/>
        </w:rPr>
      </w:pPr>
      <w:r>
        <w:rPr>
          <w:rFonts w:ascii="Times New Roman" w:hAnsi="Times New Roman"/>
          <w:sz w:val="20"/>
        </w:rPr>
        <w:t xml:space="preserve">Holders may exercise warrants at any time up to the close of business on the expiration date provided in the applicable prospectus supplement. After the close of business on the expiration date, unexercised warrants are void. </w:t>
      </w:r>
    </w:p>
    <w:p>
      <w:pPr>
        <w:pStyle w:val="TextBody"/>
        <w:spacing w:before="240" w:after="0"/>
        <w:jc w:val="left"/>
        <w:rPr>
          <w:rFonts w:ascii="Times New Roman" w:hAnsi="Times New Roman"/>
          <w:sz w:val="20"/>
        </w:rPr>
      </w:pPr>
      <w:r>
        <w:rPr>
          <w:rFonts w:ascii="Times New Roman" w:hAnsi="Times New Roman"/>
          <w:sz w:val="20"/>
        </w:rPr>
        <w:t xml:space="preserve">Prior to the exercise of their warrants, holders of warrants will not have any of the rights of holders of the securities subject to the warrants. </w:t>
      </w:r>
    </w:p>
    <w:p>
      <w:pPr>
        <w:pStyle w:val="TextBody"/>
        <w:spacing w:before="360" w:after="0"/>
        <w:jc w:val="left"/>
        <w:rPr>
          <w:rFonts w:ascii="Times New Roman" w:hAnsi="Times New Roman"/>
          <w:b/>
          <w:sz w:val="20"/>
        </w:rPr>
      </w:pPr>
      <w:bookmarkStart w:id="28" w:name="tx303976_13"/>
      <w:bookmarkEnd w:id="28"/>
      <w:r>
        <w:rPr>
          <w:rFonts w:ascii="Times New Roman" w:hAnsi="Times New Roman"/>
          <w:b/>
          <w:sz w:val="20"/>
        </w:rPr>
        <w:t xml:space="preserve">Modifications </w:t>
      </w:r>
    </w:p>
    <w:p>
      <w:pPr>
        <w:pStyle w:val="TextBody"/>
        <w:spacing w:before="120" w:after="0"/>
        <w:jc w:val="left"/>
        <w:rPr>
          <w:rFonts w:ascii="Times New Roman" w:hAnsi="Times New Roman"/>
          <w:sz w:val="20"/>
        </w:rPr>
      </w:pPr>
      <w:r>
        <w:rPr>
          <w:rFonts w:ascii="Times New Roman" w:hAnsi="Times New Roman"/>
          <w:sz w:val="20"/>
        </w:rPr>
        <w:t xml:space="preserve">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shorten the period of time during which the warrants may be exercised;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otherwise materially and adversely affect the exercise rights of the holders of the warrants. </w:t>
            </w:r>
          </w:p>
        </w:tc>
      </w:tr>
    </w:tbl>
    <w:p>
      <w:pPr>
        <w:pStyle w:val="TextBody"/>
        <w:spacing w:before="360" w:after="0"/>
        <w:jc w:val="left"/>
        <w:rPr>
          <w:rFonts w:ascii="Times New Roman" w:hAnsi="Times New Roman"/>
          <w:b/>
          <w:sz w:val="20"/>
        </w:rPr>
      </w:pPr>
      <w:bookmarkStart w:id="29" w:name="tx303976_14"/>
      <w:bookmarkEnd w:id="29"/>
      <w:r>
        <w:rPr>
          <w:rFonts w:ascii="Times New Roman" w:hAnsi="Times New Roman"/>
          <w:b/>
          <w:sz w:val="20"/>
        </w:rPr>
        <w:t xml:space="preserve">Enforceability of Rights </w:t>
      </w:r>
    </w:p>
    <w:p>
      <w:pPr>
        <w:pStyle w:val="TextBody"/>
        <w:spacing w:before="120" w:after="0"/>
        <w:jc w:val="left"/>
        <w:rPr>
          <w:rFonts w:ascii="Times New Roman" w:hAnsi="Times New Roman"/>
          <w:sz w:val="20"/>
        </w:rPr>
      </w:pPr>
      <w:r>
        <w:rPr>
          <w:rFonts w:ascii="Times New Roman" w:hAnsi="Times New Roman"/>
          <w:sz w:val="20"/>
        </w:rPr>
        <w:t xml:space="preserve">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x303976_15"/>
      <w:bookmarkEnd w:id="30"/>
      <w:r>
        <w:rPr>
          <w:rFonts w:ascii="Times New Roman" w:hAnsi="Times New Roman"/>
          <w:b/>
          <w:sz w:val="20"/>
        </w:rPr>
        <w:t xml:space="preserve">DESCRIPTION OF UNITS WE MAY OFFER </w:t>
      </w:r>
    </w:p>
    <w:p>
      <w:pPr>
        <w:pStyle w:val="TextBody"/>
        <w:spacing w:before="240" w:after="0"/>
        <w:jc w:val="left"/>
        <w:rPr>
          <w:rFonts w:ascii="Times New Roman" w:hAnsi="Times New Roman"/>
          <w:sz w:val="20"/>
        </w:rPr>
      </w:pPr>
      <w:r>
        <w:rPr>
          <w:rFonts w:ascii="Times New Roman" w:hAnsi="Times New Roman"/>
          <w:sz w:val="20"/>
        </w:rPr>
        <w:t xml:space="preserve">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 </w:t>
      </w:r>
    </w:p>
    <w:p>
      <w:pPr>
        <w:pStyle w:val="TextBody"/>
        <w:spacing w:before="240" w:after="0"/>
        <w:jc w:val="left"/>
        <w:rPr>
          <w:rFonts w:ascii="Times New Roman" w:hAnsi="Times New Roman"/>
          <w:sz w:val="20"/>
        </w:rPr>
      </w:pPr>
      <w:r>
        <w:rPr>
          <w:rFonts w:ascii="Times New Roman" w:hAnsi="Times New Roman"/>
          <w:sz w:val="20"/>
        </w:rPr>
        <w:t xml:space="preserve">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 </w:t>
      </w:r>
    </w:p>
    <w:p>
      <w:pPr>
        <w:pStyle w:val="TextBody"/>
        <w:spacing w:before="240" w:after="0"/>
        <w:jc w:val="left"/>
        <w:rPr>
          <w:rFonts w:ascii="Times New Roman" w:hAnsi="Times New Roman"/>
          <w:sz w:val="20"/>
        </w:rPr>
      </w:pPr>
      <w:r>
        <w:rPr>
          <w:rFonts w:ascii="Times New Roman" w:hAnsi="Times New Roman"/>
          <w:sz w:val="20"/>
        </w:rPr>
        <w:t xml:space="preserve">A prospectus supplement relating to any units we are offering will include specific terms relating to the offering. These terms will include some or all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such units will be issued in fully registered or global form. </w:t>
            </w:r>
          </w:p>
        </w:tc>
      </w:tr>
    </w:tbl>
    <w:p>
      <w:pPr>
        <w:pStyle w:val="TextBody"/>
        <w:spacing w:before="480" w:after="0"/>
        <w:jc w:val="center"/>
        <w:rPr>
          <w:rFonts w:ascii="Times New Roman" w:hAnsi="Times New Roman"/>
          <w:b/>
          <w:sz w:val="20"/>
        </w:rPr>
      </w:pPr>
      <w:bookmarkStart w:id="31" w:name="tx303976_16"/>
      <w:bookmarkEnd w:id="31"/>
      <w:r>
        <w:rPr>
          <w:rFonts w:ascii="Times New Roman" w:hAnsi="Times New Roman"/>
          <w:b/>
          <w:sz w:val="20"/>
        </w:rPr>
        <w:t xml:space="preserve">CHESS DEPOSITARY INTERESTS </w:t>
      </w:r>
    </w:p>
    <w:p>
      <w:pPr>
        <w:pStyle w:val="TextBody"/>
        <w:spacing w:before="240" w:after="0"/>
        <w:jc w:val="left"/>
        <w:rPr>
          <w:rFonts w:ascii="Times New Roman" w:hAnsi="Times New Roman"/>
          <w:sz w:val="20"/>
        </w:rPr>
      </w:pPr>
      <w:r>
        <w:rPr>
          <w:rFonts w:ascii="Times New Roman" w:hAnsi="Times New Roman"/>
          <w:sz w:val="20"/>
        </w:rPr>
        <w:t xml:space="preserve">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 </w:t>
      </w:r>
    </w:p>
    <w:p>
      <w:pPr>
        <w:pStyle w:val="TextBody"/>
        <w:spacing w:before="240" w:after="0"/>
        <w:jc w:val="left"/>
        <w:rPr>
          <w:rFonts w:ascii="Times New Roman" w:hAnsi="Times New Roman"/>
          <w:sz w:val="20"/>
        </w:rPr>
      </w:pPr>
      <w:r>
        <w:rPr>
          <w:rFonts w:ascii="Times New Roman" w:hAnsi="Times New Roman"/>
          <w:sz w:val="20"/>
        </w:rPr>
        <w:t xml:space="preserve">Our CDIs are quoted on the ASX under the ticker code, AVH. One share of common stock on Nasdaq is equivalent to five CDIs on the ASX.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tx303976_17"/>
      <w:bookmarkEnd w:id="32"/>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from time to time offer and sell, separately or together, some or all of the securities covered by this prospectus. Registration of the securities covered by this prospectus does not mean, however, that the securities will be offered or sold. </w:t>
      </w:r>
    </w:p>
    <w:p>
      <w:pPr>
        <w:pStyle w:val="TextBody"/>
        <w:spacing w:before="240" w:after="0"/>
        <w:jc w:val="left"/>
        <w:rPr>
          <w:rFonts w:ascii="Times New Roman" w:hAnsi="Times New Roman"/>
          <w:sz w:val="20"/>
        </w:rPr>
      </w:pPr>
      <w:r>
        <w:rPr>
          <w:rFonts w:ascii="Times New Roman" w:hAnsi="Times New Roman"/>
          <w:sz w:val="20"/>
        </w:rPr>
        <w:t xml:space="preserve">The securities covered by this prospectus may be sold from time to time, at market prices prevailing at the time of sale, at prices related to market prices, at a fixed price or prices subject to change or at negotiated prices, by a variety of methods,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transactions on The Nasdaq Stock Market LLC or the ASX in accordance with the rules of the ASX (including through at-the-market offerings) or any other organized market where the securities may be traded;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broker-dealers, who may act as agents or principals;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one or more underwriters on a firm commitment or best-efforts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at-the-market offerings within the meaning of Rule 415 of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 block trade in which a broker-dealer will attempt to sell a block of securities as agent but may position and resell a portion of the block as principal to facilitate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offerings of securities exchangeable, convertible or exercisable for the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any combination of the above. </w:t>
            </w:r>
          </w:p>
        </w:tc>
      </w:tr>
    </w:tbl>
    <w:p>
      <w:pPr>
        <w:pStyle w:val="TextBody"/>
        <w:spacing w:before="120" w:after="0"/>
        <w:jc w:val="left"/>
        <w:rPr>
          <w:rFonts w:ascii="Times New Roman" w:hAnsi="Times New Roman"/>
          <w:sz w:val="20"/>
        </w:rPr>
      </w:pPr>
      <w:r>
        <w:rPr>
          <w:rFonts w:ascii="Times New Roman" w:hAnsi="Times New Roman"/>
          <w:sz w:val="20"/>
        </w:rPr>
        <w:t xml:space="preserve">At any time a particular offer of securities covered by this prospectus is made, a revised prospectus or prospectus supplement, if required, will be distributed which will set forth: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or names of any underwriters, broker-dealers or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purchase price of the securities and the proceeds to be received by us from the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commissions, concessions and other items constituting underwriters or agents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commissions or concessions allowed or re-allowed or paid to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additional risk factors applicable to the securities that we propose to sell;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securities exchange on which the securities may be listed. </w:t>
            </w:r>
          </w:p>
        </w:tc>
      </w:tr>
    </w:tbl>
    <w:p>
      <w:pPr>
        <w:pStyle w:val="TextBody"/>
        <w:spacing w:before="240" w:after="0"/>
        <w:jc w:val="left"/>
        <w:rPr>
          <w:rFonts w:ascii="Times New Roman" w:hAnsi="Times New Roman"/>
          <w:sz w:val="20"/>
        </w:rPr>
      </w:pPr>
      <w:r>
        <w:rPr>
          <w:rFonts w:ascii="Times New Roman" w:hAnsi="Times New Roman"/>
          <w:sz w:val="20"/>
        </w:rPr>
        <w:t xml:space="preserve">Any such required prospectus supplement of which this prospectus is a part will be filed with the SEC to reflect the disclosure of additional information with respect to the distribution of securities covered by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 </w:t>
      </w:r>
    </w:p>
    <w:p>
      <w:pPr>
        <w:pStyle w:val="TextBody"/>
        <w:spacing w:before="240" w:after="0"/>
        <w:jc w:val="left"/>
        <w:rPr>
          <w:rFonts w:ascii="Times New Roman" w:hAnsi="Times New Roman"/>
          <w:sz w:val="20"/>
        </w:rPr>
      </w:pPr>
      <w:r>
        <w:rPr>
          <w:rFonts w:ascii="Times New Roman" w:hAnsi="Times New Roman"/>
          <w:sz w:val="20"/>
        </w:rPr>
        <w:t xml:space="preserve">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 </w:t>
      </w:r>
    </w:p>
    <w:p>
      <w:pPr>
        <w:pStyle w:val="TextBody"/>
        <w:spacing w:before="240" w:after="0"/>
        <w:jc w:val="left"/>
        <w:rPr>
          <w:rFonts w:ascii="Times New Roman" w:hAnsi="Times New Roman"/>
          <w:sz w:val="20"/>
        </w:rPr>
      </w:pPr>
      <w:r>
        <w:rPr>
          <w:rFonts w:ascii="Times New Roman" w:hAnsi="Times New Roman"/>
          <w:sz w:val="20"/>
        </w:rPr>
        <w:t xml:space="preserve">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 </w:t>
      </w:r>
    </w:p>
    <w:p>
      <w:pPr>
        <w:pStyle w:val="TextBody"/>
        <w:spacing w:before="240" w:after="0"/>
        <w:jc w:val="left"/>
        <w:rPr>
          <w:rFonts w:ascii="Times New Roman" w:hAnsi="Times New Roman"/>
          <w:sz w:val="20"/>
        </w:rPr>
      </w:pPr>
      <w:r>
        <w:rPr>
          <w:rFonts w:ascii="Times New Roman" w:hAnsi="Times New Roman"/>
          <w:sz w:val="20"/>
        </w:rPr>
        <w:t xml:space="preserve">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 </w:t>
      </w:r>
    </w:p>
    <w:p>
      <w:pPr>
        <w:pStyle w:val="TextBody"/>
        <w:spacing w:before="240" w:after="0"/>
        <w:jc w:val="left"/>
        <w:rPr>
          <w:rFonts w:ascii="Times New Roman" w:hAnsi="Times New Roman"/>
          <w:sz w:val="20"/>
        </w:rPr>
      </w:pPr>
      <w:r>
        <w:rPr>
          <w:rFonts w:ascii="Times New Roman" w:hAnsi="Times New Roman"/>
          <w:sz w:val="20"/>
        </w:rPr>
        <w:t xml:space="preserve">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 </w:t>
      </w:r>
    </w:p>
    <w:p>
      <w:pPr>
        <w:pStyle w:val="TextBody"/>
        <w:spacing w:before="240" w:after="0"/>
        <w:jc w:val="left"/>
        <w:rPr>
          <w:rFonts w:ascii="Times New Roman" w:hAnsi="Times New Roman"/>
          <w:sz w:val="20"/>
        </w:rPr>
      </w:pPr>
      <w:r>
        <w:rPr>
          <w:rFonts w:ascii="Times New Roman" w:hAnsi="Times New Roman"/>
          <w:sz w:val="20"/>
        </w:rPr>
        <w:t xml:space="preserve">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 </w:t>
      </w:r>
    </w:p>
    <w:p>
      <w:pPr>
        <w:pStyle w:val="TextBody"/>
        <w:spacing w:before="240" w:after="0"/>
        <w:jc w:val="left"/>
        <w:rPr>
          <w:rFonts w:ascii="Times New Roman" w:hAnsi="Times New Roman"/>
          <w:sz w:val="20"/>
        </w:rPr>
      </w:pPr>
      <w:r>
        <w:rPr>
          <w:rFonts w:ascii="Times New Roman" w:hAnsi="Times New Roman"/>
          <w:sz w:val="20"/>
        </w:rPr>
        <w:t xml:space="preserve">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tx303976_18"/>
      <w:bookmarkEnd w:id="33"/>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 </w:t>
      </w:r>
    </w:p>
    <w:p>
      <w:pPr>
        <w:pStyle w:val="TextBody"/>
        <w:spacing w:before="480" w:after="0"/>
        <w:jc w:val="center"/>
        <w:rPr>
          <w:rFonts w:ascii="Times New Roman" w:hAnsi="Times New Roman"/>
          <w:b/>
          <w:sz w:val="20"/>
        </w:rPr>
      </w:pPr>
      <w:bookmarkStart w:id="34" w:name="tx303976_19"/>
      <w:bookmarkEnd w:id="34"/>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spacing w:before="480" w:after="0"/>
        <w:jc w:val="center"/>
        <w:rPr>
          <w:rFonts w:ascii="Times New Roman" w:hAnsi="Times New Roman"/>
          <w:b/>
          <w:sz w:val="20"/>
        </w:rPr>
      </w:pPr>
      <w:bookmarkStart w:id="35" w:name="tx303976_20"/>
      <w:bookmarkEnd w:id="35"/>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 </w:t>
      </w:r>
    </w:p>
    <w:p>
      <w:pPr>
        <w:pStyle w:val="TextBody"/>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under the Exchange Act. You can read our SEC filings, including the registration statement, at the SECs website at </w:t>
      </w:r>
      <w:r>
        <w:rPr>
          <w:rFonts w:ascii="Times New Roman" w:hAnsi="Times New Roman"/>
          <w:sz w:val="20"/>
          <w:u w:val="single"/>
        </w:rPr>
        <w:t>www.sec.gov</w:t>
      </w:r>
      <w:r>
        <w:rPr>
          <w:rFonts w:ascii="Times New Roman" w:hAnsi="Times New Roman"/>
          <w:sz w:val="20"/>
        </w:rPr>
        <w:t xml:space="preserve">, which contains reports, proxy and information statements and other information regarding issuers that file electronically with the SEC. </w:t>
      </w:r>
    </w:p>
    <w:p>
      <w:pPr>
        <w:pStyle w:val="TextBody"/>
        <w:spacing w:before="480" w:after="0"/>
        <w:jc w:val="center"/>
        <w:rPr>
          <w:rFonts w:ascii="Times New Roman" w:hAnsi="Times New Roman"/>
          <w:b/>
          <w:sz w:val="20"/>
        </w:rPr>
      </w:pPr>
      <w:bookmarkStart w:id="36" w:name="tx303976_21"/>
      <w:bookmarkEnd w:id="36"/>
      <w:r>
        <w:rPr>
          <w:rFonts w:ascii="Times New Roman" w:hAnsi="Times New Roman"/>
          <w:b/>
          <w:sz w:val="20"/>
        </w:rPr>
        <w:t xml:space="preserve">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 </w:t>
      </w:r>
    </w:p>
    <w:p>
      <w:pPr>
        <w:pStyle w:val="TextBody"/>
        <w:spacing w:before="240" w:after="0"/>
        <w:jc w:val="left"/>
        <w:rPr>
          <w:rFonts w:ascii="Times New Roman" w:hAnsi="Times New Roman"/>
          <w:sz w:val="20"/>
        </w:rPr>
      </w:pPr>
      <w:r>
        <w:rPr>
          <w:rFonts w:ascii="Times New Roman" w:hAnsi="Times New Roman"/>
          <w:sz w:val="20"/>
        </w:rPr>
        <w:t xml:space="preserve">We incorporate by reference the filed documents listed below, except as superseded, supplemented or modified by this prospectus, and any future filings we will make with the SEC under Sections 13(a), 13(c), 14 or 15(d) of the Exchange Act: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2022 as filed with the SEC on February 23,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pPr>
            <w:r>
              <w:rPr>
                <w:rFonts w:ascii="Times New Roman" w:hAnsi="Times New Roman"/>
                <w:sz w:val="20"/>
              </w:rPr>
              <w:t xml:space="preserve">Our Current Reports on Form 8-K dated </w:t>
            </w:r>
            <w:hyperlink r:id="rId10">
              <w:r>
                <w:rPr>
                  <w:rStyle w:val="InternetLink"/>
                  <w:rFonts w:ascii="Times New Roman" w:hAnsi="Times New Roman"/>
                  <w:sz w:val="20"/>
                </w:rPr>
                <w:t>January 20, 2023</w:t>
              </w:r>
            </w:hyperlink>
            <w:r>
              <w:rPr>
                <w:rFonts w:ascii="Times New Roman" w:hAnsi="Times New Roman"/>
                <w:sz w:val="20"/>
              </w:rPr>
              <w:t xml:space="preserve">, </w:t>
            </w:r>
            <w:hyperlink r:id="rId11">
              <w:r>
                <w:rPr>
                  <w:rStyle w:val="InternetLink"/>
                  <w:rFonts w:ascii="Times New Roman" w:hAnsi="Times New Roman"/>
                  <w:sz w:val="20"/>
                </w:rPr>
                <w:t>March  21, 2023</w:t>
              </w:r>
            </w:hyperlink>
            <w:r>
              <w:rPr>
                <w:rFonts w:ascii="Times New Roman" w:hAnsi="Times New Roman"/>
                <w:sz w:val="20"/>
              </w:rPr>
              <w:t xml:space="preserve">, </w:t>
            </w:r>
            <w:hyperlink r:id="rId12">
              <w:r>
                <w:rPr>
                  <w:rStyle w:val="InternetLink"/>
                  <w:rFonts w:ascii="Times New Roman" w:hAnsi="Times New Roman"/>
                  <w:sz w:val="20"/>
                </w:rPr>
                <w:t>March  22, 2023</w:t>
              </w:r>
            </w:hyperlink>
            <w:r>
              <w:rPr>
                <w:rFonts w:ascii="Times New Roman" w:hAnsi="Times New Roman"/>
                <w:sz w:val="20"/>
              </w:rPr>
              <w:t xml:space="preserve">, and </w:t>
            </w:r>
            <w:hyperlink r:id="rId13">
              <w:r>
                <w:rPr>
                  <w:rStyle w:val="InternetLink"/>
                  <w:rFonts w:ascii="Times New Roman" w:hAnsi="Times New Roman"/>
                  <w:sz w:val="20"/>
                </w:rPr>
                <w:t>March 27, 2023</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pPr>
            <w:r>
              <w:rPr>
                <w:rFonts w:ascii="Times New Roman" w:hAnsi="Times New Roman"/>
                <w:sz w:val="20"/>
              </w:rPr>
              <w:t xml:space="preserve">A description of our common stock contained in </w:t>
            </w:r>
            <w:hyperlink r:id="rId14">
              <w:r>
                <w:rPr>
                  <w:rStyle w:val="InternetLink"/>
                  <w:rFonts w:ascii="Times New Roman" w:hAnsi="Times New Roman"/>
                  <w:sz w:val="20"/>
                </w:rPr>
                <w:t>Exhibit 4.1</w:t>
              </w:r>
            </w:hyperlink>
            <w:r>
              <w:rPr>
                <w:rFonts w:ascii="Times New Roman" w:hAnsi="Times New Roman"/>
                <w:sz w:val="20"/>
              </w:rPr>
              <w:t xml:space="preserve"> to our Annual Report on Form 10-K filed February 23, 2022, including any Amendment or reports filed for the purpose of updating this description;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 </w:t>
      </w:r>
    </w:p>
    <w:p>
      <w:pPr>
        <w:pStyle w:val="TextBody"/>
        <w:spacing w:before="240" w:after="0"/>
        <w:jc w:val="center"/>
        <w:rPr>
          <w:rFonts w:ascii="Times New Roman" w:hAnsi="Times New Roman"/>
          <w:sz w:val="20"/>
        </w:rPr>
      </w:pPr>
      <w:r>
        <w:rPr>
          <w:rFonts w:ascii="Times New Roman" w:hAnsi="Times New Roman"/>
          <w:sz w:val="20"/>
        </w:rPr>
        <w:t xml:space="preserve">AVITA Medical, Inc. </w:t>
      </w:r>
    </w:p>
    <w:p>
      <w:pPr>
        <w:pStyle w:val="TextBody"/>
        <w:spacing w:before="240" w:after="0"/>
        <w:jc w:val="center"/>
        <w:rPr>
          <w:rFonts w:ascii="Times New Roman" w:hAnsi="Times New Roman"/>
          <w:sz w:val="20"/>
        </w:rPr>
      </w:pPr>
      <w:r>
        <w:rPr>
          <w:rFonts w:ascii="Times New Roman" w:hAnsi="Times New Roman"/>
          <w:sz w:val="20"/>
        </w:rPr>
        <w:t xml:space="preserve">28159 Avenue Stanford </w:t>
      </w:r>
    </w:p>
    <w:p>
      <w:pPr>
        <w:pStyle w:val="TextBody"/>
        <w:spacing w:before="240" w:after="0"/>
        <w:jc w:val="center"/>
        <w:rPr>
          <w:rFonts w:ascii="Times New Roman" w:hAnsi="Times New Roman"/>
          <w:sz w:val="20"/>
        </w:rPr>
      </w:pPr>
      <w:r>
        <w:rPr>
          <w:rFonts w:ascii="Times New Roman" w:hAnsi="Times New Roman"/>
          <w:sz w:val="20"/>
        </w:rPr>
        <w:t xml:space="preserve">Suite 220 </w:t>
      </w:r>
    </w:p>
    <w:p>
      <w:pPr>
        <w:pStyle w:val="TextBody"/>
        <w:spacing w:before="0" w:after="0"/>
        <w:jc w:val="center"/>
        <w:rPr>
          <w:rFonts w:ascii="Times New Roman" w:hAnsi="Times New Roman"/>
          <w:sz w:val="20"/>
        </w:rPr>
      </w:pPr>
      <w:r>
        <w:rPr>
          <w:rFonts w:ascii="Times New Roman" w:hAnsi="Times New Roman"/>
          <w:sz w:val="20"/>
        </w:rPr>
        <w:t xml:space="preserve">Valencia, CA 91355 </w:t>
      </w:r>
    </w:p>
    <w:p>
      <w:pPr>
        <w:pStyle w:val="TextBody"/>
        <w:spacing w:before="0" w:after="0"/>
        <w:jc w:val="center"/>
        <w:rPr>
          <w:rFonts w:ascii="Times New Roman" w:hAnsi="Times New Roman"/>
          <w:sz w:val="20"/>
        </w:rPr>
      </w:pPr>
      <w:r>
        <w:rPr>
          <w:rFonts w:ascii="Times New Roman" w:hAnsi="Times New Roman"/>
          <w:sz w:val="20"/>
        </w:rPr>
        <w:t>(661) 367-9170</w:t>
      </w:r>
    </w:p>
    <w:p>
      <w:pPr>
        <w:pStyle w:val="TextBody"/>
        <w:spacing w:before="0" w:after="0"/>
        <w:jc w:val="center"/>
        <w:rPr>
          <w:rFonts w:ascii="Times New Roman" w:hAnsi="Times New Roman"/>
          <w:sz w:val="20"/>
        </w:rPr>
      </w:pPr>
      <w:r>
        <w:rPr>
          <w:rFonts w:ascii="Times New Roman" w:hAnsi="Times New Roman"/>
          <w:sz w:val="20"/>
        </w:rPr>
        <w:t xml:space="preserve">Attn: Donna Shiroma,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3000" w:after="0"/>
        <w:jc w:val="center"/>
        <w:rPr>
          <w:rFonts w:ascii="Times New Roman" w:hAnsi="Times New Roman"/>
          <w:b/>
          <w:sz w:val="32"/>
        </w:rPr>
      </w:pPr>
      <w:r>
        <w:rPr>
          <w:rFonts w:ascii="Times New Roman" w:hAnsi="Times New Roman"/>
          <w:b/>
          <w:sz w:val="32"/>
        </w:rPr>
        <w:t xml:space="preserve">Up to 3,799,164 </w:t>
      </w:r>
    </w:p>
    <w:p>
      <w:pPr>
        <w:pStyle w:val="TextBody"/>
        <w:spacing w:before="0" w:after="0"/>
        <w:jc w:val="center"/>
        <w:rPr>
          <w:rFonts w:ascii="Times New Roman" w:hAnsi="Times New Roman"/>
          <w:b/>
          <w:sz w:val="32"/>
        </w:rPr>
      </w:pPr>
      <w:r>
        <w:rPr>
          <w:rFonts w:ascii="Times New Roman" w:hAnsi="Times New Roman"/>
          <w:b/>
          <w:sz w:val="32"/>
        </w:rPr>
        <w:t xml:space="preserve">Shares of </w:t>
      </w:r>
    </w:p>
    <w:p>
      <w:pPr>
        <w:pStyle w:val="TextBody"/>
        <w:spacing w:before="240" w:after="0"/>
        <w:jc w:val="center"/>
        <w:rPr>
          <w:rFonts w:ascii="Times New Roman" w:hAnsi="Times New Roman"/>
          <w:b/>
          <w:sz w:val="48"/>
        </w:rPr>
      </w:pPr>
      <w:r>
        <w:rPr>
          <w:rFonts w:ascii="Times New Roman" w:hAnsi="Times New Roman"/>
          <w:b/>
          <w:sz w:val="48"/>
        </w:rPr>
        <w:t xml:space="preserve">AVITA MEDICAL, INC. </w:t>
      </w:r>
    </w:p>
    <w:p>
      <w:pPr>
        <w:pStyle w:val="TextBody"/>
        <w:spacing w:before="48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2"/>
        </w:rPr>
      </w:pPr>
      <w:r>
        <w:rPr>
          <w:rFonts w:ascii="Times New Roman" w:hAnsi="Times New Roman"/>
          <w:b/>
          <w:sz w:val="32"/>
        </w:rPr>
        <w:t xml:space="preserve">TD Cowen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April 25, 2023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762303/000156459023002302/rcel-10k_20221231.htm" TargetMode="External"/><Relationship Id="rId3" Type="http://schemas.openxmlformats.org/officeDocument/2006/relationships/hyperlink" Target="http://www.sec.gov/Archives/edgar/data/../../../ix?doc=/Archives/edgar/data/1762303/000119312523011170/d416307d8k.htm" TargetMode="External"/><Relationship Id="rId4" Type="http://schemas.openxmlformats.org/officeDocument/2006/relationships/hyperlink" Target="http://www.sec.gov/Archives/edgar/data/../../../ix?doc=/Archives/edgar/data/1762303/000119312523075191/d467079d8k.htm" TargetMode="External"/><Relationship Id="rId5" Type="http://schemas.openxmlformats.org/officeDocument/2006/relationships/hyperlink" Target="http://www.sec.gov/Archives/edgar/data/../../../ix?doc=/Archives/edgar/data/1762303/000119312523076835/d804540d8k.htm" TargetMode="External"/><Relationship Id="rId6" Type="http://schemas.openxmlformats.org/officeDocument/2006/relationships/hyperlink" Target="http://www.sec.gov/Archives/edgar/data/../../../ix?doc=/Archives/edgar/data/1762303/000119312523080474/d468715d8k.htm" TargetMode="External"/><Relationship Id="rId7" Type="http://schemas.openxmlformats.org/officeDocument/2006/relationships/hyperlink" Target="http://www.sec.gov/Archives/edgar/data/1762303/000156459023002302/rcel-ex41_1810.htm" TargetMode="External"/><Relationship Id="rId8" Type="http://schemas.openxmlformats.org/officeDocument/2006/relationships/image" Target="media/image1.jpeg"/><Relationship Id="rId9" Type="http://schemas.openxmlformats.org/officeDocument/2006/relationships/hyperlink" Target="http://www.sec.gov/Archives/edgar/data/../../../ix?doc=/Archives/edgar/data/1762303/000156459023002302/rcel-10k_20221231.htm" TargetMode="External"/><Relationship Id="rId10" Type="http://schemas.openxmlformats.org/officeDocument/2006/relationships/hyperlink" Target="http://www.sec.gov/Archives/edgar/data/../../../ix?doc=/Archives/edgar/data/1762303/000119312523011170/d416307d8k.htm" TargetMode="External"/><Relationship Id="rId11" Type="http://schemas.openxmlformats.org/officeDocument/2006/relationships/hyperlink" Target="http://www.sec.gov/Archives/edgar/data/../../../ix?doc=/Archives/edgar/data/1762303/000119312523075191/d467079d8k.htm" TargetMode="External"/><Relationship Id="rId12" Type="http://schemas.openxmlformats.org/officeDocument/2006/relationships/hyperlink" Target="http://www.sec.gov/Archives/edgar/data/../../../ix?doc=/Archives/edgar/data/1762303/000119312523076835/d804540d8k.htm" TargetMode="External"/><Relationship Id="rId13" Type="http://schemas.openxmlformats.org/officeDocument/2006/relationships/hyperlink" Target="http://www.sec.gov/Archives/edgar/data/../../../ix?doc=/Archives/edgar/data/1762303/000119312523080474/d468715d8k.htm" TargetMode="External"/><Relationship Id="rId14" Type="http://schemas.openxmlformats.org/officeDocument/2006/relationships/hyperlink" Target="http://www.sec.gov/Archives/edgar/data/1762303/000156459023002302/rcel-ex41_1810.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38</Pages>
  <Words>12991</Words>
  <CharactersWithSpaces>79794</CharactersWithSpaces>
  <Paragraphs>1098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