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On July 22, 2022, AVITA Medical, Inc. (“the Company”) issued an ASX News Release announcing that it is aware of changes to its substantial holders that were previously disclosed to the market. To the best of the Company’s knowledge, Redmile Group, LLC ceased to be a substantial holder of the Company within the meaning of section 671B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per the below details.</w:t>
      </w:r>
    </w:p>
    <w:p>
      <w:pPr>
        <w:spacing w:after="0" w:line="184"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Previous number of equity</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Previous</w:t>
            </w:r>
          </w:p>
        </w:tc>
        <w:tc>
          <w:tcPr>
            <w:tcW w:w="160" w:type="dxa"/>
            <w:vAlign w:val="bottom"/>
          </w:tcPr>
          <w:p>
            <w:pPr>
              <w:spacing w:after="0"/>
              <w:rPr>
                <w:sz w:val="13"/>
                <w:szCs w:val="13"/>
                <w:color w:val="auto"/>
              </w:rPr>
            </w:pPr>
          </w:p>
        </w:tc>
        <w:tc>
          <w:tcPr>
            <w:tcW w:w="1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 number of equity</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in which the</w:t>
            </w: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 had a relevant</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1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in which the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tcPr>
          <w:p>
            <w:pPr>
              <w:spacing w:after="0"/>
              <w:rPr>
                <w:sz w:val="12"/>
                <w:szCs w:val="12"/>
                <w:color w:val="auto"/>
              </w:rPr>
            </w:pPr>
          </w:p>
        </w:tc>
        <w:tc>
          <w:tcPr>
            <w:tcW w:w="3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(2)</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60" w:type="dxa"/>
            <w:vAlign w:val="bottom"/>
          </w:tcPr>
          <w:p>
            <w:pPr>
              <w:spacing w:after="0"/>
              <w:rPr>
                <w:sz w:val="12"/>
                <w:szCs w:val="12"/>
                <w:color w:val="auto"/>
              </w:rPr>
            </w:pPr>
          </w:p>
        </w:tc>
        <w:tc>
          <w:tcPr>
            <w:tcW w:w="1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 has a relevant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voting</w:t>
            </w:r>
          </w:p>
        </w:tc>
        <w:tc>
          <w:tcPr>
            <w:tcW w:w="0" w:type="dxa"/>
            <w:vAlign w:val="bottom"/>
          </w:tcPr>
          <w:p>
            <w:pPr>
              <w:spacing w:after="0"/>
              <w:rPr>
                <w:sz w:val="1"/>
                <w:szCs w:val="1"/>
                <w:color w:val="auto"/>
              </w:rPr>
            </w:pPr>
          </w:p>
        </w:tc>
      </w:tr>
      <w:tr>
        <w:trPr>
          <w:trHeight w:val="173"/>
        </w:trPr>
        <w:tc>
          <w:tcPr>
            <w:tcW w:w="22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3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disclosed to ASX</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60" w:type="dxa"/>
            <w:vAlign w:val="bottom"/>
          </w:tcPr>
          <w:p>
            <w:pPr>
              <w:spacing w:after="0"/>
              <w:rPr>
                <w:sz w:val="15"/>
                <w:szCs w:val="15"/>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Redmile Group, LLC</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spacing w:after="0"/>
              <w:rPr>
                <w:sz w:val="17"/>
                <w:szCs w:val="17"/>
                <w:color w:val="auto"/>
              </w:rPr>
            </w:pPr>
          </w:p>
        </w:tc>
        <w:tc>
          <w:tcPr>
            <w:tcW w:w="3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1,346,217 shares of common stock in the Company</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4"/>
              <w:spacing w:after="0" w:line="203" w:lineRule="exact"/>
              <w:rPr>
                <w:sz w:val="20"/>
                <w:szCs w:val="20"/>
                <w:color w:val="auto"/>
              </w:rPr>
            </w:pPr>
            <w:r>
              <w:rPr>
                <w:rFonts w:ascii="Times New Roman" w:cs="Times New Roman" w:eastAsia="Times New Roman" w:hAnsi="Times New Roman"/>
                <w:sz w:val="18"/>
                <w:szCs w:val="18"/>
                <w:color w:val="auto"/>
                <w:w w:val="94"/>
              </w:rPr>
              <w:t>5.40%</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Nil</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Group, LLC has previously advised that the equity securities held by it in the Company are comprised of equity securities in the Company that are owned by certain private investment vehicles and / or separately managed accounts managed by Redmile Group, LLC, which equity securities may be deemed to be beneficially owned by Redmile Group, LLC as investment manager of such private investment vehicles and / or separately managed accounts. The Company is not able to confirm whether this is still the case.</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Company’s knowledge.</w:t>
      </w:r>
    </w:p>
    <w:p>
      <w:pPr>
        <w:spacing w:after="0" w:line="20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ASX News Release is attached hereto as Exhibit 99.1.</w:t>
      </w:r>
    </w:p>
    <w:p>
      <w:pPr>
        <w:spacing w:after="0" w:line="225"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information under this Item 8.01 and in Item 9.01 below are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3"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99.1</w:t>
      </w:r>
      <w:r>
        <w:rPr>
          <w:sz w:val="20"/>
          <w:szCs w:val="20"/>
          <w:color w:val="auto"/>
        </w:rPr>
        <w:tab/>
      </w:r>
      <w:r>
        <w:rPr>
          <w:rFonts w:ascii="Times New Roman" w:cs="Times New Roman" w:eastAsia="Times New Roman" w:hAnsi="Times New Roman"/>
          <w:sz w:val="17"/>
          <w:szCs w:val="17"/>
          <w:b w:val="1"/>
          <w:bCs w:val="1"/>
          <w:u w:val="single" w:color="auto"/>
          <w:color w:val="0000EE"/>
        </w:rPr>
        <w:t>Substantial Holder Notice</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8"/>
          <w:szCs w:val="18"/>
          <w:b w:val="1"/>
          <w:bCs w:val="1"/>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2022</w:t>
      </w: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Donna Shiroma</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14871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8715" cy="4546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117" w:lineRule="exact"/>
        <w:rPr>
          <w:sz w:val="20"/>
          <w:szCs w:val="20"/>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Substantial holder notice</w:t>
      </w:r>
    </w:p>
    <w:p>
      <w:pPr>
        <w:spacing w:after="0" w:line="225" w:lineRule="exact"/>
        <w:rPr>
          <w:sz w:val="20"/>
          <w:szCs w:val="20"/>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VALENCIA, Calif., USA, and MELBOURNE, Australia 22 July 2022</w:t>
      </w:r>
      <w:r>
        <w:rPr>
          <w:rFonts w:ascii="Times New Roman" w:cs="Times New Roman" w:eastAsia="Times New Roman" w:hAnsi="Times New Roman"/>
          <w:sz w:val="18"/>
          <w:szCs w:val="18"/>
          <w:color w:val="auto"/>
        </w:rPr>
        <w:t>: AVITA Medical, Inc. (NASDAQ: RCEL, ASX:AVH)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advises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is aware of changes to its substantial holders that were previously disclosed to the market.</w:t>
      </w:r>
    </w:p>
    <w:p>
      <w:pPr>
        <w:spacing w:after="0" w:line="159"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 xml:space="preserve">Set out below are details, to the best of the Company’s knowledge, of a person who has ceased to be a substantial holder of the Company within the meaning of section 671B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 number of equity</w:t>
            </w:r>
          </w:p>
        </w:tc>
        <w:tc>
          <w:tcPr>
            <w:tcW w:w="1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Previous</w:t>
            </w:r>
          </w:p>
        </w:tc>
        <w:tc>
          <w:tcPr>
            <w:tcW w:w="120" w:type="dxa"/>
            <w:vAlign w:val="bottom"/>
          </w:tcPr>
          <w:p>
            <w:pPr>
              <w:spacing w:after="0"/>
              <w:rPr>
                <w:sz w:val="13"/>
                <w:szCs w:val="13"/>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Current number of equity</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in which the</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2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in which the</w:t>
            </w: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 had a relevant interest</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20" w:type="dxa"/>
            <w:vAlign w:val="bottom"/>
          </w:tcPr>
          <w:p>
            <w:pPr>
              <w:spacing w:after="0"/>
              <w:rPr>
                <w:sz w:val="12"/>
                <w:szCs w:val="12"/>
                <w:color w:val="auto"/>
              </w:rPr>
            </w:pPr>
          </w:p>
        </w:tc>
        <w:tc>
          <w:tcPr>
            <w:tcW w:w="2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 has a relevant</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voting</w:t>
            </w:r>
          </w:p>
        </w:tc>
        <w:tc>
          <w:tcPr>
            <w:tcW w:w="0" w:type="dxa"/>
            <w:vAlign w:val="bottom"/>
          </w:tcPr>
          <w:p>
            <w:pPr>
              <w:spacing w:after="0"/>
              <w:rPr>
                <w:sz w:val="1"/>
                <w:szCs w:val="1"/>
                <w:color w:val="auto"/>
              </w:rPr>
            </w:pPr>
          </w:p>
        </w:tc>
      </w:tr>
      <w:tr>
        <w:trPr>
          <w:trHeight w:val="193"/>
        </w:trPr>
        <w:tc>
          <w:tcPr>
            <w:tcW w:w="360" w:type="dxa"/>
            <w:vAlign w:val="bottom"/>
            <w:tcBorders>
              <w:bottom w:val="single" w:sz="8" w:color="auto"/>
            </w:tcBorders>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disclosed to ASX</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20" w:type="dxa"/>
            <w:vAlign w:val="bottom"/>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(2)</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85"/>
        </w:trPr>
        <w:tc>
          <w:tcPr>
            <w:tcW w:w="20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Redmile Group, LLC(1)</w:t>
            </w:r>
          </w:p>
        </w:tc>
        <w:tc>
          <w:tcPr>
            <w:tcW w:w="300" w:type="dxa"/>
            <w:vAlign w:val="bottom"/>
          </w:tcPr>
          <w:p>
            <w:pPr>
              <w:spacing w:after="0"/>
              <w:rPr>
                <w:sz w:val="16"/>
                <w:szCs w:val="16"/>
                <w:color w:val="auto"/>
              </w:rPr>
            </w:pPr>
          </w:p>
        </w:tc>
        <w:tc>
          <w:tcPr>
            <w:tcW w:w="22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1,346,217 shares of common</w:t>
            </w:r>
          </w:p>
        </w:tc>
        <w:tc>
          <w:tcPr>
            <w:tcW w:w="120" w:type="dxa"/>
            <w:vAlign w:val="bottom"/>
          </w:tcPr>
          <w:p>
            <w:pPr>
              <w:spacing w:after="0"/>
              <w:rPr>
                <w:sz w:val="16"/>
                <w:szCs w:val="16"/>
                <w:color w:val="auto"/>
              </w:rPr>
            </w:pPr>
          </w:p>
        </w:tc>
        <w:tc>
          <w:tcPr>
            <w:tcW w:w="2040" w:type="dxa"/>
            <w:vAlign w:val="bottom"/>
            <w:tcBorders>
              <w:top w:val="single" w:sz="8" w:color="auto"/>
            </w:tcBorders>
          </w:tcPr>
          <w:p>
            <w:pPr>
              <w:jc w:val="right"/>
              <w:ind w:right="1504"/>
              <w:spacing w:after="0" w:line="185" w:lineRule="exact"/>
              <w:rPr>
                <w:sz w:val="20"/>
                <w:szCs w:val="20"/>
                <w:color w:val="auto"/>
              </w:rPr>
            </w:pPr>
            <w:r>
              <w:rPr>
                <w:rFonts w:ascii="Times New Roman" w:cs="Times New Roman" w:eastAsia="Times New Roman" w:hAnsi="Times New Roman"/>
                <w:sz w:val="18"/>
                <w:szCs w:val="18"/>
                <w:color w:val="auto"/>
                <w:w w:val="94"/>
              </w:rPr>
              <w:t>5.40%</w:t>
            </w:r>
          </w:p>
        </w:tc>
        <w:tc>
          <w:tcPr>
            <w:tcW w:w="120" w:type="dxa"/>
            <w:vAlign w:val="bottom"/>
          </w:tcPr>
          <w:p>
            <w:pPr>
              <w:spacing w:after="0"/>
              <w:rPr>
                <w:sz w:val="16"/>
                <w:szCs w:val="16"/>
                <w:color w:val="auto"/>
              </w:rPr>
            </w:pPr>
          </w:p>
        </w:tc>
        <w:tc>
          <w:tcPr>
            <w:tcW w:w="20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stock in the Company</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2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Group, LLC has previously advised that the equity securities held by it in the Company are comprised of equity securities in the Company that are owned by certain private investment vehicles and / or separately managed accounts managed by Redmile Group, LLC, which equity securities may be deemed to be beneficially owned by Redmile Group, LLC as investment manager of such private investment vehicles and / or separately managed accounts. The Company is not able to confirm whether this is still the case.</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Company’s knowledge.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Authorised for release by the Chief Financial Officer of 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 #</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THE AVITA GROUP</w:t>
      </w:r>
    </w:p>
    <w:p>
      <w:pPr>
        <w:spacing w:after="0" w:line="121" w:lineRule="exact"/>
        <w:rPr>
          <w:sz w:val="20"/>
          <w:szCs w:val="20"/>
          <w:color w:val="auto"/>
        </w:rPr>
      </w:pPr>
    </w:p>
    <w:p>
      <w:pPr>
        <w:ind w:left="4" w:right="100"/>
        <w:spacing w:after="0" w:line="233" w:lineRule="auto"/>
        <w:rPr>
          <w:sz w:val="20"/>
          <w:szCs w:val="20"/>
          <w:color w:val="auto"/>
        </w:rPr>
      </w:pPr>
      <w:r>
        <w:rPr>
          <w:rFonts w:ascii="Times New Roman" w:cs="Times New Roman" w:eastAsia="Times New Roman" w:hAnsi="Times New Roman"/>
          <w:sz w:val="18"/>
          <w:szCs w:val="18"/>
          <w:color w:val="auto"/>
        </w:rPr>
        <w:t>The AVITA group is a regenerative medicine group of companies with a technology platform positioned to address unmet medical needs in burns, chronic wounds, and aesthetics indications. The AVITA group’s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202" w:lineRule="exact"/>
        <w:rPr>
          <w:sz w:val="20"/>
          <w:szCs w:val="20"/>
          <w:color w:val="auto"/>
        </w:rPr>
      </w:pPr>
    </w:p>
    <w:p>
      <w:pPr>
        <w:ind w:left="4" w:right="80"/>
        <w:spacing w:after="0" w:line="220" w:lineRule="auto"/>
        <w:rPr>
          <w:sz w:val="20"/>
          <w:szCs w:val="20"/>
          <w:color w:val="auto"/>
        </w:rPr>
      </w:pPr>
      <w:r>
        <w:rPr>
          <w:rFonts w:ascii="Times New Roman" w:cs="Times New Roman" w:eastAsia="Times New Roman" w:hAnsi="Times New Roman"/>
          <w:sz w:val="18"/>
          <w:szCs w:val="18"/>
          <w:color w:val="auto"/>
        </w:rPr>
        <w:t>The AVITA group’s first U.S. product,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13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AVITA Medical, Inc. Suite 220, 28159 Avenue Stanford, Valencia, California 91355, United States of America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024"/>
          </w:cols>
          <w:pgMar w:left="436" w:top="117" w:right="439" w:bottom="1440" w:gutter="0" w:footer="0" w:header="0"/>
        </w:sectPr>
      </w:pPr>
    </w:p>
    <w:bookmarkStart w:id="4" w:name="page5"/>
    <w:bookmarkEnd w:id="4"/>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announcement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5"/>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+1 615 414 8668</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Phone +1 415 202 5678</w:t>
            </w:r>
          </w:p>
        </w:tc>
      </w:tr>
      <w:tr>
        <w:trPr>
          <w:trHeight w:val="194"/>
        </w:trPr>
        <w:tc>
          <w:tcPr>
            <w:tcW w:w="2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4" w:lineRule="exact"/>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Monsoon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 Michelson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+61 (0) 411 402 737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rudim@monsoon.com.au</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AVITA Medical, Inc. Suite 220, 28159 Avenue Stanford, Valencia, California 91355, United States of America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2022-07-22T15:05:08Z</dcterms:created>
  <dcterms:modified xsi:type="dcterms:W3CDTF">2022-07-22T15:05:08Z</dcterms:modified>
</cp:coreProperties>
</file>