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Liberto Erin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Avita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RCEL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AVITA THERAPEUTICS,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28159 AVENUE STANFORD,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09/06/2027</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10,000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5.04</w:t>
            </w:r>
            <w:r>
              <w:rPr>
                <w:rFonts w:ascii="Arial" w:cs="Arial" w:eastAsia="Arial" w:hAnsi="Arial"/>
                <w:sz w:val="25"/>
                <w:szCs w:val="25"/>
                <w:color w:val="008000"/>
                <w:vertAlign w:val="superscript"/>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11/01/2028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21,100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6.35</w:t>
            </w:r>
            <w:r>
              <w:rPr>
                <w:rFonts w:ascii="Arial" w:cs="Arial" w:eastAsia="Arial" w:hAnsi="Arial"/>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11/30/2028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59,700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5.99</w:t>
            </w:r>
            <w:r>
              <w:rPr>
                <w:rFonts w:ascii="Arial" w:cs="Arial" w:eastAsia="Arial" w:hAnsi="Arial"/>
                <w:sz w:val="25"/>
                <w:szCs w:val="25"/>
                <w:color w:val="008000"/>
                <w:vertAlign w:val="superscript"/>
              </w:rPr>
              <w:t>(7)</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09/06/2027</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18,000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5.04</w:t>
            </w:r>
            <w:r>
              <w:rPr>
                <w:rFonts w:ascii="Arial" w:cs="Arial" w:eastAsia="Arial" w:hAnsi="Arial"/>
                <w:sz w:val="25"/>
                <w:szCs w:val="25"/>
                <w:color w:val="008000"/>
                <w:vertAlign w:val="superscript"/>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-1142365</wp:posOffset>
            </wp:positionV>
            <wp:extent cx="6927850" cy="991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991235"/>
                    </a:xfrm>
                    <a:prstGeom prst="rect">
                      <a:avLst/>
                    </a:prstGeom>
                    <a:noFill/>
                  </pic:spPr>
                </pic:pic>
              </a:graphicData>
            </a:graphic>
          </wp:anchor>
        </w:drawing>
      </w:r>
    </w:p>
    <w:p>
      <w:pPr>
        <w:spacing w:after="0" w:line="15" w:lineRule="exact"/>
        <w:rPr>
          <w:sz w:val="24"/>
          <w:szCs w:val="24"/>
          <w:color w:val="auto"/>
        </w:rPr>
      </w:pPr>
    </w:p>
    <w:p>
      <w:pPr>
        <w:ind w:left="40" w:right="1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were originally exercisable for ordinary shares of Avita Medical, Ltd. ("Predecessor"). Pursuant to a scheme arrangement completed on June 30, 2020, the Stock Options became exercisable for shares of Common Stock of the Issuer in the ratio of one share of Common Stock for every 100 ordinary shares of Predecessor for which the Stock Options would otherwise be exercisable.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September 6, 2018.</w:t>
      </w:r>
    </w:p>
    <w:p>
      <w:pPr>
        <w:spacing w:after="0" w:line="52" w:lineRule="exact"/>
        <w:rPr>
          <w:rFonts w:ascii="Arial" w:cs="Arial" w:eastAsia="Arial" w:hAnsi="Arial"/>
          <w:sz w:val="15"/>
          <w:szCs w:val="15"/>
          <w:color w:val="008000"/>
        </w:rPr>
      </w:pPr>
    </w:p>
    <w:p>
      <w:pPr>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A$6.3, which reflects the 100:1 consolidation ratio applied in converting ordinary shares of Predecessor to shares of the Issuer's Common Stock, using the exchange rate as in effect on the date of grant (September 6, 2017).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November 1, 2019.</w:t>
      </w:r>
    </w:p>
    <w:p>
      <w:pPr>
        <w:spacing w:after="0" w:line="52" w:lineRule="exact"/>
        <w:rPr>
          <w:rFonts w:ascii="Arial" w:cs="Arial" w:eastAsia="Arial" w:hAnsi="Arial"/>
          <w:sz w:val="15"/>
          <w:szCs w:val="15"/>
          <w:color w:val="008000"/>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A$8.9, which reflects the 100:1 consolidation ratio applied in converting ordinary shares of Predecessor to shares of the Issuer's Common Stock, using the exchange rate as in effect on the date of grant (November 1,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November 30, 2019.</w:t>
      </w:r>
    </w:p>
    <w:p>
      <w:pPr>
        <w:spacing w:after="0" w:line="52" w:lineRule="exact"/>
        <w:rPr>
          <w:rFonts w:ascii="Arial" w:cs="Arial" w:eastAsia="Arial" w:hAnsi="Arial"/>
          <w:sz w:val="15"/>
          <w:szCs w:val="15"/>
          <w:color w:val="008000"/>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A$8.2, which reflects the 100:1 consolidation ratio applied in converting ordinary shares of Predecessor to shares of the Issuer's Common Stock, using the exchange rate as in effect on the date of grant (November 30,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became exercisable based on performance-based criteria.</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21,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Erin Liberto</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Erin Liberto</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16245"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2020-07-10T15:19:59Z</dcterms:created>
  <dcterms:modified xsi:type="dcterms:W3CDTF">2020-07-10T15:19:59Z</dcterms:modified>
</cp:coreProperties>
</file>