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1" w:lineRule="exact"/>
        <w:rPr>
          <w:sz w:val="24"/>
          <w:szCs w:val="24"/>
          <w:color w:val="auto"/>
        </w:rPr>
      </w:pPr>
    </w:p>
    <w:p>
      <w:pPr>
        <w:ind w:left="920" w:hanging="912"/>
        <w:spacing w:after="0"/>
        <w:tabs>
          <w:tab w:leader="none" w:pos="9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7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March 31, 2023</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920" w:hanging="912"/>
        <w:spacing w:after="0"/>
        <w:tabs>
          <w:tab w:leader="none" w:pos="9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6" w:lineRule="exact"/>
        <w:rPr>
          <w:sz w:val="24"/>
          <w:szCs w:val="24"/>
          <w:color w:val="auto"/>
        </w:rPr>
      </w:pPr>
    </w:p>
    <w:p>
      <w:pPr>
        <w:ind w:left="362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3651885</wp:posOffset>
            </wp:positionH>
            <wp:positionV relativeFrom="paragraph">
              <wp:posOffset>-4445</wp:posOffset>
            </wp:positionV>
            <wp:extent cx="514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6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88900</wp:posOffset>
            </wp:positionV>
            <wp:extent cx="1645920" cy="977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9772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AVITA MEDICAL, INC.</w:t>
      </w:r>
    </w:p>
    <w:p>
      <w:pPr>
        <w:spacing w:after="0" w:line="58" w:lineRule="exact"/>
        <w:rPr>
          <w:sz w:val="24"/>
          <w:szCs w:val="24"/>
          <w:color w:val="auto"/>
        </w:rPr>
      </w:pPr>
    </w:p>
    <w:tbl>
      <w:tblPr>
        <w:tblLayout w:type="fixed"/>
        <w:tblInd w:w="200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5200" w:type="dxa"/>
            <w:vAlign w:val="bottom"/>
            <w:gridSpan w:val="3"/>
          </w:tcPr>
          <w:p>
            <w:pPr>
              <w:jc w:val="center"/>
              <w:ind w:right="1357"/>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82"/>
        </w:trPr>
        <w:tc>
          <w:tcPr>
            <w:tcW w:w="1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180" w:type="dxa"/>
            <w:vAlign w:val="bottom"/>
          </w:tcPr>
          <w:p>
            <w:pPr>
              <w:spacing w:after="0"/>
              <w:rPr>
                <w:sz w:val="7"/>
                <w:szCs w:val="7"/>
                <w:color w:val="auto"/>
              </w:rPr>
            </w:pPr>
          </w:p>
        </w:tc>
      </w:tr>
      <w:tr>
        <w:trPr>
          <w:trHeight w:val="312"/>
        </w:trPr>
        <w:tc>
          <w:tcPr>
            <w:tcW w:w="1720" w:type="dxa"/>
            <w:vAlign w:val="bottom"/>
          </w:tcPr>
          <w:p>
            <w:pPr>
              <w:jc w:val="center"/>
              <w:ind w:right="31"/>
              <w:spacing w:after="0"/>
              <w:rPr>
                <w:sz w:val="20"/>
                <w:szCs w:val="20"/>
                <w:color w:val="auto"/>
              </w:rPr>
            </w:pPr>
            <w:r>
              <w:rPr>
                <w:rFonts w:ascii="Arial" w:cs="Arial" w:eastAsia="Arial" w:hAnsi="Arial"/>
                <w:sz w:val="16"/>
                <w:szCs w:val="16"/>
                <w:b w:val="1"/>
                <w:bCs w:val="1"/>
                <w:color w:val="auto"/>
                <w:w w:val="93"/>
              </w:rPr>
              <w:t>Delaware</w:t>
            </w:r>
          </w:p>
        </w:tc>
        <w:tc>
          <w:tcPr>
            <w:tcW w:w="5200" w:type="dxa"/>
            <w:vAlign w:val="bottom"/>
            <w:gridSpan w:val="3"/>
          </w:tcPr>
          <w:p>
            <w:pPr>
              <w:jc w:val="center"/>
              <w:ind w:left="4145"/>
              <w:spacing w:after="0"/>
              <w:rPr>
                <w:sz w:val="20"/>
                <w:szCs w:val="20"/>
                <w:color w:val="auto"/>
              </w:rPr>
            </w:pPr>
            <w:r>
              <w:rPr>
                <w:rFonts w:ascii="Arial" w:cs="Arial" w:eastAsia="Arial" w:hAnsi="Arial"/>
                <w:sz w:val="16"/>
                <w:szCs w:val="16"/>
                <w:b w:val="1"/>
                <w:bCs w:val="1"/>
                <w:color w:val="auto"/>
                <w:w w:val="91"/>
              </w:rPr>
              <w:t>85-1021707</w:t>
            </w:r>
          </w:p>
        </w:tc>
      </w:tr>
      <w:tr>
        <w:trPr>
          <w:trHeight w:val="150"/>
        </w:trPr>
        <w:tc>
          <w:tcPr>
            <w:tcW w:w="1720" w:type="dxa"/>
            <w:vAlign w:val="bottom"/>
          </w:tcPr>
          <w:p>
            <w:pPr>
              <w:jc w:val="center"/>
              <w:ind w:right="11"/>
              <w:spacing w:after="0"/>
              <w:rPr>
                <w:sz w:val="20"/>
                <w:szCs w:val="20"/>
                <w:color w:val="auto"/>
              </w:rPr>
            </w:pPr>
            <w:r>
              <w:rPr>
                <w:rFonts w:ascii="Arial" w:cs="Arial" w:eastAsia="Arial" w:hAnsi="Arial"/>
                <w:sz w:val="13"/>
                <w:szCs w:val="13"/>
                <w:b w:val="1"/>
                <w:bCs w:val="1"/>
                <w:color w:val="auto"/>
                <w:w w:val="87"/>
              </w:rPr>
              <w:t>(State or other jurisdiction of</w:t>
            </w:r>
          </w:p>
        </w:tc>
        <w:tc>
          <w:tcPr>
            <w:tcW w:w="7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180" w:type="dxa"/>
            <w:vAlign w:val="bottom"/>
          </w:tcPr>
          <w:p>
            <w:pPr>
              <w:jc w:val="center"/>
              <w:ind w:left="1137"/>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1720" w:type="dxa"/>
            <w:vAlign w:val="bottom"/>
          </w:tcPr>
          <w:p>
            <w:pPr>
              <w:jc w:val="center"/>
              <w:ind w:right="11"/>
              <w:spacing w:after="0"/>
              <w:rPr>
                <w:sz w:val="20"/>
                <w:szCs w:val="20"/>
                <w:color w:val="auto"/>
              </w:rPr>
            </w:pPr>
            <w:r>
              <w:rPr>
                <w:rFonts w:ascii="Arial" w:cs="Arial" w:eastAsia="Arial" w:hAnsi="Arial"/>
                <w:sz w:val="13"/>
                <w:szCs w:val="13"/>
                <w:b w:val="1"/>
                <w:bCs w:val="1"/>
                <w:color w:val="auto"/>
                <w:w w:val="88"/>
              </w:rPr>
              <w:t>incorporation or organization)</w:t>
            </w:r>
          </w:p>
        </w:tc>
        <w:tc>
          <w:tcPr>
            <w:tcW w:w="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80" w:type="dxa"/>
            <w:vAlign w:val="bottom"/>
          </w:tcPr>
          <w:p>
            <w:pPr>
              <w:jc w:val="center"/>
              <w:ind w:left="1137"/>
              <w:spacing w:after="0"/>
              <w:rPr>
                <w:sz w:val="20"/>
                <w:szCs w:val="20"/>
                <w:color w:val="auto"/>
              </w:rPr>
            </w:pPr>
            <w:r>
              <w:rPr>
                <w:rFonts w:ascii="Arial" w:cs="Arial" w:eastAsia="Arial" w:hAnsi="Arial"/>
                <w:sz w:val="13"/>
                <w:szCs w:val="13"/>
                <w:b w:val="1"/>
                <w:bCs w:val="1"/>
                <w:color w:val="auto"/>
                <w:w w:val="89"/>
              </w:rPr>
              <w:t>Identification No.)</w:t>
            </w:r>
          </w:p>
        </w:tc>
      </w:tr>
      <w:tr>
        <w:trPr>
          <w:trHeight w:val="272"/>
        </w:trPr>
        <w:tc>
          <w:tcPr>
            <w:tcW w:w="1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20" w:type="dxa"/>
            <w:vAlign w:val="bottom"/>
            <w:gridSpan w:val="2"/>
          </w:tcPr>
          <w:p>
            <w:pPr>
              <w:jc w:val="center"/>
              <w:ind w:right="2157"/>
              <w:spacing w:after="0"/>
              <w:rPr>
                <w:sz w:val="20"/>
                <w:szCs w:val="20"/>
                <w:color w:val="auto"/>
              </w:rPr>
            </w:pPr>
            <w:r>
              <w:rPr>
                <w:rFonts w:ascii="Arial" w:cs="Arial" w:eastAsia="Arial" w:hAnsi="Arial"/>
                <w:sz w:val="16"/>
                <w:szCs w:val="16"/>
                <w:b w:val="1"/>
                <w:bCs w:val="1"/>
                <w:color w:val="auto"/>
                <w:w w:val="90"/>
              </w:rPr>
              <w:t>28159 Avenue Stanford</w:t>
            </w:r>
          </w:p>
        </w:tc>
      </w:tr>
      <w:tr>
        <w:trPr>
          <w:trHeight w:val="203"/>
        </w:trPr>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20" w:type="dxa"/>
            <w:vAlign w:val="bottom"/>
            <w:gridSpan w:val="2"/>
          </w:tcPr>
          <w:p>
            <w:pPr>
              <w:jc w:val="center"/>
              <w:ind w:right="2157"/>
              <w:spacing w:after="0"/>
              <w:rPr>
                <w:sz w:val="20"/>
                <w:szCs w:val="20"/>
                <w:color w:val="auto"/>
              </w:rPr>
            </w:pPr>
            <w:r>
              <w:rPr>
                <w:rFonts w:ascii="Arial" w:cs="Arial" w:eastAsia="Arial" w:hAnsi="Arial"/>
                <w:sz w:val="16"/>
                <w:szCs w:val="16"/>
                <w:b w:val="1"/>
                <w:bCs w:val="1"/>
                <w:color w:val="auto"/>
                <w:w w:val="91"/>
              </w:rPr>
              <w:t>Suite 220</w:t>
            </w:r>
          </w:p>
        </w:tc>
      </w:tr>
      <w:tr>
        <w:trPr>
          <w:trHeight w:val="198"/>
        </w:trPr>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20" w:type="dxa"/>
            <w:vAlign w:val="bottom"/>
            <w:gridSpan w:val="2"/>
          </w:tcPr>
          <w:p>
            <w:pPr>
              <w:jc w:val="center"/>
              <w:ind w:right="2137"/>
              <w:spacing w:after="0"/>
              <w:rPr>
                <w:sz w:val="20"/>
                <w:szCs w:val="20"/>
                <w:color w:val="auto"/>
              </w:rPr>
            </w:pPr>
            <w:r>
              <w:rPr>
                <w:rFonts w:ascii="Arial" w:cs="Arial" w:eastAsia="Arial" w:hAnsi="Arial"/>
                <w:sz w:val="16"/>
                <w:szCs w:val="16"/>
                <w:b w:val="1"/>
                <w:bCs w:val="1"/>
                <w:color w:val="auto"/>
                <w:w w:val="91"/>
              </w:rPr>
              <w:t>Valencia, CA 91355</w:t>
            </w:r>
          </w:p>
        </w:tc>
      </w:tr>
      <w:tr>
        <w:trPr>
          <w:trHeight w:val="164"/>
        </w:trPr>
        <w:tc>
          <w:tcPr>
            <w:tcW w:w="1720" w:type="dxa"/>
            <w:vAlign w:val="bottom"/>
          </w:tcPr>
          <w:p>
            <w:pPr>
              <w:spacing w:after="0"/>
              <w:rPr>
                <w:sz w:val="14"/>
                <w:szCs w:val="14"/>
                <w:color w:val="auto"/>
              </w:rPr>
            </w:pPr>
          </w:p>
        </w:tc>
        <w:tc>
          <w:tcPr>
            <w:tcW w:w="5200" w:type="dxa"/>
            <w:vAlign w:val="bottom"/>
            <w:gridSpan w:val="3"/>
          </w:tcPr>
          <w:p>
            <w:pPr>
              <w:jc w:val="center"/>
              <w:ind w:right="1357"/>
              <w:spacing w:after="0"/>
              <w:rPr>
                <w:sz w:val="20"/>
                <w:szCs w:val="20"/>
                <w:color w:val="auto"/>
              </w:rPr>
            </w:pPr>
            <w:r>
              <w:rPr>
                <w:rFonts w:ascii="Arial" w:cs="Arial" w:eastAsia="Arial" w:hAnsi="Arial"/>
                <w:sz w:val="13"/>
                <w:szCs w:val="13"/>
                <w:b w:val="1"/>
                <w:bCs w:val="1"/>
                <w:color w:val="auto"/>
                <w:w w:val="86"/>
              </w:rPr>
              <w:t>(Address of principal executive offices and Zip Code)</w:t>
            </w:r>
          </w:p>
        </w:tc>
      </w:tr>
    </w:tbl>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Registrant’s telephone number, including area code: (661) 367-9170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88900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ind w:left="960"/>
              <w:spacing w:after="0"/>
              <w:rPr>
                <w:sz w:val="20"/>
                <w:szCs w:val="20"/>
                <w:color w:val="auto"/>
              </w:rPr>
            </w:pPr>
            <w:r>
              <w:rPr>
                <w:rFonts w:ascii="Arial" w:cs="Arial" w:eastAsia="Arial" w:hAnsi="Arial"/>
                <w:sz w:val="13"/>
                <w:szCs w:val="13"/>
                <w:b w:val="1"/>
                <w:bCs w:val="1"/>
                <w:color w:val="auto"/>
              </w:rPr>
              <w:t>Trading</w:t>
            </w:r>
          </w:p>
        </w:tc>
        <w:tc>
          <w:tcPr>
            <w:tcW w:w="140" w:type="dxa"/>
            <w:vAlign w:val="bottom"/>
          </w:tcPr>
          <w:p>
            <w:pPr>
              <w:spacing w:after="0"/>
              <w:rPr>
                <w:sz w:val="12"/>
                <w:szCs w:val="12"/>
                <w:color w:val="auto"/>
              </w:rPr>
            </w:pPr>
          </w:p>
        </w:tc>
        <w:tc>
          <w:tcPr>
            <w:tcW w:w="4360" w:type="dxa"/>
            <w:vAlign w:val="bottom"/>
          </w:tcPr>
          <w:p>
            <w:pPr>
              <w:jc w:val="center"/>
              <w:ind w:left="51"/>
              <w:spacing w:after="0"/>
              <w:rPr>
                <w:sz w:val="20"/>
                <w:szCs w:val="20"/>
                <w:color w:val="auto"/>
              </w:rPr>
            </w:pPr>
            <w:r>
              <w:rPr>
                <w:rFonts w:ascii="Arial" w:cs="Arial" w:eastAsia="Arial" w:hAnsi="Arial"/>
                <w:sz w:val="13"/>
                <w:szCs w:val="13"/>
                <w:b w:val="1"/>
                <w:bCs w:val="1"/>
                <w:color w:val="auto"/>
                <w:w w:val="83"/>
              </w:rPr>
              <w:t>Name of each exchange</w:t>
            </w:r>
          </w:p>
        </w:tc>
      </w:tr>
      <w:tr>
        <w:trPr>
          <w:trHeight w:val="16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140" w:type="dxa"/>
            <w:vAlign w:val="bottom"/>
          </w:tcPr>
          <w:p>
            <w:pPr>
              <w:spacing w:after="0"/>
              <w:rPr>
                <w:sz w:val="14"/>
                <w:szCs w:val="14"/>
                <w:color w:val="auto"/>
              </w:rPr>
            </w:pPr>
          </w:p>
        </w:tc>
        <w:tc>
          <w:tcPr>
            <w:tcW w:w="224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Symbol</w:t>
            </w:r>
          </w:p>
        </w:tc>
        <w:tc>
          <w:tcPr>
            <w:tcW w:w="140" w:type="dxa"/>
            <w:vAlign w:val="bottom"/>
          </w:tcPr>
          <w:p>
            <w:pPr>
              <w:spacing w:after="0"/>
              <w:rPr>
                <w:sz w:val="14"/>
                <w:szCs w:val="14"/>
                <w:color w:val="auto"/>
              </w:rPr>
            </w:pPr>
          </w:p>
        </w:tc>
        <w:tc>
          <w:tcPr>
            <w:tcW w:w="4360" w:type="dxa"/>
            <w:vAlign w:val="bottom"/>
            <w:tcBorders>
              <w:bottom w:val="single" w:sz="8" w:color="auto"/>
            </w:tcBorders>
          </w:tcPr>
          <w:p>
            <w:pPr>
              <w:jc w:val="center"/>
              <w:ind w:left="51"/>
              <w:spacing w:after="0"/>
              <w:rPr>
                <w:sz w:val="20"/>
                <w:szCs w:val="20"/>
                <w:color w:val="auto"/>
              </w:rPr>
            </w:pPr>
            <w:r>
              <w:rPr>
                <w:rFonts w:ascii="Arial" w:cs="Arial" w:eastAsia="Arial" w:hAnsi="Arial"/>
                <w:sz w:val="13"/>
                <w:szCs w:val="13"/>
                <w:b w:val="1"/>
                <w:bCs w:val="1"/>
                <w:color w:val="auto"/>
                <w:w w:val="84"/>
              </w:rPr>
              <w:t>on which registered</w:t>
            </w:r>
          </w:p>
        </w:tc>
      </w:tr>
      <w:tr>
        <w:trPr>
          <w:trHeight w:val="205"/>
        </w:trPr>
        <w:tc>
          <w:tcPr>
            <w:tcW w:w="436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par value $0.0001 per share</w:t>
            </w:r>
          </w:p>
        </w:tc>
        <w:tc>
          <w:tcPr>
            <w:tcW w:w="140" w:type="dxa"/>
            <w:vAlign w:val="bottom"/>
          </w:tcPr>
          <w:p>
            <w:pPr>
              <w:spacing w:after="0"/>
              <w:rPr>
                <w:sz w:val="17"/>
                <w:szCs w:val="17"/>
                <w:color w:val="auto"/>
              </w:rPr>
            </w:pPr>
          </w:p>
        </w:tc>
        <w:tc>
          <w:tcPr>
            <w:tcW w:w="2240" w:type="dxa"/>
            <w:vAlign w:val="bottom"/>
          </w:tcPr>
          <w:p>
            <w:pPr>
              <w:ind w:left="980"/>
              <w:spacing w:after="0"/>
              <w:rPr>
                <w:sz w:val="20"/>
                <w:szCs w:val="20"/>
                <w:color w:val="auto"/>
              </w:rPr>
            </w:pPr>
            <w:r>
              <w:rPr>
                <w:rFonts w:ascii="Arial" w:cs="Arial" w:eastAsia="Arial" w:hAnsi="Arial"/>
                <w:sz w:val="16"/>
                <w:szCs w:val="16"/>
                <w:b w:val="1"/>
                <w:bCs w:val="1"/>
                <w:color w:val="auto"/>
              </w:rPr>
              <w:t>RCEL</w:t>
            </w:r>
          </w:p>
        </w:tc>
        <w:tc>
          <w:tcPr>
            <w:tcW w:w="140" w:type="dxa"/>
            <w:vAlign w:val="bottom"/>
          </w:tcPr>
          <w:p>
            <w:pPr>
              <w:spacing w:after="0"/>
              <w:rPr>
                <w:sz w:val="17"/>
                <w:szCs w:val="17"/>
                <w:color w:val="auto"/>
              </w:rPr>
            </w:pPr>
          </w:p>
        </w:tc>
        <w:tc>
          <w:tcPr>
            <w:tcW w:w="4360" w:type="dxa"/>
            <w:vAlign w:val="bottom"/>
          </w:tcPr>
          <w:p>
            <w:pPr>
              <w:ind w:left="1080"/>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77" w:lineRule="exact"/>
        <w:rPr>
          <w:sz w:val="24"/>
          <w:szCs w:val="24"/>
          <w:color w:val="auto"/>
        </w:rPr>
      </w:pPr>
    </w:p>
    <w:p>
      <w:pPr>
        <w:jc w:val="both"/>
        <w:ind w:right="20"/>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ind w:right="24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ind w:right="1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46" w:right="339" w:bottom="1440" w:gutter="0" w:footer="0" w:header="0"/>
        </w:sectPr>
      </w:pP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3260"/>
              <w:spacing w:after="0"/>
              <w:rPr>
                <w:sz w:val="20"/>
                <w:szCs w:val="20"/>
                <w:color w:val="auto"/>
              </w:rPr>
            </w:pPr>
            <w:r>
              <w:rPr>
                <w:rFonts w:ascii="Arial" w:cs="Arial" w:eastAsia="Arial" w:hAnsi="Arial"/>
                <w:sz w:val="16"/>
                <w:szCs w:val="16"/>
                <w:color w:val="auto"/>
              </w:rPr>
              <w:t>Accelerated filer</w:t>
            </w:r>
          </w:p>
        </w:tc>
      </w:tr>
      <w:tr>
        <w:trPr>
          <w:trHeight w:val="297"/>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3260"/>
              <w:spacing w:after="0"/>
              <w:rPr>
                <w:sz w:val="20"/>
                <w:szCs w:val="20"/>
                <w:color w:val="auto"/>
              </w:rPr>
            </w:pPr>
            <w:r>
              <w:rPr>
                <w:rFonts w:ascii="Arial" w:cs="Arial" w:eastAsia="Arial" w:hAnsi="Arial"/>
                <w:sz w:val="16"/>
                <w:szCs w:val="16"/>
                <w:color w:val="auto"/>
                <w:w w:val="90"/>
              </w:rPr>
              <w:t>Smaller reporting company</w:t>
            </w:r>
          </w:p>
        </w:tc>
      </w:tr>
      <w:tr>
        <w:trPr>
          <w:trHeight w:val="297"/>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4"/>
                <w:szCs w:val="24"/>
                <w:color w:val="auto"/>
              </w:rPr>
            </w:pPr>
          </w:p>
        </w:tc>
      </w:tr>
    </w:tbl>
    <w:p>
      <w:pPr>
        <w:spacing w:after="0" w:line="38"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right="2160"/>
        <w:spacing w:after="0" w:line="25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the registrant’s common stock, par value $0.0001, outstanding as of May 2, 2023 was 25,327,761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720" w:space="280"/>
            <w:col w:w="240"/>
          </w:cols>
          <w:pgMar w:left="320" w:top="3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20" w:type="dxa"/>
            <w:vAlign w:val="bottom"/>
            <w:gridSpan w:val="12"/>
          </w:tcPr>
          <w:p>
            <w:pPr>
              <w:ind w:left="1260"/>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0180" w:type="dxa"/>
            <w:vAlign w:val="bottom"/>
            <w:gridSpan w:val="24"/>
          </w:tcPr>
          <w:p>
            <w:pPr>
              <w:spacing w:after="0"/>
              <w:rPr>
                <w:sz w:val="20"/>
                <w:szCs w:val="20"/>
                <w:color w:val="auto"/>
              </w:rPr>
            </w:pPr>
            <w:r>
              <w:rPr>
                <w:rFonts w:ascii="Arial" w:cs="Arial" w:eastAsia="Arial" w:hAnsi="Arial"/>
                <w:sz w:val="18"/>
                <w:szCs w:val="18"/>
                <w:b w:val="1"/>
                <w:bCs w:val="1"/>
                <w:color w:val="0000FF"/>
              </w:rPr>
              <w:t>SPECIAL NOTE REGARDING FORWARD-LOOKING STATEMENT</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2"/>
        </w:trPr>
        <w:tc>
          <w:tcPr>
            <w:tcW w:w="20" w:type="dxa"/>
            <w:vAlign w:val="bottom"/>
            <w:tcBorders>
              <w:top w:val="single" w:sz="8" w:color="0000EE"/>
            </w:tcBorders>
          </w:tcPr>
          <w:p>
            <w:pPr>
              <w:spacing w:after="0"/>
              <w:rPr>
                <w:sz w:val="24"/>
                <w:szCs w:val="24"/>
                <w:color w:val="auto"/>
              </w:rPr>
            </w:pPr>
          </w:p>
        </w:tc>
        <w:tc>
          <w:tcPr>
            <w:tcW w:w="5540" w:type="dxa"/>
            <w:vAlign w:val="bottom"/>
            <w:tcBorders>
              <w:top w:val="single" w:sz="8" w:color="0000FF"/>
            </w:tcBorders>
            <w:gridSpan w:val="16"/>
          </w:tcPr>
          <w:p>
            <w:pPr>
              <w:spacing w:after="0"/>
              <w:rPr>
                <w:sz w:val="20"/>
                <w:szCs w:val="20"/>
                <w:color w:val="auto"/>
              </w:rPr>
            </w:pPr>
            <w:r>
              <w:rPr>
                <w:rFonts w:ascii="Arial" w:cs="Arial" w:eastAsia="Arial" w:hAnsi="Arial"/>
                <w:sz w:val="18"/>
                <w:szCs w:val="18"/>
                <w:b w:val="1"/>
                <w:bCs w:val="1"/>
                <w:color w:val="0000FF"/>
              </w:rPr>
              <w:t>PART I – FINANCIAL INFORMATION</w:t>
            </w:r>
          </w:p>
        </w:tc>
        <w:tc>
          <w:tcPr>
            <w:tcW w:w="40" w:type="dxa"/>
            <w:vAlign w:val="bottom"/>
            <w:tcBorders>
              <w:top w:val="single" w:sz="8" w:color="0000EE"/>
            </w:tcBorders>
          </w:tcPr>
          <w:p>
            <w:pPr>
              <w:spacing w:after="0"/>
              <w:rPr>
                <w:sz w:val="24"/>
                <w:szCs w:val="24"/>
                <w:color w:val="auto"/>
              </w:rPr>
            </w:pPr>
          </w:p>
        </w:tc>
        <w:tc>
          <w:tcPr>
            <w:tcW w:w="4600" w:type="dxa"/>
            <w:vAlign w:val="bottom"/>
            <w:gridSpan w:val="7"/>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1"/>
        </w:trPr>
        <w:tc>
          <w:tcPr>
            <w:tcW w:w="20" w:type="dxa"/>
            <w:vAlign w:val="bottom"/>
          </w:tcPr>
          <w:p>
            <w:pPr>
              <w:spacing w:after="0"/>
              <w:rPr>
                <w:sz w:val="24"/>
                <w:szCs w:val="24"/>
                <w:color w:val="auto"/>
              </w:rPr>
            </w:pPr>
          </w:p>
        </w:tc>
        <w:tc>
          <w:tcPr>
            <w:tcW w:w="1020" w:type="dxa"/>
            <w:vAlign w:val="bottom"/>
            <w:tcBorders>
              <w:top w:val="single" w:sz="8" w:color="0000FF"/>
            </w:tcBorders>
            <w:gridSpan w:val="2"/>
          </w:tcPr>
          <w:p>
            <w:pPr>
              <w:ind w:left="220"/>
              <w:spacing w:after="0"/>
              <w:rPr>
                <w:sz w:val="20"/>
                <w:szCs w:val="20"/>
                <w:color w:val="auto"/>
              </w:rPr>
            </w:pPr>
            <w:r>
              <w:rPr>
                <w:rFonts w:ascii="Arial" w:cs="Arial" w:eastAsia="Arial" w:hAnsi="Arial"/>
                <w:sz w:val="18"/>
                <w:szCs w:val="18"/>
                <w:color w:val="auto"/>
              </w:rPr>
              <w:t>Item 1.</w:t>
            </w:r>
          </w:p>
        </w:tc>
        <w:tc>
          <w:tcPr>
            <w:tcW w:w="2120" w:type="dxa"/>
            <w:vAlign w:val="bottom"/>
            <w:tcBorders>
              <w:top w:val="single" w:sz="8" w:color="0000FF"/>
            </w:tcBorders>
            <w:gridSpan w:val="9"/>
          </w:tcPr>
          <w:p>
            <w:pPr>
              <w:spacing w:after="0"/>
              <w:rPr>
                <w:sz w:val="20"/>
                <w:szCs w:val="20"/>
                <w:color w:val="auto"/>
              </w:rPr>
            </w:pPr>
            <w:r>
              <w:rPr>
                <w:rFonts w:ascii="Arial" w:cs="Arial" w:eastAsia="Arial" w:hAnsi="Arial"/>
                <w:sz w:val="18"/>
                <w:szCs w:val="18"/>
                <w:b w:val="1"/>
                <w:bCs w:val="1"/>
                <w:color w:val="0000FF"/>
              </w:rPr>
              <w:t>Financial Statements</w:t>
            </w:r>
          </w:p>
        </w:tc>
        <w:tc>
          <w:tcPr>
            <w:tcW w:w="7040" w:type="dxa"/>
            <w:vAlign w:val="bottom"/>
            <w:gridSpan w:val="13"/>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gridSpan w:val="22"/>
          </w:tcPr>
          <w:p>
            <w:pPr>
              <w:spacing w:after="0"/>
              <w:rPr>
                <w:sz w:val="20"/>
                <w:szCs w:val="20"/>
                <w:color w:val="auto"/>
              </w:rPr>
            </w:pPr>
            <w:r>
              <w:rPr>
                <w:rFonts w:ascii="Arial" w:cs="Arial" w:eastAsia="Arial" w:hAnsi="Arial"/>
                <w:sz w:val="18"/>
                <w:szCs w:val="18"/>
                <w:color w:val="0000FF"/>
              </w:rPr>
              <w:t>Consolidated Balance Sheets – March 31, 2023 (unaudited) and December 31, 2022</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gridSpan w:val="22"/>
          </w:tcPr>
          <w:p>
            <w:pPr>
              <w:spacing w:after="0"/>
              <w:rPr>
                <w:sz w:val="20"/>
                <w:szCs w:val="20"/>
                <w:color w:val="auto"/>
              </w:rPr>
            </w:pPr>
            <w:r>
              <w:rPr>
                <w:rFonts w:ascii="Arial" w:cs="Arial" w:eastAsia="Arial" w:hAnsi="Arial"/>
                <w:sz w:val="18"/>
                <w:szCs w:val="18"/>
                <w:color w:val="0000FF"/>
              </w:rPr>
              <w:t>Consolidated Statements of Operations for the three-months ended March 31, 2023 and 2022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9"/>
              </w:rPr>
              <w:t>Consolidated Statements of Comprehensive Loss for the three-months ended March 31, 2023 and 2022 (unaudited)</w:t>
            </w:r>
          </w:p>
        </w:tc>
        <w:tc>
          <w:tcPr>
            <w:tcW w:w="8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gridSpan w:val="22"/>
          </w:tcPr>
          <w:p>
            <w:pPr>
              <w:spacing w:after="0"/>
              <w:rPr>
                <w:sz w:val="20"/>
                <w:szCs w:val="20"/>
                <w:color w:val="auto"/>
              </w:rPr>
            </w:pPr>
            <w:r>
              <w:rPr>
                <w:rFonts w:ascii="Arial" w:cs="Arial" w:eastAsia="Arial" w:hAnsi="Arial"/>
                <w:sz w:val="18"/>
                <w:szCs w:val="18"/>
                <w:color w:val="0000FF"/>
                <w:w w:val="99"/>
              </w:rPr>
              <w:t>Consolidated Statements of Stockholders’ Equity for the three-months ended March 31, 2023 and 2022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4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8"/>
                <w:szCs w:val="18"/>
                <w:color w:val="0000FF"/>
                <w:w w:val="89"/>
              </w:rPr>
              <w:t>Consolidated Statements of Cash Flows for the three-months ended March 31, 2023 and 2022 (unaudited)</w:t>
            </w:r>
          </w:p>
        </w:tc>
        <w:tc>
          <w:tcPr>
            <w:tcW w:w="660" w:type="dxa"/>
            <w:vAlign w:val="bottom"/>
            <w:tcBorders>
              <w:top w:val="single" w:sz="8" w:color="0000FF"/>
            </w:tcBorders>
          </w:tcPr>
          <w:p>
            <w:pPr>
              <w:spacing w:after="0"/>
              <w:rPr>
                <w:sz w:val="24"/>
                <w:szCs w:val="24"/>
                <w:color w:val="auto"/>
              </w:rPr>
            </w:pPr>
          </w:p>
        </w:tc>
        <w:tc>
          <w:tcPr>
            <w:tcW w:w="860" w:type="dxa"/>
            <w:vAlign w:val="bottom"/>
            <w:gridSpan w:val="2"/>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9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Notes to Consolidated Financial Statements (unaudited)</w:t>
            </w:r>
          </w:p>
        </w:tc>
        <w:tc>
          <w:tcPr>
            <w:tcW w:w="5120" w:type="dxa"/>
            <w:vAlign w:val="bottom"/>
            <w:gridSpan w:val="11"/>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85"/>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700" w:type="dxa"/>
            <w:vAlign w:val="bottom"/>
            <w:gridSpan w:val="5"/>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85"/>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780" w:type="dxa"/>
            <w:vAlign w:val="bottom"/>
            <w:gridSpan w:val="9"/>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99"/>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Controls and Procedures</w:t>
            </w:r>
          </w:p>
        </w:tc>
        <w:tc>
          <w:tcPr>
            <w:tcW w:w="7380" w:type="dxa"/>
            <w:vAlign w:val="bottom"/>
            <w:gridSpan w:val="14"/>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44"/>
        </w:trPr>
        <w:tc>
          <w:tcPr>
            <w:tcW w:w="20" w:type="dxa"/>
            <w:vAlign w:val="bottom"/>
          </w:tcPr>
          <w:p>
            <w:pPr>
              <w:spacing w:after="0"/>
              <w:rPr>
                <w:sz w:val="24"/>
                <w:szCs w:val="24"/>
                <w:color w:val="auto"/>
              </w:rPr>
            </w:pPr>
          </w:p>
        </w:tc>
        <w:tc>
          <w:tcPr>
            <w:tcW w:w="10180" w:type="dxa"/>
            <w:vAlign w:val="bottom"/>
            <w:gridSpan w:val="24"/>
          </w:tcPr>
          <w:p>
            <w:pPr>
              <w:spacing w:after="0"/>
              <w:rPr>
                <w:sz w:val="20"/>
                <w:szCs w:val="20"/>
                <w:color w:val="auto"/>
              </w:rPr>
            </w:pPr>
            <w:r>
              <w:rPr>
                <w:rFonts w:ascii="Arial" w:cs="Arial" w:eastAsia="Arial" w:hAnsi="Arial"/>
                <w:sz w:val="18"/>
                <w:szCs w:val="18"/>
                <w:b w:val="1"/>
                <w:bCs w:val="1"/>
                <w:color w:val="0000FF"/>
              </w:rPr>
              <w:t>Part II – OTHER INFORMATION</w:t>
            </w: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4"/>
        </w:trPr>
        <w:tc>
          <w:tcPr>
            <w:tcW w:w="20" w:type="dxa"/>
            <w:vAlign w:val="bottom"/>
          </w:tcPr>
          <w:p>
            <w:pPr>
              <w:spacing w:after="0"/>
              <w:rPr>
                <w:sz w:val="24"/>
                <w:szCs w:val="24"/>
                <w:color w:val="auto"/>
              </w:rPr>
            </w:pPr>
          </w:p>
        </w:tc>
        <w:tc>
          <w:tcPr>
            <w:tcW w:w="1020" w:type="dxa"/>
            <w:vAlign w:val="bottom"/>
            <w:tcBorders>
              <w:top w:val="single" w:sz="8" w:color="0000FF"/>
            </w:tcBorders>
            <w:gridSpan w:val="2"/>
          </w:tcPr>
          <w:p>
            <w:pPr>
              <w:ind w:left="220"/>
              <w:spacing w:after="0"/>
              <w:rPr>
                <w:sz w:val="20"/>
                <w:szCs w:val="20"/>
                <w:color w:val="auto"/>
              </w:rPr>
            </w:pPr>
            <w:r>
              <w:rPr>
                <w:rFonts w:ascii="Arial" w:cs="Arial" w:eastAsia="Arial" w:hAnsi="Arial"/>
                <w:sz w:val="18"/>
                <w:szCs w:val="18"/>
                <w:color w:val="auto"/>
              </w:rPr>
              <w:t>Item 1.</w:t>
            </w:r>
          </w:p>
        </w:tc>
        <w:tc>
          <w:tcPr>
            <w:tcW w:w="17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Legal Proceedings</w:t>
            </w:r>
          </w:p>
        </w:tc>
        <w:tc>
          <w:tcPr>
            <w:tcW w:w="7460" w:type="dxa"/>
            <w:vAlign w:val="bottom"/>
            <w:gridSpan w:val="15"/>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5"/>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9"/>
              </w:rPr>
              <w:t>Risk Factors</w:t>
            </w:r>
          </w:p>
        </w:tc>
        <w:tc>
          <w:tcPr>
            <w:tcW w:w="420" w:type="dxa"/>
            <w:vAlign w:val="bottom"/>
            <w:tcBorders>
              <w:top w:val="single" w:sz="8" w:color="0000FF"/>
            </w:tcBorders>
            <w:gridSpan w:val="2"/>
          </w:tcPr>
          <w:p>
            <w:pPr>
              <w:spacing w:after="0"/>
              <w:rPr>
                <w:sz w:val="24"/>
                <w:szCs w:val="24"/>
                <w:color w:val="auto"/>
              </w:rPr>
            </w:pPr>
          </w:p>
        </w:tc>
        <w:tc>
          <w:tcPr>
            <w:tcW w:w="7820" w:type="dxa"/>
            <w:vAlign w:val="bottom"/>
            <w:gridSpan w:val="17"/>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4"/>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800" w:type="dxa"/>
            <w:vAlign w:val="bottom"/>
            <w:gridSpan w:val="10"/>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5"/>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Defaults Upon Senior Securities</w:t>
            </w:r>
          </w:p>
        </w:tc>
        <w:tc>
          <w:tcPr>
            <w:tcW w:w="6820" w:type="dxa"/>
            <w:vAlign w:val="bottom"/>
            <w:gridSpan w:val="12"/>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5"/>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Mine Safety Disclosures</w:t>
            </w:r>
          </w:p>
        </w:tc>
        <w:tc>
          <w:tcPr>
            <w:tcW w:w="7380" w:type="dxa"/>
            <w:vAlign w:val="bottom"/>
            <w:gridSpan w:val="14"/>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5"/>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916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31"/>
        </w:trPr>
        <w:tc>
          <w:tcPr>
            <w:tcW w:w="2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7840" w:type="dxa"/>
            <w:vAlign w:val="bottom"/>
            <w:gridSpan w:val="18"/>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560" w:type="dxa"/>
            <w:vAlign w:val="bottom"/>
            <w:gridSpan w:val="2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23"/>
          </w:tcPr>
          <w:p>
            <w:pPr>
              <w:spacing w:after="0"/>
              <w:rPr>
                <w:sz w:val="20"/>
                <w:szCs w:val="20"/>
                <w:color w:val="auto"/>
              </w:rPr>
            </w:pPr>
            <w:r>
              <w:rPr>
                <w:rFonts w:ascii="Arial" w:cs="Arial" w:eastAsia="Arial" w:hAnsi="Arial"/>
                <w:sz w:val="18"/>
                <w:szCs w:val="18"/>
                <w:color w:val="0000FF"/>
              </w:rPr>
              <w:t>Signatures</w:t>
            </w: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92"/>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i w:val="1"/>
          <w:iCs w:val="1"/>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statements regarding our future revenues; solvency; future industry market conditions; future changes in our capacity and operations; future operating and overhead costs; intellectual property; regulatory and related approvals; the conduct or outcome of pre-clinical or clinical (human) studies; operational and management restructuring activities (including implementation of methodologies and changes in the board of directors); future employment and contributions of personnel; effects on the global economy due to the COVID-19 pandemic, tax and rising interest rates; productivity, business process, rationalization, investment, acquisition and acquisition integrations, consulting, operational, tax, financial and capital projects and initiatives; inflationary pressures on the U.S. and global economy; changes in the legal or regulatory environment; and future working capital, costs, revenues, business opportunities, cash flows, margins, earnings and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8"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i w:val="1"/>
          <w:iCs w:val="1"/>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w:t>
      </w:r>
    </w:p>
    <w:p>
      <w:pPr>
        <w:spacing w:after="0" w:line="184"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i w:val="1"/>
          <w:iCs w:val="1"/>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p>
    <w:p>
      <w:pPr>
        <w:spacing w:after="0" w:line="192"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i w:val="1"/>
          <w:iCs w:val="1"/>
          <w:color w:val="auto"/>
        </w:rPr>
        <w:t>Moreover, we operate in an evolving environment. New risk factors and uncertainties may emerge from time to time, and it is not possible for our management to predict all risk factors and uncertainties.</w:t>
      </w:r>
    </w:p>
    <w:p>
      <w:pPr>
        <w:spacing w:after="0" w:line="170"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i w:val="1"/>
          <w:iCs w:val="1"/>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89"/>
              </w:rPr>
              <w:t>As of</w:t>
            </w:r>
          </w:p>
        </w:tc>
        <w:tc>
          <w:tcPr>
            <w:tcW w:w="15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7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6"/>
              </w:rPr>
              <w:t>March 31, 2023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w w:val="90"/>
              </w:rPr>
              <w:t>December 31, 2022</w:t>
            </w:r>
          </w:p>
        </w:tc>
        <w:tc>
          <w:tcPr>
            <w:tcW w:w="140" w:type="dxa"/>
            <w:vAlign w:val="bottom"/>
          </w:tcPr>
          <w:p>
            <w:pPr>
              <w:spacing w:after="0"/>
              <w:rPr>
                <w:sz w:val="19"/>
                <w:szCs w:val="19"/>
                <w:color w:val="auto"/>
              </w:rPr>
            </w:pPr>
          </w:p>
        </w:tc>
      </w:tr>
      <w:tr>
        <w:trPr>
          <w:trHeight w:val="22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60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28,050</w:t>
            </w:r>
          </w:p>
        </w:tc>
        <w:tc>
          <w:tcPr>
            <w:tcW w:w="10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18,164</w:t>
            </w: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Marketable securities</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45,401</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61,178</w:t>
            </w:r>
          </w:p>
        </w:tc>
        <w:tc>
          <w:tcPr>
            <w:tcW w:w="140" w:type="dxa"/>
            <w:vAlign w:val="bottom"/>
            <w:shd w:val="clear" w:color="auto" w:fill="CFF0FC"/>
          </w:tcPr>
          <w:p>
            <w:pPr>
              <w:spacing w:after="0"/>
              <w:rPr>
                <w:sz w:val="20"/>
                <w:szCs w:val="20"/>
                <w:color w:val="auto"/>
              </w:rPr>
            </w:pPr>
          </w:p>
        </w:tc>
      </w:tr>
      <w:tr>
        <w:trPr>
          <w:trHeight w:val="220"/>
        </w:trPr>
        <w:tc>
          <w:tcPr>
            <w:tcW w:w="760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3,515</w:t>
            </w: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BARDA receivables</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898</w:t>
            </w:r>
          </w:p>
        </w:tc>
        <w:tc>
          <w:tcPr>
            <w:tcW w:w="140" w:type="dxa"/>
            <w:vAlign w:val="bottom"/>
            <w:shd w:val="clear" w:color="auto" w:fill="CFF0FC"/>
          </w:tcPr>
          <w:p>
            <w:pPr>
              <w:spacing w:after="0"/>
              <w:rPr>
                <w:sz w:val="20"/>
                <w:szCs w:val="20"/>
                <w:color w:val="auto"/>
              </w:rPr>
            </w:pPr>
          </w:p>
        </w:tc>
      </w:tr>
      <w:tr>
        <w:trPr>
          <w:trHeight w:val="220"/>
        </w:trPr>
        <w:tc>
          <w:tcPr>
            <w:tcW w:w="7600" w:type="dxa"/>
            <w:vAlign w:val="bottom"/>
          </w:tcPr>
          <w:p>
            <w:pPr>
              <w:ind w:left="200"/>
              <w:spacing w:after="0"/>
              <w:rPr>
                <w:sz w:val="20"/>
                <w:szCs w:val="20"/>
                <w:color w:val="auto"/>
              </w:rPr>
            </w:pPr>
            <w:r>
              <w:rPr>
                <w:rFonts w:ascii="Arial" w:cs="Arial" w:eastAsia="Arial" w:hAnsi="Arial"/>
                <w:sz w:val="16"/>
                <w:szCs w:val="16"/>
                <w:color w:val="auto"/>
              </w:rPr>
              <w:t>Prepaids and other current assets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1,578</w:t>
            </w:r>
          </w:p>
        </w:tc>
        <w:tc>
          <w:tcPr>
            <w:tcW w:w="140" w:type="dxa"/>
            <w:vAlign w:val="bottom"/>
          </w:tcPr>
          <w:p>
            <w:pPr>
              <w:spacing w:after="0"/>
              <w:rPr>
                <w:sz w:val="19"/>
                <w:szCs w:val="19"/>
                <w:color w:val="auto"/>
              </w:rPr>
            </w:pPr>
          </w:p>
        </w:tc>
      </w:tr>
      <w:tr>
        <w:trPr>
          <w:trHeight w:val="23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Inventory</w:t>
            </w:r>
          </w:p>
        </w:tc>
        <w:tc>
          <w:tcPr>
            <w:tcW w:w="1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2,811</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0"/>
        </w:trPr>
        <w:tc>
          <w:tcPr>
            <w:tcW w:w="760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82,761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87,458</w:t>
            </w: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Marketable securities long-term</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4,189</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6,930</w:t>
            </w:r>
          </w:p>
        </w:tc>
        <w:tc>
          <w:tcPr>
            <w:tcW w:w="140" w:type="dxa"/>
            <w:vAlign w:val="bottom"/>
            <w:shd w:val="clear" w:color="auto" w:fill="CFF0FC"/>
          </w:tcPr>
          <w:p>
            <w:pPr>
              <w:spacing w:after="0"/>
              <w:rPr>
                <w:sz w:val="20"/>
                <w:szCs w:val="20"/>
                <w:color w:val="auto"/>
              </w:rPr>
            </w:pPr>
          </w:p>
        </w:tc>
      </w:tr>
      <w:tr>
        <w:trPr>
          <w:trHeight w:val="220"/>
        </w:trPr>
        <w:tc>
          <w:tcPr>
            <w:tcW w:w="7600" w:type="dxa"/>
            <w:vAlign w:val="bottom"/>
          </w:tcPr>
          <w:p>
            <w:pPr>
              <w:ind w:left="200"/>
              <w:spacing w:after="0"/>
              <w:rPr>
                <w:sz w:val="20"/>
                <w:szCs w:val="20"/>
                <w:color w:val="auto"/>
              </w:rPr>
            </w:pPr>
            <w:r>
              <w:rPr>
                <w:rFonts w:ascii="Arial" w:cs="Arial" w:eastAsia="Arial" w:hAnsi="Arial"/>
                <w:sz w:val="16"/>
                <w:szCs w:val="16"/>
                <w:color w:val="auto"/>
              </w:rPr>
              <w:t>Plant and equipment, net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1,200</w:t>
            </w: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1,815</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w:t>
            </w:r>
          </w:p>
        </w:tc>
        <w:tc>
          <w:tcPr>
            <w:tcW w:w="140" w:type="dxa"/>
            <w:vAlign w:val="bottom"/>
            <w:shd w:val="clear" w:color="auto" w:fill="CFF0FC"/>
          </w:tcPr>
          <w:p>
            <w:pPr>
              <w:spacing w:after="0"/>
              <w:rPr>
                <w:sz w:val="20"/>
                <w:szCs w:val="20"/>
                <w:color w:val="auto"/>
              </w:rPr>
            </w:pPr>
          </w:p>
        </w:tc>
      </w:tr>
      <w:tr>
        <w:trPr>
          <w:trHeight w:val="220"/>
        </w:trPr>
        <w:tc>
          <w:tcPr>
            <w:tcW w:w="7600" w:type="dxa"/>
            <w:vAlign w:val="bottom"/>
          </w:tcPr>
          <w:p>
            <w:pPr>
              <w:ind w:left="200"/>
              <w:spacing w:after="0"/>
              <w:rPr>
                <w:sz w:val="20"/>
                <w:szCs w:val="20"/>
                <w:color w:val="auto"/>
              </w:rPr>
            </w:pPr>
            <w:r>
              <w:rPr>
                <w:rFonts w:ascii="Arial" w:cs="Arial" w:eastAsia="Arial" w:hAnsi="Arial"/>
                <w:sz w:val="16"/>
                <w:szCs w:val="16"/>
                <w:color w:val="auto"/>
              </w:rPr>
              <w:t>Corporate-owned life insurance asset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1,238</w:t>
            </w: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w:t>
            </w:r>
          </w:p>
        </w:tc>
        <w:tc>
          <w:tcPr>
            <w:tcW w:w="140" w:type="dxa"/>
            <w:vAlign w:val="bottom"/>
            <w:shd w:val="clear" w:color="auto" w:fill="CFF0FC"/>
          </w:tcPr>
          <w:p>
            <w:pPr>
              <w:spacing w:after="0"/>
              <w:rPr>
                <w:sz w:val="20"/>
                <w:szCs w:val="20"/>
                <w:color w:val="auto"/>
              </w:rPr>
            </w:pPr>
          </w:p>
        </w:tc>
      </w:tr>
      <w:tr>
        <w:trPr>
          <w:trHeight w:val="223"/>
        </w:trPr>
        <w:tc>
          <w:tcPr>
            <w:tcW w:w="7600" w:type="dxa"/>
            <w:vAlign w:val="bottom"/>
          </w:tcPr>
          <w:p>
            <w:pPr>
              <w:ind w:left="200"/>
              <w:spacing w:after="0"/>
              <w:rPr>
                <w:sz w:val="20"/>
                <w:szCs w:val="20"/>
                <w:color w:val="auto"/>
              </w:rPr>
            </w:pPr>
            <w:r>
              <w:rPr>
                <w:rFonts w:ascii="Arial" w:cs="Arial" w:eastAsia="Arial" w:hAnsi="Arial"/>
                <w:sz w:val="16"/>
                <w:szCs w:val="16"/>
                <w:color w:val="auto"/>
              </w:rPr>
              <w:t>Other long-term assets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19"/>
                <w:szCs w:val="19"/>
                <w:color w:val="auto"/>
              </w:rPr>
            </w:pPr>
          </w:p>
        </w:tc>
      </w:tr>
      <w:tr>
        <w:trPr>
          <w:trHeight w:val="223"/>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92,622</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98,264</w:t>
            </w:r>
          </w:p>
        </w:tc>
        <w:tc>
          <w:tcPr>
            <w:tcW w:w="140" w:type="dxa"/>
            <w:vAlign w:val="bottom"/>
            <w:shd w:val="clear" w:color="auto" w:fill="CFF0FC"/>
          </w:tcPr>
          <w:p>
            <w:pPr>
              <w:spacing w:after="0"/>
              <w:rPr>
                <w:sz w:val="19"/>
                <w:szCs w:val="19"/>
                <w:color w:val="auto"/>
              </w:rPr>
            </w:pPr>
          </w:p>
        </w:tc>
      </w:tr>
      <w:tr>
        <w:trPr>
          <w:trHeight w:val="202"/>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LIABILITIES, NON-QUALIFIED DEFERRED COMPENSATION PLAN SHARE AWARDS AND</w:t>
            </w: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r>
      <w:tr>
        <w:trPr>
          <w:trHeight w:val="220"/>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3,752</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3,002</w:t>
            </w:r>
          </w:p>
        </w:tc>
        <w:tc>
          <w:tcPr>
            <w:tcW w:w="140" w:type="dxa"/>
            <w:vAlign w:val="bottom"/>
            <w:shd w:val="clear" w:color="auto" w:fill="CFF0FC"/>
          </w:tcPr>
          <w:p>
            <w:pPr>
              <w:spacing w:after="0"/>
              <w:rPr>
                <w:sz w:val="20"/>
                <w:szCs w:val="20"/>
                <w:color w:val="auto"/>
              </w:rPr>
            </w:pPr>
          </w:p>
        </w:tc>
      </w:tr>
      <w:tr>
        <w:trPr>
          <w:trHeight w:val="220"/>
        </w:trPr>
        <w:tc>
          <w:tcPr>
            <w:tcW w:w="7600" w:type="dxa"/>
            <w:vAlign w:val="bottom"/>
          </w:tcPr>
          <w:p>
            <w:pPr>
              <w:ind w:left="200"/>
              <w:spacing w:after="0"/>
              <w:rPr>
                <w:sz w:val="20"/>
                <w:szCs w:val="20"/>
                <w:color w:val="auto"/>
              </w:rPr>
            </w:pPr>
            <w:r>
              <w:rPr>
                <w:rFonts w:ascii="Arial" w:cs="Arial" w:eastAsia="Arial" w:hAnsi="Arial"/>
                <w:sz w:val="16"/>
                <w:szCs w:val="16"/>
                <w:color w:val="auto"/>
              </w:rPr>
              <w:t>Accrued wages and fringe benefits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6,623</w:t>
            </w: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non-qualified deferred compensation liability</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2,140</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40" w:type="dxa"/>
            <w:vAlign w:val="bottom"/>
            <w:shd w:val="clear" w:color="auto" w:fill="CFF0FC"/>
          </w:tcPr>
          <w:p>
            <w:pPr>
              <w:spacing w:after="0"/>
              <w:rPr>
                <w:sz w:val="20"/>
                <w:szCs w:val="20"/>
                <w:color w:val="auto"/>
              </w:rPr>
            </w:pPr>
          </w:p>
        </w:tc>
      </w:tr>
      <w:tr>
        <w:trPr>
          <w:trHeight w:val="223"/>
        </w:trPr>
        <w:tc>
          <w:tcPr>
            <w:tcW w:w="7600" w:type="dxa"/>
            <w:vAlign w:val="bottom"/>
          </w:tcPr>
          <w:p>
            <w:pPr>
              <w:ind w:left="20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w:t>
            </w:r>
          </w:p>
        </w:tc>
        <w:tc>
          <w:tcPr>
            <w:tcW w:w="140" w:type="dxa"/>
            <w:vAlign w:val="bottom"/>
          </w:tcPr>
          <w:p>
            <w:pPr>
              <w:spacing w:after="0"/>
              <w:rPr>
                <w:sz w:val="19"/>
                <w:szCs w:val="19"/>
                <w:color w:val="auto"/>
              </w:rPr>
            </w:pPr>
          </w:p>
        </w:tc>
      </w:tr>
      <w:tr>
        <w:trPr>
          <w:trHeight w:val="22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11,486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10,693</w:t>
            </w:r>
          </w:p>
        </w:tc>
        <w:tc>
          <w:tcPr>
            <w:tcW w:w="140" w:type="dxa"/>
            <w:vAlign w:val="bottom"/>
            <w:shd w:val="clear" w:color="auto" w:fill="CFF0FC"/>
          </w:tcPr>
          <w:p>
            <w:pPr>
              <w:spacing w:after="0"/>
              <w:rPr>
                <w:sz w:val="19"/>
                <w:szCs w:val="19"/>
                <w:color w:val="auto"/>
              </w:rPr>
            </w:pPr>
          </w:p>
        </w:tc>
      </w:tr>
      <w:tr>
        <w:trPr>
          <w:trHeight w:val="220"/>
        </w:trPr>
        <w:tc>
          <w:tcPr>
            <w:tcW w:w="7600" w:type="dxa"/>
            <w:vAlign w:val="bottom"/>
          </w:tcPr>
          <w:p>
            <w:pPr>
              <w:ind w:left="200"/>
              <w:spacing w:after="0"/>
              <w:rPr>
                <w:sz w:val="20"/>
                <w:szCs w:val="20"/>
                <w:color w:val="auto"/>
              </w:rPr>
            </w:pPr>
            <w:r>
              <w:rPr>
                <w:rFonts w:ascii="Arial" w:cs="Arial" w:eastAsia="Arial" w:hAnsi="Arial"/>
                <w:sz w:val="16"/>
                <w:szCs w:val="16"/>
                <w:color w:val="auto"/>
              </w:rPr>
              <w:t>Non-qualified deferred compensation liability</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1,270</w:t>
            </w: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Contract liabilities</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w:t>
            </w:r>
          </w:p>
        </w:tc>
        <w:tc>
          <w:tcPr>
            <w:tcW w:w="140" w:type="dxa"/>
            <w:vAlign w:val="bottom"/>
            <w:shd w:val="clear" w:color="auto" w:fill="CFF0FC"/>
          </w:tcPr>
          <w:p>
            <w:pPr>
              <w:spacing w:after="0"/>
              <w:rPr>
                <w:sz w:val="20"/>
                <w:szCs w:val="20"/>
                <w:color w:val="auto"/>
              </w:rPr>
            </w:pPr>
          </w:p>
        </w:tc>
      </w:tr>
      <w:tr>
        <w:trPr>
          <w:trHeight w:val="223"/>
        </w:trPr>
        <w:tc>
          <w:tcPr>
            <w:tcW w:w="760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Operating lease liabilities, long term</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40" w:type="dxa"/>
            <w:vAlign w:val="bottom"/>
            <w:tcBorders>
              <w:bottom w:val="single" w:sz="8" w:color="CFF0FC"/>
            </w:tcBorders>
          </w:tcPr>
          <w:p>
            <w:pPr>
              <w:spacing w:after="0"/>
              <w:rPr>
                <w:sz w:val="19"/>
                <w:szCs w:val="19"/>
                <w:color w:val="auto"/>
              </w:rPr>
            </w:pPr>
          </w:p>
        </w:tc>
      </w:tr>
      <w:tr>
        <w:trPr>
          <w:trHeight w:val="22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14,268</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12,967</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0"/>
        </w:trPr>
        <w:tc>
          <w:tcPr>
            <w:tcW w:w="7600" w:type="dxa"/>
            <w:vAlign w:val="bottom"/>
          </w:tcPr>
          <w:p>
            <w:pPr>
              <w:ind w:left="20"/>
              <w:spacing w:after="0"/>
              <w:rPr>
                <w:sz w:val="20"/>
                <w:szCs w:val="20"/>
                <w:color w:val="auto"/>
              </w:rPr>
            </w:pPr>
            <w:r>
              <w:rPr>
                <w:rFonts w:ascii="Arial" w:cs="Arial" w:eastAsia="Arial" w:hAnsi="Arial"/>
                <w:sz w:val="16"/>
                <w:szCs w:val="16"/>
                <w:color w:val="auto"/>
              </w:rPr>
              <w:t>Non-qualified deferred compensation plan share awards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557</w:t>
            </w: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Contingencies (Note 13)</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76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 $0.0001 par value per share, 200,000,000 shares authorized, 25,327,761 and</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26"/>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25,208,436 shares issued and outstanding at March 31, 2023 and December 31, 2022, respectively</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9"/>
                <w:szCs w:val="19"/>
                <w:color w:val="auto"/>
              </w:rPr>
            </w:pPr>
          </w:p>
        </w:tc>
      </w:tr>
      <w:tr>
        <w:trPr>
          <w:trHeight w:val="206"/>
        </w:trPr>
        <w:tc>
          <w:tcPr>
            <w:tcW w:w="7600" w:type="dxa"/>
            <w:vAlign w:val="bottom"/>
          </w:tcPr>
          <w:p>
            <w:pPr>
              <w:ind w:left="200"/>
              <w:spacing w:after="0"/>
              <w:rPr>
                <w:sz w:val="20"/>
                <w:szCs w:val="20"/>
                <w:color w:val="auto"/>
              </w:rPr>
            </w:pPr>
            <w:r>
              <w:rPr>
                <w:rFonts w:ascii="Arial" w:cs="Arial" w:eastAsia="Arial" w:hAnsi="Arial"/>
                <w:sz w:val="16"/>
                <w:szCs w:val="16"/>
                <w:color w:val="auto"/>
                <w:w w:val="93"/>
              </w:rPr>
              <w:t>Preferred stock, $0.0001 par value per share, 10,000,000 shares authorized, no shares issued or outstanding at</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7600" w:type="dxa"/>
            <w:vAlign w:val="bottom"/>
          </w:tcPr>
          <w:p>
            <w:pPr>
              <w:ind w:left="200"/>
              <w:spacing w:after="0"/>
              <w:rPr>
                <w:sz w:val="20"/>
                <w:szCs w:val="20"/>
                <w:color w:val="auto"/>
              </w:rPr>
            </w:pPr>
            <w:r>
              <w:rPr>
                <w:rFonts w:ascii="Arial" w:cs="Arial" w:eastAsia="Arial" w:hAnsi="Arial"/>
                <w:sz w:val="16"/>
                <w:szCs w:val="16"/>
                <w:color w:val="auto"/>
              </w:rPr>
              <w:t>March 31, 2023 and December 31, 2022.</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Company common stock held by the non-qualified deferred compensation plan ("NQDC Plan")</w:t>
            </w:r>
          </w:p>
        </w:tc>
        <w:tc>
          <w:tcPr>
            <w:tcW w:w="1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(892 )</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(127 )</w:t>
            </w:r>
          </w:p>
        </w:tc>
      </w:tr>
      <w:tr>
        <w:trPr>
          <w:trHeight w:val="220"/>
        </w:trPr>
        <w:tc>
          <w:tcPr>
            <w:tcW w:w="760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342,400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339,825</w:t>
            </w: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7,858</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7,627</w:t>
            </w:r>
          </w:p>
        </w:tc>
        <w:tc>
          <w:tcPr>
            <w:tcW w:w="140" w:type="dxa"/>
            <w:vAlign w:val="bottom"/>
            <w:shd w:val="clear" w:color="auto" w:fill="CFF0FC"/>
          </w:tcPr>
          <w:p>
            <w:pPr>
              <w:spacing w:after="0"/>
              <w:rPr>
                <w:sz w:val="20"/>
                <w:szCs w:val="20"/>
                <w:color w:val="auto"/>
              </w:rPr>
            </w:pPr>
          </w:p>
        </w:tc>
      </w:tr>
      <w:tr>
        <w:trPr>
          <w:trHeight w:val="223"/>
        </w:trPr>
        <w:tc>
          <w:tcPr>
            <w:tcW w:w="760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6"/>
                <w:szCs w:val="16"/>
                <w:color w:val="auto"/>
              </w:rPr>
              <w:t>(271,808 )</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(262,588 )</w:t>
            </w:r>
          </w:p>
        </w:tc>
      </w:tr>
      <w:tr>
        <w:trPr>
          <w:trHeight w:val="22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77,561</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84,740</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Total liabilities, non-qualified deferred compensation plan share awards and stockholders' equity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92,622</w:t>
            </w:r>
          </w:p>
        </w:tc>
        <w:tc>
          <w:tcPr>
            <w:tcW w:w="10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98,264</w:t>
            </w:r>
          </w:p>
        </w:tc>
        <w:tc>
          <w:tcPr>
            <w:tcW w:w="14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-4705985</wp:posOffset>
            </wp:positionV>
            <wp:extent cx="9398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-4705985</wp:posOffset>
            </wp:positionV>
            <wp:extent cx="8572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-3522345</wp:posOffset>
            </wp:positionV>
            <wp:extent cx="93980"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28257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-3522345</wp:posOffset>
            </wp:positionV>
            <wp:extent cx="85725"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-2077720</wp:posOffset>
            </wp:positionV>
            <wp:extent cx="7145020" cy="321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020" cy="32131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-179070</wp:posOffset>
            </wp:positionV>
            <wp:extent cx="93980"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3257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3257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Three-Months Ended</w:t>
            </w:r>
          </w:p>
        </w:tc>
        <w:tc>
          <w:tcPr>
            <w:tcW w:w="2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gridSpan w:val="2"/>
          </w:tcPr>
          <w:p>
            <w:pPr>
              <w:jc w:val="right"/>
              <w:ind w:right="1000"/>
              <w:spacing w:after="0"/>
              <w:rPr>
                <w:sz w:val="20"/>
                <w:szCs w:val="20"/>
                <w:color w:val="auto"/>
              </w:rPr>
            </w:pPr>
            <w:r>
              <w:rPr>
                <w:rFonts w:ascii="Arial" w:cs="Arial" w:eastAsia="Arial" w:hAnsi="Arial"/>
                <w:sz w:val="16"/>
                <w:szCs w:val="16"/>
                <w:b w:val="1"/>
                <w:bCs w:val="1"/>
                <w:color w:val="auto"/>
              </w:rPr>
              <w:t>March 31, 2023</w:t>
            </w:r>
          </w:p>
        </w:tc>
        <w:tc>
          <w:tcPr>
            <w:tcW w:w="1000" w:type="dxa"/>
            <w:vAlign w:val="bottom"/>
          </w:tcPr>
          <w:p>
            <w:pPr>
              <w:spacing w:after="0"/>
              <w:rPr>
                <w:sz w:val="19"/>
                <w:szCs w:val="19"/>
                <w:color w:val="auto"/>
              </w:rPr>
            </w:pPr>
          </w:p>
        </w:tc>
        <w:tc>
          <w:tcPr>
            <w:tcW w:w="2120" w:type="dxa"/>
            <w:vAlign w:val="bottom"/>
          </w:tcPr>
          <w:p>
            <w:pPr>
              <w:jc w:val="right"/>
              <w:ind w:right="939"/>
              <w:spacing w:after="0"/>
              <w:rPr>
                <w:sz w:val="20"/>
                <w:szCs w:val="20"/>
                <w:color w:val="auto"/>
              </w:rPr>
            </w:pPr>
            <w:r>
              <w:rPr>
                <w:rFonts w:ascii="Arial" w:cs="Arial" w:eastAsia="Arial" w:hAnsi="Arial"/>
                <w:sz w:val="16"/>
                <w:szCs w:val="16"/>
                <w:b w:val="1"/>
                <w:bCs w:val="1"/>
                <w:color w:val="auto"/>
                <w:w w:val="94"/>
              </w:rPr>
              <w:t>March 31, 2022</w:t>
            </w:r>
          </w:p>
        </w:tc>
        <w:tc>
          <w:tcPr>
            <w:tcW w:w="140" w:type="dxa"/>
            <w:vAlign w:val="bottom"/>
          </w:tcPr>
          <w:p>
            <w:pPr>
              <w:spacing w:after="0"/>
              <w:rPr>
                <w:sz w:val="19"/>
                <w:szCs w:val="19"/>
                <w:color w:val="auto"/>
              </w:rPr>
            </w:pPr>
          </w:p>
        </w:tc>
      </w:tr>
      <w:tr>
        <w:trPr>
          <w:trHeight w:val="229"/>
        </w:trPr>
        <w:tc>
          <w:tcPr>
            <w:tcW w:w="53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10,550</w:t>
            </w: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7,539</w:t>
            </w:r>
          </w:p>
        </w:tc>
        <w:tc>
          <w:tcPr>
            <w:tcW w:w="140" w:type="dxa"/>
            <w:vAlign w:val="bottom"/>
            <w:shd w:val="clear" w:color="auto" w:fill="CFF0FC"/>
          </w:tcPr>
          <w:p>
            <w:pPr>
              <w:spacing w:after="0"/>
              <w:rPr>
                <w:sz w:val="19"/>
                <w:szCs w:val="19"/>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340" w:type="dxa"/>
            <w:vAlign w:val="bottom"/>
          </w:tcPr>
          <w:p>
            <w:pPr>
              <w:spacing w:after="0"/>
              <w:rPr>
                <w:sz w:val="19"/>
                <w:szCs w:val="19"/>
                <w:color w:val="auto"/>
              </w:rPr>
            </w:pPr>
          </w:p>
        </w:tc>
        <w:tc>
          <w:tcPr>
            <w:tcW w:w="2320" w:type="dxa"/>
            <w:vAlign w:val="bottom"/>
            <w:gridSpan w:val="2"/>
          </w:tcPr>
          <w:p>
            <w:pPr>
              <w:jc w:val="right"/>
              <w:ind w:right="340"/>
              <w:spacing w:after="0"/>
              <w:rPr>
                <w:sz w:val="20"/>
                <w:szCs w:val="20"/>
                <w:color w:val="auto"/>
              </w:rPr>
            </w:pPr>
            <w:r>
              <w:rPr>
                <w:rFonts w:ascii="Arial" w:cs="Arial" w:eastAsia="Arial" w:hAnsi="Arial"/>
                <w:sz w:val="16"/>
                <w:szCs w:val="16"/>
                <w:color w:val="auto"/>
              </w:rPr>
              <w:t>(1,667 )</w:t>
            </w:r>
          </w:p>
        </w:tc>
        <w:tc>
          <w:tcPr>
            <w:tcW w:w="1000" w:type="dxa"/>
            <w:vAlign w:val="bottom"/>
          </w:tcPr>
          <w:p>
            <w:pPr>
              <w:spacing w:after="0"/>
              <w:rPr>
                <w:sz w:val="19"/>
                <w:szCs w:val="19"/>
                <w:color w:val="auto"/>
              </w:rPr>
            </w:pPr>
          </w:p>
        </w:tc>
        <w:tc>
          <w:tcPr>
            <w:tcW w:w="2260" w:type="dxa"/>
            <w:vAlign w:val="bottom"/>
            <w:gridSpan w:val="2"/>
          </w:tcPr>
          <w:p>
            <w:pPr>
              <w:jc w:val="right"/>
              <w:ind w:right="60"/>
              <w:spacing w:after="0"/>
              <w:rPr>
                <w:sz w:val="20"/>
                <w:szCs w:val="20"/>
                <w:color w:val="auto"/>
              </w:rPr>
            </w:pPr>
            <w:r>
              <w:rPr>
                <w:rFonts w:ascii="Arial" w:cs="Arial" w:eastAsia="Arial" w:hAnsi="Arial"/>
                <w:sz w:val="16"/>
                <w:szCs w:val="16"/>
                <w:color w:val="auto"/>
              </w:rPr>
              <w:t>(1,778 )</w:t>
            </w:r>
          </w:p>
        </w:tc>
      </w:tr>
      <w:tr>
        <w:trPr>
          <w:trHeight w:val="223"/>
        </w:trPr>
        <w:tc>
          <w:tcPr>
            <w:tcW w:w="5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Gross profit</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8,883</w:t>
            </w:r>
          </w:p>
        </w:tc>
        <w:tc>
          <w:tcPr>
            <w:tcW w:w="4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5,761</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6"/>
                <w:szCs w:val="16"/>
                <w:color w:val="auto"/>
              </w:rPr>
              <w:t>BARDA income</w:t>
            </w:r>
          </w:p>
        </w:tc>
        <w:tc>
          <w:tcPr>
            <w:tcW w:w="3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627</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734</w:t>
            </w:r>
          </w:p>
        </w:tc>
        <w:tc>
          <w:tcPr>
            <w:tcW w:w="140" w:type="dxa"/>
            <w:vAlign w:val="bottom"/>
          </w:tcPr>
          <w:p>
            <w:pPr>
              <w:spacing w:after="0"/>
              <w:rPr>
                <w:sz w:val="19"/>
                <w:szCs w:val="19"/>
                <w:color w:val="auto"/>
              </w:rPr>
            </w:pPr>
          </w:p>
        </w:tc>
      </w:tr>
      <w:tr>
        <w:trPr>
          <w:trHeight w:val="239"/>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FF0FC"/>
          </w:tcPr>
          <w:p>
            <w:pPr>
              <w:spacing w:after="0"/>
              <w:rPr>
                <w:sz w:val="20"/>
                <w:szCs w:val="20"/>
                <w:color w:val="auto"/>
              </w:rPr>
            </w:pPr>
          </w:p>
        </w:tc>
        <w:tc>
          <w:tcPr>
            <w:tcW w:w="19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5320" w:type="dxa"/>
            <w:vAlign w:val="bottom"/>
          </w:tcPr>
          <w:p>
            <w:pPr>
              <w:ind w:left="200"/>
              <w:spacing w:after="0"/>
              <w:rPr>
                <w:sz w:val="20"/>
                <w:szCs w:val="20"/>
                <w:color w:val="auto"/>
              </w:rPr>
            </w:pPr>
            <w:r>
              <w:rPr>
                <w:rFonts w:ascii="Arial" w:cs="Arial" w:eastAsia="Arial" w:hAnsi="Arial"/>
                <w:sz w:val="16"/>
                <w:szCs w:val="16"/>
                <w:color w:val="auto"/>
              </w:rPr>
              <w:t>Sales and marketing expenses</w:t>
            </w:r>
          </w:p>
        </w:tc>
        <w:tc>
          <w:tcPr>
            <w:tcW w:w="340" w:type="dxa"/>
            <w:vAlign w:val="bottom"/>
          </w:tcPr>
          <w:p>
            <w:pPr>
              <w:spacing w:after="0"/>
              <w:rPr>
                <w:sz w:val="19"/>
                <w:szCs w:val="19"/>
                <w:color w:val="auto"/>
              </w:rPr>
            </w:pPr>
          </w:p>
        </w:tc>
        <w:tc>
          <w:tcPr>
            <w:tcW w:w="2320" w:type="dxa"/>
            <w:vAlign w:val="bottom"/>
            <w:gridSpan w:val="2"/>
          </w:tcPr>
          <w:p>
            <w:pPr>
              <w:jc w:val="right"/>
              <w:ind w:right="340"/>
              <w:spacing w:after="0"/>
              <w:rPr>
                <w:sz w:val="20"/>
                <w:szCs w:val="20"/>
                <w:color w:val="auto"/>
              </w:rPr>
            </w:pPr>
            <w:r>
              <w:rPr>
                <w:rFonts w:ascii="Arial" w:cs="Arial" w:eastAsia="Arial" w:hAnsi="Arial"/>
                <w:sz w:val="16"/>
                <w:szCs w:val="16"/>
                <w:color w:val="auto"/>
              </w:rPr>
              <w:t>(6,540 )</w:t>
            </w:r>
          </w:p>
        </w:tc>
        <w:tc>
          <w:tcPr>
            <w:tcW w:w="1000" w:type="dxa"/>
            <w:vAlign w:val="bottom"/>
          </w:tcPr>
          <w:p>
            <w:pPr>
              <w:spacing w:after="0"/>
              <w:rPr>
                <w:sz w:val="19"/>
                <w:szCs w:val="19"/>
                <w:color w:val="auto"/>
              </w:rPr>
            </w:pPr>
          </w:p>
        </w:tc>
        <w:tc>
          <w:tcPr>
            <w:tcW w:w="2260" w:type="dxa"/>
            <w:vAlign w:val="bottom"/>
            <w:gridSpan w:val="2"/>
          </w:tcPr>
          <w:p>
            <w:pPr>
              <w:jc w:val="right"/>
              <w:ind w:right="60"/>
              <w:spacing w:after="0"/>
              <w:rPr>
                <w:sz w:val="20"/>
                <w:szCs w:val="20"/>
                <w:color w:val="auto"/>
              </w:rPr>
            </w:pPr>
            <w:r>
              <w:rPr>
                <w:rFonts w:ascii="Arial" w:cs="Arial" w:eastAsia="Arial" w:hAnsi="Arial"/>
                <w:sz w:val="16"/>
                <w:szCs w:val="16"/>
                <w:color w:val="auto"/>
              </w:rPr>
              <w:t>(4,828 )</w:t>
            </w:r>
          </w:p>
        </w:tc>
      </w:tr>
      <w:tr>
        <w:trPr>
          <w:trHeight w:val="239"/>
        </w:trPr>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General and administrative expenses</w:t>
            </w:r>
          </w:p>
        </w:tc>
        <w:tc>
          <w:tcPr>
            <w:tcW w:w="340" w:type="dxa"/>
            <w:vAlign w:val="bottom"/>
            <w:shd w:val="clear" w:color="auto" w:fill="CFF0FC"/>
          </w:tcPr>
          <w:p>
            <w:pPr>
              <w:spacing w:after="0"/>
              <w:rPr>
                <w:sz w:val="20"/>
                <w:szCs w:val="20"/>
                <w:color w:val="auto"/>
              </w:rPr>
            </w:pPr>
          </w:p>
        </w:tc>
        <w:tc>
          <w:tcPr>
            <w:tcW w:w="23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(8,295 )</w:t>
            </w:r>
          </w:p>
        </w:tc>
        <w:tc>
          <w:tcPr>
            <w:tcW w:w="1000" w:type="dxa"/>
            <w:vAlign w:val="bottom"/>
            <w:shd w:val="clear" w:color="auto" w:fill="CFF0FC"/>
          </w:tcPr>
          <w:p>
            <w:pPr>
              <w:spacing w:after="0"/>
              <w:rPr>
                <w:sz w:val="20"/>
                <w:szCs w:val="20"/>
                <w:color w:val="auto"/>
              </w:rPr>
            </w:pPr>
          </w:p>
        </w:tc>
        <w:tc>
          <w:tcPr>
            <w:tcW w:w="2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(7,534 )</w:t>
            </w:r>
          </w:p>
        </w:tc>
      </w:tr>
      <w:tr>
        <w:trPr>
          <w:trHeight w:val="220"/>
        </w:trPr>
        <w:tc>
          <w:tcPr>
            <w:tcW w:w="5320" w:type="dxa"/>
            <w:vAlign w:val="bottom"/>
          </w:tcPr>
          <w:p>
            <w:pPr>
              <w:ind w:left="200"/>
              <w:spacing w:after="0"/>
              <w:rPr>
                <w:sz w:val="20"/>
                <w:szCs w:val="20"/>
                <w:color w:val="auto"/>
              </w:rPr>
            </w:pPr>
            <w:r>
              <w:rPr>
                <w:rFonts w:ascii="Arial" w:cs="Arial" w:eastAsia="Arial" w:hAnsi="Arial"/>
                <w:sz w:val="16"/>
                <w:szCs w:val="16"/>
                <w:color w:val="auto"/>
              </w:rPr>
              <w:t>Research and development expenses</w:t>
            </w:r>
          </w:p>
        </w:tc>
        <w:tc>
          <w:tcPr>
            <w:tcW w:w="340" w:type="dxa"/>
            <w:vAlign w:val="bottom"/>
          </w:tcPr>
          <w:p>
            <w:pPr>
              <w:spacing w:after="0"/>
              <w:rPr>
                <w:sz w:val="19"/>
                <w:szCs w:val="19"/>
                <w:color w:val="auto"/>
              </w:rPr>
            </w:pPr>
          </w:p>
        </w:tc>
        <w:tc>
          <w:tcPr>
            <w:tcW w:w="2320" w:type="dxa"/>
            <w:vAlign w:val="bottom"/>
            <w:gridSpan w:val="2"/>
          </w:tcPr>
          <w:p>
            <w:pPr>
              <w:jc w:val="right"/>
              <w:ind w:right="340"/>
              <w:spacing w:after="0"/>
              <w:rPr>
                <w:sz w:val="20"/>
                <w:szCs w:val="20"/>
                <w:color w:val="auto"/>
              </w:rPr>
            </w:pPr>
            <w:r>
              <w:rPr>
                <w:rFonts w:ascii="Arial" w:cs="Arial" w:eastAsia="Arial" w:hAnsi="Arial"/>
                <w:sz w:val="16"/>
                <w:szCs w:val="16"/>
                <w:color w:val="auto"/>
              </w:rPr>
              <w:t>(4,586 )</w:t>
            </w:r>
          </w:p>
        </w:tc>
        <w:tc>
          <w:tcPr>
            <w:tcW w:w="1000" w:type="dxa"/>
            <w:vAlign w:val="bottom"/>
          </w:tcPr>
          <w:p>
            <w:pPr>
              <w:spacing w:after="0"/>
              <w:rPr>
                <w:sz w:val="19"/>
                <w:szCs w:val="19"/>
                <w:color w:val="auto"/>
              </w:rPr>
            </w:pPr>
          </w:p>
        </w:tc>
        <w:tc>
          <w:tcPr>
            <w:tcW w:w="2260" w:type="dxa"/>
            <w:vAlign w:val="bottom"/>
            <w:gridSpan w:val="2"/>
          </w:tcPr>
          <w:p>
            <w:pPr>
              <w:jc w:val="right"/>
              <w:ind w:right="60"/>
              <w:spacing w:after="0"/>
              <w:rPr>
                <w:sz w:val="20"/>
                <w:szCs w:val="20"/>
                <w:color w:val="auto"/>
              </w:rPr>
            </w:pPr>
            <w:r>
              <w:rPr>
                <w:rFonts w:ascii="Arial" w:cs="Arial" w:eastAsia="Arial" w:hAnsi="Arial"/>
                <w:sz w:val="16"/>
                <w:szCs w:val="16"/>
                <w:color w:val="auto"/>
              </w:rPr>
              <w:t>(3,620 )</w:t>
            </w:r>
          </w:p>
        </w:tc>
      </w:tr>
      <w:tr>
        <w:trPr>
          <w:trHeight w:val="23"/>
        </w:trPr>
        <w:tc>
          <w:tcPr>
            <w:tcW w:w="5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0"/>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operating expenses</w:t>
            </w:r>
          </w:p>
        </w:tc>
        <w:tc>
          <w:tcPr>
            <w:tcW w:w="340" w:type="dxa"/>
            <w:vAlign w:val="bottom"/>
            <w:shd w:val="clear" w:color="auto" w:fill="CFF0FC"/>
          </w:tcPr>
          <w:p>
            <w:pPr>
              <w:spacing w:after="0"/>
              <w:rPr>
                <w:sz w:val="19"/>
                <w:szCs w:val="19"/>
                <w:color w:val="auto"/>
              </w:rPr>
            </w:pPr>
          </w:p>
        </w:tc>
        <w:tc>
          <w:tcPr>
            <w:tcW w:w="23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(19,421 )</w:t>
            </w:r>
          </w:p>
        </w:tc>
        <w:tc>
          <w:tcPr>
            <w:tcW w:w="100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(15,982 )</w:t>
            </w:r>
          </w:p>
        </w:tc>
      </w:tr>
      <w:tr>
        <w:trPr>
          <w:trHeight w:val="23"/>
        </w:trPr>
        <w:tc>
          <w:tcPr>
            <w:tcW w:w="532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340" w:type="dxa"/>
            <w:vAlign w:val="bottom"/>
          </w:tcPr>
          <w:p>
            <w:pPr>
              <w:spacing w:after="0"/>
              <w:rPr>
                <w:sz w:val="19"/>
                <w:szCs w:val="19"/>
                <w:color w:val="auto"/>
              </w:rPr>
            </w:pPr>
          </w:p>
        </w:tc>
        <w:tc>
          <w:tcPr>
            <w:tcW w:w="2320" w:type="dxa"/>
            <w:vAlign w:val="bottom"/>
            <w:gridSpan w:val="2"/>
          </w:tcPr>
          <w:p>
            <w:pPr>
              <w:jc w:val="right"/>
              <w:ind w:right="340"/>
              <w:spacing w:after="0"/>
              <w:rPr>
                <w:sz w:val="20"/>
                <w:szCs w:val="20"/>
                <w:color w:val="auto"/>
              </w:rPr>
            </w:pPr>
            <w:r>
              <w:rPr>
                <w:rFonts w:ascii="Arial" w:cs="Arial" w:eastAsia="Arial" w:hAnsi="Arial"/>
                <w:sz w:val="16"/>
                <w:szCs w:val="16"/>
                <w:color w:val="auto"/>
              </w:rPr>
              <w:t>(9,911 )</w:t>
            </w:r>
          </w:p>
        </w:tc>
        <w:tc>
          <w:tcPr>
            <w:tcW w:w="1000" w:type="dxa"/>
            <w:vAlign w:val="bottom"/>
          </w:tcPr>
          <w:p>
            <w:pPr>
              <w:spacing w:after="0"/>
              <w:rPr>
                <w:sz w:val="19"/>
                <w:szCs w:val="19"/>
                <w:color w:val="auto"/>
              </w:rPr>
            </w:pPr>
          </w:p>
        </w:tc>
        <w:tc>
          <w:tcPr>
            <w:tcW w:w="2260" w:type="dxa"/>
            <w:vAlign w:val="bottom"/>
            <w:gridSpan w:val="2"/>
          </w:tcPr>
          <w:p>
            <w:pPr>
              <w:jc w:val="right"/>
              <w:ind w:right="60"/>
              <w:spacing w:after="0"/>
              <w:rPr>
                <w:sz w:val="20"/>
                <w:szCs w:val="20"/>
                <w:color w:val="auto"/>
              </w:rPr>
            </w:pPr>
            <w:r>
              <w:rPr>
                <w:rFonts w:ascii="Arial" w:cs="Arial" w:eastAsia="Arial" w:hAnsi="Arial"/>
                <w:sz w:val="16"/>
                <w:szCs w:val="16"/>
                <w:color w:val="auto"/>
              </w:rPr>
              <w:t>(9,487 )</w:t>
            </w:r>
          </w:p>
        </w:tc>
      </w:tr>
      <w:tr>
        <w:trPr>
          <w:trHeight w:val="239"/>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FF0FC"/>
          </w:tcPr>
          <w:p>
            <w:pPr>
              <w:spacing w:after="0"/>
              <w:rPr>
                <w:sz w:val="20"/>
                <w:szCs w:val="20"/>
                <w:color w:val="auto"/>
              </w:rPr>
            </w:pPr>
          </w:p>
        </w:tc>
        <w:tc>
          <w:tcPr>
            <w:tcW w:w="23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(4 )</w:t>
            </w:r>
          </w:p>
        </w:tc>
        <w:tc>
          <w:tcPr>
            <w:tcW w:w="1000" w:type="dxa"/>
            <w:vAlign w:val="bottom"/>
            <w:shd w:val="clear" w:color="auto" w:fill="CFF0FC"/>
          </w:tcPr>
          <w:p>
            <w:pPr>
              <w:spacing w:after="0"/>
              <w:rPr>
                <w:sz w:val="20"/>
                <w:szCs w:val="20"/>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4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9"/>
                <w:szCs w:val="19"/>
                <w:color w:val="auto"/>
              </w:rPr>
            </w:pPr>
          </w:p>
        </w:tc>
      </w:tr>
      <w:tr>
        <w:trPr>
          <w:trHeight w:val="229"/>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taxes</w:t>
            </w:r>
          </w:p>
        </w:tc>
        <w:tc>
          <w:tcPr>
            <w:tcW w:w="340" w:type="dxa"/>
            <w:vAlign w:val="bottom"/>
            <w:shd w:val="clear" w:color="auto" w:fill="CFF0FC"/>
          </w:tcPr>
          <w:p>
            <w:pPr>
              <w:spacing w:after="0"/>
              <w:rPr>
                <w:sz w:val="19"/>
                <w:szCs w:val="19"/>
                <w:color w:val="auto"/>
              </w:rPr>
            </w:pPr>
          </w:p>
        </w:tc>
        <w:tc>
          <w:tcPr>
            <w:tcW w:w="23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(9,190 )</w:t>
            </w:r>
          </w:p>
        </w:tc>
        <w:tc>
          <w:tcPr>
            <w:tcW w:w="100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(9,459 )</w:t>
            </w:r>
          </w:p>
        </w:tc>
      </w:tr>
      <w:tr>
        <w:trPr>
          <w:trHeight w:val="220"/>
        </w:trPr>
        <w:tc>
          <w:tcPr>
            <w:tcW w:w="5320" w:type="dxa"/>
            <w:vAlign w:val="bottom"/>
          </w:tcPr>
          <w:p>
            <w:pPr>
              <w:ind w:left="20"/>
              <w:spacing w:after="0"/>
              <w:rPr>
                <w:sz w:val="20"/>
                <w:szCs w:val="20"/>
                <w:color w:val="auto"/>
              </w:rPr>
            </w:pPr>
            <w:r>
              <w:rPr>
                <w:rFonts w:ascii="Arial" w:cs="Arial" w:eastAsia="Arial" w:hAnsi="Arial"/>
                <w:sz w:val="16"/>
                <w:szCs w:val="16"/>
                <w:color w:val="auto"/>
              </w:rPr>
              <w:t>Provision for income tax</w:t>
            </w:r>
          </w:p>
        </w:tc>
        <w:tc>
          <w:tcPr>
            <w:tcW w:w="340" w:type="dxa"/>
            <w:vAlign w:val="bottom"/>
          </w:tcPr>
          <w:p>
            <w:pPr>
              <w:spacing w:after="0"/>
              <w:rPr>
                <w:sz w:val="19"/>
                <w:szCs w:val="19"/>
                <w:color w:val="auto"/>
              </w:rPr>
            </w:pPr>
          </w:p>
        </w:tc>
        <w:tc>
          <w:tcPr>
            <w:tcW w:w="2320" w:type="dxa"/>
            <w:vAlign w:val="bottom"/>
            <w:gridSpan w:val="2"/>
          </w:tcPr>
          <w:p>
            <w:pPr>
              <w:jc w:val="right"/>
              <w:ind w:right="340"/>
              <w:spacing w:after="0"/>
              <w:rPr>
                <w:sz w:val="20"/>
                <w:szCs w:val="20"/>
                <w:color w:val="auto"/>
              </w:rPr>
            </w:pPr>
            <w:r>
              <w:rPr>
                <w:rFonts w:ascii="Arial" w:cs="Arial" w:eastAsia="Arial" w:hAnsi="Arial"/>
                <w:sz w:val="16"/>
                <w:szCs w:val="16"/>
                <w:color w:val="auto"/>
              </w:rPr>
              <w:t>(30 )</w:t>
            </w:r>
          </w:p>
        </w:tc>
        <w:tc>
          <w:tcPr>
            <w:tcW w:w="1000" w:type="dxa"/>
            <w:vAlign w:val="bottom"/>
          </w:tcPr>
          <w:p>
            <w:pPr>
              <w:spacing w:after="0"/>
              <w:rPr>
                <w:sz w:val="19"/>
                <w:szCs w:val="19"/>
                <w:color w:val="auto"/>
              </w:rPr>
            </w:pPr>
          </w:p>
        </w:tc>
        <w:tc>
          <w:tcPr>
            <w:tcW w:w="226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r>
      <w:tr>
        <w:trPr>
          <w:trHeight w:val="23"/>
        </w:trPr>
        <w:tc>
          <w:tcPr>
            <w:tcW w:w="5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23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(9,220 )</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2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(9,463 )</w:t>
            </w:r>
          </w:p>
        </w:tc>
      </w:tr>
      <w:tr>
        <w:trPr>
          <w:trHeight w:val="207"/>
        </w:trPr>
        <w:tc>
          <w:tcPr>
            <w:tcW w:w="53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loss per common share:</w:t>
            </w:r>
          </w:p>
        </w:tc>
        <w:tc>
          <w:tcPr>
            <w:tcW w:w="34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r>
      <w:tr>
        <w:trPr>
          <w:trHeight w:val="239"/>
        </w:trPr>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23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(0.37 )</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2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(0.38 )</w:t>
            </w:r>
          </w:p>
        </w:tc>
      </w:tr>
      <w:tr>
        <w:trPr>
          <w:trHeight w:val="220"/>
        </w:trPr>
        <w:tc>
          <w:tcPr>
            <w:tcW w:w="5320" w:type="dxa"/>
            <w:vAlign w:val="bottom"/>
          </w:tcPr>
          <w:p>
            <w:pPr>
              <w:ind w:left="20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2320" w:type="dxa"/>
            <w:vAlign w:val="bottom"/>
            <w:gridSpan w:val="2"/>
          </w:tcPr>
          <w:p>
            <w:pPr>
              <w:jc w:val="right"/>
              <w:ind w:right="340"/>
              <w:spacing w:after="0"/>
              <w:rPr>
                <w:sz w:val="20"/>
                <w:szCs w:val="20"/>
                <w:color w:val="auto"/>
              </w:rPr>
            </w:pPr>
            <w:r>
              <w:rPr>
                <w:rFonts w:ascii="Arial" w:cs="Arial" w:eastAsia="Arial" w:hAnsi="Arial"/>
                <w:sz w:val="16"/>
                <w:szCs w:val="16"/>
                <w:color w:val="auto"/>
              </w:rPr>
              <w:t>(0.37 )</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2260" w:type="dxa"/>
            <w:vAlign w:val="bottom"/>
            <w:gridSpan w:val="2"/>
          </w:tcPr>
          <w:p>
            <w:pPr>
              <w:jc w:val="right"/>
              <w:ind w:right="60"/>
              <w:spacing w:after="0"/>
              <w:rPr>
                <w:sz w:val="20"/>
                <w:szCs w:val="20"/>
                <w:color w:val="auto"/>
              </w:rPr>
            </w:pPr>
            <w:r>
              <w:rPr>
                <w:rFonts w:ascii="Arial" w:cs="Arial" w:eastAsia="Arial" w:hAnsi="Arial"/>
                <w:sz w:val="16"/>
                <w:szCs w:val="16"/>
                <w:color w:val="auto"/>
              </w:rPr>
              <w:t>(0.38 )</w:t>
            </w:r>
          </w:p>
        </w:tc>
      </w:tr>
      <w:tr>
        <w:trPr>
          <w:trHeight w:val="239"/>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Weighted-average common shares:</w:t>
            </w:r>
          </w:p>
        </w:tc>
        <w:tc>
          <w:tcPr>
            <w:tcW w:w="340" w:type="dxa"/>
            <w:vAlign w:val="bottom"/>
            <w:shd w:val="clear" w:color="auto" w:fill="CFF0FC"/>
          </w:tcPr>
          <w:p>
            <w:pPr>
              <w:spacing w:after="0"/>
              <w:rPr>
                <w:sz w:val="20"/>
                <w:szCs w:val="20"/>
                <w:color w:val="auto"/>
              </w:rPr>
            </w:pPr>
          </w:p>
        </w:tc>
        <w:tc>
          <w:tcPr>
            <w:tcW w:w="19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5320" w:type="dxa"/>
            <w:vAlign w:val="bottom"/>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25,202,088</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24,937,999</w:t>
            </w:r>
          </w:p>
        </w:tc>
        <w:tc>
          <w:tcPr>
            <w:tcW w:w="140" w:type="dxa"/>
            <w:vAlign w:val="bottom"/>
          </w:tcPr>
          <w:p>
            <w:pPr>
              <w:spacing w:after="0"/>
              <w:rPr>
                <w:sz w:val="19"/>
                <w:szCs w:val="19"/>
                <w:color w:val="auto"/>
              </w:rPr>
            </w:pPr>
          </w:p>
        </w:tc>
      </w:tr>
      <w:tr>
        <w:trPr>
          <w:trHeight w:val="239"/>
        </w:trPr>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25,202,088</w:t>
            </w:r>
          </w:p>
        </w:tc>
        <w:tc>
          <w:tcPr>
            <w:tcW w:w="4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24,937,999</w:t>
            </w:r>
          </w:p>
        </w:tc>
        <w:tc>
          <w:tcPr>
            <w:tcW w:w="14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-2691130</wp:posOffset>
            </wp:positionV>
            <wp:extent cx="8572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-2691130</wp:posOffset>
            </wp:positionV>
            <wp:extent cx="8572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-1799590</wp:posOffset>
            </wp:positionV>
            <wp:extent cx="8572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-1799590</wp:posOffset>
            </wp:positionV>
            <wp:extent cx="8572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-899795</wp:posOffset>
            </wp:positionV>
            <wp:extent cx="23317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31720" cy="17145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1139"/>
              <w:spacing w:after="0"/>
              <w:rPr>
                <w:sz w:val="20"/>
                <w:szCs w:val="20"/>
                <w:color w:val="auto"/>
              </w:rPr>
            </w:pPr>
            <w:r>
              <w:rPr>
                <w:rFonts w:ascii="Arial" w:cs="Arial" w:eastAsia="Arial" w:hAnsi="Arial"/>
                <w:sz w:val="16"/>
                <w:szCs w:val="16"/>
                <w:b w:val="1"/>
                <w:bCs w:val="1"/>
                <w:color w:val="auto"/>
              </w:rPr>
              <w:t>Three-Months Ended</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c>
          <w:tcPr>
            <w:tcW w:w="4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March 31, 2022</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5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r>
      <w:tr>
        <w:trPr>
          <w:trHeight w:val="230"/>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620" w:type="dxa"/>
            <w:vAlign w:val="bottom"/>
            <w:shd w:val="clear" w:color="auto" w:fill="CFF0FC"/>
          </w:tcPr>
          <w:p>
            <w:pPr>
              <w:jc w:val="right"/>
              <w:ind w:right="143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w w:val="90"/>
              </w:rPr>
              <w:t>(9,220 )</w:t>
            </w:r>
          </w:p>
        </w:tc>
        <w:tc>
          <w:tcPr>
            <w:tcW w:w="2060" w:type="dxa"/>
            <w:vAlign w:val="bottom"/>
            <w:shd w:val="clear" w:color="auto" w:fill="CFF0FC"/>
          </w:tcPr>
          <w:p>
            <w:pPr>
              <w:jc w:val="right"/>
              <w:ind w:right="187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(9,463 )</w:t>
            </w:r>
          </w:p>
        </w:tc>
      </w:tr>
      <w:tr>
        <w:trPr>
          <w:trHeight w:val="220"/>
        </w:trPr>
        <w:tc>
          <w:tcPr>
            <w:tcW w:w="5940" w:type="dxa"/>
            <w:vAlign w:val="bottom"/>
          </w:tcPr>
          <w:p>
            <w:pPr>
              <w:ind w:left="20"/>
              <w:spacing w:after="0"/>
              <w:rPr>
                <w:sz w:val="20"/>
                <w:szCs w:val="20"/>
                <w:color w:val="auto"/>
              </w:rPr>
            </w:pPr>
            <w:r>
              <w:rPr>
                <w:rFonts w:ascii="Arial" w:cs="Arial" w:eastAsia="Arial" w:hAnsi="Arial"/>
                <w:sz w:val="16"/>
                <w:szCs w:val="16"/>
                <w:color w:val="auto"/>
              </w:rPr>
              <w:t>Foreign currency translation gain/(loss)</w:t>
            </w:r>
          </w:p>
        </w:tc>
        <w:tc>
          <w:tcPr>
            <w:tcW w:w="162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(11 )</w:t>
            </w:r>
          </w:p>
        </w:tc>
        <w:tc>
          <w:tcPr>
            <w:tcW w:w="2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9"/>
                <w:szCs w:val="19"/>
                <w:color w:val="auto"/>
              </w:rPr>
            </w:pPr>
          </w:p>
        </w:tc>
      </w:tr>
      <w:tr>
        <w:trPr>
          <w:trHeight w:val="230"/>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unrealized gain/(loss) on marketable securities, net of tax</w:t>
            </w:r>
          </w:p>
        </w:tc>
        <w:tc>
          <w:tcPr>
            <w:tcW w:w="16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w:t>
            </w:r>
          </w:p>
        </w:tc>
        <w:tc>
          <w:tcPr>
            <w:tcW w:w="40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(297 )</w:t>
            </w:r>
          </w:p>
        </w:tc>
      </w:tr>
      <w:tr>
        <w:trPr>
          <w:trHeight w:val="23"/>
        </w:trPr>
        <w:tc>
          <w:tcPr>
            <w:tcW w:w="5940" w:type="dxa"/>
            <w:vAlign w:val="bottom"/>
            <w:shd w:val="clear" w:color="auto" w:fill="CFF0FC"/>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1620" w:type="dxa"/>
            <w:vAlign w:val="bottom"/>
          </w:tcPr>
          <w:p>
            <w:pPr>
              <w:jc w:val="right"/>
              <w:ind w:right="143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w w:val="90"/>
              </w:rPr>
              <w:t>(8,989 )</w:t>
            </w:r>
          </w:p>
        </w:tc>
        <w:tc>
          <w:tcPr>
            <w:tcW w:w="2060" w:type="dxa"/>
            <w:vAlign w:val="bottom"/>
          </w:tcPr>
          <w:p>
            <w:pPr>
              <w:jc w:val="right"/>
              <w:ind w:right="187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(9,742 )</w:t>
            </w:r>
          </w:p>
        </w:tc>
      </w:tr>
      <w:tr>
        <w:trPr>
          <w:trHeight w:val="20"/>
        </w:trPr>
        <w:tc>
          <w:tcPr>
            <w:tcW w:w="59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-179070</wp:posOffset>
            </wp:positionV>
            <wp:extent cx="9398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8"/>
          </w:tcPr>
          <w:p>
            <w:pPr>
              <w:jc w:val="right"/>
              <w:ind w:right="980"/>
              <w:spacing w:after="0"/>
              <w:rPr>
                <w:sz w:val="20"/>
                <w:szCs w:val="20"/>
                <w:color w:val="auto"/>
              </w:rPr>
            </w:pPr>
            <w:r>
              <w:rPr>
                <w:rFonts w:ascii="Arial" w:cs="Arial" w:eastAsia="Arial" w:hAnsi="Arial"/>
                <w:sz w:val="14"/>
                <w:szCs w:val="14"/>
                <w:b w:val="1"/>
                <w:bCs w:val="1"/>
                <w:color w:val="auto"/>
              </w:rPr>
              <w:t>Three-Months Ended March 31, 2023</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Common Stock</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4"/>
            <w:vMerge w:val="restart"/>
          </w:tcPr>
          <w:p>
            <w:pPr>
              <w:jc w:val="right"/>
              <w:ind w:right="359"/>
              <w:spacing w:after="0"/>
              <w:rPr>
                <w:sz w:val="20"/>
                <w:szCs w:val="20"/>
                <w:color w:val="auto"/>
              </w:rPr>
            </w:pPr>
            <w:r>
              <w:rPr>
                <w:rFonts w:ascii="Arial" w:cs="Arial" w:eastAsia="Arial" w:hAnsi="Arial"/>
                <w:sz w:val="14"/>
                <w:szCs w:val="14"/>
                <w:b w:val="1"/>
                <w:bCs w:val="1"/>
                <w:color w:val="auto"/>
                <w:w w:val="92"/>
              </w:rPr>
              <w:t>Company common</w:t>
            </w:r>
          </w:p>
        </w:tc>
        <w:tc>
          <w:tcPr>
            <w:tcW w:w="11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1"/>
                <w:szCs w:val="11"/>
                <w:color w:val="auto"/>
              </w:rPr>
            </w:pPr>
          </w:p>
        </w:tc>
        <w:tc>
          <w:tcPr>
            <w:tcW w:w="12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Accumulat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right="359"/>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5"/>
              </w:rPr>
              <w:t>Amou</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4"/>
            <w:vMerge w:val="continue"/>
          </w:tcPr>
          <w:p>
            <w:pPr>
              <w:spacing w:after="0"/>
              <w:rPr>
                <w:sz w:val="12"/>
                <w:szCs w:val="12"/>
                <w:color w:val="auto"/>
              </w:rPr>
            </w:pPr>
          </w:p>
        </w:tc>
        <w:tc>
          <w:tcPr>
            <w:tcW w:w="1000" w:type="dxa"/>
            <w:vAlign w:val="bottom"/>
            <w:gridSpan w:val="5"/>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Stockholde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1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4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4"/>
          </w:tcPr>
          <w:p>
            <w:pPr>
              <w:jc w:val="right"/>
              <w:ind w:right="439"/>
              <w:spacing w:after="0" w:line="149" w:lineRule="exact"/>
              <w:rPr>
                <w:sz w:val="20"/>
                <w:szCs w:val="20"/>
                <w:color w:val="auto"/>
              </w:rPr>
            </w:pPr>
            <w:r>
              <w:rPr>
                <w:rFonts w:ascii="Arial" w:cs="Arial" w:eastAsia="Arial" w:hAnsi="Arial"/>
                <w:sz w:val="14"/>
                <w:szCs w:val="14"/>
                <w:b w:val="1"/>
                <w:bCs w:val="1"/>
                <w:color w:val="auto"/>
                <w:w w:val="94"/>
              </w:rPr>
              <w:t>stock held by the</w:t>
            </w:r>
          </w:p>
        </w:tc>
        <w:tc>
          <w:tcPr>
            <w:tcW w:w="120" w:type="dxa"/>
            <w:vAlign w:val="bottom"/>
          </w:tcPr>
          <w:p>
            <w:pPr>
              <w:spacing w:after="0"/>
              <w:rPr>
                <w:sz w:val="12"/>
                <w:szCs w:val="12"/>
                <w:color w:val="auto"/>
              </w:rPr>
            </w:pP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8"/>
              </w:rPr>
              <w:t>Paid-in</w:t>
            </w:r>
          </w:p>
        </w:tc>
        <w:tc>
          <w:tcPr>
            <w:tcW w:w="13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820" w:type="dxa"/>
            <w:vAlign w:val="bottom"/>
            <w:gridSpan w:val="3"/>
          </w:tcPr>
          <w:p>
            <w:pPr>
              <w:jc w:val="right"/>
              <w:ind w:right="468"/>
              <w:spacing w:after="0" w:line="149" w:lineRule="exact"/>
              <w:rPr>
                <w:sz w:val="20"/>
                <w:szCs w:val="20"/>
                <w:color w:val="auto"/>
              </w:rPr>
            </w:pPr>
            <w:r>
              <w:rPr>
                <w:rFonts w:ascii="Arial" w:cs="Arial" w:eastAsia="Arial" w:hAnsi="Arial"/>
                <w:sz w:val="14"/>
                <w:szCs w:val="14"/>
                <w:b w:val="1"/>
                <w:bCs w:val="1"/>
                <w:color w:val="auto"/>
              </w:rPr>
              <w: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359"/>
              <w:spacing w:after="0" w:line="149" w:lineRule="exact"/>
              <w:rPr>
                <w:sz w:val="20"/>
                <w:szCs w:val="20"/>
                <w:color w:val="auto"/>
              </w:rPr>
            </w:pPr>
            <w:r>
              <w:rPr>
                <w:rFonts w:ascii="Arial" w:cs="Arial" w:eastAsia="Arial" w:hAnsi="Arial"/>
                <w:sz w:val="14"/>
                <w:szCs w:val="14"/>
                <w:b w:val="1"/>
                <w:bCs w:val="1"/>
                <w:color w:val="auto"/>
                <w:w w:val="96"/>
              </w:rPr>
              <w:t>rs'</w:t>
            </w: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0"/>
              </w:rPr>
              <w:t>nt</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NQDC Plan</w:t>
            </w:r>
          </w:p>
        </w:tc>
        <w:tc>
          <w:tcPr>
            <w:tcW w:w="120" w:type="dxa"/>
            <w:vAlign w:val="bottom"/>
          </w:tcPr>
          <w:p>
            <w:pPr>
              <w:spacing w:after="0"/>
              <w:rPr>
                <w:sz w:val="16"/>
                <w:szCs w:val="16"/>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6"/>
                <w:szCs w:val="16"/>
                <w:color w:val="auto"/>
              </w:rPr>
            </w:pPr>
          </w:p>
        </w:tc>
        <w:tc>
          <w:tcPr>
            <w:tcW w:w="82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center"/>
              <w:ind w:right="37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25,208,436</w:t>
            </w: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w:t>
            </w:r>
          </w:p>
        </w:tc>
        <w:tc>
          <w:tcPr>
            <w:tcW w:w="300" w:type="dxa"/>
            <w:vAlign w:val="bottom"/>
          </w:tcPr>
          <w:p>
            <w:pPr>
              <w:spacing w:after="0"/>
              <w:rPr>
                <w:sz w:val="14"/>
                <w:szCs w:val="14"/>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2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w:t>
            </w:r>
          </w:p>
        </w:tc>
        <w:tc>
          <w:tcPr>
            <w:tcW w:w="260" w:type="dxa"/>
            <w:vAlign w:val="bottom"/>
          </w:tcPr>
          <w:p>
            <w:pPr>
              <w:jc w:val="right"/>
              <w:ind w:right="17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339,825</w:t>
            </w: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7,627</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(262,588</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84"/>
              </w:rPr>
              <w:t>)</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84,740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Net loss</w:t>
            </w:r>
          </w:p>
        </w:tc>
        <w:tc>
          <w:tcPr>
            <w:tcW w:w="880" w:type="dxa"/>
            <w:vAlign w:val="bottom"/>
            <w:tcBorders>
              <w:top w:val="single" w:sz="8" w:color="auto"/>
            </w:tcBorders>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right w:val="single" w:sz="8" w:color="CFF0FC"/>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right w:val="single" w:sz="8" w:color="CFF0FC"/>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right w:val="single" w:sz="8" w:color="CFF0FC"/>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left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(9,220</w:t>
            </w:r>
          </w:p>
        </w:tc>
        <w:tc>
          <w:tcPr>
            <w:tcW w:w="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(9,220</w:t>
            </w:r>
          </w:p>
        </w:tc>
        <w:tc>
          <w:tcPr>
            <w:tcW w:w="140" w:type="dxa"/>
            <w:vAlign w:val="bottom"/>
            <w:tcBorders>
              <w:right w:val="single" w:sz="8" w:color="CFF0FC"/>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2,197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2,197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31,675</w:t>
            </w:r>
          </w:p>
        </w:tc>
        <w:tc>
          <w:tcPr>
            <w:tcW w:w="3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2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20"/>
              <w:spacing w:after="0"/>
              <w:rPr>
                <w:sz w:val="20"/>
                <w:szCs w:val="20"/>
                <w:color w:val="auto"/>
              </w:rPr>
            </w:pPr>
            <w:r>
              <w:rPr>
                <w:rFonts w:ascii="Arial" w:cs="Arial" w:eastAsia="Arial" w:hAnsi="Arial"/>
                <w:sz w:val="14"/>
                <w:szCs w:val="14"/>
                <w:color w:val="auto"/>
              </w:rPr>
              <w:t>Company common stock held by the NQDC Plan</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87,650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79"/>
              <w:spacing w:after="0"/>
              <w:rPr>
                <w:sz w:val="20"/>
                <w:szCs w:val="20"/>
                <w:color w:val="auto"/>
              </w:rPr>
            </w:pPr>
            <w:r>
              <w:rPr>
                <w:rFonts w:ascii="Arial" w:cs="Arial" w:eastAsia="Arial" w:hAnsi="Arial"/>
                <w:sz w:val="14"/>
                <w:szCs w:val="14"/>
                <w:color w:val="auto"/>
              </w:rPr>
              <w:t>(765 )</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Change in redemption value of share awards in</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tcBorders>
              <w:right w:val="single" w:sz="8" w:color="CFF0FC"/>
            </w:tcBorders>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NQDC plan</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(558 )</w:t>
            </w:r>
          </w:p>
        </w:tc>
        <w:tc>
          <w:tcPr>
            <w:tcW w:w="100" w:type="dxa"/>
            <w:vAlign w:val="bottom"/>
            <w:shd w:val="clear" w:color="auto" w:fill="CFF0FC"/>
          </w:tcPr>
          <w:p>
            <w:pPr>
              <w:spacing w:after="0"/>
              <w:rPr>
                <w:sz w:val="15"/>
                <w:szCs w:val="15"/>
                <w:color w:val="auto"/>
              </w:rPr>
            </w:pPr>
          </w:p>
        </w:tc>
        <w:tc>
          <w:tcPr>
            <w:tcW w:w="10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4"/>
                <w:szCs w:val="14"/>
                <w:color w:val="auto"/>
              </w:rPr>
              <w:t>(558 )</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4"/>
                <w:szCs w:val="14"/>
                <w:color w:val="auto"/>
              </w:rPr>
              <w:t>Other comprehensive gain</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231</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25,327,761</w:t>
            </w:r>
          </w:p>
        </w:tc>
        <w:tc>
          <w:tcPr>
            <w:tcW w:w="3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3</w:t>
            </w:r>
          </w:p>
        </w:tc>
        <w:tc>
          <w:tcPr>
            <w:tcW w:w="300" w:type="dxa"/>
            <w:vAlign w:val="bottom"/>
            <w:tcBorders>
              <w:bottom w:val="single" w:sz="8" w:color="CFF0FC"/>
              <w:right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2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(892</w:t>
            </w:r>
          </w:p>
        </w:tc>
        <w:tc>
          <w:tcPr>
            <w:tcW w:w="260" w:type="dxa"/>
            <w:vAlign w:val="bottom"/>
            <w:tcBorders>
              <w:bottom w:val="single" w:sz="8" w:color="CFF0FC"/>
              <w:right w:val="single" w:sz="8" w:color="CFF0FC"/>
            </w:tcBorders>
            <w:shd w:val="clear" w:color="auto" w:fill="CFF0FC"/>
          </w:tcPr>
          <w:p>
            <w:pPr>
              <w:jc w:val="right"/>
              <w:ind w:right="17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342,400</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7,858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left w:val="single" w:sz="8" w:color="CFF0FC"/>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97"/>
              </w:rPr>
              <w:t>(271,808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84"/>
              </w:rPr>
              <w:t>)</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gridSpan w:val="2"/>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77,561</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4"/>
                <w:szCs w:val="14"/>
                <w:b w:val="1"/>
                <w:bCs w:val="1"/>
                <w:color w:val="auto"/>
              </w:rPr>
              <w:t>Three-Months Ended March 31, 2022</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339"/>
              <w:spacing w:after="0" w:line="133" w:lineRule="exact"/>
              <w:rPr>
                <w:sz w:val="20"/>
                <w:szCs w:val="20"/>
                <w:color w:val="auto"/>
              </w:rPr>
            </w:pPr>
            <w:r>
              <w:rPr>
                <w:rFonts w:ascii="Arial" w:cs="Arial" w:eastAsia="Arial" w:hAnsi="Arial"/>
                <w:sz w:val="14"/>
                <w:szCs w:val="14"/>
                <w:b w:val="1"/>
                <w:bCs w:val="1"/>
                <w:color w:val="auto"/>
                <w:w w:val="93"/>
              </w:rPr>
              <w:t>Company</w:t>
            </w:r>
          </w:p>
        </w:tc>
        <w:tc>
          <w:tcPr>
            <w:tcW w:w="11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1"/>
                <w:szCs w:val="11"/>
                <w:color w:val="auto"/>
              </w:rPr>
            </w:pPr>
          </w:p>
        </w:tc>
        <w:tc>
          <w:tcPr>
            <w:tcW w:w="12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9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right="179"/>
              <w:spacing w:after="0" w:line="13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3"/>
            <w:vMerge w:val="restart"/>
          </w:tcPr>
          <w:p>
            <w:pPr>
              <w:jc w:val="right"/>
              <w:ind w:right="54"/>
              <w:spacing w:after="0"/>
              <w:rPr>
                <w:sz w:val="20"/>
                <w:szCs w:val="20"/>
                <w:color w:val="auto"/>
              </w:rPr>
            </w:pPr>
            <w:r>
              <w:rPr>
                <w:rFonts w:ascii="Arial" w:cs="Arial" w:eastAsia="Arial" w:hAnsi="Arial"/>
                <w:sz w:val="14"/>
                <w:szCs w:val="14"/>
                <w:b w:val="1"/>
                <w:bCs w:val="1"/>
                <w:color w:val="auto"/>
              </w:rPr>
              <w:t>Amou</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39"/>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jc w:val="center"/>
              <w:ind w:right="99"/>
              <w:spacing w:after="0" w:line="149" w:lineRule="exact"/>
              <w:rPr>
                <w:sz w:val="20"/>
                <w:szCs w:val="20"/>
                <w:color w:val="auto"/>
              </w:rPr>
            </w:pPr>
            <w:r>
              <w:rPr>
                <w:rFonts w:ascii="Arial" w:cs="Arial" w:eastAsia="Arial" w:hAnsi="Arial"/>
                <w:sz w:val="14"/>
                <w:szCs w:val="14"/>
                <w:b w:val="1"/>
                <w:bCs w:val="1"/>
                <w:color w:val="auto"/>
                <w:w w:val="91"/>
              </w:rPr>
              <w:t>Stockholder</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39"/>
              <w:spacing w:after="0" w:line="149" w:lineRule="exact"/>
              <w:rPr>
                <w:sz w:val="20"/>
                <w:szCs w:val="20"/>
                <w:color w:val="auto"/>
              </w:rPr>
            </w:pPr>
            <w:r>
              <w:rPr>
                <w:rFonts w:ascii="Arial" w:cs="Arial" w:eastAsia="Arial" w:hAnsi="Arial"/>
                <w:sz w:val="14"/>
                <w:szCs w:val="14"/>
                <w:b w:val="1"/>
                <w:bCs w:val="1"/>
                <w:color w:val="auto"/>
                <w:w w:val="91"/>
              </w:rPr>
              <w:t>held by the</w:t>
            </w:r>
          </w:p>
        </w:tc>
        <w:tc>
          <w:tcPr>
            <w:tcW w:w="12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Paid-in</w:t>
            </w:r>
          </w:p>
        </w:tc>
        <w:tc>
          <w:tcPr>
            <w:tcW w:w="13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820" w:type="dxa"/>
            <w:vAlign w:val="bottom"/>
            <w:gridSpan w:val="3"/>
          </w:tcPr>
          <w:p>
            <w:pPr>
              <w:jc w:val="right"/>
              <w:ind w:right="408"/>
              <w:spacing w:after="0" w:line="149" w:lineRule="exact"/>
              <w:rPr>
                <w:sz w:val="20"/>
                <w:szCs w:val="20"/>
                <w:color w:val="auto"/>
              </w:rPr>
            </w:pPr>
            <w:r>
              <w:rPr>
                <w:rFonts w:ascii="Arial" w:cs="Arial" w:eastAsia="Arial" w:hAnsi="Arial"/>
                <w:sz w:val="14"/>
                <w:szCs w:val="14"/>
                <w:b w:val="1"/>
                <w:bCs w:val="1"/>
                <w:color w:val="auto"/>
              </w:rPr>
              <w: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179"/>
              <w:spacing w:after="0" w:line="149" w:lineRule="exact"/>
              <w:rPr>
                <w:sz w:val="20"/>
                <w:szCs w:val="20"/>
                <w:color w:val="auto"/>
              </w:rPr>
            </w:pPr>
            <w:r>
              <w:rPr>
                <w:rFonts w:ascii="Arial" w:cs="Arial" w:eastAsia="Arial" w:hAnsi="Arial"/>
                <w:sz w:val="14"/>
                <w:szCs w:val="14"/>
                <w:b w:val="1"/>
                <w:bCs w:val="1"/>
                <w:color w:val="auto"/>
                <w:w w:val="89"/>
              </w:rPr>
              <w:t>s'</w:t>
            </w: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w w:val="90"/>
              </w:rPr>
              <w:t>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9"/>
              </w:rPr>
              <w:t>NQDC Plan</w:t>
            </w:r>
          </w:p>
        </w:tc>
        <w:tc>
          <w:tcPr>
            <w:tcW w:w="120" w:type="dxa"/>
            <w:vAlign w:val="bottom"/>
          </w:tcPr>
          <w:p>
            <w:pPr>
              <w:spacing w:after="0"/>
              <w:rPr>
                <w:sz w:val="16"/>
                <w:szCs w:val="16"/>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6"/>
                <w:szCs w:val="16"/>
                <w:color w:val="auto"/>
              </w:rPr>
            </w:pPr>
          </w:p>
        </w:tc>
        <w:tc>
          <w:tcPr>
            <w:tcW w:w="82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260" w:type="dxa"/>
            <w:vAlign w:val="bottom"/>
          </w:tcPr>
          <w:p>
            <w:pPr>
              <w:spacing w:after="0"/>
              <w:rPr>
                <w:sz w:val="14"/>
                <w:szCs w:val="14"/>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24,925,743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332,484</w:t>
            </w: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8,060</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(235,923</w:t>
            </w:r>
          </w:p>
        </w:tc>
        <w:tc>
          <w:tcPr>
            <w:tcW w:w="180" w:type="dxa"/>
            <w:vAlign w:val="bottom"/>
          </w:tcPr>
          <w:p>
            <w:pPr>
              <w:jc w:val="right"/>
              <w:ind w:right="48"/>
              <w:spacing w:after="0"/>
              <w:rPr>
                <w:sz w:val="20"/>
                <w:szCs w:val="20"/>
                <w:color w:val="auto"/>
              </w:rPr>
            </w:pPr>
            <w:r>
              <w:rPr>
                <w:rFonts w:ascii="Arial" w:cs="Arial" w:eastAsia="Arial" w:hAnsi="Arial"/>
                <w:sz w:val="14"/>
                <w:szCs w:val="14"/>
                <w:b w:val="1"/>
                <w:bCs w:val="1"/>
                <w:color w:val="auto"/>
                <w:w w:val="84"/>
              </w:rPr>
              <w:t>)</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104,624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Net loss</w:t>
            </w:r>
          </w:p>
        </w:tc>
        <w:tc>
          <w:tcPr>
            <w:tcW w:w="260" w:type="dxa"/>
            <w:vAlign w:val="bottom"/>
            <w:shd w:val="clear" w:color="auto" w:fill="CFF0FC"/>
          </w:tcPr>
          <w:p>
            <w:pPr>
              <w:spacing w:after="0"/>
              <w:rPr>
                <w:sz w:val="13"/>
                <w:szCs w:val="13"/>
                <w:color w:val="auto"/>
              </w:rPr>
            </w:pPr>
          </w:p>
        </w:tc>
        <w:tc>
          <w:tcPr>
            <w:tcW w:w="920" w:type="dxa"/>
            <w:vAlign w:val="bottom"/>
            <w:tcBorders>
              <w:top w:val="single" w:sz="8" w:color="auto"/>
              <w:right w:val="single" w:sz="8" w:color="CFF0FC"/>
            </w:tcBorders>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right w:val="single" w:sz="8" w:color="CFF0FC"/>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right w:val="single" w:sz="8" w:color="CFF0FC"/>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right w:val="single" w:sz="8" w:color="CFF0FC"/>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right w:val="single" w:sz="8" w:color="CFF0FC"/>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left w:val="single" w:sz="8" w:color="CFF0FC"/>
            </w:tcBorders>
            <w:shd w:val="clear" w:color="auto" w:fill="CFF0FC"/>
          </w:tcPr>
          <w:p>
            <w:pPr>
              <w:spacing w:after="0"/>
              <w:rPr>
                <w:sz w:val="13"/>
                <w:szCs w:val="13"/>
                <w:color w:val="auto"/>
              </w:rPr>
            </w:pPr>
          </w:p>
        </w:tc>
        <w:tc>
          <w:tcPr>
            <w:tcW w:w="640" w:type="dxa"/>
            <w:vAlign w:val="bottom"/>
            <w:tcBorders>
              <w:top w:val="single" w:sz="8" w:color="auto"/>
            </w:tcBorders>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(9,463</w:t>
            </w:r>
          </w:p>
        </w:tc>
        <w:tc>
          <w:tcPr>
            <w:tcW w:w="180" w:type="dxa"/>
            <w:vAlign w:val="bottom"/>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w w:val="84"/>
              </w:rPr>
              <w:t>)</w:t>
            </w:r>
          </w:p>
        </w:tc>
        <w:tc>
          <w:tcPr>
            <w:tcW w:w="8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right w:val="single" w:sz="8" w:color="CFF0FC"/>
            </w:tcBorders>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(9,463</w:t>
            </w:r>
          </w:p>
        </w:tc>
        <w:tc>
          <w:tcPr>
            <w:tcW w:w="120" w:type="dxa"/>
            <w:vAlign w:val="bottom"/>
            <w:shd w:val="clear" w:color="auto" w:fill="CFF0FC"/>
          </w:tcPr>
          <w:p>
            <w:pPr>
              <w:jc w:val="right"/>
              <w:ind w:right="3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6"/>
        </w:trPr>
        <w:tc>
          <w:tcPr>
            <w:tcW w:w="32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2,932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2,932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118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color w:val="auto"/>
              </w:rPr>
              <w:t>29,713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w:t>
            </w:r>
          </w:p>
        </w:tc>
        <w:tc>
          <w:tcPr>
            <w:tcW w:w="26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(279 )</w:t>
            </w:r>
          </w:p>
        </w:tc>
        <w:tc>
          <w:tcPr>
            <w:tcW w:w="140" w:type="dxa"/>
            <w:vAlign w:val="bottom"/>
            <w:tcBorders>
              <w:left w:val="single" w:sz="8" w:color="CFF0FC"/>
            </w:tcBorders>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3"/>
            <w:shd w:val="clear" w:color="auto" w:fill="CFF0FC"/>
          </w:tcPr>
          <w:p>
            <w:pPr>
              <w:jc w:val="right"/>
              <w:ind w:right="39"/>
              <w:spacing w:after="0"/>
              <w:rPr>
                <w:sz w:val="20"/>
                <w:szCs w:val="20"/>
                <w:color w:val="auto"/>
              </w:rPr>
            </w:pPr>
            <w:r>
              <w:rPr>
                <w:rFonts w:ascii="Arial" w:cs="Arial" w:eastAsia="Arial" w:hAnsi="Arial"/>
                <w:sz w:val="14"/>
                <w:szCs w:val="14"/>
                <w:color w:val="auto"/>
              </w:rPr>
              <w:t>(279 )</w:t>
            </w:r>
          </w:p>
        </w:tc>
        <w:tc>
          <w:tcPr>
            <w:tcW w:w="0" w:type="dxa"/>
            <w:vAlign w:val="bottom"/>
          </w:tcPr>
          <w:p>
            <w:pPr>
              <w:spacing w:after="0"/>
              <w:rPr>
                <w:sz w:val="1"/>
                <w:szCs w:val="1"/>
                <w:color w:val="auto"/>
              </w:rPr>
            </w:pPr>
          </w:p>
        </w:tc>
      </w:tr>
      <w:tr>
        <w:trPr>
          <w:trHeight w:val="20"/>
        </w:trPr>
        <w:tc>
          <w:tcPr>
            <w:tcW w:w="3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26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24,955,581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335,417</w:t>
            </w: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7,781</w:t>
            </w:r>
          </w:p>
        </w:tc>
        <w:tc>
          <w:tcPr>
            <w:tcW w:w="22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(245,386 )</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97,815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-1679575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-1662430</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-1679575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-1662430</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-1679575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-1662430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-1679575</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-1662430</wp:posOffset>
            </wp:positionV>
            <wp:extent cx="85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-1679575</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-1662430</wp:posOffset>
            </wp:positionV>
            <wp:extent cx="857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-1679575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-1662430</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-1679575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-1662430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-144780</wp:posOffset>
            </wp:positionV>
            <wp:extent cx="76835"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-144780</wp:posOffset>
            </wp:positionV>
            <wp:extent cx="85725"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-144780</wp:posOffset>
            </wp:positionV>
            <wp:extent cx="85725"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-144780</wp:posOffset>
            </wp:positionV>
            <wp:extent cx="85725"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-144780</wp:posOffset>
            </wp:positionV>
            <wp:extent cx="8572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-144780</wp:posOffset>
            </wp:positionV>
            <wp:extent cx="8572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-144780</wp:posOffset>
            </wp:positionV>
            <wp:extent cx="8572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60" w:type="dxa"/>
            <w:vAlign w:val="bottom"/>
            <w:gridSpan w:val="5"/>
          </w:tcPr>
          <w:p>
            <w:pPr>
              <w:jc w:val="right"/>
              <w:ind w:right="980"/>
              <w:spacing w:after="0"/>
              <w:rPr>
                <w:sz w:val="20"/>
                <w:szCs w:val="20"/>
                <w:color w:val="auto"/>
              </w:rPr>
            </w:pPr>
            <w:r>
              <w:rPr>
                <w:rFonts w:ascii="Arial" w:cs="Arial" w:eastAsia="Arial" w:hAnsi="Arial"/>
                <w:sz w:val="16"/>
                <w:szCs w:val="16"/>
                <w:b w:val="1"/>
                <w:bCs w:val="1"/>
                <w:color w:val="auto"/>
              </w:rPr>
              <w:t>Three-Months Ended</w:t>
            </w:r>
          </w:p>
        </w:tc>
      </w:tr>
      <w:tr>
        <w:trPr>
          <w:trHeight w:val="223"/>
        </w:trPr>
        <w:tc>
          <w:tcPr>
            <w:tcW w:w="79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6"/>
                <w:szCs w:val="16"/>
                <w:b w:val="1"/>
                <w:bCs w:val="1"/>
                <w:color w:val="auto"/>
                <w:w w:val="98"/>
              </w:rPr>
              <w:t>March 31, 2023</w:t>
            </w: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3"/>
              </w:rPr>
              <w:t>March 31, 2022</w:t>
            </w:r>
          </w:p>
        </w:tc>
        <w:tc>
          <w:tcPr>
            <w:tcW w:w="140" w:type="dxa"/>
            <w:vAlign w:val="bottom"/>
          </w:tcPr>
          <w:p>
            <w:pPr>
              <w:spacing w:after="0"/>
              <w:rPr>
                <w:sz w:val="19"/>
                <w:szCs w:val="19"/>
                <w:color w:val="auto"/>
              </w:rPr>
            </w:pPr>
          </w:p>
        </w:tc>
      </w:tr>
      <w:tr>
        <w:trPr>
          <w:trHeight w:val="229"/>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6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9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gridSpan w:val="2"/>
          </w:tcPr>
          <w:p>
            <w:pPr>
              <w:jc w:val="right"/>
              <w:ind w:right="340"/>
              <w:spacing w:after="0"/>
              <w:rPr>
                <w:sz w:val="20"/>
                <w:szCs w:val="20"/>
                <w:color w:val="auto"/>
              </w:rPr>
            </w:pPr>
            <w:r>
              <w:rPr>
                <w:rFonts w:ascii="Arial" w:cs="Arial" w:eastAsia="Arial" w:hAnsi="Arial"/>
                <w:sz w:val="16"/>
                <w:szCs w:val="16"/>
                <w:color w:val="auto"/>
              </w:rPr>
              <w:t>(9,220 )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(9,463 )</w:t>
            </w:r>
          </w:p>
        </w:tc>
      </w:tr>
      <w:tr>
        <w:trPr>
          <w:trHeight w:val="239"/>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135</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w:t>
            </w:r>
          </w:p>
        </w:tc>
        <w:tc>
          <w:tcPr>
            <w:tcW w:w="14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2,640</w:t>
            </w:r>
          </w:p>
        </w:tc>
        <w:tc>
          <w:tcPr>
            <w:tcW w:w="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2,932</w:t>
            </w:r>
          </w:p>
        </w:tc>
        <w:tc>
          <w:tcPr>
            <w:tcW w:w="14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Arial" w:cs="Arial" w:eastAsia="Arial" w:hAnsi="Arial"/>
                <w:sz w:val="16"/>
                <w:szCs w:val="16"/>
                <w:color w:val="auto"/>
              </w:rPr>
              <w:t>Non-cash lease expense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167</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w:t>
            </w:r>
          </w:p>
        </w:tc>
        <w:tc>
          <w:tcPr>
            <w:tcW w:w="14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Remeasurement and foreign currency transaction (gain)/loss</w:t>
            </w:r>
          </w:p>
        </w:tc>
        <w:tc>
          <w:tcPr>
            <w:tcW w:w="1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(2 )</w:t>
            </w: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Arial" w:cs="Arial" w:eastAsia="Arial" w:hAnsi="Arial"/>
                <w:sz w:val="16"/>
                <w:szCs w:val="16"/>
                <w:color w:val="auto"/>
              </w:rPr>
              <w:t>Excess and obsolete inventory related charges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w:t>
            </w:r>
          </w:p>
        </w:tc>
        <w:tc>
          <w:tcPr>
            <w:tcW w:w="14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BARDA deferred costs</w:t>
            </w:r>
          </w:p>
        </w:tc>
        <w:tc>
          <w:tcPr>
            <w:tcW w:w="1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(64 )</w:t>
            </w: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Arial" w:cs="Arial" w:eastAsia="Arial" w:hAnsi="Arial"/>
                <w:sz w:val="16"/>
                <w:szCs w:val="16"/>
                <w:color w:val="auto"/>
              </w:rPr>
              <w:t>Contract cost amortization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w:t>
            </w:r>
          </w:p>
        </w:tc>
        <w:tc>
          <w:tcPr>
            <w:tcW w:w="14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Provision for doubtful accounts</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Arial" w:cs="Arial" w:eastAsia="Arial" w:hAnsi="Arial"/>
                <w:sz w:val="16"/>
                <w:szCs w:val="16"/>
                <w:color w:val="auto"/>
              </w:rPr>
              <w:t>Amortization of (premium)/discount of marketable securities</w:t>
            </w:r>
          </w:p>
        </w:tc>
        <w:tc>
          <w:tcPr>
            <w:tcW w:w="160" w:type="dxa"/>
            <w:vAlign w:val="bottom"/>
          </w:tcPr>
          <w:p>
            <w:pPr>
              <w:spacing w:after="0"/>
              <w:rPr>
                <w:sz w:val="19"/>
                <w:szCs w:val="19"/>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6"/>
                <w:szCs w:val="16"/>
                <w:color w:val="auto"/>
              </w:rPr>
              <w:t>(328 )</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changes in the fair value of NQDC plan</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r>
      <w:tr>
        <w:trPr>
          <w:trHeight w:val="220"/>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Changes in operating assets and liabilities: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Trade and other receivables</w:t>
            </w:r>
          </w:p>
        </w:tc>
        <w:tc>
          <w:tcPr>
            <w:tcW w:w="1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(1,158 )</w:t>
            </w:r>
          </w:p>
        </w:tc>
        <w:tc>
          <w:tcPr>
            <w:tcW w:w="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(362 )</w:t>
            </w:r>
          </w:p>
        </w:tc>
      </w:tr>
      <w:tr>
        <w:trPr>
          <w:trHeight w:val="220"/>
        </w:trPr>
        <w:tc>
          <w:tcPr>
            <w:tcW w:w="7920" w:type="dxa"/>
            <w:vAlign w:val="bottom"/>
          </w:tcPr>
          <w:p>
            <w:pPr>
              <w:ind w:left="200"/>
              <w:spacing w:after="0"/>
              <w:rPr>
                <w:sz w:val="20"/>
                <w:szCs w:val="20"/>
                <w:color w:val="auto"/>
              </w:rPr>
            </w:pPr>
            <w:r>
              <w:rPr>
                <w:rFonts w:ascii="Arial" w:cs="Arial" w:eastAsia="Arial" w:hAnsi="Arial"/>
                <w:sz w:val="16"/>
                <w:szCs w:val="16"/>
                <w:color w:val="auto"/>
              </w:rPr>
              <w:t>BARDA receivables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382</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(373 )</w:t>
            </w: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Prepaids and other current assets</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9"/>
                <w:szCs w:val="19"/>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6"/>
                <w:szCs w:val="16"/>
                <w:color w:val="auto"/>
              </w:rPr>
              <w:t>(754 )</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232</w:t>
            </w:r>
          </w:p>
        </w:tc>
        <w:tc>
          <w:tcPr>
            <w:tcW w:w="14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liability</w:t>
            </w:r>
          </w:p>
        </w:tc>
        <w:tc>
          <w:tcPr>
            <w:tcW w:w="1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(156 )</w:t>
            </w:r>
          </w:p>
        </w:tc>
        <w:tc>
          <w:tcPr>
            <w:tcW w:w="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(173 )</w:t>
            </w:r>
          </w:p>
        </w:tc>
      </w:tr>
      <w:tr>
        <w:trPr>
          <w:trHeight w:val="220"/>
        </w:trPr>
        <w:tc>
          <w:tcPr>
            <w:tcW w:w="7920" w:type="dxa"/>
            <w:vAlign w:val="bottom"/>
          </w:tcPr>
          <w:p>
            <w:pPr>
              <w:ind w:left="200"/>
              <w:spacing w:after="0"/>
              <w:rPr>
                <w:sz w:val="20"/>
                <w:szCs w:val="20"/>
                <w:color w:val="auto"/>
              </w:rPr>
            </w:pPr>
            <w:r>
              <w:rPr>
                <w:rFonts w:ascii="Arial" w:cs="Arial" w:eastAsia="Arial" w:hAnsi="Arial"/>
                <w:sz w:val="16"/>
                <w:szCs w:val="16"/>
                <w:color w:val="auto"/>
              </w:rPr>
              <w:t>Corporate-owned life insurance asset</w:t>
            </w:r>
          </w:p>
        </w:tc>
        <w:tc>
          <w:tcPr>
            <w:tcW w:w="160" w:type="dxa"/>
            <w:vAlign w:val="bottom"/>
          </w:tcPr>
          <w:p>
            <w:pPr>
              <w:spacing w:after="0"/>
              <w:rPr>
                <w:sz w:val="19"/>
                <w:szCs w:val="19"/>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6"/>
                <w:szCs w:val="16"/>
                <w:color w:val="auto"/>
              </w:rPr>
              <w:t>(526 )</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long-term assets</w:t>
            </w:r>
          </w:p>
        </w:tc>
        <w:tc>
          <w:tcPr>
            <w:tcW w:w="1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(109 )</w:t>
            </w:r>
          </w:p>
        </w:tc>
        <w:tc>
          <w:tcPr>
            <w:tcW w:w="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(305 )</w:t>
            </w:r>
          </w:p>
        </w:tc>
      </w:tr>
      <w:tr>
        <w:trPr>
          <w:trHeight w:val="220"/>
        </w:trPr>
        <w:tc>
          <w:tcPr>
            <w:tcW w:w="7920" w:type="dxa"/>
            <w:vAlign w:val="bottom"/>
          </w:tcPr>
          <w:p>
            <w:pPr>
              <w:ind w:left="20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(294 )</w:t>
            </w: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wages and fringe benefits</w:t>
            </w:r>
          </w:p>
        </w:tc>
        <w:tc>
          <w:tcPr>
            <w:tcW w:w="1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(2,957 )</w:t>
            </w:r>
          </w:p>
        </w:tc>
        <w:tc>
          <w:tcPr>
            <w:tcW w:w="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(2,450 )</w:t>
            </w:r>
          </w:p>
        </w:tc>
      </w:tr>
      <w:tr>
        <w:trPr>
          <w:trHeight w:val="220"/>
        </w:trPr>
        <w:tc>
          <w:tcPr>
            <w:tcW w:w="7920" w:type="dxa"/>
            <w:vAlign w:val="bottom"/>
          </w:tcPr>
          <w:p>
            <w:pPr>
              <w:ind w:left="200"/>
              <w:spacing w:after="0"/>
              <w:rPr>
                <w:sz w:val="20"/>
                <w:szCs w:val="20"/>
                <w:color w:val="auto"/>
              </w:rPr>
            </w:pPr>
            <w:r>
              <w:rPr>
                <w:rFonts w:ascii="Arial" w:cs="Arial" w:eastAsia="Arial" w:hAnsi="Arial"/>
                <w:sz w:val="16"/>
                <w:szCs w:val="16"/>
                <w:color w:val="auto"/>
              </w:rPr>
              <w:t>Current non-qualified deferred compensation liability</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current liabilities</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w:t>
            </w:r>
          </w:p>
        </w:tc>
        <w:tc>
          <w:tcPr>
            <w:tcW w:w="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Arial" w:cs="Arial" w:eastAsia="Arial" w:hAnsi="Arial"/>
                <w:sz w:val="16"/>
                <w:szCs w:val="16"/>
                <w:color w:val="auto"/>
              </w:rPr>
              <w:t>Non-qualified deferred compensation plan liability</w:t>
            </w:r>
          </w:p>
        </w:tc>
        <w:tc>
          <w:tcPr>
            <w:tcW w:w="160" w:type="dxa"/>
            <w:vAlign w:val="bottom"/>
          </w:tcPr>
          <w:p>
            <w:pPr>
              <w:spacing w:after="0"/>
              <w:rPr>
                <w:sz w:val="19"/>
                <w:szCs w:val="19"/>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6"/>
                <w:szCs w:val="16"/>
                <w:color w:val="auto"/>
              </w:rPr>
              <w:t>(237 )</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Contract liabilities</w:t>
            </w:r>
          </w:p>
        </w:tc>
        <w:tc>
          <w:tcPr>
            <w:tcW w:w="1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(316 )</w:t>
            </w:r>
          </w:p>
        </w:tc>
        <w:tc>
          <w:tcPr>
            <w:tcW w:w="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(70 )</w:t>
            </w:r>
          </w:p>
        </w:tc>
      </w:tr>
      <w:tr>
        <w:trPr>
          <w:trHeight w:val="226"/>
        </w:trPr>
        <w:tc>
          <w:tcPr>
            <w:tcW w:w="7920" w:type="dxa"/>
            <w:vAlign w:val="bottom"/>
          </w:tcPr>
          <w:p>
            <w:pPr>
              <w:ind w:left="20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40" w:type="dxa"/>
            <w:vAlign w:val="bottom"/>
          </w:tcPr>
          <w:p>
            <w:pPr>
              <w:spacing w:after="0"/>
              <w:rPr>
                <w:sz w:val="19"/>
                <w:szCs w:val="19"/>
                <w:color w:val="auto"/>
              </w:rPr>
            </w:pPr>
          </w:p>
        </w:tc>
      </w:tr>
      <w:tr>
        <w:trPr>
          <w:trHeight w:val="226"/>
        </w:trPr>
        <w:tc>
          <w:tcPr>
            <w:tcW w:w="79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in operations</w:t>
            </w:r>
          </w:p>
        </w:tc>
        <w:tc>
          <w:tcPr>
            <w:tcW w:w="1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(9,073 )</w:t>
            </w: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(9,370 )</w:t>
            </w:r>
          </w:p>
        </w:tc>
      </w:tr>
      <w:tr>
        <w:trPr>
          <w:trHeight w:val="220"/>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 of marketable securities</w:t>
            </w:r>
          </w:p>
        </w:tc>
        <w:tc>
          <w:tcPr>
            <w:tcW w:w="1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(5,183 )</w:t>
            </w:r>
          </w:p>
        </w:tc>
        <w:tc>
          <w:tcPr>
            <w:tcW w:w="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(25,525 )</w:t>
            </w:r>
          </w:p>
        </w:tc>
      </w:tr>
      <w:tr>
        <w:trPr>
          <w:trHeight w:val="220"/>
        </w:trPr>
        <w:tc>
          <w:tcPr>
            <w:tcW w:w="7920" w:type="dxa"/>
            <w:vAlign w:val="bottom"/>
          </w:tcPr>
          <w:p>
            <w:pPr>
              <w:ind w:left="200"/>
              <w:spacing w:after="0"/>
              <w:rPr>
                <w:sz w:val="20"/>
                <w:szCs w:val="20"/>
                <w:color w:val="auto"/>
              </w:rPr>
            </w:pPr>
            <w:r>
              <w:rPr>
                <w:rFonts w:ascii="Arial" w:cs="Arial" w:eastAsia="Arial" w:hAnsi="Arial"/>
                <w:sz w:val="16"/>
                <w:szCs w:val="16"/>
                <w:color w:val="auto"/>
              </w:rPr>
              <w:t>Maturities of marketable securities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24,271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3,000</w:t>
            </w:r>
          </w:p>
        </w:tc>
        <w:tc>
          <w:tcPr>
            <w:tcW w:w="14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for property and equipment</w:t>
            </w:r>
          </w:p>
        </w:tc>
        <w:tc>
          <w:tcPr>
            <w:tcW w:w="1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(284 )</w:t>
            </w:r>
          </w:p>
        </w:tc>
        <w:tc>
          <w:tcPr>
            <w:tcW w:w="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(64 )</w:t>
            </w:r>
          </w:p>
        </w:tc>
      </w:tr>
      <w:tr>
        <w:trPr>
          <w:trHeight w:val="227"/>
        </w:trPr>
        <w:tc>
          <w:tcPr>
            <w:tcW w:w="7920" w:type="dxa"/>
            <w:vAlign w:val="bottom"/>
          </w:tcPr>
          <w:p>
            <w:pPr>
              <w:ind w:left="200"/>
              <w:spacing w:after="0"/>
              <w:rPr>
                <w:sz w:val="20"/>
                <w:szCs w:val="20"/>
                <w:color w:val="auto"/>
              </w:rPr>
            </w:pPr>
            <w:r>
              <w:rPr>
                <w:rFonts w:ascii="Arial" w:cs="Arial" w:eastAsia="Arial" w:hAnsi="Arial"/>
                <w:sz w:val="16"/>
                <w:szCs w:val="16"/>
                <w:color w:val="auto"/>
              </w:rPr>
              <w:t>Cash paid for patent filing fees</w:t>
            </w:r>
          </w:p>
        </w:tc>
        <w:tc>
          <w:tcPr>
            <w:tcW w:w="160" w:type="dxa"/>
            <w:vAlign w:val="bottom"/>
          </w:tcPr>
          <w:p>
            <w:pPr>
              <w:spacing w:after="0"/>
              <w:rPr>
                <w:sz w:val="19"/>
                <w:szCs w:val="19"/>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6"/>
                <w:szCs w:val="16"/>
                <w:color w:val="auto"/>
              </w:rPr>
              <w:t>(17 )</w:t>
            </w:r>
          </w:p>
        </w:tc>
        <w:tc>
          <w:tcPr>
            <w:tcW w:w="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(12 )</w:t>
            </w:r>
          </w:p>
        </w:tc>
      </w:tr>
      <w:tr>
        <w:trPr>
          <w:trHeight w:val="20"/>
        </w:trPr>
        <w:tc>
          <w:tcPr>
            <w:tcW w:w="7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6"/>
        </w:trPr>
        <w:tc>
          <w:tcPr>
            <w:tcW w:w="79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provided/(used) in investing activities</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18,787</w:t>
            </w: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(22,601 )</w:t>
            </w:r>
          </w:p>
        </w:tc>
      </w:tr>
      <w:tr>
        <w:trPr>
          <w:trHeight w:val="220"/>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6"/>
        </w:trPr>
        <w:tc>
          <w:tcPr>
            <w:tcW w:w="7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4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16"/>
        </w:trPr>
        <w:tc>
          <w:tcPr>
            <w:tcW w:w="7920" w:type="dxa"/>
            <w:vAlign w:val="bottom"/>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r>
      <w:tr>
        <w:trPr>
          <w:trHeight w:val="239"/>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foreign exchange rate on cash and restricted cash</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(6 )</w:t>
            </w:r>
          </w:p>
        </w:tc>
      </w:tr>
      <w:tr>
        <w:trPr>
          <w:trHeight w:val="226"/>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Net increase/(decrease) in cash and cash equivalents and restricted 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9,886</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(31,976 )</w:t>
            </w:r>
          </w:p>
        </w:tc>
      </w:tr>
      <w:tr>
        <w:trPr>
          <w:trHeight w:val="223"/>
        </w:trPr>
        <w:tc>
          <w:tcPr>
            <w:tcW w:w="7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and cash equivalents and restricted cash beginning of the period</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18,164</w:t>
            </w:r>
          </w:p>
        </w:tc>
        <w:tc>
          <w:tcPr>
            <w:tcW w:w="4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55,712</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6"/>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end of the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28,050</w:t>
            </w:r>
          </w:p>
        </w:tc>
        <w:tc>
          <w:tcPr>
            <w:tcW w:w="4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23,736</w:t>
            </w:r>
          </w:p>
        </w:tc>
        <w:tc>
          <w:tcPr>
            <w:tcW w:w="14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20"/>
        </w:trPr>
        <w:tc>
          <w:tcPr>
            <w:tcW w:w="792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9"/>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interest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40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Plant and equipment purchases not yet paid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-1350010</wp:posOffset>
            </wp:positionV>
            <wp:extent cx="8572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-1350010</wp:posOffset>
            </wp:positionV>
            <wp:extent cx="8572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-749935</wp:posOffset>
            </wp:positionV>
            <wp:extent cx="85725"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-749935</wp:posOffset>
            </wp:positionV>
            <wp:extent cx="85725"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113"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AVITA Medical, Inc. and its subsidiaries (collectively, “</w:t>
      </w:r>
      <w:r>
        <w:rPr>
          <w:rFonts w:ascii="Arial" w:cs="Arial" w:eastAsia="Arial" w:hAnsi="Arial"/>
          <w:sz w:val="17"/>
          <w:szCs w:val="17"/>
          <w:b w:val="1"/>
          <w:bCs w:val="1"/>
          <w:color w:val="auto"/>
        </w:rPr>
        <w:t>AVITA Medical</w:t>
      </w:r>
      <w:r>
        <w:rPr>
          <w:rFonts w:ascii="Arial" w:cs="Arial" w:eastAsia="Arial" w:hAnsi="Arial"/>
          <w:sz w:val="17"/>
          <w:szCs w:val="17"/>
          <w:color w:val="auto"/>
        </w:rPr>
        <w:t>”,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our</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or “</w:t>
      </w:r>
      <w:r>
        <w:rPr>
          <w:rFonts w:ascii="Arial" w:cs="Arial" w:eastAsia="Arial" w:hAnsi="Arial"/>
          <w:sz w:val="17"/>
          <w:szCs w:val="17"/>
          <w:b w:val="1"/>
          <w:bCs w:val="1"/>
          <w:color w:val="auto"/>
        </w:rPr>
        <w:t>Company</w:t>
      </w:r>
      <w:r>
        <w:rPr>
          <w:rFonts w:ascii="Arial" w:cs="Arial" w:eastAsia="Arial" w:hAnsi="Arial"/>
          <w:sz w:val="17"/>
          <w:szCs w:val="17"/>
          <w:color w:val="auto"/>
        </w:rPr>
        <w:t>”), is a regenerative medicine company leading the development and commercialization of devices and autologous cellular therapies for skin restoration. The Company’s RECELL® System technology platform harnesses the regenerative properties of a patient’s own skin to create Spray-On Skin™ cells. In September 2018, the United States Food &amp; Drug Administration (“</w:t>
      </w:r>
      <w:r>
        <w:rPr>
          <w:rFonts w:ascii="Arial" w:cs="Arial" w:eastAsia="Arial" w:hAnsi="Arial"/>
          <w:sz w:val="17"/>
          <w:szCs w:val="17"/>
          <w:b w:val="1"/>
          <w:bCs w:val="1"/>
          <w:color w:val="auto"/>
        </w:rPr>
        <w:t>FDA</w:t>
      </w:r>
      <w:r>
        <w:rPr>
          <w:rFonts w:ascii="Arial" w:cs="Arial" w:eastAsia="Arial" w:hAnsi="Arial"/>
          <w:sz w:val="17"/>
          <w:szCs w:val="17"/>
          <w:color w:val="auto"/>
        </w:rPr>
        <w:t>”) granted premarket approval (“</w:t>
      </w:r>
      <w:r>
        <w:rPr>
          <w:rFonts w:ascii="Arial" w:cs="Arial" w:eastAsia="Arial" w:hAnsi="Arial"/>
          <w:sz w:val="17"/>
          <w:szCs w:val="17"/>
          <w:b w:val="1"/>
          <w:bCs w:val="1"/>
          <w:color w:val="auto"/>
        </w:rPr>
        <w:t>PMA</w:t>
      </w:r>
      <w:r>
        <w:rPr>
          <w:rFonts w:ascii="Arial" w:cs="Arial" w:eastAsia="Arial" w:hAnsi="Arial"/>
          <w:sz w:val="17"/>
          <w:szCs w:val="17"/>
          <w:color w:val="auto"/>
        </w:rPr>
        <w:t>”) to the RECELL System for use in the treatment of acute thermal burns in patients eighteen years and older. Following receipt of our original PMA, we commenced commercialization of the RECELL System in January 2019 in the United States. In June 2021, the FDA approved expanded use of the RECELL System in combination of meshed autografting for acute full-thickness thermal wounds in pediatric and adult patients. In February 2022, the FDA approved a PMA supplement for the RECELL Autologous Cell Harvesting Device, an enhanced ease-of-use device aimed at providing clinicians a more efficient user experience and simplified workflow. In addition, the FDA has granted the Company Investigational Device Exemptions (“</w:t>
      </w:r>
      <w:r>
        <w:rPr>
          <w:rFonts w:ascii="Arial" w:cs="Arial" w:eastAsia="Arial" w:hAnsi="Arial"/>
          <w:sz w:val="17"/>
          <w:szCs w:val="17"/>
          <w:b w:val="1"/>
          <w:bCs w:val="1"/>
          <w:color w:val="auto"/>
        </w:rPr>
        <w:t>IDEs</w:t>
      </w:r>
      <w:r>
        <w:rPr>
          <w:rFonts w:ascii="Arial" w:cs="Arial" w:eastAsia="Arial" w:hAnsi="Arial"/>
          <w:sz w:val="17"/>
          <w:szCs w:val="17"/>
          <w:color w:val="auto"/>
        </w:rPr>
        <w:t>”), which enabled the Company to conduct pivotal clinical trials to further expand the indications of the RECELL System to include soft tissue repair and vitiligo. Enrollment of those clinical studies is complete, with topline results announced for both the soft tissue repair and vitiligo trials. Results from those studies are intended to support the Company’s pursuit of FDA approval to market the RECELL System in the United States for those indications. In December 2022, the Company submitted a PMA supplement for soft tissue repair and a PMA application for vitiligo. In April 2023, the Company confirmed that its automated cell disaggregation device, RECELL GO™, maintains the FDA Breakthrough Device designation for the treatment of acute wounds. The Company plans to submit a PMA supplement application for RECELL GO by June 30, 2023.</w:t>
      </w:r>
    </w:p>
    <w:p>
      <w:pPr>
        <w:spacing w:after="0" w:line="74" w:lineRule="exact"/>
        <w:rPr>
          <w:sz w:val="20"/>
          <w:szCs w:val="20"/>
          <w:color w:val="auto"/>
        </w:rPr>
      </w:pPr>
    </w:p>
    <w:p>
      <w:pPr>
        <w:ind w:right="40" w:firstLine="794"/>
        <w:spacing w:after="0" w:line="255" w:lineRule="auto"/>
        <w:rPr>
          <w:sz w:val="20"/>
          <w:szCs w:val="20"/>
          <w:color w:val="auto"/>
        </w:rPr>
      </w:pPr>
      <w:r>
        <w:rPr>
          <w:rFonts w:ascii="Arial" w:cs="Arial" w:eastAsia="Arial" w:hAnsi="Arial"/>
          <w:sz w:val="18"/>
          <w:szCs w:val="18"/>
          <w:color w:val="auto"/>
        </w:rPr>
        <w:t>In February 2019, we entered into a collaboration with COSMOTEC Company Ltd ("</w:t>
      </w:r>
      <w:r>
        <w:rPr>
          <w:rFonts w:ascii="Arial" w:cs="Arial" w:eastAsia="Arial" w:hAnsi="Arial"/>
          <w:sz w:val="18"/>
          <w:szCs w:val="18"/>
          <w:b w:val="1"/>
          <w:bCs w:val="1"/>
          <w:color w:val="auto"/>
        </w:rPr>
        <w:t>COSMOTEC</w:t>
      </w:r>
      <w:r>
        <w:rPr>
          <w:rFonts w:ascii="Arial" w:cs="Arial" w:eastAsia="Arial" w:hAnsi="Arial"/>
          <w:sz w:val="18"/>
          <w:szCs w:val="18"/>
          <w:color w:val="auto"/>
        </w:rPr>
        <w:t>"), an M3 Group company, to market and distribute the RECELL System in Japan. Under the terms of the agreement, the Company will supply the RECELL product, and COSMOTEC will be the sole distributor of the product in Japan. We worked with COSMOTEC to advance our application for approval of the RECELL System in Japan pursuant to Japan’s Pharmaceuticals and Medical Devices Act (“</w:t>
      </w:r>
      <w:r>
        <w:rPr>
          <w:rFonts w:ascii="Arial" w:cs="Arial" w:eastAsia="Arial" w:hAnsi="Arial"/>
          <w:sz w:val="18"/>
          <w:szCs w:val="18"/>
          <w:b w:val="1"/>
          <w:bCs w:val="1"/>
          <w:color w:val="auto"/>
        </w:rPr>
        <w:t>PMDA</w:t>
      </w:r>
      <w:r>
        <w:rPr>
          <w:rFonts w:ascii="Arial" w:cs="Arial" w:eastAsia="Arial" w:hAnsi="Arial"/>
          <w:sz w:val="18"/>
          <w:szCs w:val="18"/>
          <w:color w:val="auto"/>
        </w:rPr>
        <w:t>”). In February 2022, COSMOTEC’s application for regulatory approval was approved by the PMDA with labeling for burns only. In September 2022, COSMOTEC commercially launched RECELL in Japan following Japan’s Ministry of Health, Labor, and Welfare approval of reimbursement pricing. COSMOTEC is evaluating whether to submit a further application for soft tissue repair and vitiligo indications.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The accompanying unaudited consolidated financial statements of the Company have been prepared in accordance with generally accepted accounting principles in the United States of America (“</w:t>
      </w:r>
      <w:r>
        <w:rPr>
          <w:rFonts w:ascii="Arial" w:cs="Arial" w:eastAsia="Arial" w:hAnsi="Arial"/>
          <w:sz w:val="18"/>
          <w:szCs w:val="18"/>
          <w:b w:val="1"/>
          <w:bCs w:val="1"/>
          <w:color w:val="auto"/>
        </w:rPr>
        <w:t>GAAP</w:t>
      </w:r>
      <w:r>
        <w:rPr>
          <w:rFonts w:ascii="Arial" w:cs="Arial" w:eastAsia="Arial" w:hAnsi="Arial"/>
          <w:sz w:val="18"/>
          <w:szCs w:val="18"/>
          <w:color w:val="auto"/>
        </w:rPr>
        <w:t>”) for interim financial information and with the instructions to Form 10-Q and Article 10 of Regulation S-X of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year-ended December 31, 2022 filed with the SEC on February 23, 2023 (United States) and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on February 24, 2023 (Australia) (the “Annual Report").</w:t>
      </w:r>
    </w:p>
    <w:p>
      <w:pPr>
        <w:spacing w:after="0" w:line="195"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There have been no changes to the Company’s significant accounting policies as described in the Annual Report on Form 10-K that have had a material impact on the Company’s consolidated financial statements. See the summary of the Company’s significant accounting policies set forth in the notes to its consolidated financial statements included in the Annual Report.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120" w:firstLine="749"/>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intercompany transactions and balances have been eliminated upon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prior year presentation</w:t>
      </w:r>
    </w:p>
    <w:p>
      <w:pPr>
        <w:spacing w:after="0" w:line="225" w:lineRule="exact"/>
        <w:rPr>
          <w:sz w:val="20"/>
          <w:szCs w:val="20"/>
          <w:color w:val="auto"/>
        </w:rPr>
      </w:pPr>
    </w:p>
    <w:p>
      <w:pPr>
        <w:jc w:val="both"/>
        <w:ind w:right="120" w:firstLine="749"/>
        <w:spacing w:after="0" w:line="263" w:lineRule="auto"/>
        <w:rPr>
          <w:sz w:val="20"/>
          <w:szCs w:val="20"/>
          <w:color w:val="auto"/>
        </w:rPr>
      </w:pPr>
      <w:r>
        <w:rPr>
          <w:rFonts w:ascii="Arial" w:cs="Arial" w:eastAsia="Arial" w:hAnsi="Arial"/>
          <w:sz w:val="18"/>
          <w:szCs w:val="18"/>
          <w:color w:val="auto"/>
        </w:rPr>
        <w:t>Certain prior year amounts within Other current liabilities have been reclassified to Current non-qualified deferred compensation liability, in the Consolidated Balance Sheets for consistency with current period presentation. These reclassifications had no effect on the reported results of operations or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The preparation of the accompanying consolidated financial statements in conformity with U.S. GAAP requires management to make estimates and assumptions that affect the reported amounts (including doubtful accounts, carrying value of long-lived assets, the useful lives of long-lived assets, accounting for marketable securities, income taxes, stock-based compensation, and the stand-alone selling price for the BARDA contract) and related disclosures. Estimates have been prepared on the basis of the current and available information. However, actual results could differ from estimated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225"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accumulated other comprehensive gain (loss) in stockholders’ equity. Gains and losses resulting from foreign currency transactions are included in general and administrative expenses and were a gain of $11,000 and loss of $22,000 for the three-months ended March 31, 2023 and 2022, respectively.</w:t>
      </w:r>
    </w:p>
    <w:p>
      <w:pPr>
        <w:spacing w:after="0" w:line="178" w:lineRule="exact"/>
        <w:rPr>
          <w:sz w:val="20"/>
          <w:szCs w:val="20"/>
          <w:color w:val="auto"/>
        </w:rPr>
      </w:pPr>
    </w:p>
    <w:p>
      <w:pPr>
        <w:ind w:right="280" w:firstLine="749"/>
        <w:spacing w:after="0" w:line="259" w:lineRule="auto"/>
        <w:rPr>
          <w:sz w:val="20"/>
          <w:szCs w:val="20"/>
          <w:color w:val="auto"/>
        </w:rPr>
      </w:pPr>
      <w:r>
        <w:rPr>
          <w:rFonts w:ascii="Arial" w:cs="Arial" w:eastAsia="Arial" w:hAnsi="Arial"/>
          <w:sz w:val="18"/>
          <w:szCs w:val="18"/>
          <w:color w:val="auto"/>
        </w:rPr>
        <w:t>The Company’s non-operating subsidiaries that use the U.S. dollar as their functional currency remeasure monetary assets and liabilities at exchange rates in effect at the end of each period and nonmonetary assets and liabilities at historical rates. Gains and losses resulting from these remeasurements and foreign currency transactions are included in general and administrative expenses. During the three-months ended March 31, 2023 and 2022, the Company recorded a loss of $9,000 and $15,000,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components of comprehensive loss consist of net loss, foreign currency translation adjustments from its subsidiaries not using the U.S. dollar as their functional currency and unrealized gains and losses in investments available for sale. The Company did not have reclassifications from other comprehensive loss to net loss during the three-months ended March 31, 2023 and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The Company recognizes revenue when its customers obtain control of promised goods or services, in an amount that reflects the consideration which the Company expects to be entitled in exchange for those goods or services.</w:t>
      </w:r>
    </w:p>
    <w:p>
      <w:pPr>
        <w:spacing w:after="0" w:line="170"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To determine revenue recognition for arrangements that are within the scope of Accounting Standard Codification (“ASC”) Topic 606, Revenue Recognition, the Company performs the following five steps:</w:t>
      </w:r>
    </w:p>
    <w:p>
      <w:pPr>
        <w:spacing w:after="0" w:line="170" w:lineRule="exact"/>
        <w:rPr>
          <w:sz w:val="20"/>
          <w:szCs w:val="20"/>
          <w:color w:val="auto"/>
        </w:rPr>
      </w:pPr>
    </w:p>
    <w:p>
      <w:pPr>
        <w:ind w:left="1020" w:hanging="26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1020" w:hanging="26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w:t>
      </w:r>
    </w:p>
    <w:p>
      <w:pPr>
        <w:spacing w:after="0" w:line="9" w:lineRule="exact"/>
        <w:rPr>
          <w:rFonts w:ascii="Arial" w:cs="Arial" w:eastAsia="Arial" w:hAnsi="Arial"/>
          <w:sz w:val="18"/>
          <w:szCs w:val="18"/>
          <w:color w:val="auto"/>
        </w:rPr>
      </w:pPr>
    </w:p>
    <w:p>
      <w:pPr>
        <w:ind w:left="1020" w:hanging="26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1020" w:hanging="26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w:t>
      </w:r>
    </w:p>
    <w:p>
      <w:pPr>
        <w:spacing w:after="0" w:line="9" w:lineRule="exact"/>
        <w:rPr>
          <w:rFonts w:ascii="Arial" w:cs="Arial" w:eastAsia="Arial" w:hAnsi="Arial"/>
          <w:sz w:val="18"/>
          <w:szCs w:val="18"/>
          <w:color w:val="auto"/>
        </w:rPr>
      </w:pPr>
    </w:p>
    <w:p>
      <w:pPr>
        <w:ind w:left="1020" w:hanging="26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when/as performance obligation(s) are satisfied</w:t>
      </w:r>
    </w:p>
    <w:p>
      <w:pPr>
        <w:spacing w:after="0" w:line="211"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In order for an arrangement to be considered a contract, it must be probable that the Company will collect the consideration to which it is entitled for goods or services to be transferred. Once the contract is determined to be within the scope of ASC 606, the Company assesses the goods or services promised with each contract, determines whether those are performance obligations and the related transaction price. The Company then recognizes the sale of goods based on the transaction price that is allocated to the respective performance obligation when the performance obligation is satisfied.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ind w:right="60" w:firstLine="749"/>
        <w:spacing w:after="0" w:line="255" w:lineRule="auto"/>
        <w:rPr>
          <w:sz w:val="20"/>
          <w:szCs w:val="20"/>
          <w:color w:val="auto"/>
        </w:rPr>
      </w:pPr>
      <w:r>
        <w:rPr>
          <w:rFonts w:ascii="Arial" w:cs="Arial" w:eastAsia="Arial" w:hAnsi="Arial"/>
          <w:sz w:val="18"/>
          <w:szCs w:val="18"/>
          <w:color w:val="auto"/>
        </w:rPr>
        <w:t>The Company’s revenue consists primarily of the sale of the RECELL System to hospitals or other treatment centers and to BARDA (collectively, “customers”), predominately in the United States. The Company evaluated the BARDA contract and concluded that a portion of the arrangement, such as the procurement of the RECELL system and the emergency preparedness, represents a transaction with a customer and as such are in the scope of ASC 606. Amounts received from BARDA for the research and development of the Company’s product are classified as BARDA income in the Consolidated Statements of Operations and are accounted for under IAS 20 by analogy. For further details refer to BARDA Income and Receivables below.</w:t>
      </w:r>
    </w:p>
    <w:p>
      <w:pPr>
        <w:spacing w:after="0" w:line="192"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Revenues for commercial customers (hospitals, treatment centers and COSMOTEC)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elected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fulfillment costs such as commissions and shipping and handling expenses as incurred.</w:t>
      </w:r>
    </w:p>
    <w:p>
      <w:pPr>
        <w:spacing w:after="0" w:line="192"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For revenues related to the BARDA contract within the scope of ASC 606, the Company identified two performance obligations: (i) the procurement of 5,614 RECELL units; and (ii) emergency preparedness services. Through this contract the Company promises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overtime as services are consumed.</w:t>
      </w:r>
    </w:p>
    <w:p>
      <w:pPr>
        <w:spacing w:after="0" w:line="178"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The total transaction price for the portion of the BARDA contract that is within the scope of ASC 606, was determined to be $9.2 million. The transaction price was allocated on a stand-alone selling price basis as follows: $7.6 million to the procurement of the RECELL product, which is classified as Revenues when recognized in the Consolidated Statements of Operations and $1.6 million to the emergency deployment services which is classified as Revenues when recognized in the Consolidated Statements of Operations. The $1.6 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stand-alone selling price of the emergency deployment services performed based on the Company’s projected cost of providing the services plus an applicable profit margin as denoted in the contract.</w:t>
      </w:r>
    </w:p>
    <w:p>
      <w:pPr>
        <w:spacing w:after="0" w:line="192"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Company’s performance obligations are either satisfied at a point in time or over time as services are provided. The product procurement performance obligation is satisfied at a point in time, upon transfer of control of the product. As such, the related revenue for these performance obligations is recognized at a point in time as revenue within the Company’s Consolidated Statement of Operations. In addition to guidance under ASC 606, the Company recognizes revenue from the sales of RECELL product to BARDA for placement into vaccine stockpiles in accordance with SEC Interpretation</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Commission Guidance regarding Accounting for Sale of Vaccines and BioTerror Countermeasures to the Federal Government for Placement into the Pediatric Vaccine Stockpile or the Strategic National Stockpile (SNS). </w:t>
      </w:r>
      <w:r>
        <w:rPr>
          <w:rFonts w:ascii="Arial" w:cs="Arial" w:eastAsia="Arial" w:hAnsi="Arial"/>
          <w:sz w:val="16"/>
          <w:szCs w:val="16"/>
          <w:color w:val="auto"/>
        </w:rPr>
        <w:t>Under this guidance, revenue is recognized when product is placed in the BARDA</w:t>
      </w:r>
      <w:r>
        <w:rPr>
          <w:rFonts w:ascii="Arial" w:cs="Arial" w:eastAsia="Arial" w:hAnsi="Arial"/>
          <w:sz w:val="16"/>
          <w:szCs w:val="16"/>
          <w:i w:val="1"/>
          <w:iCs w:val="1"/>
          <w:color w:val="auto"/>
        </w:rPr>
        <w:t xml:space="preserve"> </w:t>
      </w:r>
      <w:r>
        <w:rPr>
          <w:rFonts w:ascii="Arial" w:cs="Arial" w:eastAsia="Arial" w:hAnsi="Arial"/>
          <w:sz w:val="16"/>
          <w:szCs w:val="16"/>
          <w:color w:val="auto"/>
        </w:rPr>
        <w:t>vendor-managed inventory as control of the product has been transferred to the customer at the time of delivery to the VMI. RECELL units that have been delivered to BARDA have a product replacement obligation at no cost to BARDA due to the product’s limited shelf-life. The estimated cost of the expired inventory over the term of the contract is recognized on a per unit basis at the time of delivery. The liability is released upon replacement of the product along with a corresponding reduction to inventory. The emergency preparedness services performance obligation is satisfied over time. Revenue for the emergency deployment will be recognized on a straight-line basis during the term of the contract as services are consumed over time. Services recognized are included in Revenues within the Consolidated Statements of Operations. Contract costs to fulfill the performance obligations are incremental and expected to be recovered are capitalized and amortized on a straight-line basis over the term of the contract. Contract costs are included in Prepaids and other current assets in the Consolidated Balance Sheets. For further details refer to Note 6.</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25" w:lineRule="exact"/>
        <w:rPr>
          <w:sz w:val="20"/>
          <w:szCs w:val="20"/>
          <w:color w:val="auto"/>
        </w:rPr>
      </w:pPr>
    </w:p>
    <w:p>
      <w:pPr>
        <w:ind w:right="80" w:firstLine="749"/>
        <w:spacing w:after="0" w:line="301" w:lineRule="auto"/>
        <w:rPr>
          <w:sz w:val="20"/>
          <w:szCs w:val="20"/>
          <w:color w:val="auto"/>
        </w:rPr>
      </w:pPr>
      <w:r>
        <w:rPr>
          <w:rFonts w:ascii="Arial" w:cs="Arial" w:eastAsia="Arial" w:hAnsi="Arial"/>
          <w:sz w:val="16"/>
          <w:szCs w:val="16"/>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 Contract liabilities are recorded when the Company receives payment prior to satisfying its obligation to transfer goods to a customer. For further details refer to Note 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Cost of sales related to products includes costs to manufacture or purchase, package, and ship the Company’s products. Costs also include relevant production overhead and depreciation and amortization. These costs are recognized when control of the product is transferred to the customer and revenue is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20" w:firstLine="749"/>
        <w:spacing w:after="0" w:line="291" w:lineRule="auto"/>
        <w:rPr>
          <w:sz w:val="20"/>
          <w:szCs w:val="20"/>
          <w:color w:val="auto"/>
        </w:rPr>
      </w:pPr>
      <w:r>
        <w:rPr>
          <w:rFonts w:ascii="Arial" w:cs="Arial" w:eastAsia="Arial" w:hAnsi="Arial"/>
          <w:sz w:val="16"/>
          <w:szCs w:val="16"/>
          <w:color w:val="auto"/>
        </w:rPr>
        <w:t>Income taxes are accounted for using the liability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operations in the period that includes the enactment date. Deferred tax assets are reduced by a valuation allowance if it is more likely than not that a portion of the deferred tax asset will not be realized. We recognize interest and penalties related to unrecognized tax benefits on the income tax expense line in the accompanying Consolidated Statement of Operations. Accrued interest and penalties are included on the related tax liability line in the Consolidated Balance Sheets.</w:t>
      </w:r>
    </w:p>
    <w:p>
      <w:pPr>
        <w:spacing w:after="0" w:line="16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Cash and Cash Equivalents consists of cash held at deposit institutions and cash equivalents. Cash equivalents consist of short-term highly liquid investments with original maturities of three months or less from the date of purchase and consist primarily of money market funds. The Company holds cash at deposit institutions in the amount of $3.3 million and $4.1 million, of which $829,000 and $737,000 is denominated in foreign currencies in foreign institutions as of March 31, 2023 and December 31, 2022, respectively. As of March 31, 2023 and December 31, 2022, the Company held cash equivalents in the amount of $24.8 million and $14.1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Silicon Valley Bank Failure</w:t>
      </w:r>
    </w:p>
    <w:p>
      <w:pPr>
        <w:spacing w:after="0" w:line="225" w:lineRule="exact"/>
        <w:rPr>
          <w:sz w:val="20"/>
          <w:szCs w:val="20"/>
          <w:color w:val="auto"/>
        </w:rPr>
      </w:pPr>
    </w:p>
    <w:p>
      <w:pPr>
        <w:ind w:right="140" w:firstLine="749"/>
        <w:spacing w:after="0" w:line="275" w:lineRule="auto"/>
        <w:rPr>
          <w:sz w:val="20"/>
          <w:szCs w:val="20"/>
          <w:color w:val="auto"/>
        </w:rPr>
      </w:pPr>
      <w:r>
        <w:rPr>
          <w:rFonts w:ascii="Arial" w:cs="Arial" w:eastAsia="Arial" w:hAnsi="Arial"/>
          <w:sz w:val="17"/>
          <w:szCs w:val="17"/>
          <w:color w:val="auto"/>
        </w:rPr>
        <w:t>On March 10, 2023, Silicon Valley Bank failed and was taken into receivership by the Federal Deposit Insurance Corporation ("FDIC"). The Company's cash deposits were in excess of federally insured limits with Silicon Valley Bank as of March 10, 2023. However, on March 12, 2023, the federal government announced they will back all customer deposits at Silicon Valley Bank. The Company did not encounter any loss of cash or assets as a result of the bank failure. Subsequent to the bank failure, the Company established a commercial banking relationship with Bank of America. Cash equivalents and marketable securities were held by US Bank and were not impacted by the collapse of Silicon Valley Bank.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ind w:right="40" w:firstLine="749"/>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marketable securities, trade receivables, BARDA receivables and other receivables. As of March 31, 2023 and December 31, 2022, substantially all of the Company’s cash was deposited in accounts at financial institutions, and amounts may exceed federally insured limits and subject to the risk of bank failure.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ind w:firstLine="749"/>
        <w:spacing w:after="0" w:line="255" w:lineRule="auto"/>
        <w:rPr>
          <w:sz w:val="20"/>
          <w:szCs w:val="20"/>
          <w:color w:val="auto"/>
        </w:rPr>
      </w:pPr>
      <w:r>
        <w:rPr>
          <w:rFonts w:ascii="Arial" w:cs="Arial" w:eastAsia="Arial" w:hAnsi="Arial"/>
          <w:sz w:val="18"/>
          <w:szCs w:val="18"/>
          <w:color w:val="auto"/>
        </w:rPr>
        <w:t>As of March 31, 2023 no single commercial customer accounted for more than 10% of net accounts receivable. As of December 31, 2022, one commercial customer accounted for more than 10% of total net accounts receivable. For the three-months ended March 31, 2023 and 2022, no single customer accounted for more than 10% of revenues. BARDA revenue for emergency deployment accounted for approximately 1% and 1% of total revenues for the three-months ended March 31, 2023 and 2022, respectively. BARDA receivables for emergency preparedness services accounted for 3% and 2% of total BARDA receivables as of March 31, 2023 and December 31, 2022, respectively. See table below for breakdown of BARDA receivables (in thousands).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As of</w:t>
            </w:r>
          </w:p>
        </w:tc>
        <w:tc>
          <w:tcPr>
            <w:tcW w:w="2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9"/>
        </w:trPr>
        <w:tc>
          <w:tcPr>
            <w:tcW w:w="4340" w:type="dxa"/>
            <w:vAlign w:val="bottom"/>
          </w:tcPr>
          <w:p>
            <w:pPr>
              <w:spacing w:after="0"/>
              <w:rPr>
                <w:sz w:val="20"/>
                <w:szCs w:val="20"/>
                <w:color w:val="auto"/>
              </w:rPr>
            </w:pPr>
          </w:p>
        </w:tc>
        <w:tc>
          <w:tcPr>
            <w:tcW w:w="1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March 31, 2023</w:t>
            </w:r>
          </w:p>
        </w:tc>
        <w:tc>
          <w:tcPr>
            <w:tcW w:w="4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Pr>
          <w:p>
            <w:pPr>
              <w:spacing w:after="0"/>
              <w:rPr>
                <w:sz w:val="20"/>
                <w:szCs w:val="20"/>
                <w:color w:val="auto"/>
              </w:rPr>
            </w:pPr>
          </w:p>
        </w:tc>
      </w:tr>
      <w:tr>
        <w:trPr>
          <w:trHeight w:val="21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BARDA procurement and emergency preparedness</w:t>
            </w:r>
          </w:p>
        </w:tc>
        <w:tc>
          <w:tcPr>
            <w:tcW w:w="19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4"/>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services</w:t>
            </w:r>
          </w:p>
        </w:tc>
        <w:tc>
          <w:tcPr>
            <w:tcW w:w="1980" w:type="dxa"/>
            <w:vAlign w:val="bottom"/>
            <w:shd w:val="clear" w:color="auto" w:fill="CFF0FC"/>
          </w:tcPr>
          <w:p>
            <w:pPr>
              <w:jc w:val="right"/>
              <w:ind w:right="17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1"/>
                <w:szCs w:val="21"/>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BARDA expense reimbursements</w:t>
            </w:r>
          </w:p>
        </w:tc>
        <w:tc>
          <w:tcPr>
            <w:tcW w:w="1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0"/>
                <w:szCs w:val="20"/>
                <w:color w:val="auto"/>
              </w:rPr>
            </w:pPr>
          </w:p>
        </w:tc>
      </w:tr>
      <w:tr>
        <w:trPr>
          <w:trHeight w:val="278"/>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shd w:val="clear" w:color="auto" w:fill="CFF0FC"/>
          </w:tcPr>
          <w:p>
            <w:pPr>
              <w:jc w:val="right"/>
              <w:ind w:right="179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516</w:t>
            </w:r>
          </w:p>
        </w:tc>
        <w:tc>
          <w:tcPr>
            <w:tcW w:w="3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898</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-25400</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200" w:firstLine="749"/>
        <w:spacing w:after="0" w:line="255" w:lineRule="auto"/>
        <w:rPr>
          <w:sz w:val="20"/>
          <w:szCs w:val="20"/>
          <w:color w:val="auto"/>
        </w:rPr>
      </w:pPr>
      <w:r>
        <w:rPr>
          <w:rFonts w:ascii="Arial" w:cs="Arial" w:eastAsia="Arial" w:hAnsi="Arial"/>
          <w:sz w:val="18"/>
          <w:szCs w:val="18"/>
          <w:color w:val="auto"/>
        </w:rPr>
        <w:t>We classify all highly liquid investments with original maturities of three months or less from the date of purchase as cash equivalents and all highly liquid investments with stated maturities of greater than three months as marketable securities. The Company classifies marketable securities as short-term when they have remaining contractual maturities of one year or less from the balance sheet date, and as long-term when the investments have remaining contractual maturities of more than one year from the balance sheet date. Classification is determined at the time of purchase and re-evaluated each balance sheet date. Short-term marketable securities represent investment of cash available for current operations. We account for our marketable securities as available-for-sale securities.</w:t>
      </w:r>
    </w:p>
    <w:p>
      <w:pPr>
        <w:spacing w:after="0" w:line="192"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All marketable securities, which consist of corporate debt securities, U.S government agency obligations, U.S treasury and commercial paper are denominated in U.S. dollars, have been classified as “available for sale”, and are carried at fair value. Unrealized gains and losses, net of any related tax effects, are excluded from earnings and are included in other comprehensive income (loss) and reported as a separate component of stockholders equity until realized. Realized gains and losses on marketable securities are included in Other income in the accompanying Consolidated Statements of Operations. The cost of any marketable securities sold is based on the specific identification method. The amortized cost of marketable securities is adjusted for amortization of premiums and accretion of discounts to maturity. Interest on marketable securities is included in other income. In accordance with the Company’s investment policy, management invests to diversify credit risk and only invests in securities with high credit quality, including U.S. government securities, and the maximum final maturity from the date of purchase is thirty-seven months.</w:t>
      </w:r>
    </w:p>
    <w:p>
      <w:pPr>
        <w:spacing w:after="0" w:line="178"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If necessary, the Company will recognize an allowance for credit losses on available-for-sale debt securities on an individual basis, and will no longer consider other than-temporary impairment or immediately reduce the cost basis of the investment provided that it is more likely than not that the security will be held to recovery or maturity. Further, the Company will recognize any improvements in estimated credit losses on available-for-sale debt securities immediately in earnings and reduce the existing allowance for credit losses. The Company will disaggregate its available-for-sale debt securities into the following categories: commercial paper, corporate debt, government and agency securities, asset backed securities and money market funds. The Company’s corporate bonds are comprised of predominantly high-grade corporate bonds while its government and agency securities are U.S. treasury bonds, and U.S. agency bonds. The Company has analyzed both corporate bonds and government and agency securities and identified that both types of securities have similar risk characteristics in that they are traded infrequently and have contractual interest rates and maturity dates.</w:t>
      </w:r>
    </w:p>
    <w:p>
      <w:pPr>
        <w:spacing w:after="0" w:line="165"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To evaluate for impairment, management reviews credit rating changes, securities trends, interest rate movements and unrealized loss at the security level of the Company’s available for sale debt securities. If any of these give rise to a potential credit concern, the Company performs a discounted cash flow analysis to determine the credit portion of the impairment. The discounted cash flow analysis will be performed either internally or through the assistance of a qualified third party. Once the credit component of the impairment is determined, the Company will record the impaired amount as an allowance to the available-for-sale debt securities balance and as a charge to Other income in the accompanying Consolidated Statements of Operations, not to exceed the amount of the unrealized loss. The Company assesses expected credit losses at the end of each reporting period and adjusts the allowance through other income.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BARDA Income and Receivables</w:t>
      </w:r>
    </w:p>
    <w:p>
      <w:pPr>
        <w:spacing w:after="0" w:line="221" w:lineRule="exact"/>
        <w:rPr>
          <w:sz w:val="20"/>
          <w:szCs w:val="20"/>
          <w:color w:val="auto"/>
        </w:rPr>
      </w:pPr>
    </w:p>
    <w:p>
      <w:pPr>
        <w:ind w:right="280" w:firstLine="749"/>
        <w:spacing w:after="0" w:line="261" w:lineRule="auto"/>
        <w:rPr>
          <w:sz w:val="20"/>
          <w:szCs w:val="20"/>
          <w:color w:val="auto"/>
        </w:rPr>
      </w:pPr>
      <w:r>
        <w:rPr>
          <w:rFonts w:ascii="Arial" w:cs="Arial" w:eastAsia="Arial" w:hAnsi="Arial"/>
          <w:sz w:val="18"/>
          <w:szCs w:val="18"/>
          <w:color w:val="auto"/>
        </w:rPr>
        <w:t>The Company was awarded the Biomedical Advance Research and Development Authority ("</w:t>
      </w:r>
      <w:r>
        <w:rPr>
          <w:rFonts w:ascii="Arial" w:cs="Arial" w:eastAsia="Arial" w:hAnsi="Arial"/>
          <w:sz w:val="18"/>
          <w:szCs w:val="18"/>
          <w:b w:val="1"/>
          <w:bCs w:val="1"/>
          <w:color w:val="auto"/>
        </w:rPr>
        <w:t>BARDA</w:t>
      </w:r>
      <w:r>
        <w:rPr>
          <w:rFonts w:ascii="Arial" w:cs="Arial" w:eastAsia="Arial" w:hAnsi="Arial"/>
          <w:sz w:val="18"/>
          <w:szCs w:val="18"/>
          <w:color w:val="auto"/>
        </w:rPr>
        <w:t>") grant in September 2015. Under this grant BARDA supports the Company’s research and development for the Company’s product, including the ongoing U.S. clinical regulatory program targeted towards FDA PMA, our compassionate use program, clinical and health economics research, and U.S. pediatric burn programs. Currently, the BARDA contract is supporting the Company's clinical trial in soft-tissue reconstruction.</w:t>
      </w:r>
    </w:p>
    <w:p>
      <w:pPr>
        <w:spacing w:after="0" w:line="184" w:lineRule="exact"/>
        <w:rPr>
          <w:sz w:val="20"/>
          <w:szCs w:val="20"/>
          <w:color w:val="auto"/>
        </w:rPr>
      </w:pPr>
    </w:p>
    <w:p>
      <w:pPr>
        <w:jc w:val="both"/>
        <w:ind w:right="320" w:firstLine="794"/>
        <w:spacing w:after="0" w:line="286" w:lineRule="auto"/>
        <w:rPr>
          <w:sz w:val="20"/>
          <w:szCs w:val="20"/>
          <w:color w:val="auto"/>
        </w:rPr>
      </w:pPr>
      <w:r>
        <w:rPr>
          <w:rFonts w:ascii="Arial" w:cs="Arial" w:eastAsia="Arial" w:hAnsi="Arial"/>
          <w:sz w:val="17"/>
          <w:szCs w:val="17"/>
          <w:color w:val="auto"/>
        </w:rPr>
        <w:t>Consideration received under the BARDA grant is earned and recognized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65" w:lineRule="exact"/>
        <w:rPr>
          <w:sz w:val="20"/>
          <w:szCs w:val="20"/>
          <w:color w:val="auto"/>
        </w:rPr>
      </w:pPr>
    </w:p>
    <w:p>
      <w:pPr>
        <w:ind w:right="40" w:firstLine="794"/>
        <w:spacing w:after="0" w:line="293" w:lineRule="auto"/>
        <w:rPr>
          <w:sz w:val="20"/>
          <w:szCs w:val="20"/>
          <w:color w:val="auto"/>
        </w:rPr>
      </w:pPr>
      <w:r>
        <w:rPr>
          <w:rFonts w:ascii="Arial" w:cs="Arial" w:eastAsia="Arial" w:hAnsi="Arial"/>
          <w:sz w:val="16"/>
          <w:szCs w:val="16"/>
          <w:color w:val="auto"/>
        </w:rPr>
        <w:t>The Company has concluded that grants under the BARDA grant are not within the scope of ASC 606, as they do not meet the definition of a contract with a “customer.” The Company has further concluded that Subtopic 958-605, Not-for-Profit-Entities-Revenue Recognition also does not apply, as the Company is a business entity and the grants are with governmental agencies or units. With respect to the BARDA grant, we considered the guidance in IAS 20, Accounting for Government Grants and Disclosure of Government Assistance, by analogy. BARDA income and related receivables are recognized when there is reasonable assurance that the grant will be received, and all attaching conditions have been complied with. When the grant relates to an expense item, the grant received is recognized as income over the period when the expense was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The Company has operating leases for corporate office space, manufacturing and a warehouse facility. The Company’s operating leases have remaining lease terms of one year to three years, some of which include options to renew the lease. 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Consolidated Balance Sheets.</w:t>
      </w:r>
    </w:p>
    <w:p>
      <w:pPr>
        <w:spacing w:after="0" w:line="184"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Right-of-use (“</w:t>
      </w:r>
      <w:r>
        <w:rPr>
          <w:rFonts w:ascii="Arial" w:cs="Arial" w:eastAsia="Arial" w:hAnsi="Arial"/>
          <w:sz w:val="18"/>
          <w:szCs w:val="18"/>
          <w:b w:val="1"/>
          <w:bCs w:val="1"/>
          <w:color w:val="auto"/>
        </w:rPr>
        <w:t>ROU</w:t>
      </w:r>
      <w:r>
        <w:rPr>
          <w:rFonts w:ascii="Arial" w:cs="Arial" w:eastAsia="Arial" w:hAnsi="Arial"/>
          <w:sz w:val="18"/>
          <w:szCs w:val="18"/>
          <w:color w:val="auto"/>
        </w:rPr>
        <w:t>”)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explicit rate, the Company used its incremental borrowing rate (“</w:t>
      </w:r>
      <w:r>
        <w:rPr>
          <w:rFonts w:ascii="Arial" w:cs="Arial" w:eastAsia="Arial" w:hAnsi="Arial"/>
          <w:sz w:val="18"/>
          <w:szCs w:val="18"/>
          <w:b w:val="1"/>
          <w:bCs w:val="1"/>
          <w:color w:val="auto"/>
        </w:rPr>
        <w:t>IBR</w:t>
      </w:r>
      <w:r>
        <w:rPr>
          <w:rFonts w:ascii="Arial" w:cs="Arial" w:eastAsia="Arial" w:hAnsi="Arial"/>
          <w:sz w:val="18"/>
          <w:szCs w:val="18"/>
          <w:color w:val="auto"/>
        </w:rPr>
        <w:t>”) based on the information available at the commencement date in determining the discount rate used to present value lease payments. In determining the IBR, the Company considered its credit rating and current market interest rates. The IBR used approximates the interest that the Company would be required to pay for a collateralized loan over a similar term. The Company’s leases typically do not include any residual value guarantees or asset retirement obligations.</w:t>
      </w:r>
    </w:p>
    <w:p>
      <w:pPr>
        <w:spacing w:after="0" w:line="193" w:lineRule="exact"/>
        <w:rPr>
          <w:sz w:val="20"/>
          <w:szCs w:val="20"/>
          <w:color w:val="auto"/>
        </w:rPr>
      </w:pPr>
    </w:p>
    <w:p>
      <w:pPr>
        <w:ind w:right="80" w:firstLine="749"/>
        <w:spacing w:after="0" w:line="296" w:lineRule="auto"/>
        <w:rPr>
          <w:sz w:val="20"/>
          <w:szCs w:val="20"/>
          <w:color w:val="auto"/>
        </w:rPr>
      </w:pPr>
      <w:r>
        <w:rPr>
          <w:rFonts w:ascii="Arial" w:cs="Arial" w:eastAsia="Arial" w:hAnsi="Arial"/>
          <w:sz w:val="16"/>
          <w:szCs w:val="16"/>
          <w:color w:val="auto"/>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 Lease expense is recognized on a straight-line basis over the lease term and is primarily included in General and administrative expenses in the accompanying Consolidated Statements of Operations.</w:t>
      </w:r>
    </w:p>
    <w:p>
      <w:pPr>
        <w:spacing w:after="0" w:line="161"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The Company has lease agreements with lease and non-lease components, which are accounted for as a single lease component for all underlying asset classes. Some leases require variable payments for common area maintenance, property taxes, parking, insurance and other variable costs. The variable portion of lease payments is not included in operating lease assets or liabilities. Variable lease costs are expensed when incurred.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630"/>
        <w:spacing w:after="0" w:line="273" w:lineRule="auto"/>
        <w:rPr>
          <w:sz w:val="20"/>
          <w:szCs w:val="20"/>
          <w:color w:val="auto"/>
        </w:rPr>
      </w:pPr>
      <w:r>
        <w:rPr>
          <w:rFonts w:ascii="Arial" w:cs="Arial" w:eastAsia="Arial" w:hAnsi="Arial"/>
          <w:sz w:val="17"/>
          <w:szCs w:val="17"/>
          <w:color w:val="auto"/>
        </w:rPr>
        <w:t xml:space="preserve">The Company records compensation expense for stock options based on the fair market value of the awards on the date of grant. The fair value of stock-based compensation awards is amortized over the vesting period of the award. Compensation expense for performance-based awards is evaluated based on the number of shares ultimately expected to vest, estimated at each grant date based on management’s expectations regarding the relevant performance criteria, if any. The Black-Scholes option pricing model and Monte Carlo Simulation were used to estimate the fair value of the time-based and performance-based options, respectively. Under </w:t>
      </w:r>
      <w:r>
        <w:rPr>
          <w:rFonts w:ascii="Arial" w:cs="Arial" w:eastAsia="Arial" w:hAnsi="Arial"/>
          <w:sz w:val="17"/>
          <w:szCs w:val="17"/>
          <w:i w:val="1"/>
          <w:iCs w:val="1"/>
          <w:color w:val="auto"/>
        </w:rPr>
        <w:t>ASU 2016-09</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 Stock Compensation (“ASC 718”) Improvements to Employee Share-Based Payment Accounting</w:t>
      </w:r>
      <w:r>
        <w:rPr>
          <w:rFonts w:ascii="Arial" w:cs="Arial" w:eastAsia="Arial" w:hAnsi="Arial"/>
          <w:sz w:val="17"/>
          <w:szCs w:val="17"/>
          <w:color w:val="auto"/>
        </w:rPr>
        <w:t>, the Company elected to account for forfeitures as they occur.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assumptions were used in the valuation of stock options.</w:t>
      </w:r>
    </w:p>
    <w:p>
      <w:pPr>
        <w:spacing w:after="0" w:line="225" w:lineRule="exact"/>
        <w:rPr>
          <w:sz w:val="20"/>
          <w:szCs w:val="20"/>
          <w:color w:val="auto"/>
        </w:rPr>
      </w:pPr>
    </w:p>
    <w:p>
      <w:pPr>
        <w:ind w:left="760" w:right="60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volatility – determined using the average of the historical volatility using daily intervals over the expected term and the derived volatility using the longest term available of 12 months.</w:t>
      </w:r>
    </w:p>
    <w:p>
      <w:pPr>
        <w:spacing w:after="0" w:line="170" w:lineRule="exact"/>
        <w:rPr>
          <w:rFonts w:ascii="Arial" w:cs="Arial" w:eastAsia="Arial" w:hAnsi="Arial"/>
          <w:sz w:val="18"/>
          <w:szCs w:val="18"/>
          <w:color w:val="auto"/>
        </w:rPr>
      </w:pPr>
    </w:p>
    <w:p>
      <w:pPr>
        <w:ind w:left="760" w:right="34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dividends - based on the fact that the Company has never paid cash dividends and does not expect to pay any cash dividends in the foreseeable future</w:t>
      </w:r>
    </w:p>
    <w:p>
      <w:pPr>
        <w:spacing w:after="0" w:line="170" w:lineRule="exact"/>
        <w:rPr>
          <w:rFonts w:ascii="Arial" w:cs="Arial" w:eastAsia="Arial" w:hAnsi="Arial"/>
          <w:sz w:val="18"/>
          <w:szCs w:val="18"/>
          <w:color w:val="auto"/>
        </w:rPr>
      </w:pPr>
    </w:p>
    <w:p>
      <w:pPr>
        <w:ind w:left="760" w:hanging="378"/>
        <w:spacing w:after="0" w:line="25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term – the expected term of the Company’s stock options for tenure only vesting has been determined utilizing the “simplified” method as described in the SEC’s Staff Accounting Bulletin No. 107 relating to share-based compensation. The simplified method was chosen because the Company has limited historical option exercise experience due to its short operating history of awards granted, with the first plan being established in 2016 which was primarily used for executive awards. Further, the Company does not have sufficient history of exercises in the U.S. market given the Company’s redomiciliation from Australia to the United States in 2020. The expected term of options with a performance condition or market condition was set to the contractual term of 10 years. The contractual term was used for options with a performance or market condition as these are primarily awarded to executives and the Company assumes that they will hold them longer than rank and file employees.</w:t>
      </w:r>
    </w:p>
    <w:p>
      <w:pPr>
        <w:spacing w:after="0" w:line="191" w:lineRule="exact"/>
        <w:rPr>
          <w:rFonts w:ascii="Arial" w:cs="Arial" w:eastAsia="Arial" w:hAnsi="Arial"/>
          <w:sz w:val="18"/>
          <w:szCs w:val="18"/>
          <w:color w:val="auto"/>
        </w:rPr>
      </w:pPr>
    </w:p>
    <w:p>
      <w:pPr>
        <w:ind w:left="760" w:right="38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in effect at the time of grant for a period approximately equal to the expected term of the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40" w:firstLine="749"/>
        <w:spacing w:after="0" w:line="311" w:lineRule="auto"/>
        <w:rPr>
          <w:sz w:val="20"/>
          <w:szCs w:val="20"/>
          <w:color w:val="auto"/>
        </w:rPr>
      </w:pPr>
      <w:r>
        <w:rPr>
          <w:rFonts w:ascii="Arial" w:cs="Arial" w:eastAsia="Arial" w:hAnsi="Arial"/>
          <w:sz w:val="16"/>
          <w:szCs w:val="16"/>
          <w:color w:val="auto"/>
        </w:rPr>
        <w:t>Operating segments are defined as components of an enterprise for which separate discrete financial information is available for evaluation by the chief operating decision-maker in making decisions regarding resource allocation and assessing performance. The Company’s chief operating decision-maker is its Chief Executive Officer. To date, the Company has viewed its operations and manages its business as one segment.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 Liability and Corporate-Owned Life Insurance Asset</w:t>
      </w:r>
    </w:p>
    <w:p>
      <w:pPr>
        <w:spacing w:after="0" w:line="221" w:lineRule="exact"/>
        <w:rPr>
          <w:sz w:val="20"/>
          <w:szCs w:val="20"/>
          <w:color w:val="auto"/>
        </w:rPr>
      </w:pPr>
    </w:p>
    <w:p>
      <w:pPr>
        <w:ind w:right="60" w:firstLine="749"/>
        <w:spacing w:after="0" w:line="269" w:lineRule="auto"/>
        <w:rPr>
          <w:sz w:val="20"/>
          <w:szCs w:val="20"/>
          <w:color w:val="auto"/>
        </w:rPr>
      </w:pPr>
      <w:r>
        <w:rPr>
          <w:rFonts w:ascii="Arial" w:cs="Arial" w:eastAsia="Arial" w:hAnsi="Arial"/>
          <w:sz w:val="17"/>
          <w:szCs w:val="17"/>
          <w:color w:val="auto"/>
        </w:rPr>
        <w:t>The Company’s non-qualified deferred compensation plan (the "</w:t>
      </w:r>
      <w:r>
        <w:rPr>
          <w:rFonts w:ascii="Arial" w:cs="Arial" w:eastAsia="Arial" w:hAnsi="Arial"/>
          <w:sz w:val="17"/>
          <w:szCs w:val="17"/>
          <w:b w:val="1"/>
          <w:bCs w:val="1"/>
          <w:color w:val="auto"/>
        </w:rPr>
        <w:t>NQDC plan</w:t>
      </w:r>
      <w:r>
        <w:rPr>
          <w:rFonts w:ascii="Arial" w:cs="Arial" w:eastAsia="Arial" w:hAnsi="Arial"/>
          <w:sz w:val="17"/>
          <w:szCs w:val="17"/>
          <w:color w:val="auto"/>
        </w:rPr>
        <w:t>"), which became effective in October 2021, allows highly compensated key employees to elect to defer a portion of their salary, bonus and restricted stock unit ("</w:t>
      </w:r>
      <w:r>
        <w:rPr>
          <w:rFonts w:ascii="Arial" w:cs="Arial" w:eastAsia="Arial" w:hAnsi="Arial"/>
          <w:sz w:val="17"/>
          <w:szCs w:val="17"/>
          <w:b w:val="1"/>
          <w:bCs w:val="1"/>
          <w:color w:val="auto"/>
        </w:rPr>
        <w:t>RSU</w:t>
      </w:r>
      <w:r>
        <w:rPr>
          <w:rFonts w:ascii="Arial" w:cs="Arial" w:eastAsia="Arial" w:hAnsi="Arial"/>
          <w:sz w:val="17"/>
          <w:szCs w:val="17"/>
          <w:color w:val="auto"/>
        </w:rPr>
        <w:t xml:space="preserve">") awards to later years. Management determined that the cash deferrals under the NQDC plan shall be accounted for similarly to a defined benefit plan under ASC 715, </w:t>
      </w:r>
      <w:r>
        <w:rPr>
          <w:rFonts w:ascii="Arial" w:cs="Arial" w:eastAsia="Arial" w:hAnsi="Arial"/>
          <w:sz w:val="17"/>
          <w:szCs w:val="17"/>
          <w:i w:val="1"/>
          <w:iCs w:val="1"/>
          <w:color w:val="auto"/>
        </w:rPr>
        <w:t>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Retirement Benefits</w:t>
      </w:r>
      <w:r>
        <w:rPr>
          <w:rFonts w:ascii="Arial" w:cs="Arial" w:eastAsia="Arial" w:hAnsi="Arial"/>
          <w:sz w:val="17"/>
          <w:szCs w:val="17"/>
          <w:color w:val="auto"/>
        </w:rPr>
        <w:t>, and should follow accounting treatment that is similar to a cash balance plan. Management determined that the employee portion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employer portion of the deferred compensation should be recognized as a compensation expense with a corresponding credit to deferred compensation liability. The matching contribution will be accrued over the vesting period of two years with 25% vesting in the first year and 75% vesting in the second year. Employees aged 55 or older immediately vest in employer matching contributions. The change in the liability between each reporting period is accounted for as compensation expense with a corresponding adjustment to deferred compensation liability. Upon distribution, the Company will record the distribution as a decrease to compensation liability with a corresponding credit to cash. The Company funds the NQDC plan through a Corporate-Owned Life Insurance (“COLI”). Per the ASC 325-30-25-1A, </w:t>
      </w:r>
      <w:r>
        <w:rPr>
          <w:rFonts w:ascii="Arial" w:cs="Arial" w:eastAsia="Arial" w:hAnsi="Arial"/>
          <w:sz w:val="17"/>
          <w:szCs w:val="17"/>
          <w:i w:val="1"/>
          <w:iCs w:val="1"/>
          <w:color w:val="auto"/>
        </w:rPr>
        <w:t>Investments – Other</w:t>
      </w:r>
      <w:r>
        <w:rPr>
          <w:rFonts w:ascii="Arial" w:cs="Arial" w:eastAsia="Arial" w:hAnsi="Arial"/>
          <w:sz w:val="17"/>
          <w:szCs w:val="17"/>
          <w:color w:val="auto"/>
        </w:rPr>
        <w:t>, COLI is recorded as an asset in on the Consolidated Balance Sheets as it does not meet the definition of a plan asset under ASC 715. The Company invests in COLI policies relating to its deferred compensation plan. Investments in COLI policies are recorded at their cash surrender values as of each balance sheet date. Changes in the cash surrender value during the period are recorded as a gain or loss in the statements of operations in Other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Rabbi Trust</w:t>
      </w:r>
    </w:p>
    <w:p>
      <w:pPr>
        <w:spacing w:after="0" w:line="225"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During April 2022, we established a rabbi trust for a select group of participants in which share awards granted under the 2020 Omnibus Incentive Plan (“2020 Plan”) and deferred under the NQDC plan may be deposited. In addition to the deferral of shares, the rabbi trust holds the assets in the COLI for the NQDC plan. The rabbi trust is an irrevocable trust and no portion of the trust fund may be used for any purpose other than the delivery of those assets to the participants. The assets held in the rabbi trust are subject to the claims of our general creditors in the event of bankruptcy or insolvency. The value of the assets of the rabbi trust is consolidated into our financial statements.</w:t>
      </w:r>
    </w:p>
    <w:p>
      <w:pPr>
        <w:spacing w:after="0" w:line="176"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 NQDC plan permits diversification of vested shares (common stock) into other equity securities subject to a six-month and one day holding period subsequent to vesting. Per ASC 710-10-25-15, accounting for deferred common stock will be under plan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 w:name="page16"/>
    <w:bookmarkEnd w:id="15"/>
    <w:p>
      <w:pPr>
        <w:ind w:right="20"/>
        <w:spacing w:after="0" w:line="277" w:lineRule="auto"/>
        <w:rPr>
          <w:sz w:val="20"/>
          <w:szCs w:val="20"/>
          <w:color w:val="auto"/>
        </w:rPr>
      </w:pPr>
      <w:r>
        <w:rPr>
          <w:rFonts w:ascii="Arial" w:cs="Arial" w:eastAsia="Arial" w:hAnsi="Arial"/>
          <w:sz w:val="18"/>
          <w:szCs w:val="18"/>
          <w:color w:val="auto"/>
        </w:rPr>
        <w:t>type C or D. Accounting will depend on whether or not the employee has diversified the common stock. Under Plan type C, diversification is permitted but the employee has not diversified. Under Plan type D, diversification is permitted and the employee has diversified.</w:t>
      </w:r>
    </w:p>
    <w:p>
      <w:pPr>
        <w:spacing w:after="0" w:line="170"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For common stock that have not been diversified, the employer stock held in the rabbi trust is classified in a manner similar to treasury stock and presented separately on the Consolidated Balance Sheets as Company common stock held by the non-qualified deferred compensation plan. Common stock will be recorded at fair value of the stock at the time it vested, subsequent changes in the value of the common stock will not be recognized. The deferred compensation obligation is measured independently at fair value of the common stock with a corresponding charge or credit to compensation cost. The fair value is calculated as the product of the common stock and the closing price of the stock each reporting period.</w:t>
      </w:r>
    </w:p>
    <w:p>
      <w:pPr>
        <w:spacing w:after="0" w:line="176"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Under plan type D, the accounting for the assets held by the rabbi trust are subject to the accounting pronouncements under applicable U.S. GAAP for each asset type. As diversified common stock will be invested in mutual funds, assets held by the rabbi trust will be subject to accounting in ASC 321 - Investments - Equity Securities. The deferred compensation obligation is measured independently at fair value of the underlying assets. As of March 31, 2023, none of the deferred common stock has been diversified.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Stock Awards</w:t>
      </w:r>
    </w:p>
    <w:p>
      <w:pPr>
        <w:spacing w:after="0" w:line="225" w:lineRule="exact"/>
        <w:rPr>
          <w:sz w:val="20"/>
          <w:szCs w:val="20"/>
          <w:color w:val="auto"/>
        </w:rPr>
      </w:pPr>
    </w:p>
    <w:p>
      <w:pPr>
        <w:ind w:right="160" w:firstLine="749"/>
        <w:spacing w:after="0" w:line="275"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i w:val="1"/>
          <w:iCs w:val="1"/>
          <w:color w:val="auto"/>
        </w:rPr>
        <w:t>ASC 718, Compensation — Stock Compensation</w:t>
      </w:r>
      <w:r>
        <w:rPr>
          <w:rFonts w:ascii="Arial" w:cs="Arial" w:eastAsia="Arial" w:hAnsi="Arial"/>
          <w:sz w:val="17"/>
          <w:szCs w:val="17"/>
          <w:color w:val="auto"/>
        </w:rPr>
        <w:t>, the deferred RSU awards under the NQDC plan are classified as an equity instrument and changes in fair value of the amount owed to the participant are not recognized. As the plan permits diversification, presentation outside of permanent equity in accordance with ASR 268, Redeemable Preferred Stock is appropriate. The redemption amounts are based on the vested percentage and are recorded outside of equity as Non-qualified deferred compensation share awards on the Consolidated Balance Sheets. Deferred awards will be presented outside of permanent equity until the awards are vested. For further details refer to Note 18.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Standards Update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All newly issued but not yet effective accounting pronouncements have been deemed to be not applicable or immaterial to the Company.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amortized cost and estimated fair values of debt securities available for sale: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020"/>
              <w:spacing w:after="0"/>
              <w:rPr>
                <w:sz w:val="20"/>
                <w:szCs w:val="20"/>
                <w:color w:val="auto"/>
              </w:rPr>
            </w:pPr>
            <w:r>
              <w:rPr>
                <w:rFonts w:ascii="Arial" w:cs="Arial" w:eastAsia="Arial" w:hAnsi="Arial"/>
                <w:sz w:val="14"/>
                <w:szCs w:val="14"/>
                <w:b w:val="1"/>
                <w:bCs w:val="1"/>
                <w:color w:val="auto"/>
              </w:rPr>
              <w:t>As of March 31, 2023</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2"/>
                <w:szCs w:val="12"/>
                <w:color w:val="auto"/>
              </w:rPr>
            </w:pPr>
          </w:p>
        </w:tc>
        <w:tc>
          <w:tcPr>
            <w:tcW w:w="106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9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Holding</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Holding</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33"/>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6"/>
                <w:szCs w:val="16"/>
                <w:color w:val="auto"/>
              </w:rPr>
            </w:pPr>
          </w:p>
        </w:tc>
        <w:tc>
          <w:tcPr>
            <w:tcW w:w="106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920" w:type="dxa"/>
            <w:vAlign w:val="bottom"/>
          </w:tcPr>
          <w:p>
            <w:pPr>
              <w:jc w:val="right"/>
              <w:ind w:right="293"/>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equivalents:</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24,797</w:t>
            </w:r>
          </w:p>
        </w:tc>
        <w:tc>
          <w:tcPr>
            <w:tcW w:w="134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marketable securities:</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32,407</w:t>
            </w:r>
          </w:p>
        </w:tc>
        <w:tc>
          <w:tcPr>
            <w:tcW w:w="134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32,236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9,338</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2,168</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(14 )</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Government agency obligations</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2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Total current marketable securities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45,585</w:t>
            </w:r>
          </w:p>
        </w:tc>
        <w:tc>
          <w:tcPr>
            <w:tcW w:w="134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color w:val="auto"/>
                <w:highlight w:val="white"/>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45,401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Long-term marketable securities: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Asset backed securities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3,212</w:t>
            </w:r>
          </w:p>
        </w:tc>
        <w:tc>
          <w:tcPr>
            <w:tcW w:w="134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2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Total long-term marketable securities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4,190</w:t>
            </w:r>
          </w:p>
        </w:tc>
        <w:tc>
          <w:tcPr>
            <w:tcW w:w="134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color w:val="auto"/>
                <w:highlight w:val="white"/>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55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79"/>
              </w:rPr>
              <w:t>16</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-1534160</wp:posOffset>
            </wp:positionV>
            <wp:extent cx="85725"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-1534160</wp:posOffset>
            </wp:positionV>
            <wp:extent cx="8572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-1534160</wp:posOffset>
            </wp:positionV>
            <wp:extent cx="85725"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-882015</wp:posOffset>
            </wp:positionV>
            <wp:extent cx="85725"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-882015</wp:posOffset>
            </wp:positionV>
            <wp:extent cx="85725"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-882015</wp:posOffset>
            </wp:positionV>
            <wp:extent cx="8572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841"/>
              <w:spacing w:after="0"/>
              <w:rPr>
                <w:sz w:val="20"/>
                <w:szCs w:val="20"/>
                <w:color w:val="auto"/>
              </w:rPr>
            </w:pPr>
            <w:r>
              <w:rPr>
                <w:rFonts w:ascii="Arial" w:cs="Arial" w:eastAsia="Arial" w:hAnsi="Arial"/>
                <w:sz w:val="14"/>
                <w:szCs w:val="14"/>
                <w:b w:val="1"/>
                <w:bCs w:val="1"/>
                <w:color w:val="auto"/>
              </w:rPr>
              <w:t>As of December 31, 2022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center"/>
              <w:ind w:left="123"/>
              <w:spacing w:after="0" w:line="13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401"/>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2"/>
                <w:szCs w:val="12"/>
                <w:color w:val="auto"/>
              </w:rPr>
            </w:pPr>
          </w:p>
        </w:tc>
        <w:tc>
          <w:tcPr>
            <w:tcW w:w="1060" w:type="dxa"/>
            <w:vAlign w:val="bottom"/>
          </w:tcPr>
          <w:p>
            <w:pPr>
              <w:jc w:val="center"/>
              <w:ind w:left="123"/>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4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9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123"/>
              <w:spacing w:after="0" w:line="149" w:lineRule="exact"/>
              <w:rPr>
                <w:sz w:val="20"/>
                <w:szCs w:val="20"/>
                <w:color w:val="auto"/>
              </w:rPr>
            </w:pPr>
            <w:r>
              <w:rPr>
                <w:rFonts w:ascii="Arial" w:cs="Arial" w:eastAsia="Arial" w:hAnsi="Arial"/>
                <w:sz w:val="14"/>
                <w:szCs w:val="14"/>
                <w:b w:val="1"/>
                <w:bCs w:val="1"/>
                <w:color w:val="auto"/>
                <w:w w:val="95"/>
              </w:rPr>
              <w:t>Holding</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401"/>
              <w:spacing w:after="0" w:line="149" w:lineRule="exact"/>
              <w:rPr>
                <w:sz w:val="20"/>
                <w:szCs w:val="20"/>
                <w:color w:val="auto"/>
              </w:rPr>
            </w:pPr>
            <w:r>
              <w:rPr>
                <w:rFonts w:ascii="Arial" w:cs="Arial" w:eastAsia="Arial" w:hAnsi="Arial"/>
                <w:sz w:val="14"/>
                <w:szCs w:val="14"/>
                <w:b w:val="1"/>
                <w:bCs w:val="1"/>
                <w:color w:val="auto"/>
                <w:w w:val="92"/>
              </w:rPr>
              <w:t>Holding</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33"/>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6"/>
                <w:szCs w:val="16"/>
                <w:color w:val="auto"/>
              </w:rPr>
            </w:pPr>
          </w:p>
        </w:tc>
        <w:tc>
          <w:tcPr>
            <w:tcW w:w="1060" w:type="dxa"/>
            <w:vAlign w:val="bottom"/>
          </w:tcPr>
          <w:p>
            <w:pPr>
              <w:jc w:val="center"/>
              <w:ind w:left="103"/>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401"/>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920" w:type="dxa"/>
            <w:vAlign w:val="bottom"/>
          </w:tcPr>
          <w:p>
            <w:pPr>
              <w:jc w:val="right"/>
              <w:ind w:right="293"/>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equivalents: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14,089</w:t>
            </w:r>
          </w:p>
        </w:tc>
        <w:tc>
          <w:tcPr>
            <w:tcW w:w="1340" w:type="dxa"/>
            <w:vAlign w:val="bottom"/>
            <w:gridSpan w:val="2"/>
          </w:tcPr>
          <w:p>
            <w:pPr>
              <w:jc w:val="right"/>
              <w:ind w:right="88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marketable securities: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43,092</w:t>
            </w:r>
          </w:p>
        </w:tc>
        <w:tc>
          <w:tcPr>
            <w:tcW w:w="1340" w:type="dxa"/>
            <w:vAlign w:val="bottom"/>
            <w:gridSpan w:val="2"/>
          </w:tcPr>
          <w:p>
            <w:pPr>
              <w:jc w:val="right"/>
              <w:ind w:right="88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(393 )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42,700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12,743</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3,865</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(23 )</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agency obligations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(8 )</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Total current marketable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61,601</w:t>
            </w:r>
          </w:p>
        </w:tc>
        <w:tc>
          <w:tcPr>
            <w:tcW w:w="280" w:type="dxa"/>
            <w:vAlign w:val="bottom"/>
          </w:tcPr>
          <w:p>
            <w:pPr>
              <w:spacing w:after="0"/>
              <w:rPr>
                <w:sz w:val="20"/>
                <w:szCs w:val="20"/>
                <w:color w:val="auto"/>
              </w:rPr>
            </w:pPr>
          </w:p>
        </w:tc>
        <w:tc>
          <w:tcPr>
            <w:tcW w:w="1060" w:type="dxa"/>
            <w:vAlign w:val="bottom"/>
          </w:tcPr>
          <w:p>
            <w:pPr>
              <w:jc w:val="right"/>
              <w:ind w:right="883"/>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color w:val="auto"/>
                <w:highlight w:val="white"/>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61,178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Long-term marketable securities: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Asset backed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3,568</w:t>
            </w:r>
          </w:p>
        </w:tc>
        <w:tc>
          <w:tcPr>
            <w:tcW w:w="1340" w:type="dxa"/>
            <w:vAlign w:val="bottom"/>
            <w:gridSpan w:val="2"/>
          </w:tcPr>
          <w:p>
            <w:pPr>
              <w:jc w:val="right"/>
              <w:ind w:right="88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(3 )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3,572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(6 )</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U.S Government agency obligations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949</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long-term marketable securities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6,933</w:t>
            </w:r>
          </w:p>
        </w:tc>
        <w:tc>
          <w:tcPr>
            <w:tcW w:w="2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ind w:right="883"/>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6,930</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-993775</wp:posOffset>
            </wp:positionV>
            <wp:extent cx="8572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-993775</wp:posOffset>
            </wp:positionV>
            <wp:extent cx="8572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-993775</wp:posOffset>
            </wp:positionV>
            <wp:extent cx="8572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-24765</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9"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The maturities of debt securities available for sale are summarized in the following table using contractual maturities. Actual maturities may differ from contractual maturities due to obligations that are called or prepaid.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As of March 31, 2023</w:t>
            </w:r>
          </w:p>
        </w:tc>
        <w:tc>
          <w:tcPr>
            <w:tcW w:w="5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4"/>
                <w:szCs w:val="14"/>
                <w:b w:val="1"/>
                <w:bCs w:val="1"/>
                <w:color w:val="auto"/>
              </w:rPr>
              <w:t>As of December 31, 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4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1"/>
                <w:szCs w:val="11"/>
                <w:color w:val="auto"/>
              </w:rPr>
            </w:pPr>
          </w:p>
        </w:tc>
        <w:tc>
          <w:tcPr>
            <w:tcW w:w="1300" w:type="dxa"/>
            <w:vAlign w:val="bottom"/>
          </w:tcPr>
          <w:p>
            <w:pPr>
              <w:jc w:val="right"/>
              <w:ind w:right="381"/>
              <w:spacing w:after="0" w:line="133" w:lineRule="exact"/>
              <w:rPr>
                <w:sz w:val="20"/>
                <w:szCs w:val="20"/>
                <w:color w:val="auto"/>
              </w:rPr>
            </w:pPr>
            <w:r>
              <w:rPr>
                <w:rFonts w:ascii="Arial" w:cs="Arial" w:eastAsia="Arial" w:hAnsi="Arial"/>
                <w:sz w:val="14"/>
                <w:szCs w:val="14"/>
                <w:b w:val="1"/>
                <w:bCs w:val="1"/>
                <w:color w:val="auto"/>
              </w:rPr>
              <w:t>Amortized</w:t>
            </w:r>
          </w:p>
        </w:tc>
        <w:tc>
          <w:tcPr>
            <w:tcW w:w="340" w:type="dxa"/>
            <w:vAlign w:val="bottom"/>
          </w:tcPr>
          <w:p>
            <w:pPr>
              <w:spacing w:after="0"/>
              <w:rPr>
                <w:sz w:val="11"/>
                <w:szCs w:val="11"/>
                <w:color w:val="auto"/>
              </w:rPr>
            </w:pPr>
          </w:p>
        </w:tc>
        <w:tc>
          <w:tcPr>
            <w:tcW w:w="12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jc w:val="right"/>
              <w:ind w:right="381"/>
              <w:spacing w:after="0" w:line="133" w:lineRule="exact"/>
              <w:rPr>
                <w:sz w:val="20"/>
                <w:szCs w:val="20"/>
                <w:color w:val="auto"/>
              </w:rPr>
            </w:pPr>
            <w:r>
              <w:rPr>
                <w:rFonts w:ascii="Arial" w:cs="Arial" w:eastAsia="Arial" w:hAnsi="Arial"/>
                <w:sz w:val="14"/>
                <w:szCs w:val="14"/>
                <w:b w:val="1"/>
                <w:bCs w:val="1"/>
                <w:color w:val="auto"/>
              </w:rPr>
              <w:t>Amortized</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right"/>
              <w:ind w:right="419"/>
              <w:spacing w:after="0" w:line="13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54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6"/>
                <w:szCs w:val="16"/>
                <w:color w:val="auto"/>
              </w:rPr>
            </w:pP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in one year or less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45,585</w:t>
            </w: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06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45,401</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61,601</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61,178</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Due after one year through three years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4,190</w:t>
            </w:r>
          </w:p>
        </w:tc>
        <w:tc>
          <w:tcPr>
            <w:tcW w:w="1580" w:type="dxa"/>
            <w:vAlign w:val="bottom"/>
            <w:gridSpan w:val="2"/>
          </w:tcPr>
          <w:p>
            <w:pPr>
              <w:jc w:val="right"/>
              <w:ind w:right="106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4,189</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6,933</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80" w:firstLine="749"/>
        <w:spacing w:after="0" w:line="296" w:lineRule="auto"/>
        <w:rPr>
          <w:sz w:val="20"/>
          <w:szCs w:val="20"/>
          <w:color w:val="auto"/>
        </w:rPr>
      </w:pPr>
      <w:r>
        <w:rPr>
          <w:rFonts w:ascii="Arial" w:cs="Arial" w:eastAsia="Arial" w:hAnsi="Arial"/>
          <w:sz w:val="16"/>
          <w:szCs w:val="16"/>
          <w:color w:val="auto"/>
        </w:rPr>
        <w:t>Gross unrealized gains and losses on the Company’s marketable securities were an unrealized gain of $8,000 and an unrealized loss of $193,000 as of March 31, 2023, which resulted in a net unrealized loss of $185,000. Gross unrealized gains and losses on the Company’s marketable securities were an unrealized gain of $8,000 and an unrealized loss of $434,000 as of December 31, 2022 which resulted in a net unrealized loss of $426,000. As of March 31, 2023, and December 31, 2022, the Company did not recognize credit losses. The Company has accrued interest income of $134,000 and $168,000 as of March 31, 2023, and December 31, 2022, respectively, recorded in prepaids and other current assets.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749"/>
        <w:spacing w:after="0" w:line="271" w:lineRule="auto"/>
        <w:rPr>
          <w:sz w:val="20"/>
          <w:szCs w:val="20"/>
          <w:color w:val="auto"/>
        </w:rPr>
      </w:pPr>
      <w:r>
        <w:rPr>
          <w:rFonts w:ascii="Arial" w:cs="Arial" w:eastAsia="Arial" w:hAnsi="Arial"/>
          <w:sz w:val="17"/>
          <w:szCs w:val="17"/>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178" w:lineRule="exact"/>
        <w:rPr>
          <w:sz w:val="20"/>
          <w:szCs w:val="20"/>
          <w:color w:val="auto"/>
        </w:rPr>
      </w:pPr>
    </w:p>
    <w:p>
      <w:pPr>
        <w:ind w:left="760" w:right="640"/>
        <w:spacing w:after="0" w:line="277" w:lineRule="auto"/>
        <w:rPr>
          <w:sz w:val="20"/>
          <w:szCs w:val="20"/>
          <w:color w:val="auto"/>
        </w:rPr>
      </w:pPr>
      <w:r>
        <w:rPr>
          <w:rFonts w:ascii="Arial" w:cs="Arial" w:eastAsia="Arial" w:hAnsi="Arial"/>
          <w:sz w:val="18"/>
          <w:szCs w:val="18"/>
          <w:color w:val="auto"/>
        </w:rPr>
        <w:t>Level 1: Inputs are quoted prices (unadjusted) in active markets for identical assets or liabilities that the reporting entity can access at the measurement date.</w:t>
      </w:r>
    </w:p>
    <w:p>
      <w:pPr>
        <w:spacing w:after="0" w:line="170" w:lineRule="exact"/>
        <w:rPr>
          <w:sz w:val="20"/>
          <w:szCs w:val="20"/>
          <w:color w:val="auto"/>
        </w:rPr>
      </w:pPr>
    </w:p>
    <w:p>
      <w:pPr>
        <w:ind w:left="760" w:right="720"/>
        <w:spacing w:after="0" w:line="277" w:lineRule="auto"/>
        <w:rPr>
          <w:sz w:val="20"/>
          <w:szCs w:val="20"/>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7" w:name="page18"/>
    <w:bookmarkEnd w:id="17"/>
    <w:p>
      <w:pPr>
        <w:ind w:right="40" w:firstLine="749"/>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based on the three-tier fair value hierarchy: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As of March 31, 2023</w:t>
            </w: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1"/>
                <w:szCs w:val="21"/>
                <w:color w:val="auto"/>
              </w:rPr>
            </w:pPr>
          </w:p>
        </w:tc>
      </w:tr>
      <w:tr>
        <w:trPr>
          <w:trHeight w:val="237"/>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equivalents:</w:t>
            </w: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24,797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24,797</w:t>
            </w:r>
          </w:p>
        </w:tc>
        <w:tc>
          <w:tcPr>
            <w:tcW w:w="140" w:type="dxa"/>
            <w:vAlign w:val="bottom"/>
          </w:tcPr>
          <w:p>
            <w:pPr>
              <w:spacing w:after="0"/>
              <w:rPr>
                <w:sz w:val="20"/>
                <w:szCs w:val="20"/>
                <w:color w:val="auto"/>
              </w:rPr>
            </w:pPr>
          </w:p>
        </w:tc>
      </w:tr>
      <w:tr>
        <w:trPr>
          <w:trHeight w:val="249"/>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marketable securities:</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32,236</w:t>
            </w:r>
          </w:p>
        </w:tc>
        <w:tc>
          <w:tcPr>
            <w:tcW w:w="126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32,236</w:t>
            </w:r>
          </w:p>
        </w:tc>
        <w:tc>
          <w:tcPr>
            <w:tcW w:w="140" w:type="dxa"/>
            <w:vAlign w:val="bottom"/>
          </w:tcPr>
          <w:p>
            <w:pPr>
              <w:spacing w:after="0"/>
              <w:rPr>
                <w:sz w:val="20"/>
                <w:szCs w:val="20"/>
                <w:color w:val="auto"/>
              </w:rPr>
            </w:pPr>
          </w:p>
        </w:tc>
      </w:tr>
      <w:tr>
        <w:trPr>
          <w:trHeight w:val="249"/>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9,338</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9,338</w:t>
            </w:r>
          </w:p>
        </w:tc>
        <w:tc>
          <w:tcPr>
            <w:tcW w:w="140" w:type="dxa"/>
            <w:vAlign w:val="bottom"/>
            <w:shd w:val="clear" w:color="auto" w:fill="CFF0FC"/>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2,154</w:t>
            </w:r>
          </w:p>
        </w:tc>
        <w:tc>
          <w:tcPr>
            <w:tcW w:w="140" w:type="dxa"/>
            <w:vAlign w:val="bottom"/>
          </w:tcPr>
          <w:p>
            <w:pPr>
              <w:spacing w:after="0"/>
              <w:rPr>
                <w:sz w:val="20"/>
                <w:szCs w:val="20"/>
                <w:color w:val="auto"/>
              </w:rPr>
            </w:pPr>
          </w:p>
        </w:tc>
      </w:tr>
      <w:tr>
        <w:trPr>
          <w:trHeight w:val="247"/>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Government agency obligations</w:t>
            </w: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2"/>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current marketable securities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45,401</w:t>
            </w:r>
          </w:p>
        </w:tc>
        <w:tc>
          <w:tcPr>
            <w:tcW w:w="12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45,401</w:t>
            </w:r>
          </w:p>
        </w:tc>
        <w:tc>
          <w:tcPr>
            <w:tcW w:w="14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Long-term marketable securities:</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Asset backed 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3,211</w:t>
            </w:r>
          </w:p>
        </w:tc>
        <w:tc>
          <w:tcPr>
            <w:tcW w:w="126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3,211</w:t>
            </w:r>
          </w:p>
        </w:tc>
        <w:tc>
          <w:tcPr>
            <w:tcW w:w="140" w:type="dxa"/>
            <w:vAlign w:val="bottom"/>
          </w:tcPr>
          <w:p>
            <w:pPr>
              <w:spacing w:after="0"/>
              <w:rPr>
                <w:sz w:val="20"/>
                <w:szCs w:val="20"/>
                <w:color w:val="auto"/>
              </w:rPr>
            </w:pPr>
          </w:p>
        </w:tc>
      </w:tr>
      <w:tr>
        <w:trPr>
          <w:trHeight w:val="249"/>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long-term marketable securities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4,189</w:t>
            </w:r>
          </w:p>
        </w:tc>
        <w:tc>
          <w:tcPr>
            <w:tcW w:w="12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4,189</w:t>
            </w:r>
          </w:p>
        </w:tc>
        <w:tc>
          <w:tcPr>
            <w:tcW w:w="140" w:type="dxa"/>
            <w:vAlign w:val="bottom"/>
          </w:tcPr>
          <w:p>
            <w:pPr>
              <w:spacing w:after="0"/>
              <w:rPr>
                <w:sz w:val="20"/>
                <w:szCs w:val="20"/>
                <w:color w:val="auto"/>
              </w:rPr>
            </w:pPr>
          </w:p>
        </w:tc>
      </w:tr>
      <w:tr>
        <w:trPr>
          <w:trHeight w:val="236"/>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marketable securities and cash equivalents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24,797</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49,590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74,387</w:t>
            </w:r>
          </w:p>
        </w:tc>
        <w:tc>
          <w:tcPr>
            <w:tcW w:w="14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6"/>
        </w:trPr>
        <w:tc>
          <w:tcPr>
            <w:tcW w:w="4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2"/>
              </w:rPr>
              <w:t>As of December 31, 2022</w:t>
            </w: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1"/>
                <w:szCs w:val="21"/>
                <w:color w:val="auto"/>
              </w:rPr>
            </w:pPr>
          </w:p>
        </w:tc>
      </w:tr>
      <w:tr>
        <w:trPr>
          <w:trHeight w:val="237"/>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equivalents:</w:t>
            </w: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14,089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14,089</w:t>
            </w:r>
          </w:p>
        </w:tc>
        <w:tc>
          <w:tcPr>
            <w:tcW w:w="140" w:type="dxa"/>
            <w:vAlign w:val="bottom"/>
          </w:tcPr>
          <w:p>
            <w:pPr>
              <w:spacing w:after="0"/>
              <w:rPr>
                <w:sz w:val="20"/>
                <w:szCs w:val="20"/>
                <w:color w:val="auto"/>
              </w:rPr>
            </w:pPr>
          </w:p>
        </w:tc>
      </w:tr>
      <w:tr>
        <w:trPr>
          <w:trHeight w:val="249"/>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marketable securities:</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42,700</w:t>
            </w:r>
          </w:p>
        </w:tc>
        <w:tc>
          <w:tcPr>
            <w:tcW w:w="14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12,743</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12,743</w:t>
            </w:r>
          </w:p>
        </w:tc>
        <w:tc>
          <w:tcPr>
            <w:tcW w:w="140" w:type="dxa"/>
            <w:vAlign w:val="bottom"/>
            <w:shd w:val="clear" w:color="auto" w:fill="CFF0FC"/>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3,842</w:t>
            </w:r>
          </w:p>
        </w:tc>
        <w:tc>
          <w:tcPr>
            <w:tcW w:w="140" w:type="dxa"/>
            <w:vAlign w:val="bottom"/>
          </w:tcPr>
          <w:p>
            <w:pPr>
              <w:spacing w:after="0"/>
              <w:rPr>
                <w:sz w:val="20"/>
                <w:szCs w:val="20"/>
                <w:color w:val="auto"/>
              </w:rPr>
            </w:pPr>
          </w:p>
        </w:tc>
      </w:tr>
      <w:tr>
        <w:trPr>
          <w:trHeight w:val="247"/>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Government agency obligations</w:t>
            </w: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2"/>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current marketable securities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61,178</w:t>
            </w:r>
          </w:p>
        </w:tc>
        <w:tc>
          <w:tcPr>
            <w:tcW w:w="12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61,178</w:t>
            </w:r>
          </w:p>
        </w:tc>
        <w:tc>
          <w:tcPr>
            <w:tcW w:w="14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Long-term marketable securities:</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Asset backed 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3,572</w:t>
            </w:r>
          </w:p>
        </w:tc>
        <w:tc>
          <w:tcPr>
            <w:tcW w:w="126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3,572</w:t>
            </w:r>
          </w:p>
        </w:tc>
        <w:tc>
          <w:tcPr>
            <w:tcW w:w="140" w:type="dxa"/>
            <w:vAlign w:val="bottom"/>
          </w:tcPr>
          <w:p>
            <w:pPr>
              <w:spacing w:after="0"/>
              <w:rPr>
                <w:sz w:val="20"/>
                <w:szCs w:val="20"/>
                <w:color w:val="auto"/>
              </w:rPr>
            </w:pPr>
          </w:p>
        </w:tc>
      </w:tr>
      <w:tr>
        <w:trPr>
          <w:trHeight w:val="249"/>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140" w:type="dxa"/>
            <w:vAlign w:val="bottom"/>
            <w:shd w:val="clear" w:color="auto" w:fill="CFF0FC"/>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U.S. Government agency obligations</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40" w:type="dxa"/>
            <w:vAlign w:val="bottom"/>
          </w:tcPr>
          <w:p>
            <w:pPr>
              <w:spacing w:after="0"/>
              <w:rPr>
                <w:sz w:val="21"/>
                <w:szCs w:val="21"/>
                <w:color w:val="auto"/>
              </w:rPr>
            </w:pPr>
          </w:p>
        </w:tc>
      </w:tr>
      <w:tr>
        <w:trPr>
          <w:trHeight w:val="237"/>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long-term marketable securities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6,930</w:t>
            </w:r>
          </w:p>
        </w:tc>
        <w:tc>
          <w:tcPr>
            <w:tcW w:w="360" w:type="dxa"/>
            <w:vAlign w:val="bottom"/>
            <w:tcBorders>
              <w:bottom w:val="single" w:sz="8" w:color="CFF0FC"/>
            </w:tcBorders>
            <w:gridSpan w:val="2"/>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6,930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marketable securities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14,089</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68,108</w:t>
            </w:r>
          </w:p>
        </w:tc>
        <w:tc>
          <w:tcPr>
            <w:tcW w:w="12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82,197</w:t>
            </w:r>
          </w:p>
        </w:tc>
        <w:tc>
          <w:tcPr>
            <w:tcW w:w="14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-3805555</wp:posOffset>
            </wp:positionV>
            <wp:extent cx="85725"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-3805555</wp:posOffset>
            </wp:positionV>
            <wp:extent cx="8572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-3805555</wp:posOffset>
            </wp:positionV>
            <wp:extent cx="8572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-3805555</wp:posOffset>
            </wp:positionV>
            <wp:extent cx="85725"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-3179445</wp:posOffset>
            </wp:positionV>
            <wp:extent cx="85725" cy="3511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3511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-3179445</wp:posOffset>
            </wp:positionV>
            <wp:extent cx="85725" cy="3511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3511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-3179445</wp:posOffset>
            </wp:positionV>
            <wp:extent cx="85725" cy="3511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3511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-3179445</wp:posOffset>
            </wp:positionV>
            <wp:extent cx="85725" cy="3511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3511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-1130935</wp:posOffset>
            </wp:positionV>
            <wp:extent cx="85725"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-1130935</wp:posOffset>
            </wp:positionV>
            <wp:extent cx="85725"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-1130935</wp:posOffset>
            </wp:positionV>
            <wp:extent cx="85725"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-1130935</wp:posOffset>
            </wp:positionV>
            <wp:extent cx="85725"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-187960</wp:posOffset>
            </wp:positionV>
            <wp:extent cx="8572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8572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8572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The Company’s Level 1 assets include money market instruments and are valued based upon observable market prices. Level 2 assets consist of commercial paper, U.S Government agency obligations, corporate debt securities, asset backed securities and U.S Treasury securities. Level 2 securities are valued based upon observable inputs that include reported trades, broker/dealer quotes, bids and offers. As of March 31, 2023 and December 31, 2022, the Company had no investments that were measured using unobservable (Level 3) inputs. There were no transfers between fair value measurement levels as of March 31, 2023 or December 31,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The Company’s revenue consists of sale of the RECELL System to hospitals, treatment centers and COSMOTEC (“commercial customers”) and to BARDA (collectively “</w:t>
      </w:r>
      <w:r>
        <w:rPr>
          <w:rFonts w:ascii="Arial" w:cs="Arial" w:eastAsia="Arial" w:hAnsi="Arial"/>
          <w:sz w:val="18"/>
          <w:szCs w:val="18"/>
          <w:b w:val="1"/>
          <w:bCs w:val="1"/>
          <w:color w:val="auto"/>
        </w:rPr>
        <w:t>customers</w:t>
      </w:r>
      <w:r>
        <w:rPr>
          <w:rFonts w:ascii="Arial" w:cs="Arial" w:eastAsia="Arial" w:hAnsi="Arial"/>
          <w:sz w:val="18"/>
          <w:szCs w:val="18"/>
          <w:color w:val="auto"/>
        </w:rPr>
        <w:t>”), predominately in the United States. In addition, the Company records service revenue for the emergency preparedness services provided to BARDA.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For commercial contracts, we identified the hospital or treatment center as the customer in Step 1 of the 5-step model of ASC 606 and have determined a contract exists with those customers. As these contracts typically have a single performance obligation (i.e. product delivery), no allocation of the transaction price is required in Step 4 of the model. Control of the product is transferred to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spacing w:after="0" w:line="263" w:lineRule="auto"/>
        <w:rPr>
          <w:sz w:val="20"/>
          <w:szCs w:val="20"/>
          <w:color w:val="auto"/>
        </w:rPr>
      </w:pPr>
      <w:r>
        <w:rPr>
          <w:rFonts w:ascii="Arial" w:cs="Arial" w:eastAsia="Arial" w:hAnsi="Arial"/>
          <w:sz w:val="18"/>
          <w:szCs w:val="18"/>
          <w:color w:val="auto"/>
        </w:rPr>
        <w:t>customer at a point in time, at the point in time at which the goods are either shipped or delivered to our customers’ facilities, depending on the terms of the contract. The transaction price is stated within the contract and is therefore fixed consideration. The transaction price does not include the sales tax that is imposed by governmental authorities.</w:t>
      </w:r>
    </w:p>
    <w:p>
      <w:pPr>
        <w:spacing w:after="0" w:line="184" w:lineRule="exact"/>
        <w:rPr>
          <w:sz w:val="20"/>
          <w:szCs w:val="20"/>
          <w:color w:val="auto"/>
        </w:rPr>
      </w:pPr>
    </w:p>
    <w:p>
      <w:pPr>
        <w:ind w:right="40" w:firstLine="749"/>
        <w:spacing w:after="0" w:line="268" w:lineRule="auto"/>
        <w:rPr>
          <w:sz w:val="20"/>
          <w:szCs w:val="20"/>
          <w:color w:val="auto"/>
        </w:rPr>
      </w:pPr>
      <w:r>
        <w:rPr>
          <w:rFonts w:ascii="Arial" w:cs="Arial" w:eastAsia="Arial" w:hAnsi="Arial"/>
          <w:sz w:val="17"/>
          <w:szCs w:val="17"/>
          <w:color w:val="auto"/>
        </w:rPr>
        <w:t>For the contract with BARDA, the Company identified two performance obligations (i) the procurement of 5,614 RECELL units; and (ii) emergency preparedness services. The Company’s performance obligations are either satisfied at a point in time or over time as services are provided. The product procurement performance obligation is satisfied at a point in time, upon transfer of control of the product. RECELL units that have been delivered to BARDA have a product replacement obligation at no cost to BARDA due to the product’s limited shelf-life. The estimated cost of the expired inventory over the term of the contract is recognized on a per unit basis at the time of delivery. The liability is released upon replacement of the product along with a corresponding reduction to inventory. The Company has estimated deferred cost of approximately $130,000 and $194,000 as of March 31, 2023 and December 31, 2022, respectively, for the rotation cost of the product and are included Other current liabilities in the Consolidated Balance Sheets. The emergency preparedness services performance obligation is satisfied over time. Revenue for the emergency deployment will be recognized on a straight-line basis during the term of the contract as services are consumed over time. Services recognized for the three-months ended March 31, 2023 and 2022 were $92,000 and $93,000, respectively, and are included in Revenues within the Consolidated Statements of Operations. Contract costs to fulfill the performance obligation that are incremental and are expected to be recovered are capitalized and amortized on a straight-line basis over the term of the contract. As of March 31, 2023 and December 31, 2022 contract costs of $189,000 and $252,000 are included in Prepaids and other current assets in the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120" w:firstLine="749"/>
        <w:spacing w:after="0" w:line="290" w:lineRule="auto"/>
        <w:rPr>
          <w:sz w:val="20"/>
          <w:szCs w:val="20"/>
          <w:color w:val="auto"/>
        </w:rPr>
      </w:pPr>
      <w:r>
        <w:rPr>
          <w:rFonts w:ascii="Arial" w:cs="Arial" w:eastAsia="Arial" w:hAnsi="Arial"/>
          <w:sz w:val="16"/>
          <w:szCs w:val="16"/>
          <w:color w:val="auto"/>
        </w:rPr>
        <w:t>Revenues from remaining performance obligations are calculated as the dollar value of the remaining performance obligations on executed contracts. The estimated revenue expected to be recognized in the future related to performance obligations that are unsatisfied (or partially unsatisfied) pursuant to the Company’s existing customer agreements is $617,000 and $698,000 as of March 31, 2023 and December 31, 2022, respectively. Approximately $201,000 and $274,000 as of March 31, 2023 and December 31, 2022, respectively, of the total balance, relates to our July 2020 contract with BARDA for the purchase, delivery and storage of RECELL Systems for emergency response preparedness for a period of three years. The Company expects to recognize this amount as services are provided to BARDA. We are contracted to manage this inventory of product until the federal government requests shipment or at contract termination on December 31, 2023. The remaining balance of $416,000 and $424,000 as of March 31, 2023 and December 31, 2022, respectively, the Company expects to recognize as revenue on a straight-line basis over the term of the contract with COSMOTEC.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225" w:lineRule="exact"/>
        <w:rPr>
          <w:sz w:val="20"/>
          <w:szCs w:val="20"/>
          <w:color w:val="auto"/>
        </w:rPr>
      </w:pPr>
    </w:p>
    <w:p>
      <w:pPr>
        <w:ind w:right="300" w:firstLine="749"/>
        <w:spacing w:after="0" w:line="301" w:lineRule="auto"/>
        <w:rPr>
          <w:sz w:val="20"/>
          <w:szCs w:val="20"/>
          <w:color w:val="auto"/>
        </w:rPr>
      </w:pPr>
      <w:r>
        <w:rPr>
          <w:rFonts w:ascii="Arial" w:cs="Arial" w:eastAsia="Arial" w:hAnsi="Arial"/>
          <w:sz w:val="16"/>
          <w:szCs w:val="16"/>
          <w:color w:val="auto"/>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 Variable consideration under the BARDA contract is not material to the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225"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Contract assets include amounts related to the Company’s contractual right to consideration for both completed and partially completed performance for which the Company does not have the right to payment. As of the period ended March 31, 2023 and December 31, 2022, the Company does not have any contract assets.</w:t>
      </w:r>
    </w:p>
    <w:p>
      <w:pPr>
        <w:spacing w:after="0" w:line="184"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Contract liabilities are recorded when the Company receives payment prior to satisfying its obligation to transfer goods to a customer. The Company had $617,000 and $698,000 of contract liabilities as of March 31, 2023 and December 31, 2022, respectively. As of March 31, 2023 and December 31, 2022 a total of $235,000 and $0, respectively, was included in Other current liabilities and $382,000 and $698,000, respectively in Contract liabilities in the Consolidated Balance Sheets.</w:t>
      </w:r>
    </w:p>
    <w:p>
      <w:pPr>
        <w:spacing w:after="0" w:line="187"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The balance relates to the unsatisfied performance obligation for emergency preparedness under the BARDA contract and COSMOTEC. The performance obligation will be satisfied, and revenue will be recognized over time over the term of the contract. For the three-months ended March 31, 2023 and 2022, the Company recognized $92,000 and $93,000 of revenue from BARDA and $8,400 and $0 from COSMOTEC of the amounts included in the beginning balance of contract liabilities.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Cost to Obtain and Fulfill a Contract</w:t>
      </w:r>
    </w:p>
    <w:p>
      <w:pPr>
        <w:spacing w:after="0" w:line="225"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Commercial 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 Contract Costs</w:t>
      </w:r>
    </w:p>
    <w:p>
      <w:pPr>
        <w:spacing w:after="0" w:line="225"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Cost to fulfill the BARDA emergency preparedness performance obligation, which primarily consist of billed costs to BARDA incurred in connection with the emergency deployment services, are incremental and expected to be recovered. Costs are capitalized and amortized on a straight-line basis over the term of the contract. As of March 31, 2023, and December 31, 2022, the Company had $189,000 and $252,000 of contracts costs included in Prepaids and other current assets in the Consolidated Balance Sheets. Amortization expense related to deferred contract costs were $85,000 and $85,000, during the three-months ended March 31, 2023, and 2022, respectively, and are classified as Cost of sales on the accompanying Consolidated Statements of Operations. There was no impairment loss in relation to deferred contract costs during the three-months ended March 31, 2023, and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25"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Company disaggregates revenue from contracts with customers into geographical regions and by customer type. As noted in the segment footnote, the Company’s business consists of one reporting segment. A reconciliation of disaggregated revenue by geographical region and customer type is provided in Segment Note 12.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During February 2023, the Company remeasured the lease liability for an office lease due to a change in the lease term. As a result of the remeasurement of the lease liability, there was an increase of approximately $1.1 million, to the operating lease ROU assets and operating lease liabilities. There was no impact on earnings as a result of the lease modification.</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sets forth the Company’s operating lease expenses which are included in General and administrative expenses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(in thousands):</w:t>
      </w:r>
    </w:p>
    <w:p>
      <w:pPr>
        <w:spacing w:after="0" w:line="252"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5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6"/>
                <w:szCs w:val="16"/>
                <w:b w:val="1"/>
                <w:bCs w:val="1"/>
                <w:color w:val="auto"/>
              </w:rPr>
              <w:t>Three-Months Ended</w:t>
            </w:r>
          </w:p>
        </w:tc>
        <w:tc>
          <w:tcPr>
            <w:tcW w:w="120" w:type="dxa"/>
            <w:vAlign w:val="bottom"/>
          </w:tcPr>
          <w:p>
            <w:pPr>
              <w:spacing w:after="0"/>
              <w:rPr>
                <w:sz w:val="19"/>
                <w:szCs w:val="19"/>
                <w:color w:val="auto"/>
              </w:rPr>
            </w:pPr>
          </w:p>
        </w:tc>
      </w:tr>
      <w:tr>
        <w:trPr>
          <w:trHeight w:val="223"/>
        </w:trPr>
        <w:tc>
          <w:tcPr>
            <w:tcW w:w="5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w w:val="93"/>
              </w:rPr>
              <w:t>March 31, 2023</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w w:val="98"/>
              </w:rPr>
              <w:t>March 31, 2022</w:t>
            </w:r>
          </w:p>
        </w:tc>
        <w:tc>
          <w:tcPr>
            <w:tcW w:w="120" w:type="dxa"/>
            <w:vAlign w:val="bottom"/>
          </w:tcPr>
          <w:p>
            <w:pPr>
              <w:spacing w:after="0"/>
              <w:rPr>
                <w:sz w:val="19"/>
                <w:szCs w:val="19"/>
                <w:color w:val="auto"/>
              </w:rPr>
            </w:pP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FF0FC"/>
          </w:tcPr>
          <w:p>
            <w:pPr>
              <w:spacing w:after="0"/>
              <w:rPr>
                <w:sz w:val="21"/>
                <w:szCs w:val="2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r>
      <w:tr>
        <w:trPr>
          <w:trHeight w:val="276"/>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3" w:lineRule="exact"/>
        <w:rPr>
          <w:sz w:val="20"/>
          <w:szCs w:val="20"/>
          <w:color w:val="auto"/>
        </w:rPr>
      </w:pPr>
    </w:p>
    <w:p>
      <w:pPr>
        <w:ind w:right="680" w:firstLine="749"/>
        <w:spacing w:after="0" w:line="277" w:lineRule="auto"/>
        <w:rPr>
          <w:sz w:val="20"/>
          <w:szCs w:val="20"/>
          <w:color w:val="auto"/>
        </w:rPr>
      </w:pPr>
      <w:r>
        <w:rPr>
          <w:rFonts w:ascii="Arial" w:cs="Arial" w:eastAsia="Arial" w:hAnsi="Arial"/>
          <w:sz w:val="18"/>
          <w:szCs w:val="18"/>
          <w:color w:val="auto"/>
        </w:rPr>
        <w:t>Supplemental cash flow information related to operating leases for the three-months ended March 31, 2023 and 2022 was as follows (in thousands):</w:t>
      </w:r>
    </w:p>
    <w:p>
      <w:pPr>
        <w:spacing w:after="0" w:line="211" w:lineRule="exact"/>
        <w:rPr>
          <w:sz w:val="20"/>
          <w:szCs w:val="20"/>
          <w:color w:val="auto"/>
        </w:rPr>
      </w:pPr>
    </w:p>
    <w:p>
      <w:pPr>
        <w:ind w:left="7640"/>
        <w:spacing w:after="0"/>
        <w:rPr>
          <w:sz w:val="20"/>
          <w:szCs w:val="20"/>
          <w:color w:val="auto"/>
        </w:rPr>
      </w:pPr>
      <w:r>
        <w:rPr>
          <w:rFonts w:ascii="Arial" w:cs="Arial" w:eastAsia="Arial" w:hAnsi="Arial"/>
          <w:sz w:val="16"/>
          <w:szCs w:val="16"/>
          <w:b w:val="1"/>
          <w:bCs w:val="1"/>
          <w:color w:val="auto"/>
        </w:rPr>
        <w:t>Three-Months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29210</wp:posOffset>
            </wp:positionV>
            <wp:extent cx="20574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9" w:lineRule="exact"/>
        <w:rPr>
          <w:sz w:val="20"/>
          <w:szCs w:val="20"/>
          <w:color w:val="auto"/>
        </w:rPr>
      </w:pPr>
    </w:p>
    <w:p>
      <w:pPr>
        <w:ind w:left="6920"/>
        <w:spacing w:after="0"/>
        <w:tabs>
          <w:tab w:leader="none" w:pos="8660" w:val="left"/>
        </w:tabs>
        <w:rPr>
          <w:sz w:val="20"/>
          <w:szCs w:val="20"/>
          <w:color w:val="auto"/>
        </w:rPr>
      </w:pPr>
      <w:r>
        <w:rPr>
          <w:rFonts w:ascii="Arial" w:cs="Arial" w:eastAsia="Arial" w:hAnsi="Arial"/>
          <w:sz w:val="16"/>
          <w:szCs w:val="16"/>
          <w:b w:val="1"/>
          <w:bCs w:val="1"/>
          <w:color w:val="auto"/>
        </w:rPr>
        <w:t>March 31, 2023</w:t>
      </w:r>
      <w:r>
        <w:rPr>
          <w:sz w:val="20"/>
          <w:szCs w:val="20"/>
          <w:color w:val="auto"/>
        </w:rPr>
        <w:tab/>
      </w:r>
      <w:r>
        <w:rPr>
          <w:rFonts w:ascii="Arial" w:cs="Arial" w:eastAsia="Arial" w:hAnsi="Arial"/>
          <w:sz w:val="14"/>
          <w:szCs w:val="14"/>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29210</wp:posOffset>
            </wp:positionV>
            <wp:extent cx="20574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-130175</wp:posOffset>
            </wp:positionV>
            <wp:extent cx="570928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09285" cy="154305"/>
                    </a:xfrm>
                    <a:prstGeom prst="rect">
                      <a:avLst/>
                    </a:prstGeom>
                    <a:noFill/>
                  </pic:spPr>
                </pic:pic>
              </a:graphicData>
            </a:graphic>
          </wp:anchor>
        </w:drawing>
      </w:r>
    </w:p>
    <w:p>
      <w:pPr>
        <w:spacing w:after="0" w:line="16" w:lineRule="exact"/>
        <w:rPr>
          <w:sz w:val="20"/>
          <w:szCs w:val="20"/>
          <w:color w:val="auto"/>
        </w:rPr>
      </w:pPr>
    </w:p>
    <w:p>
      <w:pPr>
        <w:ind w:left="1320"/>
        <w:spacing w:after="0"/>
        <w:tabs>
          <w:tab w:leader="none" w:pos="6760" w:val="left"/>
          <w:tab w:leader="none" w:pos="7840" w:val="left"/>
          <w:tab w:leader="none" w:pos="8400" w:val="left"/>
          <w:tab w:leader="none" w:pos="9700" w:val="left"/>
        </w:tabs>
        <w:rPr>
          <w:sz w:val="20"/>
          <w:szCs w:val="20"/>
          <w:color w:val="auto"/>
        </w:rPr>
      </w:pPr>
      <w:r>
        <w:rPr>
          <w:rFonts w:ascii="Arial" w:cs="Arial" w:eastAsia="Arial" w:hAnsi="Arial"/>
          <w:sz w:val="18"/>
          <w:szCs w:val="18"/>
          <w:color w:val="auto"/>
        </w:rPr>
        <w:t>Operating cash outflows from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198</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0" w:name="page21"/>
    <w:bookmarkEnd w:id="20"/>
    <w:p>
      <w:pPr>
        <w:ind w:firstLine="749"/>
        <w:spacing w:after="0" w:line="277" w:lineRule="auto"/>
        <w:rPr>
          <w:sz w:val="20"/>
          <w:szCs w:val="20"/>
          <w:color w:val="auto"/>
        </w:rPr>
      </w:pPr>
      <w:r>
        <w:rPr>
          <w:rFonts w:ascii="Arial" w:cs="Arial" w:eastAsia="Arial" w:hAnsi="Arial"/>
          <w:sz w:val="18"/>
          <w:szCs w:val="18"/>
          <w:color w:val="auto"/>
        </w:rPr>
        <w:t>Supplemental balance sheet information, as of March 31, 2023 and December 31, 2022 related to operating leases was as follows (in thousands, except for Operating lease weighted average remaining lease term and operating lease weighted average discount rate):</w:t>
      </w:r>
    </w:p>
    <w:p>
      <w:pPr>
        <w:spacing w:after="0" w:line="238"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As of</w:t>
            </w:r>
          </w:p>
        </w:tc>
        <w:tc>
          <w:tcPr>
            <w:tcW w:w="1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March 31, 2023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ind w:right="291"/>
              <w:spacing w:after="0"/>
              <w:rPr>
                <w:sz w:val="20"/>
                <w:szCs w:val="20"/>
                <w:color w:val="auto"/>
              </w:rPr>
            </w:pPr>
            <w:r>
              <w:rPr>
                <w:rFonts w:ascii="Arial" w:cs="Arial" w:eastAsia="Arial" w:hAnsi="Arial"/>
                <w:sz w:val="16"/>
                <w:szCs w:val="16"/>
                <w:b w:val="1"/>
                <w:bCs w:val="1"/>
                <w:color w:val="auto"/>
                <w:w w:val="94"/>
              </w:rPr>
              <w:t>December 31, 2022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Reported as:</w:t>
            </w:r>
          </w:p>
        </w:tc>
        <w:tc>
          <w:tcPr>
            <w:tcW w:w="200" w:type="dxa"/>
            <w:vAlign w:val="bottom"/>
            <w:tcBorders>
              <w:top w:val="single" w:sz="8" w:color="auto"/>
            </w:tcBorders>
            <w:shd w:val="clear" w:color="auto" w:fill="CFF0FC"/>
          </w:tcPr>
          <w:p>
            <w:pPr>
              <w:spacing w:after="0"/>
              <w:rPr>
                <w:sz w:val="21"/>
                <w:szCs w:val="21"/>
                <w:color w:val="auto"/>
              </w:rPr>
            </w:pPr>
          </w:p>
        </w:tc>
        <w:tc>
          <w:tcPr>
            <w:tcW w:w="14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7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1,815</w:t>
            </w:r>
          </w:p>
        </w:tc>
        <w:tc>
          <w:tcPr>
            <w:tcW w:w="180" w:type="dxa"/>
            <w:vAlign w:val="bottom"/>
          </w:tcPr>
          <w:p>
            <w:pPr>
              <w:spacing w:after="0"/>
              <w:rPr>
                <w:sz w:val="20"/>
                <w:szCs w:val="20"/>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7"/>
        </w:trPr>
        <w:tc>
          <w:tcPr>
            <w:tcW w:w="4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right-of-use assets</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center"/>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FF0FC"/>
            </w:tcBorders>
            <w:shd w:val="clear" w:color="auto" w:fill="CFF0FC"/>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9"/>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short-term</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Operating lease liabilities, long term</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6"/>
        </w:trPr>
        <w:tc>
          <w:tcPr>
            <w:tcW w:w="4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center"/>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FF0FC"/>
            </w:tcBorders>
            <w:shd w:val="clear" w:color="auto" w:fill="CFF0FC"/>
          </w:tcPr>
          <w:p>
            <w:pPr>
              <w:spacing w:after="0"/>
              <w:rPr>
                <w:sz w:val="24"/>
                <w:szCs w:val="24"/>
                <w:color w:val="auto"/>
              </w:rPr>
            </w:pPr>
          </w:p>
        </w:tc>
        <w:tc>
          <w:tcPr>
            <w:tcW w:w="40" w:type="dxa"/>
            <w:vAlign w:val="bottom"/>
          </w:tcPr>
          <w:p>
            <w:pPr>
              <w:spacing w:after="0"/>
              <w:rPr>
                <w:sz w:val="24"/>
                <w:szCs w:val="24"/>
                <w:color w:val="auto"/>
              </w:rPr>
            </w:pPr>
          </w:p>
        </w:tc>
      </w:tr>
      <w:tr>
        <w:trPr>
          <w:trHeight w:val="217"/>
        </w:trPr>
        <w:tc>
          <w:tcPr>
            <w:tcW w:w="4860" w:type="dxa"/>
            <w:vAlign w:val="bottom"/>
          </w:tcPr>
          <w:p>
            <w:pPr>
              <w:ind w:left="20"/>
              <w:spacing w:after="0"/>
              <w:rPr>
                <w:sz w:val="20"/>
                <w:szCs w:val="20"/>
                <w:color w:val="auto"/>
              </w:rPr>
            </w:pPr>
            <w:r>
              <w:rPr>
                <w:rFonts w:ascii="Arial" w:cs="Arial" w:eastAsia="Arial" w:hAnsi="Arial"/>
                <w:sz w:val="18"/>
                <w:szCs w:val="18"/>
                <w:color w:val="auto"/>
                <w:w w:val="94"/>
              </w:rPr>
              <w:t>Operating lease weighted average remaining lease term (years)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2"/>
        </w:trPr>
        <w:tc>
          <w:tcPr>
            <w:tcW w:w="4860" w:type="dxa"/>
            <w:vAlign w:val="bottom"/>
          </w:tcPr>
          <w:p>
            <w:pPr>
              <w:ind w:left="20"/>
              <w:spacing w:after="0"/>
              <w:rPr>
                <w:sz w:val="20"/>
                <w:szCs w:val="20"/>
                <w:color w:val="auto"/>
              </w:rPr>
            </w:pPr>
            <w:r>
              <w:rPr>
                <w:rFonts w:ascii="Arial" w:cs="Arial" w:eastAsia="Arial" w:hAnsi="Arial"/>
                <w:sz w:val="18"/>
                <w:szCs w:val="18"/>
                <w:color w:val="auto"/>
              </w:rPr>
              <w:t>Operating lease weighted average discount rate</w:t>
            </w:r>
          </w:p>
        </w:tc>
        <w:tc>
          <w:tcPr>
            <w:tcW w:w="200" w:type="dxa"/>
            <w:vAlign w:val="bottom"/>
          </w:tcPr>
          <w:p>
            <w:pPr>
              <w:spacing w:after="0"/>
              <w:rPr>
                <w:sz w:val="21"/>
                <w:szCs w:val="2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7.91 %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6.71 %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-976630</wp:posOffset>
            </wp:positionV>
            <wp:extent cx="158623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86230" cy="17970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-325120</wp:posOffset>
            </wp:positionV>
            <wp:extent cx="5709285" cy="3346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09285" cy="334645"/>
                    </a:xfrm>
                    <a:prstGeom prst="rect">
                      <a:avLst/>
                    </a:prstGeom>
                    <a:noFill/>
                  </pic:spPr>
                </pic:pic>
              </a:graphicData>
            </a:graphic>
          </wp:anchor>
        </w:drawing>
      </w:r>
    </w:p>
    <w:p>
      <w:pPr>
        <w:spacing w:after="0" w:line="3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March 31, 2023, maturities of the Company’s operating lease liabilities are as follows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0"/>
              </w:rPr>
              <w:t>Operating Leases</w:t>
            </w:r>
          </w:p>
        </w:tc>
      </w:tr>
      <w:tr>
        <w:trPr>
          <w:trHeight w:val="243"/>
        </w:trPr>
        <w:tc>
          <w:tcPr>
            <w:tcW w:w="1120" w:type="dxa"/>
            <w:vAlign w:val="bottom"/>
          </w:tcPr>
          <w:p>
            <w:pPr>
              <w:spacing w:after="0"/>
              <w:rPr>
                <w:sz w:val="21"/>
                <w:szCs w:val="21"/>
                <w:color w:val="auto"/>
              </w:rPr>
            </w:pPr>
          </w:p>
        </w:tc>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FF0FC"/>
          </w:tcPr>
          <w:p>
            <w:pPr>
              <w:spacing w:after="0"/>
              <w:rPr>
                <w:sz w:val="21"/>
                <w:szCs w:val="21"/>
                <w:color w:val="auto"/>
              </w:rPr>
            </w:pPr>
          </w:p>
        </w:tc>
      </w:tr>
      <w:tr>
        <w:trPr>
          <w:trHeight w:val="230"/>
        </w:trPr>
        <w:tc>
          <w:tcPr>
            <w:tcW w:w="11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0"/>
                <w:szCs w:val="20"/>
                <w:color w:val="auto"/>
              </w:rPr>
            </w:pPr>
          </w:p>
        </w:tc>
      </w:tr>
      <w:tr>
        <w:trPr>
          <w:trHeight w:val="256"/>
        </w:trPr>
        <w:tc>
          <w:tcPr>
            <w:tcW w:w="1120" w:type="dxa"/>
            <w:vAlign w:val="bottom"/>
          </w:tcPr>
          <w:p>
            <w:pPr>
              <w:spacing w:after="0"/>
              <w:rPr>
                <w:sz w:val="22"/>
                <w:szCs w:val="22"/>
                <w:color w:val="auto"/>
              </w:rPr>
            </w:pPr>
          </w:p>
        </w:tc>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FF0FC"/>
          </w:tcPr>
          <w:p>
            <w:pPr>
              <w:spacing w:after="0"/>
              <w:rPr>
                <w:sz w:val="22"/>
                <w:szCs w:val="22"/>
                <w:color w:val="auto"/>
              </w:rPr>
            </w:pPr>
          </w:p>
        </w:tc>
      </w:tr>
      <w:tr>
        <w:trPr>
          <w:trHeight w:val="243"/>
        </w:trPr>
        <w:tc>
          <w:tcPr>
            <w:tcW w:w="6040" w:type="dxa"/>
            <w:vAlign w:val="bottom"/>
            <w:gridSpan w:val="2"/>
          </w:tcPr>
          <w:p>
            <w:pPr>
              <w:ind w:left="114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r>
      <w:tr>
        <w:trPr>
          <w:trHeight w:val="237"/>
        </w:trPr>
        <w:tc>
          <w:tcPr>
            <w:tcW w:w="1120" w:type="dxa"/>
            <w:vAlign w:val="bottom"/>
          </w:tcPr>
          <w:p>
            <w:pPr>
              <w:spacing w:after="0"/>
              <w:rPr>
                <w:sz w:val="20"/>
                <w:szCs w:val="20"/>
                <w:color w:val="auto"/>
              </w:rPr>
            </w:pPr>
          </w:p>
        </w:tc>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w:t>
            </w:r>
          </w:p>
        </w:tc>
        <w:tc>
          <w:tcPr>
            <w:tcW w:w="120" w:type="dxa"/>
            <w:vAlign w:val="bottom"/>
            <w:shd w:val="clear" w:color="auto" w:fill="CFF0FC"/>
          </w:tcPr>
          <w:p>
            <w:pPr>
              <w:spacing w:after="0"/>
              <w:rPr>
                <w:sz w:val="20"/>
                <w:szCs w:val="20"/>
                <w:color w:val="auto"/>
              </w:rPr>
            </w:pPr>
          </w:p>
        </w:tc>
      </w:tr>
      <w:tr>
        <w:trPr>
          <w:trHeight w:val="237"/>
        </w:trPr>
        <w:tc>
          <w:tcPr>
            <w:tcW w:w="11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(236 )</w:t>
            </w:r>
          </w:p>
        </w:tc>
      </w:tr>
      <w:tr>
        <w:trPr>
          <w:trHeight w:val="276"/>
        </w:trPr>
        <w:tc>
          <w:tcPr>
            <w:tcW w:w="1120" w:type="dxa"/>
            <w:vAlign w:val="bottom"/>
          </w:tcPr>
          <w:p>
            <w:pPr>
              <w:spacing w:after="0"/>
              <w:rPr>
                <w:sz w:val="24"/>
                <w:szCs w:val="24"/>
                <w:color w:val="auto"/>
              </w:rPr>
            </w:pPr>
          </w:p>
        </w:tc>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446"/>
        </w:trPr>
        <w:tc>
          <w:tcPr>
            <w:tcW w:w="7740" w:type="dxa"/>
            <w:vAlign w:val="bottom"/>
            <w:gridSpan w:val="4"/>
          </w:tcPr>
          <w:p>
            <w:pPr>
              <w:ind w:left="760"/>
              <w:spacing w:after="0"/>
              <w:rPr>
                <w:sz w:val="20"/>
                <w:szCs w:val="20"/>
                <w:color w:val="auto"/>
              </w:rPr>
            </w:pPr>
            <w:r>
              <w:rPr>
                <w:rFonts w:ascii="Arial" w:cs="Arial" w:eastAsia="Arial" w:hAnsi="Arial"/>
                <w:sz w:val="18"/>
                <w:szCs w:val="18"/>
                <w:color w:val="auto"/>
              </w:rPr>
              <w:t>As of March 31, 2023, there were no leases entered into that had not yet commenced.</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40"/>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8. Inventory</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6040" w:type="dxa"/>
            <w:vAlign w:val="bottom"/>
            <w:gridSpan w:val="2"/>
          </w:tcPr>
          <w:p>
            <w:pPr>
              <w:ind w:left="760"/>
              <w:spacing w:after="0"/>
              <w:rPr>
                <w:sz w:val="20"/>
                <w:szCs w:val="20"/>
                <w:color w:val="auto"/>
              </w:rPr>
            </w:pPr>
            <w:r>
              <w:rPr>
                <w:rFonts w:ascii="Arial" w:cs="Arial" w:eastAsia="Arial" w:hAnsi="Arial"/>
                <w:sz w:val="18"/>
                <w:szCs w:val="18"/>
                <w:color w:val="auto"/>
              </w:rPr>
              <w:t>The composition of inventory is as follows (in thousands):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11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As of</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9"/>
        </w:trPr>
        <w:tc>
          <w:tcPr>
            <w:tcW w:w="11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March 31, 2023</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311"/>
              <w:spacing w:after="0"/>
              <w:rPr>
                <w:sz w:val="20"/>
                <w:szCs w:val="20"/>
                <w:color w:val="auto"/>
              </w:rPr>
            </w:pPr>
            <w:r>
              <w:rPr>
                <w:rFonts w:ascii="Arial" w:cs="Arial" w:eastAsia="Arial" w:hAnsi="Arial"/>
                <w:sz w:val="14"/>
                <w:szCs w:val="14"/>
                <w:b w:val="1"/>
                <w:bCs w:val="1"/>
                <w:color w:val="auto"/>
                <w:w w:val="93"/>
              </w:rPr>
              <w:t>December 31, 2022</w:t>
            </w:r>
          </w:p>
        </w:tc>
        <w:tc>
          <w:tcPr>
            <w:tcW w:w="120" w:type="dxa"/>
            <w:vAlign w:val="bottom"/>
          </w:tcPr>
          <w:p>
            <w:pPr>
              <w:spacing w:after="0"/>
              <w:rPr>
                <w:sz w:val="14"/>
                <w:szCs w:val="14"/>
                <w:color w:val="auto"/>
              </w:rPr>
            </w:pPr>
          </w:p>
        </w:tc>
      </w:tr>
      <w:tr>
        <w:trPr>
          <w:trHeight w:val="237"/>
        </w:trPr>
        <w:tc>
          <w:tcPr>
            <w:tcW w:w="1120" w:type="dxa"/>
            <w:vAlign w:val="bottom"/>
          </w:tcPr>
          <w:p>
            <w:pPr>
              <w:spacing w:after="0"/>
              <w:rPr>
                <w:sz w:val="20"/>
                <w:szCs w:val="20"/>
                <w:color w:val="auto"/>
              </w:rPr>
            </w:pPr>
          </w:p>
        </w:tc>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FF0FC"/>
          </w:tcPr>
          <w:p>
            <w:pPr>
              <w:spacing w:after="0"/>
              <w:rPr>
                <w:sz w:val="20"/>
                <w:szCs w:val="20"/>
                <w:color w:val="auto"/>
              </w:rPr>
            </w:pPr>
          </w:p>
        </w:tc>
      </w:tr>
      <w:tr>
        <w:trPr>
          <w:trHeight w:val="237"/>
        </w:trPr>
        <w:tc>
          <w:tcPr>
            <w:tcW w:w="11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0"/>
                <w:szCs w:val="20"/>
                <w:color w:val="auto"/>
              </w:rPr>
            </w:pPr>
          </w:p>
        </w:tc>
      </w:tr>
      <w:tr>
        <w:trPr>
          <w:trHeight w:val="243"/>
        </w:trPr>
        <w:tc>
          <w:tcPr>
            <w:tcW w:w="1120" w:type="dxa"/>
            <w:vAlign w:val="bottom"/>
          </w:tcPr>
          <w:p>
            <w:pPr>
              <w:spacing w:after="0"/>
              <w:rPr>
                <w:sz w:val="21"/>
                <w:szCs w:val="21"/>
                <w:color w:val="auto"/>
              </w:rPr>
            </w:pPr>
          </w:p>
        </w:tc>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11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2,811</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2,125</w:t>
            </w:r>
          </w:p>
        </w:tc>
        <w:tc>
          <w:tcPr>
            <w:tcW w:w="12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-1979295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-1962150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-187960</wp:posOffset>
            </wp:positionV>
            <wp:extent cx="6858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jc w:val="both"/>
        <w:ind w:right="80" w:firstLine="749"/>
        <w:spacing w:after="0" w:line="263" w:lineRule="auto"/>
        <w:rPr>
          <w:sz w:val="20"/>
          <w:szCs w:val="20"/>
          <w:color w:val="auto"/>
        </w:rPr>
      </w:pPr>
      <w:r>
        <w:rPr>
          <w:rFonts w:ascii="Arial" w:cs="Arial" w:eastAsia="Arial" w:hAnsi="Arial"/>
          <w:sz w:val="18"/>
          <w:szCs w:val="18"/>
          <w:color w:val="auto"/>
        </w:rPr>
        <w:t>The Company has reduced the carrying value of its inventories to reflect the lower of cost or net realizable value. Charges for estimated excess and obsolescence are recorded in Cost of sales in the Consolidated Statements of Operations and were $67,000 and $97,000, for the three-months ended March 31, 2023 and 2022, respectively.</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0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composition of intangible assets, net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6"/>
                <w:szCs w:val="16"/>
                <w:b w:val="1"/>
                <w:bCs w:val="1"/>
                <w:color w:val="auto"/>
                <w:w w:val="98"/>
              </w:rPr>
              <w:t>As of March 31, 2023</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As of December 31, 2022</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r>
      <w:tr>
        <w:trPr>
          <w:trHeight w:val="202"/>
        </w:trPr>
        <w:tc>
          <w:tcPr>
            <w:tcW w:w="2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ind w:right="32"/>
              <w:spacing w:after="0"/>
              <w:rPr>
                <w:sz w:val="20"/>
                <w:szCs w:val="20"/>
                <w:color w:val="auto"/>
              </w:rPr>
            </w:pPr>
            <w:r>
              <w:rPr>
                <w:rFonts w:ascii="Arial" w:cs="Arial" w:eastAsia="Arial" w:hAnsi="Arial"/>
                <w:sz w:val="16"/>
                <w:szCs w:val="16"/>
                <w:b w:val="1"/>
                <w:bCs w:val="1"/>
                <w:color w:val="auto"/>
              </w:rPr>
              <w:t>Net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center"/>
              <w:ind w:right="31"/>
              <w:spacing w:after="0"/>
              <w:rPr>
                <w:sz w:val="20"/>
                <w:szCs w:val="20"/>
                <w:color w:val="auto"/>
              </w:rPr>
            </w:pPr>
            <w:r>
              <w:rPr>
                <w:rFonts w:ascii="Arial" w:cs="Arial" w:eastAsia="Arial" w:hAnsi="Arial"/>
                <w:sz w:val="16"/>
                <w:szCs w:val="16"/>
                <w:b w:val="1"/>
                <w:bCs w:val="1"/>
                <w:color w:val="auto"/>
              </w:rPr>
              <w:t>Net</w:t>
            </w:r>
          </w:p>
        </w:tc>
        <w:tc>
          <w:tcPr>
            <w:tcW w:w="320" w:type="dxa"/>
            <w:vAlign w:val="bottom"/>
          </w:tcPr>
          <w:p>
            <w:pPr>
              <w:spacing w:after="0"/>
              <w:rPr>
                <w:sz w:val="17"/>
                <w:szCs w:val="17"/>
                <w:color w:val="auto"/>
              </w:rPr>
            </w:pPr>
          </w:p>
        </w:tc>
      </w:tr>
      <w:tr>
        <w:trPr>
          <w:trHeight w:val="203"/>
        </w:trPr>
        <w:tc>
          <w:tcPr>
            <w:tcW w:w="2140" w:type="dxa"/>
            <w:vAlign w:val="bottom"/>
          </w:tcPr>
          <w:p>
            <w:pPr>
              <w:spacing w:after="0"/>
              <w:rPr>
                <w:sz w:val="17"/>
                <w:szCs w:val="17"/>
                <w:color w:val="auto"/>
              </w:rPr>
            </w:pPr>
          </w:p>
        </w:tc>
        <w:tc>
          <w:tcPr>
            <w:tcW w:w="1760" w:type="dxa"/>
            <w:vAlign w:val="bottom"/>
          </w:tcPr>
          <w:p>
            <w:pPr>
              <w:jc w:val="right"/>
              <w:ind w:right="472"/>
              <w:spacing w:after="0"/>
              <w:rPr>
                <w:sz w:val="20"/>
                <w:szCs w:val="20"/>
                <w:color w:val="auto"/>
              </w:rPr>
            </w:pPr>
            <w:r>
              <w:rPr>
                <w:rFonts w:ascii="Arial" w:cs="Arial" w:eastAsia="Arial" w:hAnsi="Arial"/>
                <w:sz w:val="16"/>
                <w:szCs w:val="16"/>
                <w:b w:val="1"/>
                <w:bCs w:val="1"/>
                <w:color w:val="auto"/>
              </w:rPr>
              <w:t>Weighted</w:t>
            </w:r>
          </w:p>
        </w:tc>
        <w:tc>
          <w:tcPr>
            <w:tcW w:w="140" w:type="dxa"/>
            <w:vAlign w:val="bottom"/>
          </w:tcPr>
          <w:p>
            <w:pPr>
              <w:spacing w:after="0"/>
              <w:rPr>
                <w:sz w:val="17"/>
                <w:szCs w:val="17"/>
                <w:color w:val="auto"/>
              </w:rPr>
            </w:pPr>
          </w:p>
        </w:tc>
        <w:tc>
          <w:tcPr>
            <w:tcW w:w="760" w:type="dxa"/>
            <w:vAlign w:val="bottom"/>
          </w:tcPr>
          <w:p>
            <w:pPr>
              <w:jc w:val="right"/>
              <w:ind w:right="151"/>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7"/>
                <w:szCs w:val="17"/>
                <w:color w:val="auto"/>
              </w:rPr>
            </w:pPr>
          </w:p>
        </w:tc>
        <w:tc>
          <w:tcPr>
            <w:tcW w:w="1400" w:type="dxa"/>
            <w:vAlign w:val="bottom"/>
            <w:gridSpan w:val="3"/>
          </w:tcPr>
          <w:p>
            <w:pPr>
              <w:jc w:val="right"/>
              <w:ind w:right="321"/>
              <w:spacing w:after="0"/>
              <w:rPr>
                <w:sz w:val="20"/>
                <w:szCs w:val="20"/>
                <w:color w:val="auto"/>
              </w:rPr>
            </w:pPr>
            <w:r>
              <w:rPr>
                <w:rFonts w:ascii="Arial" w:cs="Arial" w:eastAsia="Arial" w:hAnsi="Arial"/>
                <w:sz w:val="16"/>
                <w:szCs w:val="16"/>
                <w:b w:val="1"/>
                <w:bCs w:val="1"/>
                <w:color w:val="auto"/>
                <w:w w:val="97"/>
              </w:rPr>
              <w:t>Accumulated</w:t>
            </w:r>
          </w:p>
        </w:tc>
        <w:tc>
          <w:tcPr>
            <w:tcW w:w="120" w:type="dxa"/>
            <w:vAlign w:val="bottom"/>
          </w:tcPr>
          <w:p>
            <w:pPr>
              <w:spacing w:after="0"/>
              <w:rPr>
                <w:sz w:val="17"/>
                <w:szCs w:val="17"/>
                <w:color w:val="auto"/>
              </w:rPr>
            </w:pPr>
          </w:p>
        </w:tc>
        <w:tc>
          <w:tcPr>
            <w:tcW w:w="740" w:type="dxa"/>
            <w:vAlign w:val="bottom"/>
          </w:tcPr>
          <w:p>
            <w:pPr>
              <w:jc w:val="center"/>
              <w:ind w:right="32"/>
              <w:spacing w:after="0"/>
              <w:rPr>
                <w:sz w:val="20"/>
                <w:szCs w:val="20"/>
                <w:color w:val="auto"/>
              </w:rPr>
            </w:pPr>
            <w:r>
              <w:rPr>
                <w:rFonts w:ascii="Arial" w:cs="Arial" w:eastAsia="Arial" w:hAnsi="Arial"/>
                <w:sz w:val="16"/>
                <w:szCs w:val="16"/>
                <w:b w:val="1"/>
                <w:bCs w:val="1"/>
                <w:color w:val="auto"/>
              </w:rPr>
              <w:t>Carry</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12"/>
              <w:spacing w:after="0"/>
              <w:rPr>
                <w:sz w:val="20"/>
                <w:szCs w:val="20"/>
                <w:color w:val="auto"/>
              </w:rPr>
            </w:pPr>
            <w:r>
              <w:rPr>
                <w:rFonts w:ascii="Arial" w:cs="Arial" w:eastAsia="Arial" w:hAnsi="Arial"/>
                <w:sz w:val="16"/>
                <w:szCs w:val="16"/>
                <w:b w:val="1"/>
                <w:bCs w:val="1"/>
                <w:color w:val="auto"/>
                <w:w w:val="99"/>
              </w:rPr>
              <w:t>Gross</w:t>
            </w:r>
          </w:p>
        </w:tc>
        <w:tc>
          <w:tcPr>
            <w:tcW w:w="300" w:type="dxa"/>
            <w:vAlign w:val="bottom"/>
          </w:tcPr>
          <w:p>
            <w:pPr>
              <w:spacing w:after="0"/>
              <w:rPr>
                <w:sz w:val="17"/>
                <w:szCs w:val="17"/>
                <w:color w:val="auto"/>
              </w:rPr>
            </w:pPr>
          </w:p>
        </w:tc>
        <w:tc>
          <w:tcPr>
            <w:tcW w:w="1400" w:type="dxa"/>
            <w:vAlign w:val="bottom"/>
            <w:gridSpan w:val="3"/>
          </w:tcPr>
          <w:p>
            <w:pPr>
              <w:jc w:val="right"/>
              <w:ind w:right="310"/>
              <w:spacing w:after="0"/>
              <w:rPr>
                <w:sz w:val="20"/>
                <w:szCs w:val="20"/>
                <w:color w:val="auto"/>
              </w:rPr>
            </w:pPr>
            <w:r>
              <w:rPr>
                <w:rFonts w:ascii="Arial" w:cs="Arial" w:eastAsia="Arial" w:hAnsi="Arial"/>
                <w:sz w:val="16"/>
                <w:szCs w:val="16"/>
                <w:b w:val="1"/>
                <w:bCs w:val="1"/>
                <w:color w:val="auto"/>
                <w:w w:val="97"/>
              </w:rPr>
              <w:t>Accumulated</w:t>
            </w:r>
          </w:p>
        </w:tc>
        <w:tc>
          <w:tcPr>
            <w:tcW w:w="120" w:type="dxa"/>
            <w:vAlign w:val="bottom"/>
          </w:tcPr>
          <w:p>
            <w:pPr>
              <w:spacing w:after="0"/>
              <w:rPr>
                <w:sz w:val="17"/>
                <w:szCs w:val="17"/>
                <w:color w:val="auto"/>
              </w:rPr>
            </w:pPr>
          </w:p>
        </w:tc>
        <w:tc>
          <w:tcPr>
            <w:tcW w:w="620" w:type="dxa"/>
            <w:vAlign w:val="bottom"/>
          </w:tcPr>
          <w:p>
            <w:pPr>
              <w:jc w:val="center"/>
              <w:ind w:right="31"/>
              <w:spacing w:after="0"/>
              <w:rPr>
                <w:sz w:val="20"/>
                <w:szCs w:val="20"/>
                <w:color w:val="auto"/>
              </w:rPr>
            </w:pPr>
            <w:r>
              <w:rPr>
                <w:rFonts w:ascii="Arial" w:cs="Arial" w:eastAsia="Arial" w:hAnsi="Arial"/>
                <w:sz w:val="16"/>
                <w:szCs w:val="16"/>
                <w:b w:val="1"/>
                <w:bCs w:val="1"/>
                <w:color w:val="auto"/>
              </w:rPr>
              <w:t>Carry</w:t>
            </w:r>
          </w:p>
        </w:tc>
        <w:tc>
          <w:tcPr>
            <w:tcW w:w="320" w:type="dxa"/>
            <w:vAlign w:val="bottom"/>
          </w:tcPr>
          <w:p>
            <w:pPr>
              <w:spacing w:after="0"/>
              <w:rPr>
                <w:sz w:val="17"/>
                <w:szCs w:val="17"/>
                <w:color w:val="auto"/>
              </w:rPr>
            </w:pPr>
          </w:p>
        </w:tc>
      </w:tr>
      <w:tr>
        <w:trPr>
          <w:trHeight w:val="220"/>
        </w:trPr>
        <w:tc>
          <w:tcPr>
            <w:tcW w:w="2140" w:type="dxa"/>
            <w:vAlign w:val="bottom"/>
          </w:tcPr>
          <w:p>
            <w:pPr>
              <w:spacing w:after="0"/>
              <w:rPr>
                <w:sz w:val="19"/>
                <w:szCs w:val="19"/>
                <w:color w:val="auto"/>
              </w:rPr>
            </w:pPr>
          </w:p>
        </w:tc>
        <w:tc>
          <w:tcPr>
            <w:tcW w:w="1760" w:type="dxa"/>
            <w:vAlign w:val="bottom"/>
          </w:tcPr>
          <w:p>
            <w:pPr>
              <w:jc w:val="right"/>
              <w:ind w:right="372"/>
              <w:spacing w:after="0"/>
              <w:rPr>
                <w:sz w:val="20"/>
                <w:szCs w:val="20"/>
                <w:color w:val="auto"/>
              </w:rPr>
            </w:pPr>
            <w:r>
              <w:rPr>
                <w:rFonts w:ascii="Arial" w:cs="Arial" w:eastAsia="Arial" w:hAnsi="Arial"/>
                <w:sz w:val="16"/>
                <w:szCs w:val="16"/>
                <w:b w:val="1"/>
                <w:bCs w:val="1"/>
                <w:color w:val="auto"/>
              </w:rPr>
              <w:t>Average Life</w:t>
            </w:r>
          </w:p>
        </w:tc>
        <w:tc>
          <w:tcPr>
            <w:tcW w:w="140" w:type="dxa"/>
            <w:vAlign w:val="bottom"/>
          </w:tcPr>
          <w:p>
            <w:pPr>
              <w:spacing w:after="0"/>
              <w:rPr>
                <w:sz w:val="19"/>
                <w:szCs w:val="19"/>
                <w:color w:val="auto"/>
              </w:rPr>
            </w:pPr>
          </w:p>
        </w:tc>
        <w:tc>
          <w:tcPr>
            <w:tcW w:w="760" w:type="dxa"/>
            <w:vAlign w:val="bottom"/>
          </w:tcPr>
          <w:p>
            <w:pPr>
              <w:jc w:val="right"/>
              <w:ind w:right="71"/>
              <w:spacing w:after="0"/>
              <w:rPr>
                <w:sz w:val="20"/>
                <w:szCs w:val="20"/>
                <w:color w:val="auto"/>
              </w:rPr>
            </w:pPr>
            <w:r>
              <w:rPr>
                <w:rFonts w:ascii="Arial" w:cs="Arial" w:eastAsia="Arial" w:hAnsi="Arial"/>
                <w:sz w:val="16"/>
                <w:szCs w:val="16"/>
                <w:b w:val="1"/>
                <w:bCs w:val="1"/>
                <w:color w:val="auto"/>
                <w:w w:val="95"/>
              </w:rPr>
              <w:t>Amount</w:t>
            </w:r>
          </w:p>
        </w:tc>
        <w:tc>
          <w:tcPr>
            <w:tcW w:w="320" w:type="dxa"/>
            <w:vAlign w:val="bottom"/>
          </w:tcPr>
          <w:p>
            <w:pPr>
              <w:spacing w:after="0"/>
              <w:rPr>
                <w:sz w:val="19"/>
                <w:szCs w:val="19"/>
                <w:color w:val="auto"/>
              </w:rPr>
            </w:pPr>
          </w:p>
        </w:tc>
        <w:tc>
          <w:tcPr>
            <w:tcW w:w="1400" w:type="dxa"/>
            <w:vAlign w:val="bottom"/>
            <w:gridSpan w:val="3"/>
          </w:tcPr>
          <w:p>
            <w:pPr>
              <w:jc w:val="right"/>
              <w:ind w:right="321"/>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9"/>
                <w:szCs w:val="19"/>
                <w:color w:val="auto"/>
              </w:rPr>
            </w:pPr>
          </w:p>
        </w:tc>
        <w:tc>
          <w:tcPr>
            <w:tcW w:w="740" w:type="dxa"/>
            <w:vAlign w:val="bottom"/>
          </w:tcPr>
          <w:p>
            <w:pPr>
              <w:jc w:val="center"/>
              <w:ind w:right="32"/>
              <w:spacing w:after="0"/>
              <w:rPr>
                <w:sz w:val="20"/>
                <w:szCs w:val="20"/>
                <w:color w:val="auto"/>
              </w:rPr>
            </w:pPr>
            <w:r>
              <w:rPr>
                <w:rFonts w:ascii="Arial" w:cs="Arial" w:eastAsia="Arial" w:hAnsi="Arial"/>
                <w:sz w:val="16"/>
                <w:szCs w:val="16"/>
                <w:b w:val="1"/>
                <w:bCs w:val="1"/>
                <w:color w:val="auto"/>
                <w:w w:val="95"/>
              </w:rPr>
              <w:t>Amount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6"/>
                <w:szCs w:val="16"/>
                <w:b w:val="1"/>
                <w:bCs w:val="1"/>
                <w:color w:val="auto"/>
                <w:w w:val="89"/>
              </w:rPr>
              <w:t>Amount</w:t>
            </w:r>
          </w:p>
        </w:tc>
        <w:tc>
          <w:tcPr>
            <w:tcW w:w="300" w:type="dxa"/>
            <w:vAlign w:val="bottom"/>
          </w:tcPr>
          <w:p>
            <w:pPr>
              <w:spacing w:after="0"/>
              <w:rPr>
                <w:sz w:val="19"/>
                <w:szCs w:val="19"/>
                <w:color w:val="auto"/>
              </w:rPr>
            </w:pPr>
          </w:p>
        </w:tc>
        <w:tc>
          <w:tcPr>
            <w:tcW w:w="1400" w:type="dxa"/>
            <w:vAlign w:val="bottom"/>
            <w:gridSpan w:val="3"/>
          </w:tcPr>
          <w:p>
            <w:pPr>
              <w:jc w:val="right"/>
              <w:ind w:right="290"/>
              <w:spacing w:after="0"/>
              <w:rPr>
                <w:sz w:val="20"/>
                <w:szCs w:val="20"/>
                <w:color w:val="auto"/>
              </w:rPr>
            </w:pPr>
            <w:r>
              <w:rPr>
                <w:rFonts w:ascii="Arial" w:cs="Arial" w:eastAsia="Arial" w:hAnsi="Arial"/>
                <w:sz w:val="16"/>
                <w:szCs w:val="16"/>
                <w:b w:val="1"/>
                <w:bCs w:val="1"/>
                <w:color w:val="auto"/>
              </w:rPr>
              <w:t>Amortization</w:t>
            </w:r>
          </w:p>
        </w:tc>
        <w:tc>
          <w:tcPr>
            <w:tcW w:w="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Amount</w:t>
            </w:r>
          </w:p>
        </w:tc>
        <w:tc>
          <w:tcPr>
            <w:tcW w:w="320" w:type="dxa"/>
            <w:vAlign w:val="bottom"/>
          </w:tcPr>
          <w:p>
            <w:pPr>
              <w:spacing w:after="0"/>
              <w:rPr>
                <w:sz w:val="19"/>
                <w:szCs w:val="19"/>
                <w:color w:val="auto"/>
              </w:rPr>
            </w:pPr>
          </w:p>
        </w:tc>
      </w:tr>
      <w:tr>
        <w:trPr>
          <w:trHeight w:val="253"/>
        </w:trPr>
        <w:tc>
          <w:tcPr>
            <w:tcW w:w="2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 1</w:t>
            </w:r>
          </w:p>
        </w:tc>
        <w:tc>
          <w:tcPr>
            <w:tcW w:w="176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740" w:type="dxa"/>
            <w:vAlign w:val="bottom"/>
            <w:gridSpan w:val="2"/>
            <w:shd w:val="clear" w:color="auto" w:fill="CFF0FC"/>
          </w:tcPr>
          <w:p>
            <w:pPr>
              <w:jc w:val="right"/>
              <w:ind w:right="236"/>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780" w:type="dxa"/>
            <w:vAlign w:val="bottom"/>
            <w:gridSpan w:val="2"/>
            <w:shd w:val="clear" w:color="auto" w:fill="CFF0FC"/>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21"/>
                <w:szCs w:val="21"/>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8"/>
                <w:szCs w:val="18"/>
                <w:color w:val="auto"/>
              </w:rPr>
              <w:t>Patent 2</w:t>
            </w:r>
          </w:p>
        </w:tc>
        <w:tc>
          <w:tcPr>
            <w:tcW w:w="1760" w:type="dxa"/>
            <w:vAlign w:val="bottom"/>
          </w:tcPr>
          <w:p>
            <w:pPr>
              <w:jc w:val="right"/>
              <w:ind w:right="232"/>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0"/>
                <w:szCs w:val="20"/>
                <w:color w:val="auto"/>
              </w:rPr>
            </w:pPr>
          </w:p>
        </w:tc>
      </w:tr>
      <w:tr>
        <w:trPr>
          <w:trHeight w:val="249"/>
        </w:trPr>
        <w:tc>
          <w:tcPr>
            <w:tcW w:w="2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 3</w:t>
            </w:r>
          </w:p>
        </w:tc>
        <w:tc>
          <w:tcPr>
            <w:tcW w:w="176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(39 )</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FF0FC"/>
          </w:tcPr>
          <w:p>
            <w:pPr>
              <w:spacing w:after="0"/>
              <w:rPr>
                <w:sz w:val="21"/>
                <w:szCs w:val="21"/>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8"/>
                <w:szCs w:val="18"/>
                <w:color w:val="auto"/>
              </w:rPr>
              <w:t>Patent 5</w:t>
            </w:r>
          </w:p>
        </w:tc>
        <w:tc>
          <w:tcPr>
            <w:tcW w:w="1760" w:type="dxa"/>
            <w:vAlign w:val="bottom"/>
          </w:tcPr>
          <w:p>
            <w:pPr>
              <w:jc w:val="right"/>
              <w:ind w:right="232"/>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20"/>
                <w:szCs w:val="20"/>
                <w:color w:val="auto"/>
              </w:rPr>
            </w:pPr>
          </w:p>
        </w:tc>
      </w:tr>
      <w:tr>
        <w:trPr>
          <w:trHeight w:val="249"/>
        </w:trPr>
        <w:tc>
          <w:tcPr>
            <w:tcW w:w="2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 6</w:t>
            </w:r>
          </w:p>
        </w:tc>
        <w:tc>
          <w:tcPr>
            <w:tcW w:w="176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FF0FC"/>
          </w:tcPr>
          <w:p>
            <w:pPr>
              <w:spacing w:after="0"/>
              <w:rPr>
                <w:sz w:val="21"/>
                <w:szCs w:val="21"/>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8"/>
                <w:szCs w:val="18"/>
                <w:color w:val="auto"/>
              </w:rPr>
              <w:t>Patent 7</w:t>
            </w:r>
          </w:p>
        </w:tc>
        <w:tc>
          <w:tcPr>
            <w:tcW w:w="1760" w:type="dxa"/>
            <w:vAlign w:val="bottom"/>
          </w:tcPr>
          <w:p>
            <w:pPr>
              <w:jc w:val="right"/>
              <w:ind w:right="232"/>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r>
      <w:tr>
        <w:trPr>
          <w:trHeight w:val="249"/>
        </w:trPr>
        <w:tc>
          <w:tcPr>
            <w:tcW w:w="2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 8</w:t>
            </w:r>
          </w:p>
        </w:tc>
        <w:tc>
          <w:tcPr>
            <w:tcW w:w="176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21"/>
                <w:szCs w:val="21"/>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8"/>
                <w:szCs w:val="18"/>
                <w:color w:val="auto"/>
              </w:rPr>
              <w:t>Patent 10</w:t>
            </w:r>
          </w:p>
        </w:tc>
        <w:tc>
          <w:tcPr>
            <w:tcW w:w="1760" w:type="dxa"/>
            <w:vAlign w:val="bottom"/>
          </w:tcPr>
          <w:p>
            <w:pPr>
              <w:jc w:val="right"/>
              <w:ind w:right="232"/>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r>
      <w:tr>
        <w:trPr>
          <w:trHeight w:val="249"/>
        </w:trPr>
        <w:tc>
          <w:tcPr>
            <w:tcW w:w="2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 11</w:t>
            </w:r>
          </w:p>
        </w:tc>
        <w:tc>
          <w:tcPr>
            <w:tcW w:w="176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21"/>
                <w:szCs w:val="21"/>
                <w:color w:val="auto"/>
              </w:rPr>
            </w:pP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760" w:type="dxa"/>
            <w:vAlign w:val="bottom"/>
          </w:tcPr>
          <w:p>
            <w:pPr>
              <w:jc w:val="right"/>
              <w:ind w:right="232"/>
              <w:spacing w:after="0"/>
              <w:rPr>
                <w:sz w:val="20"/>
                <w:szCs w:val="20"/>
                <w:color w:val="auto"/>
              </w:rPr>
            </w:pPr>
            <w:r>
              <w:rPr>
                <w:rFonts w:ascii="Arial" w:cs="Arial" w:eastAsia="Arial" w:hAnsi="Arial"/>
                <w:sz w:val="18"/>
                <w:szCs w:val="18"/>
                <w:color w:val="auto"/>
              </w:rPr>
              <w:t>Indefinite</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1"/>
                <w:szCs w:val="21"/>
                <w:color w:val="auto"/>
              </w:rPr>
            </w:pPr>
          </w:p>
        </w:tc>
      </w:tr>
      <w:tr>
        <w:trPr>
          <w:trHeight w:val="277"/>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7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3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3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3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-25400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-7620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-25400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-25400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jc w:val="both"/>
        <w:ind w:right="180" w:firstLine="803"/>
        <w:spacing w:after="0" w:line="259" w:lineRule="auto"/>
        <w:rPr>
          <w:sz w:val="20"/>
          <w:szCs w:val="20"/>
          <w:color w:val="auto"/>
        </w:rPr>
      </w:pPr>
      <w:r>
        <w:rPr>
          <w:rFonts w:ascii="Arial" w:cs="Arial" w:eastAsia="Arial" w:hAnsi="Arial"/>
          <w:sz w:val="18"/>
          <w:szCs w:val="18"/>
          <w:color w:val="auto"/>
        </w:rPr>
        <w:t>During the three-months ended March 31, 2023 and 2022, the Company did not identify any events or changes in circumstances that indicated that the carrying value of its intangibles may not be recoverable. As such, there was no impairment of intangibles assets recognized for the three-months ended March 31, 2023 and 2022. Amortization expense of intangibles included in the Consolidated Statements of Operations was $9,000 and $34,000 for the three-months ended March 31, 2023 and 2022, respectively.</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 expects the future amortization of amortizable intangible assets held at March 31, 2023 to be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Estimated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Amortization</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7"/>
              </w:rPr>
              <w:t>Expense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48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2024</w:t>
            </w:r>
          </w:p>
        </w:tc>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8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2026</w:t>
            </w:r>
          </w:p>
        </w:tc>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8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2028</w:t>
            </w:r>
          </w:p>
        </w:tc>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48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5380" w:type="dxa"/>
            <w:vAlign w:val="bottom"/>
            <w:gridSpan w:val="3"/>
          </w:tcPr>
          <w:p>
            <w:pPr>
              <w:ind w:left="49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407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800" w:type="dxa"/>
            <w:vAlign w:val="bottom"/>
            <w:vMerge w:val="restart"/>
          </w:tcPr>
          <w:p>
            <w:pPr>
              <w:jc w:val="right"/>
              <w:ind w:right="303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-685165</wp:posOffset>
            </wp:positionV>
            <wp:extent cx="7747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10. Plant and Equipment</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composition of property, plant and equipment, net is as follows (in thousands):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As of</w:t>
            </w: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00" w:type="dxa"/>
            <w:vAlign w:val="bottom"/>
          </w:tcPr>
          <w:p>
            <w:pPr>
              <w:spacing w:after="0"/>
              <w:rPr>
                <w:sz w:val="20"/>
                <w:szCs w:val="20"/>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Useful Lives</w:t>
            </w:r>
          </w:p>
        </w:tc>
        <w:tc>
          <w:tcPr>
            <w:tcW w:w="220" w:type="dxa"/>
            <w:vAlign w:val="bottom"/>
          </w:tcPr>
          <w:p>
            <w:pPr>
              <w:spacing w:after="0"/>
              <w:rPr>
                <w:sz w:val="20"/>
                <w:szCs w:val="20"/>
                <w:color w:val="auto"/>
              </w:rPr>
            </w:pPr>
          </w:p>
        </w:tc>
        <w:tc>
          <w:tcPr>
            <w:tcW w:w="19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9"/>
              </w:rPr>
              <w:t>March 31, 2023</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years</w:t>
            </w: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30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3 years</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871</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1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7 years</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459</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 years</w:t>
            </w: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4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Lesser of life or lease</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term</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RECELL Moulds</w:t>
            </w: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 years</w:t>
            </w: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400" w:type="dxa"/>
            <w:vAlign w:val="bottom"/>
          </w:tcPr>
          <w:p>
            <w:pPr>
              <w:ind w:left="20"/>
              <w:spacing w:after="0"/>
              <w:rPr>
                <w:sz w:val="20"/>
                <w:szCs w:val="20"/>
                <w:color w:val="auto"/>
              </w:rPr>
            </w:pPr>
            <w:r>
              <w:rPr>
                <w:rFonts w:ascii="Arial" w:cs="Arial" w:eastAsia="Arial" w:hAnsi="Arial"/>
                <w:sz w:val="18"/>
                <w:szCs w:val="18"/>
                <w:color w:val="auto"/>
              </w:rPr>
              <w:t>Less: accumulated amortization and</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(2,278 )</w:t>
            </w:r>
          </w:p>
        </w:tc>
        <w:tc>
          <w:tcPr>
            <w:tcW w:w="600" w:type="dxa"/>
            <w:vAlign w:val="bottom"/>
          </w:tcPr>
          <w:p>
            <w:pPr>
              <w:spacing w:after="0"/>
              <w:rPr>
                <w:sz w:val="18"/>
                <w:szCs w:val="18"/>
                <w:color w:val="auto"/>
              </w:rPr>
            </w:pPr>
          </w:p>
        </w:tc>
        <w:tc>
          <w:tcPr>
            <w:tcW w:w="10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(2,152 )</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plant and equipment, net</w:t>
            </w:r>
          </w:p>
        </w:tc>
        <w:tc>
          <w:tcPr>
            <w:tcW w:w="16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30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2" w:lineRule="exact"/>
        <w:rPr>
          <w:sz w:val="20"/>
          <w:szCs w:val="20"/>
          <w:color w:val="auto"/>
        </w:rPr>
      </w:pPr>
    </w:p>
    <w:p>
      <w:pPr>
        <w:ind w:right="700" w:firstLine="749"/>
        <w:spacing w:after="0" w:line="277" w:lineRule="auto"/>
        <w:rPr>
          <w:sz w:val="20"/>
          <w:szCs w:val="20"/>
          <w:color w:val="auto"/>
        </w:rPr>
      </w:pPr>
      <w:r>
        <w:rPr>
          <w:rFonts w:ascii="Arial" w:cs="Arial" w:eastAsia="Arial" w:hAnsi="Arial"/>
          <w:sz w:val="18"/>
          <w:szCs w:val="18"/>
          <w:color w:val="auto"/>
        </w:rPr>
        <w:t>Depreciation expense related to plant and equipment for the three-months ended March 31, 2023 and 2022 was $126,000 and $129,000,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Current and Long-Term Assets and Liabilities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Prepaids and other current assets consisted of the following (in thousands):</w:t>
      </w:r>
    </w:p>
    <w:p>
      <w:pPr>
        <w:spacing w:after="0" w:line="289"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9"/>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March 31, 2023</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December 31, 2022</w:t>
            </w:r>
          </w:p>
        </w:tc>
        <w:tc>
          <w:tcPr>
            <w:tcW w:w="120" w:type="dxa"/>
            <w:vAlign w:val="bottom"/>
          </w:tcPr>
          <w:p>
            <w:pPr>
              <w:spacing w:after="0"/>
              <w:rPr>
                <w:sz w:val="20"/>
                <w:szCs w:val="20"/>
                <w:color w:val="auto"/>
              </w:rPr>
            </w:pPr>
          </w:p>
        </w:tc>
      </w:tr>
      <w:tr>
        <w:trPr>
          <w:trHeight w:val="241"/>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FF0FC"/>
          </w:tcPr>
          <w:p>
            <w:pPr>
              <w:spacing w:after="0"/>
              <w:rPr>
                <w:sz w:val="20"/>
                <w:szCs w:val="20"/>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Lease deposits</w:t>
            </w: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r>
      <w:tr>
        <w:trPr>
          <w:trHeight w:val="249"/>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investment income</w:t>
            </w:r>
          </w:p>
        </w:tc>
        <w:tc>
          <w:tcPr>
            <w:tcW w:w="2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FF0FC"/>
          </w:tcPr>
          <w:p>
            <w:pPr>
              <w:spacing w:after="0"/>
              <w:rPr>
                <w:sz w:val="21"/>
                <w:szCs w:val="2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BARDA contract costs</w:t>
            </w: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0"/>
                <w:szCs w:val="20"/>
                <w:color w:val="auto"/>
              </w:rPr>
            </w:pPr>
          </w:p>
        </w:tc>
      </w:tr>
      <w:tr>
        <w:trPr>
          <w:trHeight w:val="249"/>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receivables</w:t>
            </w:r>
          </w:p>
        </w:tc>
        <w:tc>
          <w:tcPr>
            <w:tcW w:w="24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Total prepaids and other 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1,481</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Pr>
          <w:p>
            <w:pPr>
              <w:spacing w:after="0"/>
              <w:rPr>
                <w:sz w:val="20"/>
                <w:szCs w:val="20"/>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-187960</wp:posOffset>
            </wp:positionV>
            <wp:extent cx="7747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Prepaid expenses primarily consist of prepaid benefits and insurance.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long-term assets consisted of the following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March 31, 2023</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December 31, 2022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1"/>
        </w:trPr>
        <w:tc>
          <w:tcPr>
            <w:tcW w:w="1120" w:type="dxa"/>
            <w:vAlign w:val="bottom"/>
          </w:tcPr>
          <w:p>
            <w:pPr>
              <w:spacing w:after="0"/>
              <w:rPr>
                <w:sz w:val="20"/>
                <w:szCs w:val="20"/>
                <w:color w:val="auto"/>
              </w:rPr>
            </w:pPr>
          </w:p>
        </w:tc>
        <w:tc>
          <w:tcPr>
            <w:tcW w:w="4280" w:type="dxa"/>
            <w:vAlign w:val="bottom"/>
            <w:shd w:val="clear" w:color="auto" w:fill="CFF0FC"/>
          </w:tcPr>
          <w:p>
            <w:pPr>
              <w:ind w:left="60"/>
              <w:spacing w:after="0"/>
              <w:rPr>
                <w:sz w:val="20"/>
                <w:szCs w:val="20"/>
                <w:color w:val="auto"/>
              </w:rPr>
            </w:pPr>
            <w:r>
              <w:rPr>
                <w:rFonts w:ascii="Arial" w:cs="Arial" w:eastAsia="Arial" w:hAnsi="Arial"/>
                <w:sz w:val="18"/>
                <w:szCs w:val="18"/>
                <w:color w:val="auto"/>
              </w:rPr>
              <w:t>Long-term lease deposits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20" w:type="dxa"/>
            <w:vAlign w:val="bottom"/>
          </w:tcPr>
          <w:p>
            <w:pPr>
              <w:spacing w:after="0"/>
              <w:rPr>
                <w:sz w:val="21"/>
                <w:szCs w:val="21"/>
                <w:color w:val="auto"/>
              </w:rPr>
            </w:pPr>
          </w:p>
        </w:tc>
        <w:tc>
          <w:tcPr>
            <w:tcW w:w="4280" w:type="dxa"/>
            <w:vAlign w:val="bottom"/>
          </w:tcPr>
          <w:p>
            <w:pPr>
              <w:ind w:left="60"/>
              <w:spacing w:after="0"/>
              <w:rPr>
                <w:sz w:val="20"/>
                <w:szCs w:val="20"/>
                <w:color w:val="auto"/>
              </w:rPr>
            </w:pPr>
            <w:r>
              <w:rPr>
                <w:rFonts w:ascii="Arial" w:cs="Arial" w:eastAsia="Arial" w:hAnsi="Arial"/>
                <w:sz w:val="18"/>
                <w:szCs w:val="18"/>
                <w:color w:val="auto"/>
              </w:rPr>
              <w:t>Long-term prepaids</w:t>
            </w:r>
          </w:p>
        </w:tc>
        <w:tc>
          <w:tcPr>
            <w:tcW w:w="1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1120" w:type="dxa"/>
            <w:vAlign w:val="bottom"/>
          </w:tcPr>
          <w:p>
            <w:pPr>
              <w:spacing w:after="0"/>
              <w:rPr>
                <w:sz w:val="23"/>
                <w:szCs w:val="23"/>
                <w:color w:val="auto"/>
              </w:rPr>
            </w:pPr>
          </w:p>
        </w:tc>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long-term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FF0FC"/>
            </w:tcBorders>
            <w:shd w:val="clear" w:color="auto" w:fill="CFF0FC"/>
          </w:tcPr>
          <w:p>
            <w:pPr>
              <w:spacing w:after="0"/>
              <w:rPr>
                <w:sz w:val="23"/>
                <w:szCs w:val="23"/>
                <w:color w:val="auto"/>
              </w:rPr>
            </w:pPr>
          </w:p>
        </w:tc>
        <w:tc>
          <w:tcPr>
            <w:tcW w:w="1120" w:type="dxa"/>
            <w:vAlign w:val="bottom"/>
          </w:tcPr>
          <w:p>
            <w:pPr>
              <w:spacing w:after="0"/>
              <w:rPr>
                <w:sz w:val="23"/>
                <w:szCs w:val="23"/>
                <w:color w:val="auto"/>
              </w:rPr>
            </w:pPr>
          </w:p>
        </w:tc>
      </w:tr>
      <w:tr>
        <w:trPr>
          <w:trHeight w:val="446"/>
        </w:trPr>
        <w:tc>
          <w:tcPr>
            <w:tcW w:w="5520" w:type="dxa"/>
            <w:vAlign w:val="bottom"/>
            <w:gridSpan w:val="3"/>
          </w:tcPr>
          <w:p>
            <w:pPr>
              <w:jc w:val="right"/>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9"/>
        </w:trPr>
        <w:tc>
          <w:tcPr>
            <w:tcW w:w="1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9"/>
        </w:trPr>
        <w:tc>
          <w:tcPr>
            <w:tcW w:w="1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March 31, 2023</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December 31, 2022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1"/>
        </w:trPr>
        <w:tc>
          <w:tcPr>
            <w:tcW w:w="1120" w:type="dxa"/>
            <w:vAlign w:val="bottom"/>
          </w:tcPr>
          <w:p>
            <w:pPr>
              <w:spacing w:after="0"/>
              <w:rPr>
                <w:sz w:val="20"/>
                <w:szCs w:val="20"/>
                <w:color w:val="auto"/>
              </w:rPr>
            </w:pPr>
          </w:p>
        </w:tc>
        <w:tc>
          <w:tcPr>
            <w:tcW w:w="4280" w:type="dxa"/>
            <w:vAlign w:val="bottom"/>
            <w:shd w:val="clear" w:color="auto" w:fill="CFF0FC"/>
          </w:tcPr>
          <w:p>
            <w:pPr>
              <w:ind w:left="60"/>
              <w:spacing w:after="0"/>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120" w:type="dxa"/>
            <w:vAlign w:val="bottom"/>
          </w:tcPr>
          <w:p>
            <w:pPr>
              <w:spacing w:after="0"/>
              <w:rPr>
                <w:sz w:val="20"/>
                <w:szCs w:val="20"/>
                <w:color w:val="auto"/>
              </w:rPr>
            </w:pPr>
          </w:p>
        </w:tc>
        <w:tc>
          <w:tcPr>
            <w:tcW w:w="4280" w:type="dxa"/>
            <w:vAlign w:val="bottom"/>
          </w:tcPr>
          <w:p>
            <w:pPr>
              <w:ind w:left="60"/>
              <w:spacing w:after="0"/>
              <w:rPr>
                <w:sz w:val="20"/>
                <w:szCs w:val="20"/>
                <w:color w:val="auto"/>
              </w:rPr>
            </w:pPr>
            <w:r>
              <w:rPr>
                <w:rFonts w:ascii="Arial" w:cs="Arial" w:eastAsia="Arial" w:hAnsi="Arial"/>
                <w:sz w:val="18"/>
                <w:szCs w:val="18"/>
                <w:color w:val="auto"/>
              </w:rPr>
              <w:t>BARDA deferred costs</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20" w:type="dxa"/>
            <w:vAlign w:val="bottom"/>
          </w:tcPr>
          <w:p>
            <w:pPr>
              <w:spacing w:after="0"/>
              <w:rPr>
                <w:sz w:val="21"/>
                <w:szCs w:val="21"/>
                <w:color w:val="auto"/>
              </w:rPr>
            </w:pPr>
          </w:p>
        </w:tc>
        <w:tc>
          <w:tcPr>
            <w:tcW w:w="4280" w:type="dxa"/>
            <w:vAlign w:val="bottom"/>
            <w:shd w:val="clear" w:color="auto" w:fill="CFF0FC"/>
          </w:tcPr>
          <w:p>
            <w:pPr>
              <w:ind w:left="60"/>
              <w:spacing w:after="0"/>
              <w:rPr>
                <w:sz w:val="20"/>
                <w:szCs w:val="20"/>
                <w:color w:val="auto"/>
              </w:rPr>
            </w:pPr>
            <w:r>
              <w:rPr>
                <w:rFonts w:ascii="Arial" w:cs="Arial" w:eastAsia="Arial" w:hAnsi="Arial"/>
                <w:sz w:val="18"/>
                <w:szCs w:val="18"/>
                <w:color w:val="auto"/>
              </w:rPr>
              <w:t>BARDA deferred revenue</w:t>
            </w:r>
          </w:p>
        </w:tc>
        <w:tc>
          <w:tcPr>
            <w:tcW w:w="12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4280" w:type="dxa"/>
            <w:vAlign w:val="bottom"/>
          </w:tcPr>
          <w:p>
            <w:pPr>
              <w:ind w:left="6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7"/>
        </w:trPr>
        <w:tc>
          <w:tcPr>
            <w:tcW w:w="1120" w:type="dxa"/>
            <w:vAlign w:val="bottom"/>
          </w:tcPr>
          <w:p>
            <w:pPr>
              <w:spacing w:after="0"/>
              <w:rPr>
                <w:sz w:val="24"/>
                <w:szCs w:val="24"/>
                <w:color w:val="auto"/>
              </w:rPr>
            </w:pPr>
          </w:p>
        </w:tc>
        <w:tc>
          <w:tcPr>
            <w:tcW w:w="42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1,929</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28"/>
        </w:trPr>
        <w:tc>
          <w:tcPr>
            <w:tcW w:w="1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jc w:val="right"/>
              <w:ind w:right="1570"/>
              <w:spacing w:after="0"/>
              <w:rPr>
                <w:sz w:val="20"/>
                <w:szCs w:val="20"/>
                <w:color w:val="auto"/>
              </w:rPr>
            </w:pPr>
            <w:r>
              <w:rPr>
                <w:rFonts w:ascii="Arial" w:cs="Arial" w:eastAsia="Arial" w:hAnsi="Arial"/>
                <w:sz w:val="18"/>
                <w:szCs w:val="18"/>
                <w:color w:val="auto"/>
                <w:w w:val="89"/>
              </w:rPr>
              <w:t>23</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-2099945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-2082165</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-2099945</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-2082165</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-521970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-505460</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-521970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-505460</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12. Reporting Segment and Geographic Information</w:t>
      </w:r>
    </w:p>
    <w:p>
      <w:pPr>
        <w:spacing w:after="0" w:line="229" w:lineRule="exact"/>
        <w:rPr>
          <w:sz w:val="20"/>
          <w:szCs w:val="20"/>
          <w:color w:val="auto"/>
        </w:rPr>
      </w:pPr>
    </w:p>
    <w:p>
      <w:pPr>
        <w:ind w:right="340" w:firstLine="749"/>
        <w:spacing w:after="0" w:line="308" w:lineRule="auto"/>
        <w:rPr>
          <w:sz w:val="20"/>
          <w:szCs w:val="20"/>
          <w:color w:val="auto"/>
        </w:rPr>
      </w:pPr>
      <w:r>
        <w:rPr>
          <w:rFonts w:ascii="Arial" w:cs="Arial" w:eastAsia="Arial" w:hAnsi="Arial"/>
          <w:sz w:val="17"/>
          <w:szCs w:val="17"/>
          <w:color w:val="auto"/>
        </w:rPr>
        <w:t>The Company views its operations and manages its business in one reporting segment. Long-lived assets are primarily located in the United States as of March 31, 2023, and December 31, 2022 with an insignificant amount located in Australia and the United Kingdom.</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Revenue by region for the three-months ended March 31, 2023, and 2022 were as follows (in thousands):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4"/>
          </w:tcPr>
          <w:p>
            <w:pPr>
              <w:jc w:val="right"/>
              <w:ind w:right="1390"/>
              <w:spacing w:after="0"/>
              <w:rPr>
                <w:sz w:val="20"/>
                <w:szCs w:val="20"/>
                <w:color w:val="auto"/>
              </w:rPr>
            </w:pPr>
            <w:r>
              <w:rPr>
                <w:rFonts w:ascii="Arial" w:cs="Arial" w:eastAsia="Arial" w:hAnsi="Arial"/>
                <w:sz w:val="18"/>
                <w:szCs w:val="18"/>
                <w:b w:val="1"/>
                <w:bCs w:val="1"/>
                <w:color w:val="auto"/>
              </w:rPr>
              <w:t>Three-Months Ended</w:t>
            </w:r>
          </w:p>
        </w:tc>
        <w:tc>
          <w:tcPr>
            <w:tcW w:w="120" w:type="dxa"/>
            <w:vAlign w:val="bottom"/>
          </w:tcPr>
          <w:p>
            <w:pPr>
              <w:spacing w:after="0"/>
              <w:rPr>
                <w:sz w:val="20"/>
                <w:szCs w:val="20"/>
                <w:color w:val="auto"/>
              </w:rPr>
            </w:pPr>
          </w:p>
        </w:tc>
      </w:tr>
      <w:tr>
        <w:trPr>
          <w:trHeight w:val="239"/>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March 31, 2023</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20"/>
                <w:szCs w:val="20"/>
                <w:color w:val="auto"/>
              </w:rPr>
            </w:pPr>
          </w:p>
        </w:tc>
      </w:tr>
      <w:tr>
        <w:trPr>
          <w:trHeight w:val="241"/>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9,425</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7,398</w:t>
            </w:r>
          </w:p>
        </w:tc>
        <w:tc>
          <w:tcPr>
            <w:tcW w:w="120" w:type="dxa"/>
            <w:vAlign w:val="bottom"/>
          </w:tcPr>
          <w:p>
            <w:pPr>
              <w:spacing w:after="0"/>
              <w:rPr>
                <w:sz w:val="20"/>
                <w:szCs w:val="20"/>
                <w:color w:val="auto"/>
              </w:rPr>
            </w:pPr>
          </w:p>
        </w:tc>
      </w:tr>
      <w:tr>
        <w:trPr>
          <w:trHeight w:val="249"/>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Australia</w:t>
            </w:r>
          </w:p>
        </w:tc>
        <w:tc>
          <w:tcPr>
            <w:tcW w:w="2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21"/>
                <w:szCs w:val="2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r>
      <w:tr>
        <w:trPr>
          <w:trHeight w:val="276"/>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10,550</w:t>
            </w:r>
          </w:p>
        </w:tc>
        <w:tc>
          <w:tcPr>
            <w:tcW w:w="3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7,539</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-25400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Revenue and cost of sales by customer type for the three-months ended March 31, 2023, and 2022 were as follows (in thousands):</w:t>
      </w:r>
    </w:p>
    <w:p>
      <w:pPr>
        <w:spacing w:after="0" w:line="395"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4"/>
          </w:tcPr>
          <w:p>
            <w:pPr>
              <w:jc w:val="right"/>
              <w:ind w:right="1390"/>
              <w:spacing w:after="0"/>
              <w:rPr>
                <w:sz w:val="20"/>
                <w:szCs w:val="20"/>
                <w:color w:val="auto"/>
              </w:rPr>
            </w:pPr>
            <w:r>
              <w:rPr>
                <w:rFonts w:ascii="Arial" w:cs="Arial" w:eastAsia="Arial" w:hAnsi="Arial"/>
                <w:sz w:val="18"/>
                <w:szCs w:val="18"/>
                <w:b w:val="1"/>
                <w:bCs w:val="1"/>
                <w:color w:val="auto"/>
              </w:rPr>
              <w:t>Three-Months Ended</w:t>
            </w:r>
          </w:p>
        </w:tc>
        <w:tc>
          <w:tcPr>
            <w:tcW w:w="120" w:type="dxa"/>
            <w:vAlign w:val="bottom"/>
          </w:tcPr>
          <w:p>
            <w:pPr>
              <w:spacing w:after="0"/>
              <w:rPr>
                <w:sz w:val="20"/>
                <w:szCs w:val="20"/>
                <w:color w:val="auto"/>
              </w:rPr>
            </w:pPr>
          </w:p>
        </w:tc>
      </w:tr>
      <w:tr>
        <w:trPr>
          <w:trHeight w:val="239"/>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March 31, 2023</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20"/>
                <w:szCs w:val="20"/>
                <w:color w:val="auto"/>
              </w:rPr>
            </w:pPr>
          </w:p>
        </w:tc>
      </w:tr>
      <w:tr>
        <w:trPr>
          <w:trHeight w:val="241"/>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Commercial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10,458</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7,446</w:t>
            </w:r>
          </w:p>
        </w:tc>
        <w:tc>
          <w:tcPr>
            <w:tcW w:w="120" w:type="dxa"/>
            <w:vAlign w:val="bottom"/>
          </w:tcPr>
          <w:p>
            <w:pPr>
              <w:spacing w:after="0"/>
              <w:rPr>
                <w:sz w:val="20"/>
                <w:szCs w:val="20"/>
                <w:color w:val="auto"/>
              </w:rPr>
            </w:pPr>
          </w:p>
        </w:tc>
      </w:tr>
      <w:tr>
        <w:trPr>
          <w:trHeight w:val="249"/>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BARDA:</w:t>
            </w:r>
          </w:p>
        </w:tc>
        <w:tc>
          <w:tcPr>
            <w:tcW w:w="24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Services for emergency preparedness</w:t>
            </w: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r>
      <w:tr>
        <w:trPr>
          <w:trHeight w:val="276"/>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10,550</w:t>
            </w:r>
          </w:p>
        </w:tc>
        <w:tc>
          <w:tcPr>
            <w:tcW w:w="3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7,539</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-25400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gridSpan w:val="5"/>
          </w:tcPr>
          <w:p>
            <w:pPr>
              <w:jc w:val="right"/>
              <w:ind w:right="1600"/>
              <w:spacing w:after="0"/>
              <w:rPr>
                <w:sz w:val="20"/>
                <w:szCs w:val="20"/>
                <w:color w:val="auto"/>
              </w:rPr>
            </w:pPr>
            <w:r>
              <w:rPr>
                <w:rFonts w:ascii="Arial" w:cs="Arial" w:eastAsia="Arial" w:hAnsi="Arial"/>
                <w:sz w:val="18"/>
                <w:szCs w:val="18"/>
                <w:b w:val="1"/>
                <w:bCs w:val="1"/>
                <w:color w:val="auto"/>
              </w:rPr>
              <w:t>Three-Months Ended</w:t>
            </w:r>
          </w:p>
        </w:tc>
      </w:tr>
      <w:tr>
        <w:trPr>
          <w:trHeight w:val="237"/>
        </w:trPr>
        <w:tc>
          <w:tcPr>
            <w:tcW w:w="42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2"/>
          </w:tcPr>
          <w:p>
            <w:pPr>
              <w:jc w:val="right"/>
              <w:ind w:right="720"/>
              <w:spacing w:after="0"/>
              <w:rPr>
                <w:sz w:val="20"/>
                <w:szCs w:val="20"/>
                <w:color w:val="auto"/>
              </w:rPr>
            </w:pPr>
            <w:r>
              <w:rPr>
                <w:rFonts w:ascii="Arial" w:cs="Arial" w:eastAsia="Arial" w:hAnsi="Arial"/>
                <w:sz w:val="18"/>
                <w:szCs w:val="18"/>
                <w:b w:val="1"/>
                <w:bCs w:val="1"/>
                <w:color w:val="auto"/>
              </w:rPr>
              <w:t>March 31, 2023</w:t>
            </w:r>
          </w:p>
        </w:tc>
        <w:tc>
          <w:tcPr>
            <w:tcW w:w="3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20"/>
                <w:szCs w:val="20"/>
                <w:color w:val="auto"/>
              </w:rPr>
            </w:pPr>
          </w:p>
        </w:tc>
      </w:tr>
      <w:tr>
        <w:trPr>
          <w:trHeight w:val="236"/>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cost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120" w:type="dxa"/>
            <w:vAlign w:val="bottom"/>
            <w:shd w:val="clear" w:color="auto" w:fill="CFF0FC"/>
          </w:tcPr>
          <w:p>
            <w:pPr>
              <w:spacing w:after="0"/>
              <w:rPr>
                <w:sz w:val="21"/>
                <w:szCs w:val="2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BARDA:</w:t>
            </w: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cost</w:t>
            </w:r>
          </w:p>
        </w:tc>
        <w:tc>
          <w:tcPr>
            <w:tcW w:w="24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(34 )</w:t>
            </w:r>
          </w:p>
        </w:tc>
        <w:tc>
          <w:tcPr>
            <w:tcW w:w="340" w:type="dxa"/>
            <w:vAlign w:val="bottom"/>
            <w:shd w:val="clear" w:color="auto" w:fill="CFF0FC"/>
          </w:tcPr>
          <w:p>
            <w:pPr>
              <w:spacing w:after="0"/>
              <w:rPr>
                <w:sz w:val="21"/>
                <w:szCs w:val="21"/>
                <w:color w:val="auto"/>
              </w:rPr>
            </w:pPr>
          </w:p>
        </w:tc>
        <w:tc>
          <w:tcPr>
            <w:tcW w:w="2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(12 )</w:t>
            </w: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Emergency preparedness service cost</w:t>
            </w: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r>
      <w:tr>
        <w:trPr>
          <w:trHeight w:val="276"/>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w:t>
            </w:r>
          </w:p>
        </w:tc>
        <w:tc>
          <w:tcPr>
            <w:tcW w:w="3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-25400</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229"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March 31, 2023 and December 31, 2022, the Company did not have any outstanding or threatened litigation that would have a material impact on the financial statements.</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88"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14. Common and Preferred Stock</w:t>
      </w:r>
    </w:p>
    <w:p>
      <w:pPr>
        <w:spacing w:after="0" w:line="225" w:lineRule="exact"/>
        <w:rPr>
          <w:sz w:val="20"/>
          <w:szCs w:val="20"/>
          <w:color w:val="auto"/>
        </w:rPr>
      </w:pPr>
    </w:p>
    <w:p>
      <w:pPr>
        <w:ind w:right="40" w:firstLine="749"/>
        <w:spacing w:after="0" w:line="266" w:lineRule="auto"/>
        <w:rPr>
          <w:sz w:val="20"/>
          <w:szCs w:val="20"/>
          <w:color w:val="auto"/>
        </w:rPr>
      </w:pPr>
      <w:r>
        <w:rPr>
          <w:rFonts w:ascii="Arial" w:cs="Arial" w:eastAsia="Arial" w:hAnsi="Arial"/>
          <w:sz w:val="18"/>
          <w:szCs w:val="18"/>
          <w:color w:val="auto"/>
        </w:rPr>
        <w:t>The Company’s CHESS Depositary Interests (“</w:t>
      </w:r>
      <w:r>
        <w:rPr>
          <w:rFonts w:ascii="Arial" w:cs="Arial" w:eastAsia="Arial" w:hAnsi="Arial"/>
          <w:sz w:val="18"/>
          <w:szCs w:val="18"/>
          <w:b w:val="1"/>
          <w:bCs w:val="1"/>
          <w:color w:val="auto"/>
        </w:rPr>
        <w:t>CDIs</w:t>
      </w:r>
      <w:r>
        <w:rPr>
          <w:rFonts w:ascii="Arial" w:cs="Arial" w:eastAsia="Arial" w:hAnsi="Arial"/>
          <w:sz w:val="18"/>
          <w:szCs w:val="18"/>
          <w:color w:val="auto"/>
        </w:rPr>
        <w:t>”) are quoted on the ASX under the ticker code, “AVH”. The Company’s shares of common stock are quoted on the Nasdaq Capital Market (“</w:t>
      </w:r>
      <w:r>
        <w:rPr>
          <w:rFonts w:ascii="Arial" w:cs="Arial" w:eastAsia="Arial" w:hAnsi="Arial"/>
          <w:sz w:val="18"/>
          <w:szCs w:val="18"/>
          <w:b w:val="1"/>
          <w:bCs w:val="1"/>
          <w:color w:val="auto"/>
        </w:rPr>
        <w:t>Nasdaq</w:t>
      </w:r>
      <w:r>
        <w:rPr>
          <w:rFonts w:ascii="Arial" w:cs="Arial" w:eastAsia="Arial" w:hAnsi="Arial"/>
          <w:sz w:val="18"/>
          <w:szCs w:val="18"/>
          <w:color w:val="auto"/>
        </w:rPr>
        <w:t>”) under the ticker code, “RCEL”. One share of common stock on Nasdaq is equivalent to five CDIs on the ASX.</w:t>
      </w:r>
    </w:p>
    <w:p>
      <w:pPr>
        <w:spacing w:after="0" w:line="207" w:lineRule="exact"/>
        <w:rPr>
          <w:sz w:val="20"/>
          <w:szCs w:val="20"/>
          <w:color w:val="auto"/>
        </w:rPr>
      </w:pPr>
    </w:p>
    <w:p>
      <w:pPr>
        <w:ind w:firstLine="749"/>
        <w:spacing w:after="0" w:line="269" w:lineRule="auto"/>
        <w:rPr>
          <w:sz w:val="20"/>
          <w:szCs w:val="20"/>
          <w:color w:val="auto"/>
        </w:rPr>
      </w:pPr>
      <w:r>
        <w:rPr>
          <w:rFonts w:ascii="Arial" w:cs="Arial" w:eastAsia="Arial" w:hAnsi="Arial"/>
          <w:sz w:val="18"/>
          <w:szCs w:val="18"/>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March 31, 2023, and December 31, 2022, 25,327,761 and 25,208,436 shares of common stock, respectively, were issued and outstanding and no shares of preferred stock were outstanding during any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Payment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Employee Stock-Based Compensation Plans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Our former parent company, AVITA Medical Pty Limited, adopted the Employee Share Plan and the Incentive Option Plan (collectively,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2016 Plans</w:t>
      </w:r>
      <w:r>
        <w:rPr>
          <w:rFonts w:ascii="Arial" w:cs="Arial" w:eastAsia="Arial" w:hAnsi="Arial"/>
          <w:sz w:val="17"/>
          <w:szCs w:val="17"/>
          <w:color w:val="auto"/>
        </w:rPr>
        <w:t>”). Upon completion of the redomiciliation of AVITA Medical from Australia to the United States (“</w:t>
      </w:r>
      <w:r>
        <w:rPr>
          <w:rFonts w:ascii="Arial" w:cs="Arial" w:eastAsia="Arial" w:hAnsi="Arial"/>
          <w:sz w:val="17"/>
          <w:szCs w:val="17"/>
          <w:b w:val="1"/>
          <w:bCs w:val="1"/>
          <w:color w:val="auto"/>
        </w:rPr>
        <w:t>Redomiciliation</w:t>
      </w:r>
      <w:r>
        <w:rPr>
          <w:rFonts w:ascii="Arial" w:cs="Arial" w:eastAsia="Arial" w:hAnsi="Arial"/>
          <w:sz w:val="17"/>
          <w:szCs w:val="17"/>
          <w:color w:val="auto"/>
        </w:rPr>
        <w:t>”), the 2016 Plans were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terminated with respect to future grants and accordingly, there are no more shares available to be issued under the 2016 Plans. In addition, upon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completion of the Redomiciliation, the Company had an implicit consolidation or reverse stock split of 100:1 and all share information presented below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relation to the 2016 Plans has been presented on a reverse stock split basis. During November 2020, the Company, pursuant to Rule 416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of 1933, filed a registration statement on Form S-8 to register a total of 1,750,000 shares of common stock which may be issued pursuant to</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Company’s 2020 Omnibus Incentive Plan (“</w:t>
      </w:r>
      <w:r>
        <w:rPr>
          <w:rFonts w:ascii="Arial" w:cs="Arial" w:eastAsia="Arial" w:hAnsi="Arial"/>
          <w:sz w:val="16"/>
          <w:szCs w:val="16"/>
          <w:b w:val="1"/>
          <w:bCs w:val="1"/>
          <w:color w:val="auto"/>
        </w:rPr>
        <w:t>2020 Plan</w:t>
      </w:r>
      <w:r>
        <w:rPr>
          <w:rFonts w:ascii="Arial" w:cs="Arial" w:eastAsia="Arial" w:hAnsi="Arial"/>
          <w:sz w:val="16"/>
          <w:szCs w:val="16"/>
          <w:color w:val="auto"/>
        </w:rPr>
        <w:t>”). On December 22, 2021, the Company’s stockholders approved the issuance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options and awards to the Board of Directors and the Company's former CEO ("</w:t>
      </w:r>
      <w:r>
        <w:rPr>
          <w:rFonts w:ascii="Arial" w:cs="Arial" w:eastAsia="Arial" w:hAnsi="Arial"/>
          <w:sz w:val="16"/>
          <w:szCs w:val="16"/>
          <w:b w:val="1"/>
          <w:bCs w:val="1"/>
          <w:color w:val="auto"/>
        </w:rPr>
        <w:t>Former CEO</w:t>
      </w:r>
      <w:r>
        <w:rPr>
          <w:rFonts w:ascii="Arial" w:cs="Arial" w:eastAsia="Arial" w:hAnsi="Arial"/>
          <w:sz w:val="16"/>
          <w:szCs w:val="16"/>
          <w:color w:val="auto"/>
        </w:rPr>
        <w:t>") in accordance with ASX rules. These awards are subject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vesting and performance conditions as denoted in the individual agreements. On December 12, 2022, the Company's stockholders approved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of options and awards to the Board of Directors and the CEO in accordance with ASX rules. These awards are subject to vesting conditions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denoted in the individual agreements.</w:t>
      </w:r>
    </w:p>
    <w:p>
      <w:pPr>
        <w:spacing w:after="0" w:line="211" w:lineRule="exact"/>
        <w:rPr>
          <w:sz w:val="20"/>
          <w:szCs w:val="20"/>
          <w:color w:val="auto"/>
        </w:rPr>
      </w:pPr>
    </w:p>
    <w:p>
      <w:pPr>
        <w:ind w:right="180" w:firstLine="749"/>
        <w:spacing w:after="0" w:line="291" w:lineRule="auto"/>
        <w:rPr>
          <w:sz w:val="20"/>
          <w:szCs w:val="20"/>
          <w:color w:val="auto"/>
        </w:rPr>
      </w:pPr>
      <w:r>
        <w:rPr>
          <w:rFonts w:ascii="Arial" w:cs="Arial" w:eastAsia="Arial" w:hAnsi="Arial"/>
          <w:sz w:val="16"/>
          <w:szCs w:val="16"/>
          <w:color w:val="auto"/>
        </w:rPr>
        <w:t>The 2020 Plan provides for the grant of the following Grants: (a) Incentive Stock Options, (b) Nonstatutory Stock Options, (c) Stock Appreciation Rights, (d) Restricted Stock Grants, (e) Restricted Stock Unit Grants, (f) Performance Grants, and (g) Other Grants. The 2020 Plan will be administered by the Compensation Committee or by the Board acting as the Compensation Committee. Subject to the general purposes, terms and conditions of the 2020 Plan, applicable law and any charter adopted by the Board governing the actions of the Compensation Committee, the Compensation Committee will have full power to implement and carry out the 2020 Plan. Without limitation, the Compensation Committee will have the authority to interpret the plan, approve persons to receive grants, determine the terms and number of shares of the grants, determine vesting and exercisability of grants, and make all other determinations necessary or advisable in connection with the administration of this Plan.</w:t>
      </w:r>
    </w:p>
    <w:p>
      <w:pPr>
        <w:spacing w:after="0" w:line="166" w:lineRule="exact"/>
        <w:rPr>
          <w:sz w:val="20"/>
          <w:szCs w:val="20"/>
          <w:color w:val="auto"/>
        </w:rPr>
      </w:pPr>
    </w:p>
    <w:p>
      <w:pPr>
        <w:jc w:val="both"/>
        <w:ind w:right="40" w:firstLine="749"/>
        <w:spacing w:after="0" w:line="286" w:lineRule="auto"/>
        <w:rPr>
          <w:sz w:val="20"/>
          <w:szCs w:val="20"/>
          <w:color w:val="auto"/>
        </w:rPr>
      </w:pPr>
      <w:r>
        <w:rPr>
          <w:rFonts w:ascii="Arial" w:cs="Arial" w:eastAsia="Arial" w:hAnsi="Arial"/>
          <w:sz w:val="17"/>
          <w:szCs w:val="17"/>
          <w:color w:val="auto"/>
        </w:rPr>
        <w:t>The contractual term of stock option awards granted under the 2020 Plan is ten years from the grant date. Unless otherwise specified, the vesting periods of awards granted under the 2020 Plan are: (i) vest over a four-year period in four equal installments, 25% at the end of each year from the date of grant, and /or (ii) subject to other performance criteria and hurdles, as determined by the Compensation Committee.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Payment Expenses</w:t>
      </w:r>
    </w:p>
    <w:p>
      <w:pPr>
        <w:spacing w:after="0" w:line="225" w:lineRule="exact"/>
        <w:rPr>
          <w:sz w:val="20"/>
          <w:szCs w:val="20"/>
          <w:color w:val="auto"/>
        </w:rPr>
      </w:pPr>
    </w:p>
    <w:p>
      <w:pPr>
        <w:ind w:right="20" w:firstLine="749"/>
        <w:spacing w:after="0" w:line="296" w:lineRule="auto"/>
        <w:rPr>
          <w:sz w:val="20"/>
          <w:szCs w:val="20"/>
          <w:color w:val="auto"/>
        </w:rPr>
      </w:pPr>
      <w:r>
        <w:rPr>
          <w:rFonts w:ascii="Arial" w:cs="Arial" w:eastAsia="Arial" w:hAnsi="Arial"/>
          <w:sz w:val="16"/>
          <w:szCs w:val="16"/>
          <w:color w:val="auto"/>
        </w:rPr>
        <w:t xml:space="preserve">Stock-based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w:t>
      </w:r>
      <w:r>
        <w:rPr>
          <w:rFonts w:ascii="Arial" w:cs="Arial" w:eastAsia="Arial" w:hAnsi="Arial"/>
          <w:sz w:val="16"/>
          <w:szCs w:val="16"/>
          <w:i w:val="1"/>
          <w:iCs w:val="1"/>
          <w:color w:val="auto"/>
        </w:rPr>
        <w:t>ASU 2016-09</w:t>
      </w:r>
      <w:r>
        <w:rPr>
          <w:rFonts w:ascii="Arial" w:cs="Arial" w:eastAsia="Arial" w:hAnsi="Arial"/>
          <w:sz w:val="16"/>
          <w:szCs w:val="16"/>
          <w:color w:val="auto"/>
        </w:rPr>
        <w:t>, simplifying the Accounting for Share-Based Payment ("ASU 2016-09"). During the three-months ended March 31, 2023, and 2022, the Company recorded stock-based compensation expense of $2.6 million, and $2.9 million, respectively. No income tax benefit was recognized in the Consolidated Statements of Operations for stock-based payment arrangements for the three-months ended March 31, 2023, and 2022.</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5" w:name="page26"/>
    <w:bookmarkEnd w:id="25"/>
    <w:p>
      <w:pPr>
        <w:ind w:left="760"/>
        <w:spacing w:after="0"/>
        <w:rPr>
          <w:sz w:val="20"/>
          <w:szCs w:val="20"/>
          <w:color w:val="auto"/>
        </w:rPr>
      </w:pPr>
      <w:r>
        <w:rPr>
          <w:rFonts w:ascii="Arial" w:cs="Arial" w:eastAsia="Arial" w:hAnsi="Arial"/>
          <w:sz w:val="16"/>
          <w:szCs w:val="16"/>
          <w:color w:val="auto"/>
        </w:rPr>
        <w:t>The Company has included stock-based compensation expense as part of operating expenses in the accompanying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ind w:left="940"/>
              <w:spacing w:after="0"/>
              <w:rPr>
                <w:sz w:val="20"/>
                <w:szCs w:val="20"/>
                <w:color w:val="auto"/>
              </w:rPr>
            </w:pPr>
            <w:r>
              <w:rPr>
                <w:rFonts w:ascii="Arial" w:cs="Arial" w:eastAsia="Arial" w:hAnsi="Arial"/>
                <w:sz w:val="16"/>
                <w:szCs w:val="16"/>
                <w:b w:val="1"/>
                <w:bCs w:val="1"/>
                <w:color w:val="auto"/>
                <w:w w:val="96"/>
              </w:rPr>
              <w:t>Three-Months Ended</w:t>
            </w:r>
          </w:p>
        </w:tc>
        <w:tc>
          <w:tcPr>
            <w:tcW w:w="1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66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w w:val="93"/>
              </w:rPr>
              <w:t>March 31, 2023</w:t>
            </w:r>
          </w:p>
        </w:tc>
        <w:tc>
          <w:tcPr>
            <w:tcW w:w="440" w:type="dxa"/>
            <w:vAlign w:val="bottom"/>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March 31, 2022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 expenses</w:t>
            </w:r>
          </w:p>
        </w:tc>
        <w:tc>
          <w:tcPr>
            <w:tcW w:w="2280" w:type="dxa"/>
            <w:vAlign w:val="bottom"/>
            <w:tcBorders>
              <w:bottom w:val="single" w:sz="8" w:color="CFF0FC"/>
            </w:tcBorders>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3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2,090</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2,327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expenses</w:t>
            </w:r>
          </w:p>
        </w:tc>
        <w:tc>
          <w:tcPr>
            <w:tcW w:w="16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3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21"/>
                <w:szCs w:val="21"/>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2,640</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320" w:type="dxa"/>
            <w:vAlign w:val="bottom"/>
            <w:gridSpan w:val="10"/>
          </w:tcPr>
          <w:p>
            <w:pPr>
              <w:ind w:left="760"/>
              <w:spacing w:after="0"/>
              <w:rPr>
                <w:sz w:val="20"/>
                <w:szCs w:val="20"/>
                <w:color w:val="auto"/>
              </w:rPr>
            </w:pPr>
            <w:r>
              <w:rPr>
                <w:rFonts w:ascii="Arial" w:cs="Arial" w:eastAsia="Arial" w:hAnsi="Arial"/>
                <w:sz w:val="18"/>
                <w:szCs w:val="18"/>
                <w:color w:val="auto"/>
                <w:w w:val="93"/>
              </w:rPr>
              <w:t>A summary of share option activity as of March 31, 2023, and changes during the period ended is presented below:</w:t>
            </w: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4240" w:type="dxa"/>
            <w:vAlign w:val="bottom"/>
          </w:tcPr>
          <w:p>
            <w:pPr>
              <w:spacing w:after="0"/>
              <w:rPr>
                <w:sz w:val="24"/>
                <w:szCs w:val="24"/>
                <w:color w:val="auto"/>
              </w:rPr>
            </w:pPr>
          </w:p>
        </w:tc>
        <w:tc>
          <w:tcPr>
            <w:tcW w:w="2360" w:type="dxa"/>
            <w:vAlign w:val="bottom"/>
            <w:gridSpan w:val="3"/>
            <w:vMerge w:val="restart"/>
          </w:tcPr>
          <w:p>
            <w:pPr>
              <w:jc w:val="right"/>
              <w:ind w:right="260"/>
              <w:spacing w:after="0"/>
              <w:rPr>
                <w:sz w:val="20"/>
                <w:szCs w:val="20"/>
                <w:color w:val="auto"/>
              </w:rPr>
            </w:pPr>
            <w:r>
              <w:rPr>
                <w:rFonts w:ascii="Arial" w:cs="Arial" w:eastAsia="Arial" w:hAnsi="Arial"/>
                <w:sz w:val="16"/>
                <w:szCs w:val="16"/>
                <w:b w:val="1"/>
                <w:bCs w:val="1"/>
                <w:color w:val="auto"/>
                <w:w w:val="98"/>
              </w:rPr>
              <w:t>Service Only Share Options</w:t>
            </w:r>
          </w:p>
        </w:tc>
        <w:tc>
          <w:tcPr>
            <w:tcW w:w="220" w:type="dxa"/>
            <w:vAlign w:val="bottom"/>
          </w:tcPr>
          <w:p>
            <w:pPr>
              <w:spacing w:after="0"/>
              <w:rPr>
                <w:sz w:val="24"/>
                <w:szCs w:val="24"/>
                <w:color w:val="auto"/>
              </w:rPr>
            </w:pPr>
          </w:p>
        </w:tc>
        <w:tc>
          <w:tcPr>
            <w:tcW w:w="202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Performance Based Share</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vMerge w:val="restart"/>
          </w:tcPr>
          <w:p>
            <w:pPr>
              <w:jc w:val="right"/>
              <w:ind w:right="480"/>
              <w:spacing w:after="0"/>
              <w:rPr>
                <w:sz w:val="20"/>
                <w:szCs w:val="20"/>
                <w:color w:val="auto"/>
              </w:rPr>
            </w:pPr>
            <w:r>
              <w:rPr>
                <w:rFonts w:ascii="Arial" w:cs="Arial" w:eastAsia="Arial" w:hAnsi="Arial"/>
                <w:sz w:val="16"/>
                <w:szCs w:val="16"/>
                <w:b w:val="1"/>
                <w:bCs w:val="1"/>
                <w:color w:val="auto"/>
                <w:w w:val="93"/>
              </w:rPr>
              <w:t>Total Share Options</w:t>
            </w:r>
          </w:p>
        </w:tc>
        <w:tc>
          <w:tcPr>
            <w:tcW w:w="0" w:type="dxa"/>
            <w:vAlign w:val="bottom"/>
          </w:tcPr>
          <w:p>
            <w:pPr>
              <w:spacing w:after="0"/>
              <w:rPr>
                <w:sz w:val="1"/>
                <w:szCs w:val="1"/>
                <w:color w:val="auto"/>
              </w:rPr>
            </w:pPr>
          </w:p>
        </w:tc>
      </w:tr>
      <w:tr>
        <w:trPr>
          <w:trHeight w:val="116"/>
        </w:trPr>
        <w:tc>
          <w:tcPr>
            <w:tcW w:w="424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gridSpan w:val="2"/>
            <w:vMerge w:val="restart"/>
          </w:tcPr>
          <w:p>
            <w:pPr>
              <w:jc w:val="right"/>
              <w:ind w:right="700"/>
              <w:spacing w:after="0"/>
              <w:rPr>
                <w:sz w:val="20"/>
                <w:szCs w:val="20"/>
                <w:color w:val="auto"/>
              </w:rPr>
            </w:pPr>
            <w:r>
              <w:rPr>
                <w:rFonts w:ascii="Arial" w:cs="Arial" w:eastAsia="Arial" w:hAnsi="Arial"/>
                <w:sz w:val="16"/>
                <w:szCs w:val="16"/>
                <w:b w:val="1"/>
                <w:bCs w:val="1"/>
                <w:color w:val="auto"/>
              </w:rPr>
              <w:t>Options</w:t>
            </w:r>
          </w:p>
        </w:tc>
        <w:tc>
          <w:tcPr>
            <w:tcW w:w="8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Borders>
              <w:bottom w:val="single" w:sz="8" w:color="auto"/>
            </w:tcBorders>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shares at December 31, 2022</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1,724,252</w:t>
            </w:r>
          </w:p>
        </w:tc>
        <w:tc>
          <w:tcPr>
            <w:tcW w:w="80" w:type="dxa"/>
            <w:vAlign w:val="bottom"/>
            <w:shd w:val="clear" w:color="auto" w:fill="CFF0FC"/>
          </w:tcPr>
          <w:p>
            <w:pPr>
              <w:spacing w:after="0"/>
              <w:rPr>
                <w:sz w:val="19"/>
                <w:szCs w:val="19"/>
                <w:color w:val="auto"/>
              </w:rPr>
            </w:pPr>
          </w:p>
        </w:tc>
        <w:tc>
          <w:tcPr>
            <w:tcW w:w="21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511,194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2,235,446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40" w:type="dxa"/>
            <w:vAlign w:val="bottom"/>
          </w:tcPr>
          <w:p>
            <w:pPr>
              <w:ind w:left="20"/>
              <w:spacing w:after="0"/>
              <w:rPr>
                <w:sz w:val="20"/>
                <w:szCs w:val="20"/>
                <w:color w:val="auto"/>
              </w:rPr>
            </w:pPr>
            <w:r>
              <w:rPr>
                <w:rFonts w:ascii="Arial" w:cs="Arial" w:eastAsia="Arial" w:hAnsi="Arial"/>
                <w:sz w:val="16"/>
                <w:szCs w:val="16"/>
                <w:color w:val="auto"/>
              </w:rPr>
              <w:t>Granted</w:t>
            </w:r>
          </w:p>
        </w:tc>
        <w:tc>
          <w:tcPr>
            <w:tcW w:w="2280" w:type="dxa"/>
            <w:vAlign w:val="bottom"/>
            <w:gridSpan w:val="2"/>
          </w:tcPr>
          <w:p>
            <w:pPr>
              <w:jc w:val="right"/>
              <w:spacing w:after="0"/>
              <w:rPr>
                <w:sz w:val="20"/>
                <w:szCs w:val="20"/>
                <w:color w:val="auto"/>
              </w:rPr>
            </w:pPr>
            <w:r>
              <w:rPr>
                <w:rFonts w:ascii="Arial" w:cs="Arial" w:eastAsia="Arial" w:hAnsi="Arial"/>
                <w:sz w:val="16"/>
                <w:szCs w:val="16"/>
                <w:color w:val="auto"/>
              </w:rPr>
              <w:t>40,300</w:t>
            </w:r>
          </w:p>
        </w:tc>
        <w:tc>
          <w:tcPr>
            <w:tcW w:w="80" w:type="dxa"/>
            <w:vAlign w:val="bottom"/>
          </w:tcPr>
          <w:p>
            <w:pPr>
              <w:spacing w:after="0"/>
              <w:rPr>
                <w:sz w:val="19"/>
                <w:szCs w:val="19"/>
                <w:color w:val="auto"/>
              </w:rPr>
            </w:pPr>
          </w:p>
        </w:tc>
        <w:tc>
          <w:tcPr>
            <w:tcW w:w="21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40,300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Exercised</w:t>
            </w:r>
          </w:p>
        </w:tc>
        <w:tc>
          <w:tcPr>
            <w:tcW w:w="23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(31,675 )</w:t>
            </w:r>
          </w:p>
        </w:tc>
        <w:tc>
          <w:tcPr>
            <w:tcW w:w="21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(31,675 )</w:t>
            </w:r>
          </w:p>
        </w:tc>
        <w:tc>
          <w:tcPr>
            <w:tcW w:w="0" w:type="dxa"/>
            <w:vAlign w:val="bottom"/>
          </w:tcPr>
          <w:p>
            <w:pPr>
              <w:spacing w:after="0"/>
              <w:rPr>
                <w:sz w:val="1"/>
                <w:szCs w:val="1"/>
                <w:color w:val="auto"/>
              </w:rPr>
            </w:pPr>
          </w:p>
        </w:tc>
      </w:tr>
      <w:tr>
        <w:trPr>
          <w:trHeight w:val="220"/>
        </w:trPr>
        <w:tc>
          <w:tcPr>
            <w:tcW w:w="4240" w:type="dxa"/>
            <w:vAlign w:val="bottom"/>
          </w:tcPr>
          <w:p>
            <w:pPr>
              <w:ind w:left="20"/>
              <w:spacing w:after="0"/>
              <w:rPr>
                <w:sz w:val="20"/>
                <w:szCs w:val="20"/>
                <w:color w:val="auto"/>
              </w:rPr>
            </w:pPr>
            <w:r>
              <w:rPr>
                <w:rFonts w:ascii="Arial" w:cs="Arial" w:eastAsia="Arial" w:hAnsi="Arial"/>
                <w:sz w:val="16"/>
                <w:szCs w:val="16"/>
                <w:color w:val="auto"/>
              </w:rPr>
              <w:t>Expired</w:t>
            </w:r>
          </w:p>
        </w:tc>
        <w:tc>
          <w:tcPr>
            <w:tcW w:w="2360" w:type="dxa"/>
            <w:vAlign w:val="bottom"/>
            <w:gridSpan w:val="3"/>
          </w:tcPr>
          <w:p>
            <w:pPr>
              <w:jc w:val="right"/>
              <w:spacing w:after="0"/>
              <w:rPr>
                <w:sz w:val="20"/>
                <w:szCs w:val="20"/>
                <w:color w:val="auto"/>
              </w:rPr>
            </w:pPr>
            <w:r>
              <w:rPr>
                <w:rFonts w:ascii="Arial" w:cs="Arial" w:eastAsia="Arial" w:hAnsi="Arial"/>
                <w:sz w:val="16"/>
                <w:szCs w:val="16"/>
                <w:color w:val="auto"/>
              </w:rPr>
              <w:t>(1,725 )</w:t>
            </w:r>
          </w:p>
        </w:tc>
        <w:tc>
          <w:tcPr>
            <w:tcW w:w="21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6"/>
                <w:szCs w:val="16"/>
                <w:color w:val="auto"/>
              </w:rPr>
              <w:t>(1,725 )</w:t>
            </w:r>
          </w:p>
        </w:tc>
        <w:tc>
          <w:tcPr>
            <w:tcW w:w="0" w:type="dxa"/>
            <w:vAlign w:val="bottom"/>
          </w:tcPr>
          <w:p>
            <w:pPr>
              <w:spacing w:after="0"/>
              <w:rPr>
                <w:sz w:val="1"/>
                <w:szCs w:val="1"/>
                <w:color w:val="auto"/>
              </w:rPr>
            </w:pPr>
          </w:p>
        </w:tc>
      </w:tr>
      <w:tr>
        <w:trPr>
          <w:trHeight w:val="236"/>
        </w:trPr>
        <w:tc>
          <w:tcPr>
            <w:tcW w:w="4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Forfeited</w:t>
            </w:r>
          </w:p>
        </w:tc>
        <w:tc>
          <w:tcPr>
            <w:tcW w:w="23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(23,850 )</w:t>
            </w:r>
          </w:p>
        </w:tc>
        <w:tc>
          <w:tcPr>
            <w:tcW w:w="21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(23,850 )</w:t>
            </w:r>
          </w:p>
        </w:tc>
        <w:tc>
          <w:tcPr>
            <w:tcW w:w="0" w:type="dxa"/>
            <w:vAlign w:val="bottom"/>
          </w:tcPr>
          <w:p>
            <w:pPr>
              <w:spacing w:after="0"/>
              <w:rPr>
                <w:sz w:val="1"/>
                <w:szCs w:val="1"/>
                <w:color w:val="auto"/>
              </w:rPr>
            </w:pPr>
          </w:p>
        </w:tc>
      </w:tr>
      <w:tr>
        <w:trPr>
          <w:trHeight w:val="226"/>
        </w:trPr>
        <w:tc>
          <w:tcPr>
            <w:tcW w:w="42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Outstanding shares at March 31, 2023</w:t>
            </w:r>
          </w:p>
        </w:tc>
        <w:tc>
          <w:tcPr>
            <w:tcW w:w="2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1,707,302</w:t>
            </w:r>
          </w:p>
        </w:tc>
        <w:tc>
          <w:tcPr>
            <w:tcW w:w="8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511,194</w:t>
            </w:r>
          </w:p>
        </w:tc>
        <w:tc>
          <w:tcPr>
            <w:tcW w:w="8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2,218,496</w:t>
            </w:r>
          </w:p>
        </w:tc>
        <w:tc>
          <w:tcPr>
            <w:tcW w:w="1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Exercisable at March 31, 2023</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781,050</w:t>
            </w:r>
          </w:p>
        </w:tc>
        <w:tc>
          <w:tcPr>
            <w:tcW w:w="80" w:type="dxa"/>
            <w:vAlign w:val="bottom"/>
            <w:shd w:val="clear" w:color="auto" w:fill="CFF0FC"/>
          </w:tcPr>
          <w:p>
            <w:pPr>
              <w:spacing w:after="0"/>
              <w:rPr>
                <w:sz w:val="18"/>
                <w:szCs w:val="18"/>
                <w:color w:val="auto"/>
              </w:rPr>
            </w:pPr>
          </w:p>
        </w:tc>
        <w:tc>
          <w:tcPr>
            <w:tcW w:w="21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477,052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1,258,102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-1988185</wp:posOffset>
            </wp:positionV>
            <wp:extent cx="85725"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-1988185</wp:posOffset>
            </wp:positionV>
            <wp:extent cx="85725"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-325120</wp:posOffset>
            </wp:positionV>
            <wp:extent cx="85725" cy="1797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-325120</wp:posOffset>
            </wp:positionV>
            <wp:extent cx="85725"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-325120</wp:posOffset>
            </wp:positionV>
            <wp:extent cx="85725"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1" w:lineRule="exact"/>
        <w:rPr>
          <w:sz w:val="20"/>
          <w:szCs w:val="20"/>
          <w:color w:val="auto"/>
        </w:rPr>
      </w:pPr>
    </w:p>
    <w:p>
      <w:pPr>
        <w:ind w:right="140" w:firstLine="749"/>
        <w:spacing w:after="0" w:line="256" w:lineRule="auto"/>
        <w:rPr>
          <w:sz w:val="20"/>
          <w:szCs w:val="20"/>
          <w:color w:val="auto"/>
        </w:rPr>
      </w:pPr>
      <w:r>
        <w:rPr>
          <w:rFonts w:ascii="Arial" w:cs="Arial" w:eastAsia="Arial" w:hAnsi="Arial"/>
          <w:sz w:val="18"/>
          <w:szCs w:val="18"/>
          <w:color w:val="auto"/>
        </w:rPr>
        <w:t>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are granted to executives as part of their long-term incentive compensation. RSUs granted as a result of stockholder approval at the December 22, 2021 Annual Meeting of Stockholders and December 14, 2022 Annual Meeting of Stockholders arise out of contracts between the Company and the holders of such securities. These RSU awards were approved by the Compensation Committee. All RSU awards vest in accordance with the tenure or performance conditions as determined by the Compensation Committee and set out in the contracts between the Company and the holders of such securities. The grant date fair value is determined based on the price of the Company stock price on the date of grant (stock price determined on Nasdaq).</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status of the Company’s unvested RSUs as of March 31, 2023, and changes that occurred during the year is presented below: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Performance</w:t>
            </w: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Unvested Shares</w:t>
            </w:r>
          </w:p>
        </w:tc>
        <w:tc>
          <w:tcPr>
            <w:tcW w:w="25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Tenure-Based RSUs</w:t>
            </w:r>
          </w:p>
        </w:tc>
        <w:tc>
          <w:tcPr>
            <w:tcW w:w="2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Condition RSUs</w:t>
            </w:r>
          </w:p>
        </w:tc>
        <w:tc>
          <w:tcPr>
            <w:tcW w:w="21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Total RSUs</w:t>
            </w:r>
          </w:p>
        </w:tc>
      </w:tr>
      <w:tr>
        <w:trPr>
          <w:trHeight w:val="236"/>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RSUs outstanding at December 31, 2022</w:t>
            </w:r>
          </w:p>
        </w:tc>
        <w:tc>
          <w:tcPr>
            <w:tcW w:w="2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394,872</w:t>
            </w:r>
          </w:p>
        </w:tc>
        <w:tc>
          <w:tcPr>
            <w:tcW w:w="300" w:type="dxa"/>
            <w:vAlign w:val="bottom"/>
            <w:shd w:val="clear" w:color="auto" w:fill="CFF0FC"/>
          </w:tcPr>
          <w:p>
            <w:pPr>
              <w:spacing w:after="0"/>
              <w:rPr>
                <w:sz w:val="20"/>
                <w:szCs w:val="20"/>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65,646</w:t>
            </w:r>
          </w:p>
        </w:tc>
        <w:tc>
          <w:tcPr>
            <w:tcW w:w="300" w:type="dxa"/>
            <w:vAlign w:val="bottom"/>
            <w:shd w:val="clear" w:color="auto" w:fill="CFF0FC"/>
          </w:tcPr>
          <w:p>
            <w:pPr>
              <w:spacing w:after="0"/>
              <w:rPr>
                <w:sz w:val="20"/>
                <w:szCs w:val="20"/>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460,518</w:t>
            </w:r>
          </w:p>
        </w:tc>
        <w:tc>
          <w:tcPr>
            <w:tcW w:w="140" w:type="dxa"/>
            <w:vAlign w:val="bottom"/>
            <w:shd w:val="clear" w:color="auto" w:fill="CFF0FC"/>
          </w:tcPr>
          <w:p>
            <w:pPr>
              <w:spacing w:after="0"/>
              <w:rPr>
                <w:sz w:val="20"/>
                <w:szCs w:val="20"/>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2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(71,900 )</w:t>
            </w:r>
          </w:p>
        </w:tc>
        <w:tc>
          <w:tcPr>
            <w:tcW w:w="2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(15,750 )</w:t>
            </w:r>
          </w:p>
        </w:tc>
        <w:tc>
          <w:tcPr>
            <w:tcW w:w="2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(87,650 )</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(1,500 )</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(1,500 )</w:t>
            </w:r>
          </w:p>
        </w:tc>
      </w:tr>
      <w:tr>
        <w:trPr>
          <w:trHeight w:val="276"/>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RSUs outstanding at March 31, 2023</w:t>
            </w:r>
          </w:p>
        </w:tc>
        <w:tc>
          <w:tcPr>
            <w:tcW w:w="2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321,472</w:t>
            </w:r>
          </w:p>
        </w:tc>
        <w:tc>
          <w:tcPr>
            <w:tcW w:w="300" w:type="dxa"/>
            <w:vAlign w:val="bottom"/>
            <w:tcBorders>
              <w:bottom w:val="single" w:sz="8" w:color="CFF0FC"/>
            </w:tcBorders>
            <w:shd w:val="clear" w:color="auto" w:fill="CFF0FC"/>
          </w:tcPr>
          <w:p>
            <w:pPr>
              <w:spacing w:after="0"/>
              <w:rPr>
                <w:sz w:val="24"/>
                <w:szCs w:val="24"/>
                <w:color w:val="auto"/>
              </w:rPr>
            </w:pP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49,896</w:t>
            </w:r>
          </w:p>
        </w:tc>
        <w:tc>
          <w:tcPr>
            <w:tcW w:w="300" w:type="dxa"/>
            <w:vAlign w:val="bottom"/>
            <w:tcBorders>
              <w:bottom w:val="single" w:sz="8" w:color="CFF0FC"/>
            </w:tcBorders>
            <w:shd w:val="clear" w:color="auto" w:fill="CFF0FC"/>
          </w:tcPr>
          <w:p>
            <w:pPr>
              <w:spacing w:after="0"/>
              <w:rPr>
                <w:sz w:val="24"/>
                <w:szCs w:val="24"/>
                <w:color w:val="auto"/>
              </w:rPr>
            </w:pP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371,368</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-24765</wp:posOffset>
            </wp:positionV>
            <wp:extent cx="857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857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Annual Meeting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to the Board of Directors under the 2021 Annual Meeting Awards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 awards that were granted in 2021 consist of an aggregate 68,600 options and RSUs as follows:</w:t>
      </w:r>
    </w:p>
    <w:p>
      <w:pPr>
        <w:spacing w:after="0" w:line="333"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41,400 tenure-based options and RSUs (15,300 options and 26,100 RSUs) vesting 12 months from the grant date.</w:t>
      </w:r>
    </w:p>
    <w:p>
      <w:pPr>
        <w:spacing w:after="0" w:line="117" w:lineRule="exact"/>
        <w:rPr>
          <w:rFonts w:ascii="Arial" w:cs="Arial" w:eastAsia="Arial" w:hAnsi="Arial"/>
          <w:sz w:val="18"/>
          <w:szCs w:val="18"/>
          <w:color w:val="auto"/>
        </w:rPr>
      </w:pPr>
    </w:p>
    <w:p>
      <w:pPr>
        <w:ind w:left="1540" w:right="200" w:hanging="509"/>
        <w:spacing w:after="0" w:line="277" w:lineRule="auto"/>
        <w:rPr>
          <w:rFonts w:ascii="Arial" w:cs="Arial" w:eastAsia="Arial" w:hAnsi="Arial"/>
          <w:sz w:val="18"/>
          <w:szCs w:val="18"/>
          <w:color w:val="auto"/>
        </w:rPr>
      </w:pPr>
      <w:r>
        <w:rPr>
          <w:rFonts w:ascii="Arial" w:cs="Arial" w:eastAsia="Arial" w:hAnsi="Arial"/>
          <w:sz w:val="18"/>
          <w:szCs w:val="18"/>
          <w:color w:val="auto"/>
        </w:rPr>
        <w:t>oIncludes 6,900 tenure-based options and RSUs (4,350 RSUs and 2,550 options) were granted to each of the six non-executive board members based on the vesting terms detailed above.</w:t>
      </w:r>
    </w:p>
    <w:p>
      <w:pPr>
        <w:spacing w:after="0" w:line="62" w:lineRule="exact"/>
        <w:rPr>
          <w:rFonts w:ascii="Arial" w:cs="Arial" w:eastAsia="Arial" w:hAnsi="Arial"/>
          <w:sz w:val="18"/>
          <w:szCs w:val="18"/>
          <w:color w:val="auto"/>
        </w:rPr>
      </w:pPr>
    </w:p>
    <w:p>
      <w:pPr>
        <w:ind w:left="1020" w:right="180" w:hanging="503"/>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27,200 tenure-based options and RSUs (9,850 options and 17,350 RSUs) vesting on the first, second and third anniversary of the grant date in equal amounts (i.e. 1/3 of the RSUs and options will vest on each anniversary of the grant date, being on December 22 of each relevant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ind w:left="1540" w:hanging="514"/>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13,600 tenure-based options and RSUs (8,675 RSUs and 4,925 options) were granted to Jan Stern Reed and James Corbett as an initial grant in connection with their appointment to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Annual Meeting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to the CEO under the 2022 Annual Meeting Awards</w:t>
      </w:r>
    </w:p>
    <w:p>
      <w:pPr>
        <w:spacing w:after="0" w:line="225" w:lineRule="exact"/>
        <w:rPr>
          <w:sz w:val="20"/>
          <w:szCs w:val="20"/>
          <w:color w:val="auto"/>
        </w:rPr>
      </w:pPr>
    </w:p>
    <w:p>
      <w:pPr>
        <w:ind w:right="720" w:firstLine="749"/>
        <w:spacing w:after="0" w:line="277" w:lineRule="auto"/>
        <w:rPr>
          <w:sz w:val="20"/>
          <w:szCs w:val="20"/>
          <w:color w:val="auto"/>
        </w:rPr>
      </w:pPr>
      <w:r>
        <w:rPr>
          <w:rFonts w:ascii="Arial" w:cs="Arial" w:eastAsia="Arial" w:hAnsi="Arial"/>
          <w:sz w:val="18"/>
          <w:szCs w:val="18"/>
          <w:color w:val="auto"/>
        </w:rPr>
        <w:t>On December 12, 2022, the CEO was issued an aggregate 226,296 options with 25% of those options vesting annually commencing on September 28,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to the Board of Directors under the 2022 Annual Meeting Awards</w:t>
      </w:r>
    </w:p>
    <w:p>
      <w:pPr>
        <w:spacing w:after="0" w:line="225"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The Board of Director awards consist of an aggregate 71,936 options and RSUs (21,580 options and 50,356 RSUs) vesting 12 months from the grant date.</w:t>
      </w:r>
    </w:p>
    <w:p>
      <w:pPr>
        <w:spacing w:after="0" w:line="170" w:lineRule="exact"/>
        <w:rPr>
          <w:sz w:val="20"/>
          <w:szCs w:val="20"/>
          <w:color w:val="auto"/>
        </w:rPr>
      </w:pPr>
    </w:p>
    <w:p>
      <w:pPr>
        <w:ind w:left="1020" w:right="100" w:hanging="503"/>
        <w:spacing w:after="0" w:line="277"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17,984 tenure-based options and RSUs (12,589 RSUs and 5,359 options) granted to each of the four non-executive board members based on the vesting terms detailed above.</w:t>
      </w:r>
    </w:p>
    <w:p>
      <w:pPr>
        <w:spacing w:after="0" w:line="274"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At December 31, 2022, the Company and its subsidiaries had net operating loss carryforwards for federal, state, United Kingdom, and Australian income tax purposes of $129.5 million, $83.5 million, $28.4 million and $36.0 million respectively. The net operating loss carryforwards may be subject to limitation regarding their utilization against taxable income in future periods due to “change of ownership” provisions of the Internal Revenue Code and similar state and foreign provisions. Of these carryforwards, $21.7 million will expire, if not utilized, between 2026 through 2038. The remaining carryforwards have no expiration. The Company is forecasting current year losses and has full valuation allowances against its deferred tax assets. Tax expense for the three-months ended March 31, 2023 and 2022 of $30,000 and $4,000, respectively, is related to state minimum taxes.</w:t>
      </w:r>
    </w:p>
    <w:p>
      <w:pPr>
        <w:spacing w:after="0" w:line="164"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valuation allowance against its net deferred tax assets of $56.5 million and $51.3 million as of December 31, 2022 and 2021, respectively. The deferred tax assets are primarily net operating loss carryforwards for which management has determined it is more likely than not that the deferred tax assets will not be realized.</w:t>
      </w:r>
    </w:p>
    <w:p>
      <w:pPr>
        <w:spacing w:after="0" w:line="196"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related to a particular tax position are measured based on the largest benefit that has a greater than 50% likelihood of being realized upon settlement. 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not identified any uncertain tax positions as of March 31, 2023 or December 31, 2022.</w:t>
      </w:r>
    </w:p>
    <w:p>
      <w:pPr>
        <w:spacing w:after="0" w:line="225" w:lineRule="exact"/>
        <w:rPr>
          <w:sz w:val="20"/>
          <w:szCs w:val="20"/>
          <w:color w:val="auto"/>
        </w:rPr>
      </w:pPr>
    </w:p>
    <w:p>
      <w:pPr>
        <w:ind w:right="220" w:firstLine="749"/>
        <w:spacing w:after="0" w:line="301" w:lineRule="auto"/>
        <w:rPr>
          <w:sz w:val="20"/>
          <w:szCs w:val="20"/>
          <w:color w:val="auto"/>
        </w:rPr>
      </w:pPr>
      <w:r>
        <w:rPr>
          <w:rFonts w:ascii="Arial" w:cs="Arial" w:eastAsia="Arial" w:hAnsi="Arial"/>
          <w:sz w:val="16"/>
          <w:szCs w:val="16"/>
          <w:color w:val="auto"/>
        </w:rPr>
        <w:t>The Company files income tax returns in the U.S. federal, California and certain other state and foreign jurisdictions. The Company remains subject to income tax examinations for its U.S. federal and state income taxes generally for fiscal years ended June 30, 2006 and forward. The Company also remains subject to income tax examinations for international income taxes for fiscal years ended June 30, 2018 through December 31, 2021, and for certain other U.S. state and local income taxes generally for the fiscal years ended June 30, 2018 through December 31, 2021.</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17. Net Loss per Share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reconciliation of the basic and diluted loss per share computations: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jc w:val="right"/>
              <w:ind w:right="1275"/>
              <w:spacing w:after="0"/>
              <w:rPr>
                <w:sz w:val="20"/>
                <w:szCs w:val="20"/>
                <w:color w:val="auto"/>
              </w:rPr>
            </w:pPr>
            <w:r>
              <w:rPr>
                <w:rFonts w:ascii="Arial" w:cs="Arial" w:eastAsia="Arial" w:hAnsi="Arial"/>
                <w:sz w:val="16"/>
                <w:szCs w:val="16"/>
                <w:b w:val="1"/>
                <w:bCs w:val="1"/>
                <w:color w:val="auto"/>
              </w:rPr>
              <w:t>Three-Months Ended</w:t>
            </w: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5520" w:type="dxa"/>
            <w:vAlign w:val="bottom"/>
          </w:tcPr>
          <w:p>
            <w:pPr>
              <w:spacing w:after="0"/>
              <w:rPr>
                <w:sz w:val="19"/>
                <w:szCs w:val="19"/>
                <w:color w:val="auto"/>
              </w:rPr>
            </w:pPr>
          </w:p>
        </w:tc>
        <w:tc>
          <w:tcPr>
            <w:tcW w:w="18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March 31, 2023</w:t>
            </w:r>
          </w:p>
        </w:tc>
        <w:tc>
          <w:tcPr>
            <w:tcW w:w="5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10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March 31, 2022</w:t>
            </w: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76"/>
        </w:trPr>
        <w:tc>
          <w:tcPr>
            <w:tcW w:w="5520" w:type="dxa"/>
            <w:vAlign w:val="bottom"/>
          </w:tcPr>
          <w:p>
            <w:pPr>
              <w:spacing w:after="0"/>
              <w:rPr>
                <w:sz w:val="15"/>
                <w:szCs w:val="15"/>
                <w:color w:val="auto"/>
              </w:rPr>
            </w:pPr>
          </w:p>
        </w:tc>
        <w:tc>
          <w:tcPr>
            <w:tcW w:w="24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w w:val="76"/>
              </w:rPr>
              <w:t>except</w:t>
            </w:r>
          </w:p>
        </w:tc>
        <w:tc>
          <w:tcPr>
            <w:tcW w:w="2100" w:type="dxa"/>
            <w:vAlign w:val="bottom"/>
          </w:tcPr>
          <w:p>
            <w:pPr>
              <w:jc w:val="right"/>
              <w:ind w:right="775"/>
              <w:spacing w:after="0"/>
              <w:rPr>
                <w:sz w:val="20"/>
                <w:szCs w:val="20"/>
                <w:color w:val="auto"/>
              </w:rPr>
            </w:pPr>
            <w:r>
              <w:rPr>
                <w:rFonts w:ascii="Arial" w:cs="Arial" w:eastAsia="Arial" w:hAnsi="Arial"/>
                <w:sz w:val="14"/>
                <w:szCs w:val="14"/>
                <w:b w:val="1"/>
                <w:bCs w:val="1"/>
                <w:color w:val="auto"/>
                <w:w w:val="93"/>
              </w:rPr>
              <w:t>per share amounts)</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840" w:type="dxa"/>
            <w:vAlign w:val="bottom"/>
            <w:shd w:val="clear" w:color="auto" w:fill="CFF0FC"/>
          </w:tcPr>
          <w:p>
            <w:pPr>
              <w:jc w:val="right"/>
              <w:ind w:right="1655"/>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19"/>
              <w:spacing w:after="0"/>
              <w:rPr>
                <w:sz w:val="20"/>
                <w:szCs w:val="20"/>
                <w:color w:val="auto"/>
              </w:rPr>
            </w:pPr>
            <w:r>
              <w:rPr>
                <w:rFonts w:ascii="Arial" w:cs="Arial" w:eastAsia="Arial" w:hAnsi="Arial"/>
                <w:sz w:val="18"/>
                <w:szCs w:val="18"/>
                <w:color w:val="auto"/>
              </w:rPr>
              <w:t>(9,220 )</w:t>
            </w:r>
          </w:p>
        </w:tc>
        <w:tc>
          <w:tcPr>
            <w:tcW w:w="2100" w:type="dxa"/>
            <w:vAlign w:val="bottom"/>
            <w:shd w:val="clear" w:color="auto" w:fill="CFF0FC"/>
          </w:tcPr>
          <w:p>
            <w:pPr>
              <w:jc w:val="right"/>
              <w:ind w:right="1915"/>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(9,463 )</w:t>
            </w: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Weighted-average common shares—outstanding, basic</w:t>
            </w:r>
          </w:p>
        </w:tc>
        <w:tc>
          <w:tcPr>
            <w:tcW w:w="18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25,202</w:t>
            </w:r>
          </w:p>
        </w:tc>
        <w:tc>
          <w:tcPr>
            <w:tcW w:w="380" w:type="dxa"/>
            <w:vAlign w:val="bottom"/>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24,938</w:t>
            </w:r>
          </w:p>
        </w:tc>
        <w:tc>
          <w:tcPr>
            <w:tcW w:w="140" w:type="dxa"/>
            <w:vAlign w:val="bottom"/>
          </w:tcPr>
          <w:p>
            <w:pPr>
              <w:spacing w:after="0"/>
              <w:rPr>
                <w:sz w:val="20"/>
                <w:szCs w:val="20"/>
                <w:color w:val="auto"/>
              </w:rPr>
            </w:pPr>
          </w:p>
        </w:tc>
      </w:tr>
      <w:tr>
        <w:trPr>
          <w:trHeight w:val="237"/>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common shares—outstanding, diluted</w:t>
            </w:r>
          </w:p>
        </w:tc>
        <w:tc>
          <w:tcPr>
            <w:tcW w:w="18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25,202</w:t>
            </w:r>
          </w:p>
        </w:tc>
        <w:tc>
          <w:tcPr>
            <w:tcW w:w="380" w:type="dxa"/>
            <w:vAlign w:val="bottom"/>
            <w:tcBorders>
              <w:bottom w:val="single" w:sz="8" w:color="CFF0FC"/>
            </w:tcBorders>
            <w:shd w:val="clear" w:color="auto" w:fill="CFF0FC"/>
          </w:tcPr>
          <w:p>
            <w:pPr>
              <w:spacing w:after="0"/>
              <w:rPr>
                <w:sz w:val="20"/>
                <w:szCs w:val="20"/>
                <w:color w:val="auto"/>
              </w:rPr>
            </w:pPr>
          </w:p>
        </w:tc>
        <w:tc>
          <w:tcPr>
            <w:tcW w:w="21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24,938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5520" w:type="dxa"/>
            <w:vAlign w:val="bottom"/>
          </w:tcPr>
          <w:p>
            <w:pPr>
              <w:ind w:left="20"/>
              <w:spacing w:after="0"/>
              <w:rPr>
                <w:sz w:val="20"/>
                <w:szCs w:val="20"/>
                <w:color w:val="auto"/>
              </w:rPr>
            </w:pPr>
            <w:r>
              <w:rPr>
                <w:rFonts w:ascii="Arial" w:cs="Arial" w:eastAsia="Arial" w:hAnsi="Arial"/>
                <w:sz w:val="18"/>
                <w:szCs w:val="18"/>
                <w:color w:val="auto"/>
              </w:rPr>
              <w:t>Net loss per common share, basic</w:t>
            </w:r>
          </w:p>
        </w:tc>
        <w:tc>
          <w:tcPr>
            <w:tcW w:w="1840" w:type="dxa"/>
            <w:vAlign w:val="bottom"/>
          </w:tcPr>
          <w:p>
            <w:pPr>
              <w:jc w:val="right"/>
              <w:ind w:right="1655"/>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19"/>
              <w:spacing w:after="0"/>
              <w:rPr>
                <w:sz w:val="20"/>
                <w:szCs w:val="20"/>
                <w:color w:val="auto"/>
              </w:rPr>
            </w:pPr>
            <w:r>
              <w:rPr>
                <w:rFonts w:ascii="Arial" w:cs="Arial" w:eastAsia="Arial" w:hAnsi="Arial"/>
                <w:sz w:val="18"/>
                <w:szCs w:val="18"/>
                <w:color w:val="auto"/>
              </w:rPr>
              <w:t>(0.37 )</w:t>
            </w:r>
          </w:p>
        </w:tc>
        <w:tc>
          <w:tcPr>
            <w:tcW w:w="2100" w:type="dxa"/>
            <w:vAlign w:val="bottom"/>
          </w:tcPr>
          <w:p>
            <w:pPr>
              <w:jc w:val="right"/>
              <w:ind w:right="191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(0.38 )</w:t>
            </w:r>
          </w:p>
        </w:tc>
      </w:tr>
      <w:tr>
        <w:trPr>
          <w:trHeight w:val="276"/>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common share, diluted</w:t>
            </w:r>
          </w:p>
        </w:tc>
        <w:tc>
          <w:tcPr>
            <w:tcW w:w="1840" w:type="dxa"/>
            <w:vAlign w:val="bottom"/>
            <w:tcBorders>
              <w:top w:val="single" w:sz="8" w:color="auto"/>
              <w:bottom w:val="single" w:sz="8" w:color="auto"/>
            </w:tcBorders>
            <w:shd w:val="clear" w:color="auto" w:fill="CFF0FC"/>
          </w:tcPr>
          <w:p>
            <w:pPr>
              <w:jc w:val="right"/>
              <w:ind w:right="165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100" w:type="dxa"/>
            <w:vAlign w:val="bottom"/>
            <w:tcBorders>
              <w:top w:val="single" w:sz="8" w:color="auto"/>
              <w:bottom w:val="single" w:sz="8" w:color="auto"/>
            </w:tcBorders>
            <w:shd w:val="clear" w:color="auto" w:fill="CFF0FC"/>
          </w:tcPr>
          <w:p>
            <w:pPr>
              <w:jc w:val="right"/>
              <w:ind w:right="1915"/>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-350520</wp:posOffset>
            </wp:positionV>
            <wp:extent cx="8572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-350520</wp:posOffset>
            </wp:positionV>
            <wp:extent cx="85725"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857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 xml:space="preserve">The Company’s basic net loss per share is calculated by dividing the net loss by the weighted-average number of shares of common stock outstanding for the relevant period. In accordance with </w:t>
      </w:r>
      <w:r>
        <w:rPr>
          <w:rFonts w:ascii="Arial" w:cs="Arial" w:eastAsia="Arial" w:hAnsi="Arial"/>
          <w:sz w:val="18"/>
          <w:szCs w:val="18"/>
          <w:i w:val="1"/>
          <w:iCs w:val="1"/>
          <w:color w:val="auto"/>
        </w:rPr>
        <w:t>ASC 710-10</w:t>
      </w:r>
      <w:r>
        <w:rPr>
          <w:rFonts w:ascii="Arial" w:cs="Arial" w:eastAsia="Arial" w:hAnsi="Arial"/>
          <w:sz w:val="18"/>
          <w:szCs w:val="18"/>
          <w:color w:val="auto"/>
        </w:rPr>
        <w:t>, 105,577 shares of common stock held by the rabbi trust are excluded from the denominator in the basic and diluted EPS calculations. For details on shares of common stock held by the rabbi trust refer to Note 18.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 -months ended March 31, 2023, and 2022, diluted net loss per common share is the same as the basic net loss per share for those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Plans</w:t>
      </w:r>
    </w:p>
    <w:p>
      <w:pPr>
        <w:spacing w:after="0" w:line="225" w:lineRule="exact"/>
        <w:rPr>
          <w:sz w:val="20"/>
          <w:szCs w:val="20"/>
          <w:color w:val="auto"/>
        </w:rPr>
      </w:pPr>
    </w:p>
    <w:p>
      <w:pPr>
        <w:ind w:right="80" w:firstLine="749"/>
        <w:spacing w:after="0" w:line="274" w:lineRule="auto"/>
        <w:rPr>
          <w:sz w:val="20"/>
          <w:szCs w:val="20"/>
          <w:color w:val="auto"/>
        </w:rPr>
      </w:pPr>
      <w:r>
        <w:rPr>
          <w:rFonts w:ascii="Arial" w:cs="Arial" w:eastAsia="Arial" w:hAnsi="Arial"/>
          <w:sz w:val="17"/>
          <w:szCs w:val="17"/>
          <w:color w:val="auto"/>
        </w:rPr>
        <w:t xml:space="preserve">The Company offers a 401(k) retirement savings plan (the </w:t>
      </w:r>
      <w:r>
        <w:rPr>
          <w:rFonts w:ascii="Arial" w:cs="Arial" w:eastAsia="Arial" w:hAnsi="Arial"/>
          <w:sz w:val="17"/>
          <w:szCs w:val="17"/>
          <w:b w:val="1"/>
          <w:bCs w:val="1"/>
          <w:color w:val="auto"/>
        </w:rPr>
        <w:t>“401(k) Plan”</w:t>
      </w:r>
      <w:r>
        <w:rPr>
          <w:rFonts w:ascii="Arial" w:cs="Arial" w:eastAsia="Arial" w:hAnsi="Arial"/>
          <w:sz w:val="17"/>
          <w:szCs w:val="17"/>
          <w:color w:val="auto"/>
        </w:rPr>
        <w:t>)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up to the maximum allowable. Total Company's matching contributions to the 401(k) Plan were $423,000 and $233,000 in the three-months ended March 31, 2023 and 2022,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229"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The Company’s NQDC plan, which became effective on October 2021, allows for eligible management and highly compensated key employees to elect to defer a portion of their salary, bonus and RSU awards to later years. Cash deferrals are immediately vested and are subject to investment risk and a risk of forfeiture under certain circumstances. RSU deferrals are subject to the vesting conditions of the award. Once RSUs vest, subject to a six-month and one day holding period, employees are allowed to diversify the common stock into other investment options offered by the plan. For cash deferrals, the Company matches 4% to 6% (depending on level) of employee contributions. These matching employer contributions are vested over a two-year period with 25% vesting on year one and 75% vesting on year two for employees under 55 years of age. Employer contributions for employees over 55 years of age are immediately vested. Employer contributions to the NQDC plan were $42,000 and $84,000 for the three-months ended March 31, 2023 and 2022, respectively. The Company’s deferred compensation plan liability was $3.3 million and $1.3 million as of March 31, 2023 and December 31, 2022, respectively. These amounts are split between current and long term on the Consolidated Balance Sheets. As of March 31, 2023, $2.1 million is included in Current non-qualified deferred compensation liability and $1.2 million in Non-qualified deferred compensation liability. As of December 31, 2022, $78,000 is included in Current non-qualified deferred compensation liability and $1.3 million in Non-qualified deferred compensation liability.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right="20" w:firstLine="360"/>
        <w:spacing w:after="0" w:line="277" w:lineRule="auto"/>
        <w:rPr>
          <w:sz w:val="20"/>
          <w:szCs w:val="20"/>
          <w:color w:val="auto"/>
        </w:rPr>
      </w:pPr>
      <w:r>
        <w:rPr>
          <w:rFonts w:ascii="Arial" w:cs="Arial" w:eastAsia="Arial" w:hAnsi="Arial"/>
          <w:sz w:val="18"/>
          <w:szCs w:val="18"/>
          <w:color w:val="auto"/>
        </w:rPr>
        <w:t>The fair values of the Company’s deferred compensation plan assets and liability are included in the table below. For additional information on the fair value hierarchy and the inputs used to measure fair value, see Note 5, Fair Value Measurements.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2"/>
              </w:rPr>
              <w:t>Fair Value as of March 31, 2023</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7"/>
          </w:tcPr>
          <w:p>
            <w:pPr>
              <w:jc w:val="right"/>
              <w:ind w:right="319"/>
              <w:spacing w:after="0"/>
              <w:rPr>
                <w:sz w:val="20"/>
                <w:szCs w:val="20"/>
                <w:color w:val="auto"/>
              </w:rPr>
            </w:pPr>
            <w:r>
              <w:rPr>
                <w:rFonts w:ascii="Arial" w:cs="Arial" w:eastAsia="Arial" w:hAnsi="Arial"/>
                <w:sz w:val="16"/>
                <w:szCs w:val="16"/>
                <w:b w:val="1"/>
                <w:bCs w:val="1"/>
                <w:color w:val="auto"/>
                <w:w w:val="96"/>
              </w:rPr>
              <w:t>Fair Value as of December 31, 2022</w:t>
            </w:r>
          </w:p>
        </w:tc>
        <w:tc>
          <w:tcPr>
            <w:tcW w:w="140" w:type="dxa"/>
            <w:vAlign w:val="bottom"/>
          </w:tcPr>
          <w:p>
            <w:pPr>
              <w:spacing w:after="0"/>
              <w:rPr>
                <w:sz w:val="19"/>
                <w:szCs w:val="19"/>
                <w:color w:val="auto"/>
              </w:rPr>
            </w:pPr>
          </w:p>
        </w:tc>
      </w:tr>
      <w:tr>
        <w:trPr>
          <w:trHeight w:val="226"/>
        </w:trPr>
        <w:tc>
          <w:tcPr>
            <w:tcW w:w="42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Level 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2"/>
              </w:rPr>
              <w:t>Level 3</w:t>
            </w:r>
          </w:p>
        </w:tc>
        <w:tc>
          <w:tcPr>
            <w:tcW w:w="26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Level 1</w:t>
            </w:r>
          </w:p>
        </w:tc>
        <w:tc>
          <w:tcPr>
            <w:tcW w:w="2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Level 2</w:t>
            </w:r>
          </w:p>
        </w:tc>
        <w:tc>
          <w:tcPr>
            <w:tcW w:w="26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Level 3</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r>
      <w:tr>
        <w:trPr>
          <w:trHeight w:val="226"/>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Corporate-owned life insurance policies (1)</w:t>
            </w:r>
          </w:p>
        </w:tc>
        <w:tc>
          <w:tcPr>
            <w:tcW w:w="60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1,833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1,833</w:t>
            </w:r>
          </w:p>
        </w:tc>
        <w:tc>
          <w:tcPr>
            <w:tcW w:w="3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1,238</w:t>
            </w:r>
          </w:p>
        </w:tc>
        <w:tc>
          <w:tcPr>
            <w:tcW w:w="5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1,238</w:t>
            </w:r>
          </w:p>
        </w:tc>
        <w:tc>
          <w:tcPr>
            <w:tcW w:w="140" w:type="dxa"/>
            <w:vAlign w:val="bottom"/>
            <w:shd w:val="clear" w:color="auto" w:fill="CFF0FC"/>
          </w:tcPr>
          <w:p>
            <w:pPr>
              <w:spacing w:after="0"/>
              <w:rPr>
                <w:sz w:val="19"/>
                <w:szCs w:val="19"/>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color w:val="auto"/>
              </w:rPr>
              <w:t>Non-qualified deferred compensation plan liability</w:t>
            </w:r>
          </w:p>
        </w:tc>
        <w:tc>
          <w:tcPr>
            <w:tcW w:w="6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3,305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3,305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1,348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1,348</w:t>
            </w:r>
          </w:p>
        </w:tc>
        <w:tc>
          <w:tcPr>
            <w:tcW w:w="140" w:type="dxa"/>
            <w:vAlign w:val="bottom"/>
          </w:tcPr>
          <w:p>
            <w:pPr>
              <w:spacing w:after="0"/>
              <w:rPr>
                <w:sz w:val="18"/>
                <w:szCs w:val="18"/>
                <w:color w:val="auto"/>
              </w:rPr>
            </w:pPr>
          </w:p>
        </w:tc>
      </w:tr>
    </w:tbl>
    <w:p>
      <w:pPr>
        <w:spacing w:after="0" w:line="221" w:lineRule="exact"/>
        <w:rPr>
          <w:sz w:val="20"/>
          <w:szCs w:val="20"/>
          <w:color w:val="auto"/>
        </w:rPr>
      </w:pPr>
    </w:p>
    <w:p>
      <w:pPr>
        <w:ind w:left="760" w:right="260" w:hanging="378"/>
        <w:spacing w:after="0" w:line="25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corporate-owned life insurance contracts are recorded at cash surrender value, which is provided by a third party and reflects the net asset value of the underlying publicly traded mutual funds and are categorized as Level 2.</w:t>
      </w:r>
    </w:p>
    <w:p>
      <w:pPr>
        <w:spacing w:after="0" w:line="1" w:lineRule="exact"/>
        <w:rPr>
          <w:rFonts w:ascii="Arial" w:cs="Arial" w:eastAsia="Arial" w:hAnsi="Arial"/>
          <w:sz w:val="18"/>
          <w:szCs w:val="18"/>
          <w:color w:val="auto"/>
        </w:rPr>
      </w:pPr>
    </w:p>
    <w:p>
      <w:pPr>
        <w:ind w:left="760" w:right="300" w:hanging="378"/>
        <w:spacing w:after="0" w:line="26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Non-qualified deferred compensation plan liability is measured at fair value based on quoted prices of identical instruments to the investment vehicles selected by the participants.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Rabbi Trust</w:t>
      </w:r>
    </w:p>
    <w:p>
      <w:pPr>
        <w:spacing w:after="0" w:line="212" w:lineRule="exact"/>
        <w:rPr>
          <w:sz w:val="20"/>
          <w:szCs w:val="20"/>
          <w:color w:val="auto"/>
        </w:rPr>
      </w:pPr>
    </w:p>
    <w:p>
      <w:pPr>
        <w:ind w:right="40" w:firstLine="749"/>
        <w:spacing w:after="0" w:line="288" w:lineRule="auto"/>
        <w:rPr>
          <w:sz w:val="20"/>
          <w:szCs w:val="20"/>
          <w:color w:val="auto"/>
        </w:rPr>
      </w:pPr>
      <w:r>
        <w:rPr>
          <w:rFonts w:ascii="Arial" w:cs="Arial" w:eastAsia="Arial" w:hAnsi="Arial"/>
          <w:sz w:val="16"/>
          <w:szCs w:val="16"/>
          <w:color w:val="auto"/>
        </w:rPr>
        <w:t xml:space="preserve">During April 2022, we established a rabbi trust to hold the assets of the NQDC plan. The rabbi trust holds the COLI asset and the common stock from deferred RSU awards that have vested. The NQDC permits diversification of fully vested shares into other equity securities subject to a six month and one day holding period. In accordance with ASR 268, </w:t>
      </w:r>
      <w:r>
        <w:rPr>
          <w:rFonts w:ascii="Arial" w:cs="Arial" w:eastAsia="Arial" w:hAnsi="Arial"/>
          <w:sz w:val="16"/>
          <w:szCs w:val="16"/>
          <w:i w:val="1"/>
          <w:iCs w:val="1"/>
          <w:color w:val="auto"/>
        </w:rPr>
        <w:t>Redeemable Preferred Stock</w:t>
      </w:r>
      <w:r>
        <w:rPr>
          <w:rFonts w:ascii="Arial" w:cs="Arial" w:eastAsia="Arial" w:hAnsi="Arial"/>
          <w:sz w:val="16"/>
          <w:szCs w:val="16"/>
          <w:color w:val="auto"/>
        </w:rPr>
        <w:t xml:space="preserve">, and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prior to vesting, the deferred share awards are classified as an equity instrument and changes in fair value of the amount owed to the participant are not recognized. The redemption amounts of the deferred awards are based on the vested percentage and are recorded outside of permanent equity as Non-qualified deferred compensation share awards on the Consolidated Balance Sheets. As of March 31, 2023, a total of 165,399 shares awards have been deferred, and during the quarter ended March 31, 2023, a total of 87,650 awards vested. As of December 31, 2022, a total of 253,048 share awards have been deferred, and during the quarter ended September 30, 2022, a total of 17,927 awards vested. Vested shares are converted to common stock and are reclassified to permanent equity. Common stock held in the rabbi trust is classified in a manner similar to treasury stock and presented separately on the Consolidated Balance Sheets as Common stock held by the NQDC plan. A total of 105,577 shares were vested at the redemption value of $892,000.</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eligible share award activity as of March 31, 2023 and December 31, 2022 (in thousands):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thousands)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Non-qualified deferred compensation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inception/beginning of period</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Change in classification of deferred compensation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 expense</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in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Vesting of share awards held by NDQC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Ending Balance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8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gridSpan w:val="2"/>
          </w:tcPr>
          <w:p>
            <w:pPr>
              <w:jc w:val="right"/>
              <w:ind w:right="760"/>
              <w:spacing w:after="0"/>
              <w:rPr>
                <w:sz w:val="20"/>
                <w:szCs w:val="20"/>
                <w:color w:val="auto"/>
              </w:rPr>
            </w:pPr>
            <w:r>
              <w:rPr>
                <w:rFonts w:ascii="Arial" w:cs="Arial" w:eastAsia="Arial" w:hAnsi="Arial"/>
                <w:sz w:val="18"/>
                <w:szCs w:val="18"/>
                <w:b w:val="1"/>
                <w:bCs w:val="1"/>
                <w:color w:val="auto"/>
              </w:rPr>
              <w:t>March 31, 2023</w:t>
            </w:r>
          </w:p>
        </w:tc>
        <w:tc>
          <w:tcPr>
            <w:tcW w:w="22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December 31, 2022</w:t>
            </w:r>
          </w:p>
        </w:tc>
        <w:tc>
          <w:tcPr>
            <w:tcW w:w="80" w:type="dxa"/>
            <w:vAlign w:val="bottom"/>
          </w:tcPr>
          <w:p>
            <w:pPr>
              <w:spacing w:after="0"/>
              <w:rPr>
                <w:sz w:val="21"/>
                <w:szCs w:val="21"/>
                <w:color w:val="auto"/>
              </w:rPr>
            </w:pPr>
          </w:p>
        </w:tc>
      </w:tr>
      <w:tr>
        <w:trPr>
          <w:trHeight w:val="470"/>
        </w:trPr>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300" w:type="dxa"/>
            <w:vAlign w:val="bottom"/>
          </w:tcPr>
          <w:p>
            <w:pPr>
              <w:spacing w:after="0"/>
              <w:rPr>
                <w:sz w:val="24"/>
                <w:szCs w:val="24"/>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r>
      <w:tr>
        <w:trPr>
          <w:trHeight w:val="243"/>
        </w:trPr>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443</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r>
      <w:tr>
        <w:trPr>
          <w:trHeight w:val="250"/>
        </w:trPr>
        <w:tc>
          <w:tcPr>
            <w:tcW w:w="280" w:type="dxa"/>
            <w:vAlign w:val="bottom"/>
          </w:tcPr>
          <w:p>
            <w:pPr>
              <w:spacing w:after="0"/>
              <w:rPr>
                <w:sz w:val="21"/>
                <w:szCs w:val="21"/>
                <w:color w:val="auto"/>
              </w:rPr>
            </w:pPr>
          </w:p>
        </w:tc>
        <w:tc>
          <w:tcPr>
            <w:tcW w:w="2140" w:type="dxa"/>
            <w:vAlign w:val="bottom"/>
            <w:gridSpan w:val="2"/>
          </w:tcPr>
          <w:p>
            <w:pPr>
              <w:jc w:val="right"/>
              <w:ind w:right="240"/>
              <w:spacing w:after="0"/>
              <w:rPr>
                <w:sz w:val="20"/>
                <w:szCs w:val="20"/>
                <w:color w:val="auto"/>
              </w:rPr>
            </w:pPr>
            <w:r>
              <w:rPr>
                <w:rFonts w:ascii="Arial" w:cs="Arial" w:eastAsia="Arial" w:hAnsi="Arial"/>
                <w:sz w:val="18"/>
                <w:szCs w:val="18"/>
                <w:color w:val="auto"/>
              </w:rPr>
              <w:t>(765 )</w:t>
            </w:r>
          </w:p>
        </w:tc>
        <w:tc>
          <w:tcPr>
            <w:tcW w:w="220" w:type="dxa"/>
            <w:vAlign w:val="bottom"/>
          </w:tcPr>
          <w:p>
            <w:pPr>
              <w:spacing w:after="0"/>
              <w:rPr>
                <w:sz w:val="21"/>
                <w:szCs w:val="21"/>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(127 )</w:t>
            </w:r>
          </w:p>
        </w:tc>
      </w:tr>
      <w:tr>
        <w:trPr>
          <w:trHeight w:val="237"/>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20"/>
                <w:szCs w:val="20"/>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40" w:space="720"/>
            <w:col w:w="4680"/>
          </w:cols>
          <w:pgMar w:left="320" w:top="368"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firstLine="749"/>
        <w:spacing w:after="0" w:line="342" w:lineRule="auto"/>
        <w:rPr>
          <w:sz w:val="20"/>
          <w:szCs w:val="20"/>
          <w:color w:val="auto"/>
        </w:rPr>
      </w:pPr>
      <w:r>
        <w:rPr>
          <w:rFonts w:ascii="Arial" w:cs="Arial" w:eastAsia="Arial" w:hAnsi="Arial"/>
          <w:sz w:val="16"/>
          <w:szCs w:val="16"/>
          <w:color w:val="auto"/>
        </w:rPr>
        <w:t>The Company has evaluated subsequent events through the filing of this Quarterly Report on Form 10-Q and determined that there have been no events that have occurred that would require adjustments to our disclosures in the consolidated financial statements, except as noted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25" w:lineRule="exact"/>
        <w:rPr>
          <w:sz w:val="20"/>
          <w:szCs w:val="20"/>
          <w:color w:val="auto"/>
        </w:rPr>
      </w:pPr>
    </w:p>
    <w:p>
      <w:pPr>
        <w:ind w:right="240" w:firstLine="749"/>
        <w:spacing w:after="0" w:line="301" w:lineRule="auto"/>
        <w:rPr>
          <w:sz w:val="20"/>
          <w:szCs w:val="20"/>
          <w:color w:val="auto"/>
        </w:rPr>
      </w:pPr>
      <w:r>
        <w:rPr>
          <w:rFonts w:ascii="Arial" w:cs="Arial" w:eastAsia="Arial" w:hAnsi="Arial"/>
          <w:sz w:val="16"/>
          <w:szCs w:val="16"/>
          <w:color w:val="auto"/>
        </w:rPr>
        <w:t>On April 14, 2023, the Company entered into an Sales Agreement (the “Sales Agreement”) with Cowen and Company, LLC, under which the Company may offer and sell, from time to time, up to 3,799,164 shares of its common stock. The Sales Agreement will terminate on the earlier of its termination by the parties pursuant to the terms of the Sales Agreement or the issuance and sale of all of the shares pursuant to the terms of the Sales Agreement. The Company has not made any sales under the Sales Agreement as of the date of this Quarterly Report on Form 10-Q.</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Office Lease</w:t>
      </w:r>
    </w:p>
    <w:p>
      <w:pPr>
        <w:spacing w:after="0" w:line="225"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During May 2023, the Company executed new office space in Irvine, California. The lease is for a term of 60 months commencing, with an average monthly rent of approximately $25,000.</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w:t>
      </w:r>
    </w:p>
    <w:p>
      <w:pPr>
        <w:spacing w:after="0" w:line="170"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w:t>
      </w:r>
    </w:p>
    <w:p>
      <w:pPr>
        <w:spacing w:after="0" w:line="192"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i w:val="1"/>
          <w:iCs w:val="1"/>
          <w:color w:val="auto"/>
        </w:rPr>
        <w:t>The following information and any forward-looking statements should be considered in light of factors discussed elsewhere in this Quarterly Report on Form 10-Q, including those risks identified under Part II, Item 1A. Risk Factors.</w:t>
      </w:r>
    </w:p>
    <w:p>
      <w:pPr>
        <w:spacing w:after="0" w:line="170"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and the ASX,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749"/>
        <w:spacing w:after="0" w:line="321" w:lineRule="auto"/>
        <w:rPr>
          <w:sz w:val="20"/>
          <w:szCs w:val="20"/>
          <w:color w:val="auto"/>
        </w:rPr>
      </w:pPr>
      <w:r>
        <w:rPr>
          <w:rFonts w:ascii="Arial" w:cs="Arial" w:eastAsia="Arial" w:hAnsi="Arial"/>
          <w:sz w:val="16"/>
          <w:szCs w:val="16"/>
          <w:color w:val="auto"/>
        </w:rPr>
        <w:t>AVITA Medical, Inc. is a regenerative medicine company leading the development and commercialization of devices and autologous cellular therapies for skin restoration. Our patented and proprietary RECELL® System technology platform harnesses the regenerative properties of a patient’s own skin to create Spray-On Skin</w:t>
      </w:r>
      <w:r>
        <w:rPr>
          <w:rFonts w:ascii="Arial" w:cs="Arial" w:eastAsia="Arial" w:hAnsi="Arial"/>
          <w:sz w:val="18"/>
          <w:szCs w:val="18"/>
          <w:color w:val="auto"/>
          <w:vertAlign w:val="superscript"/>
        </w:rPr>
        <w:t>™</w:t>
      </w:r>
      <w:r>
        <w:rPr>
          <w:rFonts w:ascii="Arial" w:cs="Arial" w:eastAsia="Arial" w:hAnsi="Arial"/>
          <w:sz w:val="16"/>
          <w:szCs w:val="16"/>
          <w:color w:val="auto"/>
        </w:rPr>
        <w:t xml:space="preserve"> Cells, an autologous skin cell suspension that is sprayed onto the patient to regenerate natural healthy skin.</w:t>
      </w:r>
    </w:p>
    <w:p>
      <w:pPr>
        <w:spacing w:after="0" w:line="95"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Our objective is to become the leading provider of regenerative medicine addressing unmet medical needs in burn injuries, trauma injuries, and in dermatological and aesthetics indications, such as vitiligo. To achieve this objective, we plan to:</w:t>
      </w:r>
    </w:p>
    <w:p>
      <w:pPr>
        <w:spacing w:after="0" w:line="278"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Become the standard of care in the U.S. burns industry by increasing RECELL System penetration in burn centers and with burn physicians</w:t>
      </w:r>
    </w:p>
    <w:p>
      <w:pPr>
        <w:spacing w:after="0" w:line="140" w:lineRule="exact"/>
        <w:rPr>
          <w:rFonts w:ascii="Arial" w:cs="Arial" w:eastAsia="Arial" w:hAnsi="Arial"/>
          <w:sz w:val="16"/>
          <w:szCs w:val="16"/>
          <w:color w:val="auto"/>
        </w:rPr>
      </w:pPr>
    </w:p>
    <w:p>
      <w:pPr>
        <w:jc w:val="both"/>
        <w:ind w:left="1020" w:right="100" w:hanging="503"/>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Commercialize the RECELL System in the U.S. for use in soft tissue repair following approval of our pending PMA supplement, which was submitted to the FDA in December 2022. Following anticipated FDA approval for soft tissue repair, we plan to commence a full commercial launch in July 2023 with both inpatient and outpatient reimbursement in place</w:t>
      </w:r>
    </w:p>
    <w:p>
      <w:pPr>
        <w:spacing w:after="0" w:line="75" w:lineRule="exact"/>
        <w:rPr>
          <w:rFonts w:ascii="Arial" w:cs="Arial" w:eastAsia="Arial" w:hAnsi="Arial"/>
          <w:sz w:val="18"/>
          <w:szCs w:val="18"/>
          <w:color w:val="auto"/>
        </w:rPr>
      </w:pPr>
    </w:p>
    <w:p>
      <w:pPr>
        <w:jc w:val="both"/>
        <w:ind w:left="1020" w:right="100" w:hanging="503"/>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Commercialize the RECELL System in the U.S. for use in treatment of vitiligo following approval of our pending PMA application, which was submitted to the FDA in December 2022. Subsequent to anticipated FDA approval for vitiligo, we plan to commence a full commercial launch following the expected receipt of in-office reimbursement for the use of RECELL in the physician office setting, which we anticipate will occur by January 2025</w:t>
      </w:r>
    </w:p>
    <w:p>
      <w:pPr>
        <w:spacing w:after="0" w:line="78" w:lineRule="exact"/>
        <w:rPr>
          <w:rFonts w:ascii="Arial" w:cs="Arial" w:eastAsia="Arial" w:hAnsi="Arial"/>
          <w:sz w:val="18"/>
          <w:szCs w:val="18"/>
          <w:color w:val="auto"/>
        </w:rPr>
      </w:pPr>
    </w:p>
    <w:p>
      <w:pPr>
        <w:ind w:left="1020" w:right="80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 potential commercialization applications for the RECELL System related to skin rejuvenation and Epidermolysis Bullosa indications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invest in our RECELL System platform to automate and improve workflow, speed, and ease of use as it relates to specific indications, as well as to build upon our intellectual property estate</w:t>
      </w:r>
    </w:p>
    <w:p>
      <w:pPr>
        <w:spacing w:after="0" w:line="62"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build upon commercial activities in Japan through our partnership with COSMOTEC Company, Ltd with our current PMDA approval for RECELL with an indication in burns</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and pursue viable commercial activities outside of the U.S. and Japan once we have received FDA approval with RECELL System indications in soft tissue and vitiligo</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Pursue business development opportunities that are complementary to our core RECELL System indications and/or our targeted markets</w:t>
      </w:r>
    </w:p>
    <w:p>
      <w:pPr>
        <w:spacing w:after="0" w:line="140" w:lineRule="exact"/>
        <w:rPr>
          <w:rFonts w:ascii="Arial" w:cs="Arial" w:eastAsia="Arial" w:hAnsi="Arial"/>
          <w:sz w:val="16"/>
          <w:szCs w:val="16"/>
          <w:color w:val="auto"/>
        </w:rPr>
      </w:pPr>
    </w:p>
    <w:p>
      <w:pPr>
        <w:ind w:left="1020" w:right="6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Improve our margins and profitability by leveraging our current team and infrastructure across an expanding base of business in burns and in future indications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Business Environment and Current Trends</w:t>
      </w:r>
    </w:p>
    <w:p>
      <w:pPr>
        <w:spacing w:after="0" w:line="22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The outbreak of the global pandemic and the associated response measures implemented by governments and businesses around the world, as well as subsequent accelerated and robust recovery in global business activity, have increased uncertainty in the business environment. These macroeconomic environment implications, including supply chain shortages, increased cost of healthcare, increased inflation rates, competitive and tight labor market, and other related global economic conditions and geopolitical conditions, remain unknown. Additionally, there have been various economic indicators that the United States economy may be entering a recession in upcoming quarters. If these conditions continue or worsen, they could adversely impact our future operating results. An economic recession could potentially impact the general business environment and the capital markets, which may have a material negative impact on our financial results.</w:t>
      </w:r>
    </w:p>
    <w:p>
      <w:pPr>
        <w:spacing w:after="0" w:line="177"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Changes in reimbursement rates by third party payors, may place additional financial pressure on hospitals and the broader healthcare system. Healthcare institutions may take actions to mitigate any persistent pressures on their budgets and such actions could impact the future demand for our products. Geopolitical conditions may also impact our operations. Although we do not have operations in Russia or Ukraine, the continuation of the Russia-Ukraine military conflict and/or an escalation of the conflict beyond its current scope may further weaken the global economy and could result in additional inflationary pressures and supply chain constraints.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right="120" w:firstLine="749"/>
        <w:spacing w:after="0" w:line="296" w:lineRule="auto"/>
        <w:rPr>
          <w:sz w:val="20"/>
          <w:szCs w:val="20"/>
          <w:color w:val="auto"/>
        </w:rPr>
      </w:pPr>
      <w:r>
        <w:rPr>
          <w:rFonts w:ascii="Arial" w:cs="Arial" w:eastAsia="Arial" w:hAnsi="Arial"/>
          <w:sz w:val="16"/>
          <w:szCs w:val="16"/>
          <w:color w:val="auto"/>
        </w:rPr>
        <w:t>The Company began as a laboratory spin-off in the Australian State of Western Australia. The Company's former parent company, Clinical Cell Culture (“</w:t>
      </w:r>
      <w:r>
        <w:rPr>
          <w:rFonts w:ascii="Arial" w:cs="Arial" w:eastAsia="Arial" w:hAnsi="Arial"/>
          <w:sz w:val="16"/>
          <w:szCs w:val="16"/>
          <w:b w:val="1"/>
          <w:bCs w:val="1"/>
          <w:color w:val="auto"/>
        </w:rPr>
        <w:t>C3</w:t>
      </w:r>
      <w:r>
        <w:rPr>
          <w:rFonts w:ascii="Arial" w:cs="Arial" w:eastAsia="Arial" w:hAnsi="Arial"/>
          <w:sz w:val="16"/>
          <w:szCs w:val="16"/>
          <w:color w:val="auto"/>
        </w:rPr>
        <w:t>”), was formed under the laws of the Commonwealth of Australia in December 1992 and changed its name to AVITA Medical Ltd in 2008 ("</w:t>
      </w:r>
      <w:r>
        <w:rPr>
          <w:rFonts w:ascii="Arial" w:cs="Arial" w:eastAsia="Arial" w:hAnsi="Arial"/>
          <w:sz w:val="16"/>
          <w:szCs w:val="16"/>
          <w:b w:val="1"/>
          <w:bCs w:val="1"/>
          <w:color w:val="auto"/>
        </w:rPr>
        <w:t>AVITA Australia</w:t>
      </w:r>
      <w:r>
        <w:rPr>
          <w:rFonts w:ascii="Arial" w:cs="Arial" w:eastAsia="Arial" w:hAnsi="Arial"/>
          <w:sz w:val="16"/>
          <w:szCs w:val="16"/>
          <w:color w:val="auto"/>
        </w:rPr>
        <w:t>"). AVITA Australia’s ordinary shares originally began trading in Australia on the Australian Securities Exchange (“</w:t>
      </w:r>
      <w:r>
        <w:rPr>
          <w:rFonts w:ascii="Arial" w:cs="Arial" w:eastAsia="Arial" w:hAnsi="Arial"/>
          <w:sz w:val="16"/>
          <w:szCs w:val="16"/>
          <w:b w:val="1"/>
          <w:bCs w:val="1"/>
          <w:color w:val="auto"/>
        </w:rPr>
        <w:t>ASX</w:t>
      </w:r>
      <w:r>
        <w:rPr>
          <w:rFonts w:ascii="Arial" w:cs="Arial" w:eastAsia="Arial" w:hAnsi="Arial"/>
          <w:sz w:val="16"/>
          <w:szCs w:val="16"/>
          <w:color w:val="auto"/>
        </w:rPr>
        <w:t>”) on August 9, 1993. AVITA Australia's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traded over the counter on the OTCQX under the ticker symbol “AVMXY” from May 14, 2012, through September 30, 2019, and its ADSs began trading on the Nasdaq Capital Market on October 1, 2019, under the ticker symbol “RCEL”.</w:t>
      </w:r>
    </w:p>
    <w:p>
      <w:pPr>
        <w:spacing w:after="0" w:line="161" w:lineRule="exact"/>
        <w:rPr>
          <w:sz w:val="20"/>
          <w:szCs w:val="20"/>
          <w:color w:val="auto"/>
        </w:rPr>
      </w:pPr>
    </w:p>
    <w:p>
      <w:pPr>
        <w:jc w:val="both"/>
        <w:ind w:right="200" w:firstLine="749"/>
        <w:spacing w:after="0" w:line="301" w:lineRule="auto"/>
        <w:rPr>
          <w:sz w:val="20"/>
          <w:szCs w:val="20"/>
          <w:color w:val="auto"/>
        </w:rPr>
      </w:pPr>
      <w:r>
        <w:rPr>
          <w:rFonts w:ascii="Arial" w:cs="Arial" w:eastAsia="Arial" w:hAnsi="Arial"/>
          <w:sz w:val="16"/>
          <w:szCs w:val="16"/>
          <w:color w:val="auto"/>
        </w:rPr>
        <w:t>On June 29, 2020, AVITA Australia implemented a statutory scheme of arrangement under Australian law to effect a redomiciliation of AVITA Medical from Australia to the United States (the “</w:t>
      </w:r>
      <w:r>
        <w:rPr>
          <w:rFonts w:ascii="Arial" w:cs="Arial" w:eastAsia="Arial" w:hAnsi="Arial"/>
          <w:sz w:val="16"/>
          <w:szCs w:val="16"/>
          <w:b w:val="1"/>
          <w:bCs w:val="1"/>
          <w:color w:val="auto"/>
        </w:rPr>
        <w:t>Redomiciliation</w:t>
      </w:r>
      <w:r>
        <w:rPr>
          <w:rFonts w:ascii="Arial" w:cs="Arial" w:eastAsia="Arial" w:hAnsi="Arial"/>
          <w:sz w:val="16"/>
          <w:szCs w:val="16"/>
          <w:color w:val="auto"/>
        </w:rPr>
        <w:t>”). The Redomiciliation was approved by stockholders on June 15, 2020 and approved by the Federal Court of Australia on June 22, 2020. Pursuant to the Redomiciliation, all ordinary shares in AVITA Australia were exchanged for shares of common stock in the Company (AVITA Medical, Inc.). As a result, the Company became the sole stockholder of AVITA Australia.</w:t>
      </w:r>
    </w:p>
    <w:p>
      <w:pPr>
        <w:spacing w:after="0" w:line="153" w:lineRule="exact"/>
        <w:rPr>
          <w:sz w:val="20"/>
          <w:szCs w:val="20"/>
          <w:color w:val="auto"/>
        </w:rPr>
      </w:pPr>
    </w:p>
    <w:p>
      <w:pPr>
        <w:jc w:val="both"/>
        <w:ind w:right="220" w:firstLine="749"/>
        <w:spacing w:after="0" w:line="266" w:lineRule="auto"/>
        <w:rPr>
          <w:sz w:val="20"/>
          <w:szCs w:val="20"/>
          <w:color w:val="auto"/>
        </w:rPr>
      </w:pPr>
      <w:r>
        <w:rPr>
          <w:rFonts w:ascii="Arial" w:cs="Arial" w:eastAsia="Arial" w:hAnsi="Arial"/>
          <w:sz w:val="18"/>
          <w:szCs w:val="18"/>
          <w:color w:val="auto"/>
        </w:rPr>
        <w:t>The Company’s CHESS Depositary Interests (“</w:t>
      </w:r>
      <w:r>
        <w:rPr>
          <w:rFonts w:ascii="Arial" w:cs="Arial" w:eastAsia="Arial" w:hAnsi="Arial"/>
          <w:sz w:val="18"/>
          <w:szCs w:val="18"/>
          <w:b w:val="1"/>
          <w:bCs w:val="1"/>
          <w:color w:val="auto"/>
        </w:rPr>
        <w:t>CDIs</w:t>
      </w:r>
      <w:r>
        <w:rPr>
          <w:rFonts w:ascii="Arial" w:cs="Arial" w:eastAsia="Arial" w:hAnsi="Arial"/>
          <w:sz w:val="18"/>
          <w:szCs w:val="18"/>
          <w:color w:val="auto"/>
        </w:rPr>
        <w:t>”) are quoted on the ASX under AVITA Australia’s former ASX ticker code, “AVH”. The Company’s shares of common stock are quoted on Nasdaq under AVITA Australia's former Nasdaq ticker code, “RCEL”. One share of common stock on Nasdaq is equivalent to five CDIs on the ASX.</w:t>
      </w:r>
    </w:p>
    <w:p>
      <w:pPr>
        <w:spacing w:after="0" w:line="180"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On November 8, 2021, the Company changed its fiscal year-end from June 30th to December 31st. The decision to change the fiscal year-end to a calendar year end was to align our reporting cycle more closely with how we manage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 for the three-months ended March 31, 2023 compared to the three-months ended March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gridSpan w:val="5"/>
          </w:tcPr>
          <w:p>
            <w:pPr>
              <w:jc w:val="right"/>
              <w:ind w:right="1420"/>
              <w:spacing w:after="0"/>
              <w:rPr>
                <w:sz w:val="20"/>
                <w:szCs w:val="20"/>
                <w:color w:val="auto"/>
              </w:rPr>
            </w:pPr>
            <w:r>
              <w:rPr>
                <w:rFonts w:ascii="Arial" w:cs="Arial" w:eastAsia="Arial" w:hAnsi="Arial"/>
                <w:sz w:val="16"/>
                <w:szCs w:val="16"/>
                <w:b w:val="1"/>
                <w:bCs w:val="1"/>
                <w:color w:val="auto"/>
              </w:rPr>
              <w:t>Three-Months Ended</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Statement of Operations Data:</w:t>
            </w:r>
          </w:p>
        </w:tc>
        <w:tc>
          <w:tcPr>
            <w:tcW w:w="2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March 31, 2023</w:t>
            </w:r>
          </w:p>
        </w:tc>
        <w:tc>
          <w:tcPr>
            <w:tcW w:w="3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 2022</w:t>
            </w:r>
          </w:p>
        </w:tc>
        <w:tc>
          <w:tcPr>
            <w:tcW w:w="300" w:type="dxa"/>
            <w:vAlign w:val="bottom"/>
          </w:tcPr>
          <w:p>
            <w:pPr>
              <w:spacing w:after="0"/>
              <w:rPr>
                <w:sz w:val="19"/>
                <w:szCs w:val="19"/>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c>
          <w:tcPr>
            <w:tcW w:w="3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10,550</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7,539</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3,011</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20" w:type="dxa"/>
            <w:vAlign w:val="bottom"/>
          </w:tcPr>
          <w:p>
            <w:pPr>
              <w:spacing w:after="0"/>
              <w:rPr>
                <w:sz w:val="19"/>
                <w:szCs w:val="19"/>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(1,667 )</w:t>
            </w:r>
          </w:p>
        </w:tc>
        <w:tc>
          <w:tcPr>
            <w:tcW w:w="20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(1,778 )</w:t>
            </w:r>
          </w:p>
        </w:tc>
        <w:tc>
          <w:tcPr>
            <w:tcW w:w="1220" w:type="dxa"/>
            <w:vAlign w:val="bottom"/>
          </w:tcPr>
          <w:p>
            <w:pPr>
              <w:jc w:val="right"/>
              <w:spacing w:after="0"/>
              <w:rPr>
                <w:sz w:val="20"/>
                <w:szCs w:val="20"/>
                <w:color w:val="auto"/>
              </w:rPr>
            </w:pPr>
            <w:r>
              <w:rPr>
                <w:rFonts w:ascii="Arial" w:cs="Arial" w:eastAsia="Arial" w:hAnsi="Arial"/>
                <w:sz w:val="16"/>
                <w:szCs w:val="16"/>
                <w:color w:val="auto"/>
              </w:rPr>
              <w:t>111</w:t>
            </w:r>
          </w:p>
        </w:tc>
        <w:tc>
          <w:tcPr>
            <w:tcW w:w="300" w:type="dxa"/>
            <w:vAlign w:val="bottom"/>
          </w:tcPr>
          <w:p>
            <w:pPr>
              <w:spacing w:after="0"/>
              <w:rPr>
                <w:sz w:val="19"/>
                <w:szCs w:val="19"/>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Gross profit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8,883</w:t>
            </w: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5,761</w:t>
            </w:r>
          </w:p>
        </w:tc>
        <w:tc>
          <w:tcPr>
            <w:tcW w:w="3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3,122</w:t>
            </w:r>
          </w:p>
        </w:tc>
        <w:tc>
          <w:tcPr>
            <w:tcW w:w="30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54 %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6"/>
                <w:szCs w:val="16"/>
                <w:color w:val="auto"/>
              </w:rPr>
              <w:t>BARDA income</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627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734</w:t>
            </w:r>
          </w:p>
        </w:tc>
        <w:tc>
          <w:tcPr>
            <w:tcW w:w="3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(107 )</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00"/>
              <w:spacing w:after="0"/>
              <w:rPr>
                <w:sz w:val="20"/>
                <w:szCs w:val="20"/>
                <w:color w:val="auto"/>
              </w:rPr>
            </w:pPr>
            <w:r>
              <w:rPr>
                <w:rFonts w:ascii="Arial" w:cs="Arial" w:eastAsia="Arial" w:hAnsi="Arial"/>
                <w:sz w:val="16"/>
                <w:szCs w:val="16"/>
                <w:color w:val="auto"/>
              </w:rPr>
              <w:t>Sales and marketing expenses</w:t>
            </w:r>
          </w:p>
        </w:tc>
        <w:tc>
          <w:tcPr>
            <w:tcW w:w="22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(6,540 )</w:t>
            </w:r>
          </w:p>
        </w:tc>
        <w:tc>
          <w:tcPr>
            <w:tcW w:w="2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(4,828 )</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(1,712 )</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30"/>
        </w:trPr>
        <w:tc>
          <w:tcPr>
            <w:tcW w:w="4360" w:type="dxa"/>
            <w:vAlign w:val="bottom"/>
          </w:tcPr>
          <w:p>
            <w:pPr>
              <w:ind w:left="20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tcPr>
          <w:p>
            <w:pPr>
              <w:spacing w:after="0"/>
              <w:rPr>
                <w:sz w:val="19"/>
                <w:szCs w:val="19"/>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(8,295 )</w:t>
            </w:r>
          </w:p>
        </w:tc>
        <w:tc>
          <w:tcPr>
            <w:tcW w:w="20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(7,534 )</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(761 )</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46"/>
        </w:trPr>
        <w:tc>
          <w:tcPr>
            <w:tcW w:w="4360" w:type="dxa"/>
            <w:vAlign w:val="bottom"/>
          </w:tcPr>
          <w:p>
            <w:pPr>
              <w:ind w:left="200"/>
              <w:spacing w:after="0"/>
              <w:rPr>
                <w:sz w:val="20"/>
                <w:szCs w:val="20"/>
                <w:color w:val="auto"/>
              </w:rPr>
            </w:pPr>
            <w:r>
              <w:rPr>
                <w:rFonts w:ascii="Arial" w:cs="Arial" w:eastAsia="Arial" w:hAnsi="Arial"/>
                <w:sz w:val="16"/>
                <w:szCs w:val="16"/>
                <w:color w:val="auto"/>
              </w:rPr>
              <w:t>Research and development expenses</w:t>
            </w:r>
          </w:p>
        </w:tc>
        <w:tc>
          <w:tcPr>
            <w:tcW w:w="220" w:type="dxa"/>
            <w:vAlign w:val="bottom"/>
          </w:tcPr>
          <w:p>
            <w:pPr>
              <w:spacing w:after="0"/>
              <w:rPr>
                <w:sz w:val="21"/>
                <w:szCs w:val="21"/>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(4,586 )</w:t>
            </w:r>
          </w:p>
        </w:tc>
        <w:tc>
          <w:tcPr>
            <w:tcW w:w="2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(3,620 )</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(966 )</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6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220" w:type="dxa"/>
            <w:vAlign w:val="bottom"/>
          </w:tcPr>
          <w:p>
            <w:pPr>
              <w:spacing w:after="0"/>
              <w:rPr>
                <w:sz w:val="19"/>
                <w:szCs w:val="19"/>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(19,421 )</w:t>
            </w:r>
          </w:p>
        </w:tc>
        <w:tc>
          <w:tcPr>
            <w:tcW w:w="20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(15,982 )</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(3,439 )</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20"/>
              <w:spacing w:after="0"/>
              <w:rPr>
                <w:sz w:val="20"/>
                <w:szCs w:val="20"/>
                <w:color w:val="auto"/>
              </w:rPr>
            </w:pPr>
            <w:r>
              <w:rPr>
                <w:rFonts w:ascii="Arial" w:cs="Arial" w:eastAsia="Arial" w:hAnsi="Arial"/>
                <w:sz w:val="16"/>
                <w:szCs w:val="16"/>
                <w:color w:val="auto"/>
              </w:rPr>
              <w:t>Operating loss</w:t>
            </w: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(424 )</w:t>
            </w:r>
          </w:p>
        </w:tc>
        <w:tc>
          <w:tcPr>
            <w:tcW w:w="1380" w:type="dxa"/>
            <w:vAlign w:val="bottom"/>
            <w:gridSpan w:val="3"/>
            <w:vMerge w:val="restart"/>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line="20" w:lineRule="exact"/>
              <w:rPr>
                <w:sz w:val="1"/>
                <w:szCs w:val="1"/>
                <w:color w:val="auto"/>
              </w:rPr>
            </w:pPr>
          </w:p>
        </w:tc>
      </w:tr>
      <w:tr>
        <w:trPr>
          <w:trHeight w:val="209"/>
        </w:trPr>
        <w:tc>
          <w:tcPr>
            <w:tcW w:w="43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(9,911 )</w:t>
            </w:r>
          </w:p>
        </w:tc>
        <w:tc>
          <w:tcPr>
            <w:tcW w:w="2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(9,487 )</w:t>
            </w:r>
          </w:p>
        </w:tc>
        <w:tc>
          <w:tcPr>
            <w:tcW w:w="1520" w:type="dxa"/>
            <w:vAlign w:val="bottom"/>
            <w:gridSpan w:val="2"/>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(4 )</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(4 )</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697</w:t>
            </w:r>
          </w:p>
        </w:tc>
        <w:tc>
          <w:tcPr>
            <w:tcW w:w="300" w:type="dxa"/>
            <w:vAlign w:val="bottom"/>
          </w:tcPr>
          <w:p>
            <w:pPr>
              <w:spacing w:after="0"/>
              <w:rPr>
                <w:sz w:val="21"/>
                <w:szCs w:val="21"/>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6"/>
                <w:szCs w:val="16"/>
                <w:color w:val="auto"/>
              </w:rPr>
              <w:t>2489 %</w:t>
            </w:r>
          </w:p>
        </w:tc>
        <w:tc>
          <w:tcPr>
            <w:tcW w:w="0" w:type="dxa"/>
            <w:vAlign w:val="bottom"/>
          </w:tcPr>
          <w:p>
            <w:pPr>
              <w:spacing w:after="0"/>
              <w:rPr>
                <w:sz w:val="1"/>
                <w:szCs w:val="1"/>
                <w:color w:val="auto"/>
              </w:rPr>
            </w:pPr>
          </w:p>
        </w:tc>
      </w:tr>
      <w:tr>
        <w:trPr>
          <w:trHeight w:val="226"/>
        </w:trPr>
        <w:tc>
          <w:tcPr>
            <w:tcW w:w="4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taxes</w:t>
            </w: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(9,190 )</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(9,459 )</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20"/>
              <w:spacing w:after="0"/>
              <w:rPr>
                <w:sz w:val="20"/>
                <w:szCs w:val="20"/>
                <w:color w:val="auto"/>
              </w:rPr>
            </w:pPr>
            <w:r>
              <w:rPr>
                <w:rFonts w:ascii="Arial" w:cs="Arial" w:eastAsia="Arial" w:hAnsi="Arial"/>
                <w:sz w:val="16"/>
                <w:szCs w:val="16"/>
                <w:color w:val="auto"/>
              </w:rPr>
              <w:t>Provision for income tax</w:t>
            </w:r>
          </w:p>
        </w:tc>
        <w:tc>
          <w:tcPr>
            <w:tcW w:w="220" w:type="dxa"/>
            <w:vAlign w:val="bottom"/>
          </w:tcPr>
          <w:p>
            <w:pPr>
              <w:spacing w:after="0"/>
              <w:rPr>
                <w:sz w:val="19"/>
                <w:szCs w:val="19"/>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(30 )</w:t>
            </w:r>
          </w:p>
        </w:tc>
        <w:tc>
          <w:tcPr>
            <w:tcW w:w="20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(4 )</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(26 )</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(650 )%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(9,220 )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(9,463 )</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-1816735</wp:posOffset>
            </wp:positionV>
            <wp:extent cx="85725"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-1816735</wp:posOffset>
            </wp:positionV>
            <wp:extent cx="85725"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4457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1363345"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63345" cy="17145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80" w:firstLine="749"/>
        <w:spacing w:after="0" w:line="279" w:lineRule="auto"/>
        <w:rPr>
          <w:sz w:val="20"/>
          <w:szCs w:val="20"/>
          <w:color w:val="auto"/>
        </w:rPr>
      </w:pPr>
      <w:r>
        <w:rPr>
          <w:rFonts w:ascii="Arial" w:cs="Arial" w:eastAsia="Arial" w:hAnsi="Arial"/>
          <w:sz w:val="17"/>
          <w:szCs w:val="17"/>
          <w:color w:val="auto"/>
        </w:rPr>
        <w:t>Total net revenues increased by 40%, or $3.0 million, to $10.6 million, compared to $7.5 million in the corresponding period in the prior year. Our commercial revenue, which excludes BARDA revenue, was $10.5 million in the three-months ended March 31, 2023, an increase of $3.1 million, or 40%, compared to $7.4 million in the corresponding period in the prior year. The growth in commercial revenues was largely driven by deeper penetration within individual customer accounts along with the commencement of commercial sales with our partner COSMOTEC in Japan.</w:t>
      </w:r>
    </w:p>
    <w:p>
      <w:pPr>
        <w:spacing w:after="0" w:line="171"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Gross profit margin increased by 8% to 84% compared to 76% in the corresponding period in the prior year. The increase in gross profit margin is largely driven by increased production and lower shipping costs.</w:t>
      </w:r>
    </w:p>
    <w:p>
      <w:pPr>
        <w:spacing w:after="0" w:line="170"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BARDA income decreased by 15%, or $0.1 million, to $0.6 million, compared to $0.7 million for the corresponding period in the prior year. BARDA income consisted of funding from the Biomedical Advanced Research and Development Authority, under the Assistant Secretary for Preparedness and Response, within the U.S. Department of Health and Human Services, under ongoing USG Contract No. HHSO100201500028C. BARDA income decreased as reimbursed clinical trial expenditures decreased in the current period as soft tissue and pediatrics trial participants largely completed follow-up in 2022.</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operating expenses increased by 22% or $3.4 million to $19.4 million, compared with $16.0 million in the corresponding period in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Sales and marketing expenses increased by 35%, or $1.7 million, to $6.5 million, compared to $4.8 million incurred in the corresponding period in the prior year. Higher costs in the current year were primarily attributed to higher salaries and benefits and commissions. The increase in salaries and benefits were primarily a result for the preparation of the commercial launch of soft tissue in July 2023. Higher commissions were directly associated with the increase in revenues.</w:t>
      </w:r>
    </w:p>
    <w:p>
      <w:pPr>
        <w:spacing w:after="0" w:line="187"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General and administrative expenses increased by 10%, or $0.8 million, to $8.3 million, compared to $7.5 million incurred in the same period in the prior year. The increase was attributable to deferred compensation expense, severance costs and higher professional fees, partially offset by lower stock-based compensation. Increased deferred compensation expense is driven by our deferred compensation liability which generally tracks the movements in the stock market. Severance costs in the current year were due to the termination of two former executive officers. Lower stock based compensation in the current year is due to the acceleration of expense for certain performance milestones being met in the prior year, partially offset by the current period acceleration related to the termination of the two former executive officers.</w:t>
      </w:r>
    </w:p>
    <w:p>
      <w:pPr>
        <w:spacing w:after="0" w:line="178"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Research and development expenses increased by 27%, or $1.0 million, to $4.6 million, compared to $3.6 million incurred in the same period in the prior year. The increase was a result of ongoing development of the next generation RECELL GO for preparation of Spray-On Skin Cells and additional costs associated with the deployment of a team of Medical Science Liaisons ("</w:t>
      </w:r>
      <w:r>
        <w:rPr>
          <w:rFonts w:ascii="Arial" w:cs="Arial" w:eastAsia="Arial" w:hAnsi="Arial"/>
          <w:sz w:val="18"/>
          <w:szCs w:val="18"/>
          <w:b w:val="1"/>
          <w:bCs w:val="1"/>
          <w:color w:val="auto"/>
        </w:rPr>
        <w:t>MSLs"</w:t>
      </w:r>
      <w:r>
        <w:rPr>
          <w:rFonts w:ascii="Arial" w:cs="Arial" w:eastAsia="Arial" w:hAnsi="Arial"/>
          <w:sz w:val="18"/>
          <w:szCs w:val="18"/>
          <w:color w:val="auto"/>
        </w:rPr>
        <w:t>). Higher costs associated with RECELL GO are driven by the planned FDA submission in June 2023. The increase in costs for MSLs is in anticipation of our soft tissue launch in July 2023. The increase was partially offset by lower clinical trial expenses for</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80" w:right="27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vitiligo, soft tissue and pediatrics as trial participants largely completed follow-up in 2022 reducing the associated expenditure in the current period.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25"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We expect to utilize cash reserves until U.S. sales of our products reach a level sufficient to fund ongoing operations. AVITA Medical has historically funded its research and development activities, and more recently its substantial investment in sales and marketing activities, through raising capital by issuing securities, and it is expected that similar funding will be obtained to provide working capital if and when required. As of March 31, 2023, the Company had approximately $28.1 million in cash and cash equivalents and $49.6 million in marketable securities and believes it has sufficient cash reserves to fund operations for the next 12-months. If the Company is unable to raise capital in the future, the Company may need to curtail expenditures by scaling back certain research and development or other programs.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180" w:firstLine="749"/>
        <w:spacing w:after="0" w:line="293" w:lineRule="auto"/>
        <w:rPr>
          <w:sz w:val="20"/>
          <w:szCs w:val="20"/>
          <w:color w:val="auto"/>
        </w:rPr>
      </w:pPr>
      <w:r>
        <w:rPr>
          <w:rFonts w:ascii="Arial" w:cs="Arial" w:eastAsia="Arial" w:hAnsi="Arial"/>
          <w:sz w:val="16"/>
          <w:szCs w:val="16"/>
          <w:color w:val="auto"/>
        </w:rPr>
        <w:t>On March 1, 2021, the Company issued 3,214,250 shares of common stock at an offering price of $21.50 per share in a registered underwritten offering. The gross proceeds from the offering were approximately $69.1 million. AVITA Medical also benefits from cash inflows from the BARDA contract (discussed earlier in this Annual Report). We entered into the contract on September 29, 2015, and the scope has expanded through a number of amendments to the contract. The current contract period continues to December 31, 2023, with the option by BARDA to terminate earlier. The contract provided funding for the development of the RECELL System. The contract will continue to provide funding for future use of the product as a medical countermeasure to assist disaster preparedness and response in the U.S. for mass casualty events involving burn injuries.</w:t>
      </w:r>
    </w:p>
    <w:p>
      <w:pPr>
        <w:spacing w:after="0" w:line="164"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Under the contract, BARDA has provided funding and technical support for the development of the RECELL System. BARDA funded the completion of two randomized, controlled pivotal clinical trials, as well as Compassionate Use and Continued Access programs, and development of the health economic model demonstrating the cost savings associated with the RECELL System. BARDA exercised a contract option to fund a randomized, controlled clinical trial for a pediatric early intervention study which commenced enrollment in March 2020, and closed to enrollment in June 2021, subsequent to FDA-approval of an expanded RECELL indication for use that includes treatment of pediatric patients. Currently, the BARDA contract is supporting the Company’s clinical trial in soft-tissue repair. Also included in the BARDA contract was a provision for procurement of the RECELL System under a vendor-managed inventory system to bolster emergency preparedness in the amount of $7.6 million. Further, BARDA expanded the awarded contract to provide supplemental funding of $1.6 million to support the logistics of emergency deployment of RECELL Systems for use in mass casualty or other emergency situations. We are contracted to manage this inventory of product until the federal government requests shipment or at contract termination on December 31, 2023.</w:t>
      </w:r>
    </w:p>
    <w:p>
      <w:pPr>
        <w:spacing w:after="0" w:line="185" w:lineRule="exact"/>
        <w:rPr>
          <w:sz w:val="20"/>
          <w:szCs w:val="20"/>
          <w:color w:val="auto"/>
        </w:rPr>
      </w:pPr>
    </w:p>
    <w:p>
      <w:pPr>
        <w:ind w:right="60" w:firstLine="749"/>
        <w:spacing w:after="0" w:line="279" w:lineRule="auto"/>
        <w:rPr>
          <w:sz w:val="20"/>
          <w:szCs w:val="20"/>
          <w:color w:val="auto"/>
        </w:rPr>
      </w:pPr>
      <w:r>
        <w:rPr>
          <w:rFonts w:ascii="Arial" w:cs="Arial" w:eastAsia="Arial" w:hAnsi="Arial"/>
          <w:sz w:val="17"/>
          <w:szCs w:val="17"/>
          <w:color w:val="auto"/>
        </w:rPr>
        <w:t>On April 14, 2023, the Company entered into a Sales Agreement with Cowen and Company, LLC pursuant to which the Company may sell from time-to-time up to 3,799,164 shares of its common stock (the “2023 ATM Program”). The Company has not made any sales under the 2023 ATM Program, but anticipates that any proceeds from sales under the 2023 ATM Program will be used for general corporate purposes including our product development pipeline and to pursue approvals of our products for additional indications, which may include licensing arrangements.</w:t>
      </w:r>
    </w:p>
    <w:p>
      <w:pPr>
        <w:spacing w:after="0" w:line="171"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Given the above, we believe there is presently sufficient working capital to support our committed research and development programs and other activities over the next twelve months and the Company believes it has the ability to realize its assets and pay its liabilities and commitments in the normal course of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60" w:type="dxa"/>
            <w:vAlign w:val="bottom"/>
            <w:gridSpan w:val="5"/>
          </w:tcPr>
          <w:p>
            <w:pPr>
              <w:jc w:val="right"/>
              <w:ind w:right="980"/>
              <w:spacing w:after="0"/>
              <w:rPr>
                <w:sz w:val="20"/>
                <w:szCs w:val="20"/>
                <w:color w:val="auto"/>
              </w:rPr>
            </w:pPr>
            <w:r>
              <w:rPr>
                <w:rFonts w:ascii="Arial" w:cs="Arial" w:eastAsia="Arial" w:hAnsi="Arial"/>
                <w:sz w:val="16"/>
                <w:szCs w:val="16"/>
                <w:b w:val="1"/>
                <w:bCs w:val="1"/>
                <w:color w:val="auto"/>
              </w:rPr>
              <w:t>Three-Months Ended</w:t>
            </w:r>
          </w:p>
        </w:tc>
      </w:tr>
      <w:tr>
        <w:trPr>
          <w:trHeight w:val="226"/>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March 31, 2023</w:t>
            </w:r>
          </w:p>
        </w:tc>
        <w:tc>
          <w:tcPr>
            <w:tcW w:w="40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3"/>
              </w:rPr>
              <w:t>March 31, 2022</w:t>
            </w:r>
          </w:p>
        </w:tc>
        <w:tc>
          <w:tcPr>
            <w:tcW w:w="140" w:type="dxa"/>
            <w:vAlign w:val="bottom"/>
          </w:tcPr>
          <w:p>
            <w:pPr>
              <w:spacing w:after="0"/>
              <w:rPr>
                <w:sz w:val="19"/>
                <w:szCs w:val="19"/>
                <w:color w:val="auto"/>
              </w:rPr>
            </w:pPr>
          </w:p>
        </w:tc>
      </w:tr>
      <w:tr>
        <w:trPr>
          <w:trHeight w:val="226"/>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operations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(9,073 )</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(9,370 )</w:t>
            </w:r>
          </w:p>
        </w:tc>
      </w:tr>
      <w:tr>
        <w:trPr>
          <w:trHeight w:val="220"/>
        </w:trPr>
        <w:tc>
          <w:tcPr>
            <w:tcW w:w="7920" w:type="dxa"/>
            <w:vAlign w:val="bottom"/>
          </w:tcPr>
          <w:p>
            <w:pPr>
              <w:ind w:left="20"/>
              <w:spacing w:after="0"/>
              <w:rPr>
                <w:sz w:val="20"/>
                <w:szCs w:val="20"/>
                <w:color w:val="auto"/>
              </w:rPr>
            </w:pPr>
            <w:r>
              <w:rPr>
                <w:rFonts w:ascii="Arial" w:cs="Arial" w:eastAsia="Arial" w:hAnsi="Arial"/>
                <w:sz w:val="16"/>
                <w:szCs w:val="16"/>
                <w:color w:val="auto"/>
              </w:rPr>
              <w:t>Net cash provided/(used) in investing activities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18,787</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(22,601 )</w:t>
            </w:r>
          </w:p>
        </w:tc>
      </w:tr>
      <w:tr>
        <w:trPr>
          <w:trHeight w:val="239"/>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20"/>
                <w:szCs w:val="20"/>
                <w:color w:val="auto"/>
              </w:rPr>
            </w:pPr>
          </w:p>
        </w:tc>
      </w:tr>
      <w:tr>
        <w:trPr>
          <w:trHeight w:val="220"/>
        </w:trPr>
        <w:tc>
          <w:tcPr>
            <w:tcW w:w="7920" w:type="dxa"/>
            <w:vAlign w:val="bottom"/>
          </w:tcPr>
          <w:p>
            <w:pPr>
              <w:ind w:left="20"/>
              <w:spacing w:after="0"/>
              <w:rPr>
                <w:sz w:val="20"/>
                <w:szCs w:val="20"/>
                <w:color w:val="auto"/>
              </w:rPr>
            </w:pPr>
            <w:r>
              <w:rPr>
                <w:rFonts w:ascii="Arial" w:cs="Arial" w:eastAsia="Arial" w:hAnsi="Arial"/>
                <w:sz w:val="16"/>
                <w:szCs w:val="16"/>
                <w:color w:val="auto"/>
              </w:rPr>
              <w:t>Effect of foreign exchange rate on cash and cash equivalents and restricted 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(6 )</w:t>
            </w:r>
          </w:p>
        </w:tc>
      </w:tr>
      <w:tr>
        <w:trPr>
          <w:trHeight w:val="239"/>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increase/(decrease) in cash and cash equivalents and restricted cash</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9,886</w:t>
            </w:r>
          </w:p>
        </w:tc>
        <w:tc>
          <w:tcPr>
            <w:tcW w:w="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(31,976 )</w:t>
            </w:r>
          </w:p>
        </w:tc>
      </w:tr>
      <w:tr>
        <w:trPr>
          <w:trHeight w:val="220"/>
        </w:trPr>
        <w:tc>
          <w:tcPr>
            <w:tcW w:w="792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beginning of year</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18,164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55,712</w:t>
            </w:r>
          </w:p>
        </w:tc>
        <w:tc>
          <w:tcPr>
            <w:tcW w:w="140" w:type="dxa"/>
            <w:vAlign w:val="bottom"/>
          </w:tcPr>
          <w:p>
            <w:pPr>
              <w:spacing w:after="0"/>
              <w:rPr>
                <w:sz w:val="19"/>
                <w:szCs w:val="19"/>
                <w:color w:val="auto"/>
              </w:rPr>
            </w:pPr>
          </w:p>
        </w:tc>
      </w:tr>
      <w:tr>
        <w:trPr>
          <w:trHeight w:val="239"/>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and restricted cash at end of year</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28,050</w:t>
            </w:r>
          </w:p>
        </w:tc>
        <w:tc>
          <w:tcPr>
            <w:tcW w:w="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23,736</w:t>
            </w:r>
          </w:p>
        </w:tc>
        <w:tc>
          <w:tcPr>
            <w:tcW w:w="14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ind w:left="760"/>
        <w:spacing w:after="0"/>
        <w:rPr>
          <w:sz w:val="20"/>
          <w:szCs w:val="20"/>
          <w:color w:val="auto"/>
        </w:rPr>
      </w:pPr>
      <w:r>
        <w:rPr>
          <w:rFonts w:ascii="Arial" w:cs="Arial" w:eastAsia="Arial" w:hAnsi="Arial"/>
          <w:sz w:val="16"/>
          <w:szCs w:val="16"/>
          <w:color w:val="auto"/>
        </w:rPr>
        <w:t>Net cash used in operating activities was $9.1 million and $9.4 million during the three-months ended March 31, 2023, and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net cash used in operations was primarily resulted from a decrease in net loss compared to the prior year.</w:t>
      </w:r>
    </w:p>
    <w:p>
      <w:pPr>
        <w:spacing w:after="0" w:line="211" w:lineRule="exact"/>
        <w:rPr>
          <w:sz w:val="20"/>
          <w:szCs w:val="20"/>
          <w:color w:val="auto"/>
        </w:rPr>
      </w:pPr>
    </w:p>
    <w:p>
      <w:pPr>
        <w:ind w:right="380" w:firstLine="749"/>
        <w:spacing w:after="0" w:line="263" w:lineRule="auto"/>
        <w:rPr>
          <w:sz w:val="20"/>
          <w:szCs w:val="20"/>
          <w:color w:val="auto"/>
        </w:rPr>
      </w:pPr>
      <w:r>
        <w:rPr>
          <w:rFonts w:ascii="Arial" w:cs="Arial" w:eastAsia="Arial" w:hAnsi="Arial"/>
          <w:sz w:val="18"/>
          <w:szCs w:val="18"/>
          <w:color w:val="auto"/>
        </w:rPr>
        <w:t>Net cash provided by investing activities was $18.8 million and net cash used in investing was $22.6 million during the three-months ended March 31, 2023 and 2022, respectively. The increase in cash provided by investing activities is primarily attributable to our maturities of marketable securities, whereas in the prior year we purchased marketable securities.</w:t>
      </w:r>
    </w:p>
    <w:p>
      <w:pPr>
        <w:spacing w:after="0" w:line="184" w:lineRule="exact"/>
        <w:rPr>
          <w:sz w:val="20"/>
          <w:szCs w:val="20"/>
          <w:color w:val="auto"/>
        </w:rPr>
      </w:pPr>
    </w:p>
    <w:p>
      <w:pPr>
        <w:ind w:right="780" w:firstLine="749"/>
        <w:spacing w:after="0" w:line="308" w:lineRule="auto"/>
        <w:rPr>
          <w:sz w:val="20"/>
          <w:szCs w:val="20"/>
          <w:color w:val="auto"/>
        </w:rPr>
      </w:pPr>
      <w:r>
        <w:rPr>
          <w:rFonts w:ascii="Arial" w:cs="Arial" w:eastAsia="Arial" w:hAnsi="Arial"/>
          <w:sz w:val="17"/>
          <w:szCs w:val="17"/>
          <w:color w:val="auto"/>
        </w:rPr>
        <w:t>Net cash provided by financing activities was $0.2 million and $1 thousand during the three-months ended March 31, 2023, and 2022, respectively. The increase in cash provided by financing activities is related to proceeds from the exercises of stock options.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Management and Material Cash Requirements</w:t>
      </w:r>
    </w:p>
    <w:p>
      <w:pPr>
        <w:spacing w:after="0" w:line="225" w:lineRule="exact"/>
        <w:rPr>
          <w:sz w:val="20"/>
          <w:szCs w:val="20"/>
          <w:color w:val="auto"/>
        </w:rPr>
      </w:pPr>
    </w:p>
    <w:p>
      <w:pPr>
        <w:jc w:val="both"/>
        <w:ind w:firstLine="794"/>
        <w:spacing w:after="0" w:line="311" w:lineRule="auto"/>
        <w:rPr>
          <w:sz w:val="20"/>
          <w:szCs w:val="20"/>
          <w:color w:val="auto"/>
        </w:rPr>
      </w:pPr>
      <w:r>
        <w:rPr>
          <w:rFonts w:ascii="Arial" w:cs="Arial" w:eastAsia="Arial" w:hAnsi="Arial"/>
          <w:sz w:val="16"/>
          <w:szCs w:val="16"/>
          <w:color w:val="auto"/>
        </w:rPr>
        <w:t>We aim to manage capital so that the Company continues as a going concern while also maintaining optimal returns to stockholders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stockholders.</w:t>
      </w:r>
    </w:p>
    <w:p>
      <w:pPr>
        <w:spacing w:after="0" w:line="149" w:lineRule="exact"/>
        <w:rPr>
          <w:sz w:val="20"/>
          <w:szCs w:val="20"/>
          <w:color w:val="auto"/>
        </w:rPr>
      </w:pPr>
    </w:p>
    <w:p>
      <w:pPr>
        <w:ind w:right="60" w:firstLine="749"/>
        <w:spacing w:after="0" w:line="272" w:lineRule="auto"/>
        <w:rPr>
          <w:sz w:val="20"/>
          <w:szCs w:val="20"/>
          <w:color w:val="auto"/>
        </w:rPr>
      </w:pPr>
      <w:r>
        <w:rPr>
          <w:rFonts w:ascii="Arial" w:cs="Arial" w:eastAsia="Arial" w:hAnsi="Arial"/>
          <w:sz w:val="17"/>
          <w:szCs w:val="17"/>
          <w:color w:val="auto"/>
        </w:rPr>
        <w:t>For the three-months ended March 31, 2023, there were no dividends paid and we have no plans to commence the payment of dividends. We have no purchase commitments or long-term contractual obligations or purchase commitments, except for lease obligations as of March 31, 2023. Refer to Note 7 of our Consolidated Financial Statements for further details on our lease obligations.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 We have no committed plans to issue further shares on the market but will continue to assess market conditions and the Company’s cash flow requirements to ensure the Company is appropriately funded in order to pursue its various opportunities.</w:t>
      </w:r>
    </w:p>
    <w:p>
      <w:pPr>
        <w:spacing w:after="0" w:line="177" w:lineRule="exact"/>
        <w:rPr>
          <w:sz w:val="20"/>
          <w:szCs w:val="20"/>
          <w:color w:val="auto"/>
        </w:rPr>
      </w:pPr>
    </w:p>
    <w:p>
      <w:pPr>
        <w:ind w:right="580" w:firstLine="749"/>
        <w:spacing w:after="0" w:line="277" w:lineRule="auto"/>
        <w:rPr>
          <w:sz w:val="20"/>
          <w:szCs w:val="20"/>
          <w:color w:val="auto"/>
        </w:rPr>
      </w:pPr>
      <w:r>
        <w:rPr>
          <w:rFonts w:ascii="Arial" w:cs="Arial" w:eastAsia="Arial" w:hAnsi="Arial"/>
          <w:sz w:val="18"/>
          <w:szCs w:val="18"/>
          <w:color w:val="auto"/>
        </w:rPr>
        <w:t>There is no significant external borrowing at the reporting date. Neither the Company nor any of the subsidiaries are subject to externally imposed capital requirement.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40" w:firstLine="1080"/>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Item 7, “Management’s Discussion and Analysis of Financial Condition and Results of Operations,” included in the Company’s Annual Report on Form 10-K for the year-ended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Our Chief Executive Officer and our Chief Financial Officer evaluated, with the participation of our management, the effectiveness of our disclosure controls and procedures as of the end of the period covered by this Quarterly Report on Form 10-Q. As of March 31, 2023, our Chief Executive Officer and our Chief Financial Officer concluded that our disclosure controls and procedures, as defined in Securities Exchange Act Rule 13a-15(e) and 15d-15(e), were effective.</w:t>
      </w:r>
    </w:p>
    <w:p>
      <w:pPr>
        <w:spacing w:after="0" w:line="187"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Our disclosure controls and procedures have been formulated to ensure (i) that information that we are required to disclose in reports that we file or submit under the Securities Exchange Act of 1934 was recorded, processed, summarized and reported within the time periods specified in the SEC’s rules and forms and (ii) that the information required to be disclosed by us is accumulated and communicated to our management, including our Chief Executive Officer and our Chief Financial Officer, as appropriate, to allow timely decisions regarding required disclosures.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There was no change in our internal controls over financial reporting (as defined in Rules 13a-15(f) and 15d-15(f) under the Exchange Act) during the first quarter of fiscal year 2023 covered by this Quarterly Report on Form 10-Q that have materially affected, or are reasonably likely to materially affect, our internal controls over financial reporting.</w:t>
      </w:r>
    </w:p>
    <w:p>
      <w:pPr>
        <w:spacing w:after="0" w:line="18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64" w:right="7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60" w:firstLine="749"/>
        <w:spacing w:after="0" w:line="308" w:lineRule="auto"/>
        <w:rPr>
          <w:sz w:val="20"/>
          <w:szCs w:val="20"/>
          <w:color w:val="auto"/>
        </w:rPr>
      </w:pPr>
      <w:r>
        <w:rPr>
          <w:rFonts w:ascii="Arial" w:cs="Arial" w:eastAsia="Arial" w:hAnsi="Arial"/>
          <w:sz w:val="17"/>
          <w:szCs w:val="17"/>
          <w:color w:val="auto"/>
        </w:rPr>
        <w:t>We are not currently a party to any pending legal proceedings that we believe will have a material adverse effect on our business or financial condition. We may, however, be subject to various claims and legal actions arising in the ordinary course of business from time to time.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In addition to the risk factor set forth below and the other information set forth in this report, you should carefully consider the factors discussed under Part I, Item 1A, “Risk Factors” in the Company’s Annual Report on Form 10-K for the year-ended December 31, 2022 (the “2022 Annual Report”).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Except as disclosed below, there have been no material changes to the risk factors described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included in our 2022 Annual Report.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cash, cash equivalents and marketable securities could be adversely affected by bank failures or other events affecting financial institutions and could adversely affect our liquidity and financial performance.</w:t>
      </w:r>
    </w:p>
    <w:p>
      <w:pPr>
        <w:spacing w:after="0" w:line="17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We regularly maintain domestic cash deposits in Federal Deposit Insurance Corporation (“FDIC”) insured banks, which exceed the FDIC insurance limits. We also maintain cash deposits in foreign banks where we operate, some of which are not insured or are only partially insured by the FDIC or other similar agencies. The failure or rumored failure of a bank, or events involving limited liquidity, defaults, non-performance, bankruptcy, receivership or other adverse developments in the financial or credit markets impacting financial institutions, may lead to disruptions in access to our bank deposits. These disruptions may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 As such, those funds in bank deposit accounts in excess of the standard FDIC insurance limits are uninsured and subject to the risk of bank failure.</w:t>
      </w:r>
    </w:p>
    <w:p>
      <w:pPr>
        <w:spacing w:after="0" w:line="196"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Currently, the Company has full access to all funds in deposit accounts or other money management arrangements. The failure of any bank in which the Company deposits its funds could reduce the amount of cash the Company has available for its operations or delay its ability to access such funds. In the event of such failure, the Company may experience delays or other issues in meeting its financial obligations, the Company’s ability to access its cash and cash equivalents may be threatened and could have a material adverse effect on the Company’s business and financial condition.</w:t>
      </w:r>
    </w:p>
    <w:p>
      <w:pPr>
        <w:spacing w:after="0" w:line="15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Future adverse developments with respect to specific financial institutions or the broader financial services industry may also lead to market-wide liquidity shortages.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center"/>
        <w:ind w:right="8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the Quarterly Report on Form 10-Q:</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1"/>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No.</w:t>
            </w:r>
          </w:p>
        </w:tc>
        <w:tc>
          <w:tcPr>
            <w:tcW w:w="160" w:type="dxa"/>
            <w:vAlign w:val="bottom"/>
          </w:tcPr>
          <w:p>
            <w:pPr>
              <w:spacing w:after="0"/>
              <w:rPr>
                <w:sz w:val="15"/>
                <w:szCs w:val="15"/>
                <w:color w:val="auto"/>
              </w:rPr>
            </w:pPr>
          </w:p>
        </w:tc>
        <w:tc>
          <w:tcPr>
            <w:tcW w:w="10040" w:type="dxa"/>
            <w:vAlign w:val="bottom"/>
            <w:tcBorders>
              <w:bottom w:val="single" w:sz="8" w:color="auto"/>
            </w:tcBorders>
            <w:gridSpan w:val="15"/>
          </w:tcPr>
          <w:p>
            <w:pPr>
              <w:ind w:left="100"/>
              <w:spacing w:after="0"/>
              <w:rPr>
                <w:sz w:val="20"/>
                <w:szCs w:val="20"/>
                <w:color w:val="auto"/>
              </w:rPr>
            </w:pPr>
            <w:r>
              <w:rPr>
                <w:rFonts w:ascii="Arial" w:cs="Arial" w:eastAsia="Arial" w:hAnsi="Arial"/>
                <w:sz w:val="14"/>
                <w:szCs w:val="14"/>
                <w:color w:val="auto"/>
              </w:rPr>
              <w:t>Description</w:t>
            </w:r>
          </w:p>
        </w:tc>
      </w:tr>
      <w:tr>
        <w:trPr>
          <w:trHeight w:val="331"/>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5"/>
              </w:rPr>
              <w:t>2.1</w:t>
            </w:r>
          </w:p>
        </w:tc>
        <w:tc>
          <w:tcPr>
            <w:tcW w:w="16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FF"/>
                <w:w w:val="97"/>
              </w:rPr>
            </w:pPr>
            <w:hyperlink r:id="rId212">
              <w:r>
                <w:rPr>
                  <w:rFonts w:ascii="Arial" w:cs="Arial" w:eastAsia="Arial" w:hAnsi="Arial"/>
                  <w:sz w:val="18"/>
                  <w:szCs w:val="18"/>
                  <w:color w:val="0000FF"/>
                  <w:w w:val="97"/>
                </w:rPr>
                <w:t>Scheme Implementation Agreement (incorporated by reference to Exhibit 99.2 of the registrant’s Form 6-K filed on April 20, 2020)</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FF"/>
              </w:rPr>
            </w:pPr>
            <w:hyperlink r:id="rId213">
              <w:r>
                <w:rPr>
                  <w:rFonts w:ascii="Arial" w:cs="Arial" w:eastAsia="Arial" w:hAnsi="Arial"/>
                  <w:sz w:val="18"/>
                  <w:szCs w:val="18"/>
                  <w:color w:val="0000FF"/>
                </w:rPr>
                <w:t>Certificate of Incorporation (incorporated by reference to Exhibit 3.1 to the registrant’s Form 8-K12B filed on June 30, 2020)</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FF"/>
                <w:w w:val="93"/>
              </w:rPr>
            </w:pPr>
            <w:hyperlink r:id="rId214">
              <w:r>
                <w:rPr>
                  <w:rFonts w:ascii="Arial" w:cs="Arial" w:eastAsia="Arial" w:hAnsi="Arial"/>
                  <w:sz w:val="18"/>
                  <w:szCs w:val="18"/>
                  <w:color w:val="0000FF"/>
                  <w:w w:val="93"/>
                </w:rPr>
                <w:t>Certificate of Amendment of Certificate of Incorporation (incorporated by reference to Exhibit 3.2 of the registrant’s Form 10-KT filed on</w:t>
              </w:r>
            </w:hyperlink>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3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FF"/>
              </w:rPr>
            </w:pPr>
            <w:hyperlink r:id="rId214">
              <w:r>
                <w:rPr>
                  <w:rFonts w:ascii="Arial" w:cs="Arial" w:eastAsia="Arial" w:hAnsi="Arial"/>
                  <w:sz w:val="18"/>
                  <w:szCs w:val="18"/>
                  <w:color w:val="0000FF"/>
                </w:rPr>
                <w:t>February 28, 2022)</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72"/>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5"/>
              </w:rPr>
              <w:t>3.3</w:t>
            </w:r>
          </w:p>
        </w:tc>
        <w:tc>
          <w:tcPr>
            <w:tcW w:w="16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FF"/>
                <w:w w:val="96"/>
              </w:rPr>
            </w:pPr>
            <w:hyperlink r:id="rId215">
              <w:r>
                <w:rPr>
                  <w:rFonts w:ascii="Arial" w:cs="Arial" w:eastAsia="Arial" w:hAnsi="Arial"/>
                  <w:sz w:val="18"/>
                  <w:szCs w:val="18"/>
                  <w:color w:val="0000FF"/>
                  <w:w w:val="96"/>
                </w:rPr>
                <w:t>Amended and Restated Bylaws (incorporated by reference to Exhibit 3.3 of the registrant’s Form 10-KT filed on February 28, 2022)</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32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72"/>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FF"/>
                <w:w w:val="93"/>
              </w:rPr>
            </w:pPr>
            <w:hyperlink r:id="rId216">
              <w:r>
                <w:rPr>
                  <w:rFonts w:ascii="Arial" w:cs="Arial" w:eastAsia="Arial" w:hAnsi="Arial"/>
                  <w:sz w:val="18"/>
                  <w:szCs w:val="18"/>
                  <w:color w:val="0000FF"/>
                  <w:w w:val="93"/>
                </w:rPr>
                <w:t>Engagement Letter dated March 15, 2023, between the registrant and Mr. Cary Vance (incorporated by reference to Exhibit 10.1 of the</w:t>
              </w:r>
            </w:hyperlink>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FF"/>
              </w:rPr>
            </w:pPr>
            <w:hyperlink r:id="rId216">
              <w:r>
                <w:rPr>
                  <w:rFonts w:ascii="Arial" w:cs="Arial" w:eastAsia="Arial" w:hAnsi="Arial"/>
                  <w:sz w:val="18"/>
                  <w:szCs w:val="18"/>
                  <w:color w:val="0000FF"/>
                </w:rPr>
                <w:t>registrant’s Form 8-K filed on March 21, 2023) †</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72"/>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FF"/>
                <w:w w:val="93"/>
              </w:rPr>
            </w:pPr>
            <w:hyperlink r:id="rId217">
              <w:r>
                <w:rPr>
                  <w:rFonts w:ascii="Arial" w:cs="Arial" w:eastAsia="Arial" w:hAnsi="Arial"/>
                  <w:sz w:val="18"/>
                  <w:szCs w:val="18"/>
                  <w:color w:val="0000FF"/>
                  <w:w w:val="93"/>
                </w:rPr>
                <w:t>Executive Employment Agreement between the registrant and James Corbett dated September 26, 2022 (incorporated by reference to</w:t>
              </w:r>
            </w:hyperlink>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FF"/>
              </w:rPr>
            </w:pPr>
            <w:hyperlink r:id="rId217">
              <w:r>
                <w:rPr>
                  <w:rFonts w:ascii="Arial" w:cs="Arial" w:eastAsia="Arial" w:hAnsi="Arial"/>
                  <w:sz w:val="18"/>
                  <w:szCs w:val="18"/>
                  <w:color w:val="0000FF"/>
                </w:rPr>
                <w:t xml:space="preserve">Exhibit 10.1 of the Company’s Form 10-Q filed on November 10, 2022) </w:t>
              </w:r>
              <w:r>
                <w:rPr>
                  <w:rFonts w:ascii="Arial" w:cs="Arial" w:eastAsia="Arial" w:hAnsi="Arial"/>
                  <w:sz w:val="18"/>
                  <w:szCs w:val="18"/>
                  <w:color w:val="000000"/>
                </w:rPr>
                <w:t>†</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72"/>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FF"/>
                <w:w w:val="91"/>
              </w:rPr>
            </w:pPr>
            <w:hyperlink r:id="rId218">
              <w:r>
                <w:rPr>
                  <w:rFonts w:ascii="Arial" w:cs="Arial" w:eastAsia="Arial" w:hAnsi="Arial"/>
                  <w:sz w:val="18"/>
                  <w:szCs w:val="18"/>
                  <w:color w:val="0000FF"/>
                  <w:w w:val="91"/>
                </w:rPr>
                <w:t>Amendment One to Employment Agreement between the registrant and James Corbett, dated March 16, 2023 (incorporated by reference</w:t>
              </w:r>
            </w:hyperlink>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680" w:type="dxa"/>
            <w:vAlign w:val="bottom"/>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FF"/>
              </w:rPr>
            </w:pPr>
            <w:hyperlink r:id="rId218">
              <w:r>
                <w:rPr>
                  <w:rFonts w:ascii="Arial" w:cs="Arial" w:eastAsia="Arial" w:hAnsi="Arial"/>
                  <w:sz w:val="18"/>
                  <w:szCs w:val="18"/>
                  <w:color w:val="0000FF"/>
                </w:rPr>
                <w:t xml:space="preserve">to Exhibit 10.1 of the registrant’s Form 8-K filed on March 22, 2023) </w:t>
              </w:r>
              <w:r>
                <w:rPr>
                  <w:rFonts w:ascii="Arial" w:cs="Arial" w:eastAsia="Arial" w:hAnsi="Arial"/>
                  <w:sz w:val="18"/>
                  <w:szCs w:val="18"/>
                  <w:color w:val="000000"/>
                </w:rPr>
                <w:t>†</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r>
      <w:tr>
        <w:trPr>
          <w:trHeight w:val="372"/>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10040" w:type="dxa"/>
            <w:vAlign w:val="bottom"/>
            <w:gridSpan w:val="15"/>
          </w:tcPr>
          <w:p>
            <w:pPr>
              <w:spacing w:after="0"/>
              <w:rPr>
                <w:sz w:val="20"/>
                <w:szCs w:val="20"/>
                <w:color w:val="auto"/>
              </w:rPr>
            </w:pPr>
            <w:r>
              <w:rPr>
                <w:rFonts w:ascii="Arial" w:cs="Arial" w:eastAsia="Arial" w:hAnsi="Arial"/>
                <w:sz w:val="18"/>
                <w:szCs w:val="18"/>
                <w:color w:val="0000FF"/>
              </w:rPr>
              <w:t>Non-Qualified Deferred Compensation Plan†*</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r>
      <w:tr>
        <w:trPr>
          <w:trHeight w:val="371"/>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4"/>
                <w:szCs w:val="24"/>
                <w:color w:val="auto"/>
              </w:rPr>
            </w:pPr>
          </w:p>
        </w:tc>
        <w:tc>
          <w:tcPr>
            <w:tcW w:w="10040" w:type="dxa"/>
            <w:vAlign w:val="bottom"/>
            <w:gridSpan w:val="15"/>
          </w:tcPr>
          <w:p>
            <w:pPr>
              <w:spacing w:after="0"/>
              <w:rPr>
                <w:sz w:val="20"/>
                <w:szCs w:val="20"/>
                <w:color w:val="auto"/>
              </w:rPr>
            </w:pPr>
            <w:r>
              <w:rPr>
                <w:rFonts w:ascii="Arial" w:cs="Arial" w:eastAsia="Arial" w:hAnsi="Arial"/>
                <w:sz w:val="18"/>
                <w:szCs w:val="18"/>
                <w:color w:val="0000FF"/>
              </w:rPr>
              <w:t>Lease agreement between URP X LLC and AVITA Medical, Inc. dated May 11, 2023*</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r>
      <w:tr>
        <w:trPr>
          <w:trHeight w:val="372"/>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1"/>
              </w:rPr>
              <w:t>31.1</w:t>
            </w:r>
          </w:p>
        </w:tc>
        <w:tc>
          <w:tcPr>
            <w:tcW w:w="160" w:type="dxa"/>
            <w:vAlign w:val="bottom"/>
          </w:tcPr>
          <w:p>
            <w:pPr>
              <w:spacing w:after="0"/>
              <w:rPr>
                <w:sz w:val="24"/>
                <w:szCs w:val="24"/>
                <w:color w:val="auto"/>
              </w:rPr>
            </w:pPr>
          </w:p>
        </w:tc>
        <w:tc>
          <w:tcPr>
            <w:tcW w:w="10040" w:type="dxa"/>
            <w:vAlign w:val="bottom"/>
            <w:gridSpan w:val="15"/>
          </w:tcPr>
          <w:p>
            <w:pPr>
              <w:spacing w:after="0"/>
              <w:rPr>
                <w:sz w:val="20"/>
                <w:szCs w:val="20"/>
                <w:color w:val="auto"/>
              </w:rPr>
            </w:pPr>
            <w:r>
              <w:rPr>
                <w:rFonts w:ascii="Arial" w:cs="Arial" w:eastAsia="Arial" w:hAnsi="Arial"/>
                <w:sz w:val="18"/>
                <w:szCs w:val="18"/>
                <w:color w:val="0000FF"/>
              </w:rPr>
              <w:t>Rule 13a-14(a) Certification of Chief Executive Officer</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76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60" w:type="dxa"/>
            <w:vAlign w:val="bottom"/>
            <w:tcBorders>
              <w:left w:val="single" w:sz="8" w:color="0000EE"/>
            </w:tcBorders>
            <w:gridSpan w:val="10"/>
          </w:tcPr>
          <w:p>
            <w:pPr>
              <w:spacing w:after="0" w:line="20" w:lineRule="exact"/>
              <w:rPr>
                <w:sz w:val="1"/>
                <w:szCs w:val="1"/>
                <w:color w:val="auto"/>
              </w:rPr>
            </w:pPr>
          </w:p>
        </w:tc>
      </w:tr>
      <w:tr>
        <w:trPr>
          <w:trHeight w:val="371"/>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1"/>
              </w:rPr>
              <w:t>31.2</w:t>
            </w:r>
          </w:p>
        </w:tc>
        <w:tc>
          <w:tcPr>
            <w:tcW w:w="160" w:type="dxa"/>
            <w:vAlign w:val="bottom"/>
          </w:tcPr>
          <w:p>
            <w:pPr>
              <w:spacing w:after="0"/>
              <w:rPr>
                <w:sz w:val="24"/>
                <w:szCs w:val="24"/>
                <w:color w:val="auto"/>
              </w:rPr>
            </w:pPr>
          </w:p>
        </w:tc>
        <w:tc>
          <w:tcPr>
            <w:tcW w:w="10040" w:type="dxa"/>
            <w:vAlign w:val="bottom"/>
            <w:gridSpan w:val="15"/>
          </w:tcPr>
          <w:p>
            <w:pPr>
              <w:spacing w:after="0"/>
              <w:rPr>
                <w:sz w:val="20"/>
                <w:szCs w:val="20"/>
                <w:color w:val="auto"/>
              </w:rPr>
            </w:pPr>
            <w:r>
              <w:rPr>
                <w:rFonts w:ascii="Arial" w:cs="Arial" w:eastAsia="Arial" w:hAnsi="Arial"/>
                <w:sz w:val="18"/>
                <w:szCs w:val="18"/>
                <w:color w:val="0000FF"/>
              </w:rPr>
              <w:t>Rule 13a-14(a) Certification of Chief Financial Officer</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76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60" w:type="dxa"/>
            <w:vAlign w:val="bottom"/>
            <w:gridSpan w:val="10"/>
          </w:tcPr>
          <w:p>
            <w:pPr>
              <w:spacing w:after="0" w:line="20" w:lineRule="exact"/>
              <w:rPr>
                <w:sz w:val="1"/>
                <w:szCs w:val="1"/>
                <w:color w:val="auto"/>
              </w:rPr>
            </w:pPr>
          </w:p>
        </w:tc>
      </w:tr>
      <w:tr>
        <w:trPr>
          <w:trHeight w:val="371"/>
        </w:trPr>
        <w:tc>
          <w:tcPr>
            <w:tcW w:w="1040" w:type="dxa"/>
            <w:vAlign w:val="bottom"/>
          </w:tcPr>
          <w:p>
            <w:pPr>
              <w:jc w:val="cente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040" w:type="dxa"/>
            <w:vAlign w:val="bottom"/>
            <w:gridSpan w:val="15"/>
          </w:tcPr>
          <w:p>
            <w:pPr>
              <w:spacing w:after="0"/>
              <w:rPr>
                <w:sz w:val="20"/>
                <w:szCs w:val="20"/>
                <w:color w:val="auto"/>
              </w:rPr>
            </w:pPr>
            <w:r>
              <w:rPr>
                <w:rFonts w:ascii="Arial" w:cs="Arial" w:eastAsia="Arial" w:hAnsi="Arial"/>
                <w:sz w:val="18"/>
                <w:szCs w:val="18"/>
                <w:color w:val="0000FF"/>
              </w:rPr>
              <w:t>18 U.S.C. Section 1350 Certifications</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EE"/>
            </w:tcBorders>
            <w:gridSpan w:val="2"/>
            <w:shd w:val="clear" w:color="auto" w:fill="0000FF"/>
          </w:tcPr>
          <w:p>
            <w:pPr>
              <w:spacing w:after="0" w:line="20" w:lineRule="exact"/>
              <w:rPr>
                <w:sz w:val="1"/>
                <w:szCs w:val="1"/>
                <w:color w:val="auto"/>
              </w:rPr>
            </w:pPr>
          </w:p>
        </w:tc>
        <w:tc>
          <w:tcPr>
            <w:tcW w:w="7280" w:type="dxa"/>
            <w:vAlign w:val="bottom"/>
            <w:gridSpan w:val="13"/>
          </w:tcPr>
          <w:p>
            <w:pPr>
              <w:spacing w:after="0" w:line="20" w:lineRule="exact"/>
              <w:rPr>
                <w:sz w:val="1"/>
                <w:szCs w:val="1"/>
                <w:color w:val="auto"/>
              </w:rPr>
            </w:pPr>
          </w:p>
        </w:tc>
      </w:tr>
      <w:tr>
        <w:trPr>
          <w:trHeight w:val="398"/>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2"/>
              </w:rPr>
              <w:t>101.INS</w:t>
            </w:r>
          </w:p>
        </w:tc>
        <w:tc>
          <w:tcPr>
            <w:tcW w:w="160" w:type="dxa"/>
            <w:vAlign w:val="bottom"/>
          </w:tcPr>
          <w:p>
            <w:pPr>
              <w:spacing w:after="0"/>
              <w:rPr>
                <w:sz w:val="24"/>
                <w:szCs w:val="24"/>
                <w:color w:val="auto"/>
              </w:rPr>
            </w:pPr>
          </w:p>
        </w:tc>
        <w:tc>
          <w:tcPr>
            <w:tcW w:w="10040" w:type="dxa"/>
            <w:vAlign w:val="bottom"/>
            <w:gridSpan w:val="15"/>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r>
      <w:tr>
        <w:trPr>
          <w:trHeight w:val="230"/>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40" w:type="dxa"/>
            <w:vAlign w:val="bottom"/>
            <w:gridSpan w:val="15"/>
          </w:tcPr>
          <w:p>
            <w:pPr>
              <w:spacing w:after="0"/>
              <w:rPr>
                <w:sz w:val="20"/>
                <w:szCs w:val="20"/>
                <w:color w:val="auto"/>
              </w:rPr>
            </w:pPr>
            <w:r>
              <w:rPr>
                <w:rFonts w:ascii="Arial" w:cs="Arial" w:eastAsia="Arial" w:hAnsi="Arial"/>
                <w:sz w:val="18"/>
                <w:szCs w:val="18"/>
                <w:color w:val="auto"/>
              </w:rPr>
              <w:t>within the Inline XBRL document.</w:t>
            </w:r>
          </w:p>
        </w:tc>
      </w:tr>
      <w:tr>
        <w:trPr>
          <w:trHeight w:val="391"/>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3"/>
              </w:rPr>
              <w:t>101.SCH</w:t>
            </w:r>
          </w:p>
        </w:tc>
        <w:tc>
          <w:tcPr>
            <w:tcW w:w="160" w:type="dxa"/>
            <w:vAlign w:val="bottom"/>
          </w:tcPr>
          <w:p>
            <w:pPr>
              <w:spacing w:after="0"/>
              <w:rPr>
                <w:sz w:val="24"/>
                <w:szCs w:val="24"/>
                <w:color w:val="auto"/>
              </w:rPr>
            </w:pPr>
          </w:p>
        </w:tc>
        <w:tc>
          <w:tcPr>
            <w:tcW w:w="1004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2"/>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7"/>
              </w:rPr>
              <w:t>101.CAL</w:t>
            </w:r>
          </w:p>
        </w:tc>
        <w:tc>
          <w:tcPr>
            <w:tcW w:w="160" w:type="dxa"/>
            <w:vAlign w:val="bottom"/>
          </w:tcPr>
          <w:p>
            <w:pPr>
              <w:spacing w:after="0"/>
              <w:rPr>
                <w:sz w:val="24"/>
                <w:szCs w:val="24"/>
                <w:color w:val="auto"/>
              </w:rPr>
            </w:pPr>
          </w:p>
        </w:tc>
        <w:tc>
          <w:tcPr>
            <w:tcW w:w="1004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0"/>
              </w:rPr>
              <w:t>101.DEF</w:t>
            </w:r>
          </w:p>
        </w:tc>
        <w:tc>
          <w:tcPr>
            <w:tcW w:w="160" w:type="dxa"/>
            <w:vAlign w:val="bottom"/>
          </w:tcPr>
          <w:p>
            <w:pPr>
              <w:spacing w:after="0"/>
              <w:rPr>
                <w:sz w:val="24"/>
                <w:szCs w:val="24"/>
                <w:color w:val="auto"/>
              </w:rPr>
            </w:pPr>
          </w:p>
        </w:tc>
        <w:tc>
          <w:tcPr>
            <w:tcW w:w="1004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1"/>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98"/>
              </w:rPr>
              <w:t>101.LAB</w:t>
            </w:r>
          </w:p>
        </w:tc>
        <w:tc>
          <w:tcPr>
            <w:tcW w:w="160" w:type="dxa"/>
            <w:vAlign w:val="bottom"/>
          </w:tcPr>
          <w:p>
            <w:pPr>
              <w:spacing w:after="0"/>
              <w:rPr>
                <w:sz w:val="24"/>
                <w:szCs w:val="24"/>
                <w:color w:val="auto"/>
              </w:rPr>
            </w:pPr>
          </w:p>
        </w:tc>
        <w:tc>
          <w:tcPr>
            <w:tcW w:w="1004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1040" w:type="dxa"/>
            <w:vAlign w:val="bottom"/>
          </w:tcPr>
          <w:p>
            <w:pPr>
              <w:jc w:val="center"/>
              <w:ind w:left="32"/>
              <w:spacing w:after="0"/>
              <w:rPr>
                <w:sz w:val="20"/>
                <w:szCs w:val="20"/>
                <w:color w:val="auto"/>
              </w:rPr>
            </w:pPr>
            <w:r>
              <w:rPr>
                <w:rFonts w:ascii="Arial" w:cs="Arial" w:eastAsia="Arial" w:hAnsi="Arial"/>
                <w:sz w:val="18"/>
                <w:szCs w:val="18"/>
                <w:color w:val="auto"/>
                <w:w w:val="88"/>
              </w:rPr>
              <w:t>101.PRE</w:t>
            </w:r>
          </w:p>
        </w:tc>
        <w:tc>
          <w:tcPr>
            <w:tcW w:w="160" w:type="dxa"/>
            <w:vAlign w:val="bottom"/>
          </w:tcPr>
          <w:p>
            <w:pPr>
              <w:spacing w:after="0"/>
              <w:rPr>
                <w:sz w:val="24"/>
                <w:szCs w:val="24"/>
                <w:color w:val="auto"/>
              </w:rPr>
            </w:pPr>
          </w:p>
        </w:tc>
        <w:tc>
          <w:tcPr>
            <w:tcW w:w="1004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61" w:lineRule="exact"/>
        <w:rPr>
          <w:sz w:val="20"/>
          <w:szCs w:val="20"/>
          <w:color w:val="auto"/>
        </w:rPr>
      </w:pPr>
    </w:p>
    <w:p>
      <w:pPr>
        <w:ind w:left="1180" w:hanging="734"/>
        <w:spacing w:after="0"/>
        <w:tabs>
          <w:tab w:leader="none" w:pos="1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38" w:lineRule="exact"/>
        <w:rPr>
          <w:rFonts w:ascii="Arial" w:cs="Arial" w:eastAsia="Arial" w:hAnsi="Arial"/>
          <w:sz w:val="18"/>
          <w:szCs w:val="18"/>
          <w:color w:val="auto"/>
        </w:rPr>
      </w:pPr>
    </w:p>
    <w:p>
      <w:pPr>
        <w:ind w:left="140" w:hanging="132"/>
        <w:spacing w:after="0"/>
        <w:tabs>
          <w:tab w:leader="none" w:pos="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20"/>
        <w:spacing w:after="0"/>
        <w:tabs>
          <w:tab w:leader="none" w:pos="580" w:val="left"/>
          <w:tab w:leader="none" w:pos="5960" w:val="left"/>
        </w:tabs>
        <w:rPr>
          <w:sz w:val="20"/>
          <w:szCs w:val="20"/>
          <w:color w:val="auto"/>
        </w:rPr>
      </w:pPr>
      <w:r>
        <w:rPr>
          <w:rFonts w:ascii="Arial" w:cs="Arial" w:eastAsia="Arial" w:hAnsi="Arial"/>
          <w:sz w:val="18"/>
          <w:szCs w:val="18"/>
          <w:color w:val="auto"/>
        </w:rPr>
        <w:t>Date:</w:t>
        <w:tab/>
        <w:t>May 11, 2023</w:t>
      </w:r>
      <w:r>
        <w:rPr>
          <w:sz w:val="20"/>
          <w:szCs w:val="20"/>
          <w:color w:val="auto"/>
        </w:rPr>
        <w:tab/>
      </w:r>
      <w:r>
        <w:rPr>
          <w:rFonts w:ascii="Arial" w:cs="Arial" w:eastAsia="Arial" w:hAnsi="Arial"/>
          <w:sz w:val="17"/>
          <w:szCs w:val="17"/>
          <w:color w:val="auto"/>
        </w:rPr>
        <w:t>AVITA MEDICAL, INC.</w:t>
      </w:r>
    </w:p>
    <w:p>
      <w:pPr>
        <w:spacing w:after="0" w:line="27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23495</wp:posOffset>
            </wp:positionV>
            <wp:extent cx="31203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3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James Corbett</w:t>
      </w:r>
    </w:p>
    <w:p>
      <w:pPr>
        <w:spacing w:after="0" w:line="3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/s/ Sean Ekins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23495</wp:posOffset>
            </wp:positionV>
            <wp:extent cx="31203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3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Sean Ekins</w:t>
      </w:r>
    </w:p>
    <w:p>
      <w:pPr>
        <w:spacing w:after="0" w:line="3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Interim Chief Financial Officer</w:t>
      </w:r>
    </w:p>
    <w:p>
      <w:pPr>
        <w:spacing w:after="0" w:line="3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64" w:right="559"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Arial" w:cs="Arial" w:eastAsia="Arial" w:hAnsi="Arial"/>
          <w:sz w:val="19"/>
          <w:szCs w:val="19"/>
          <w:b w:val="1"/>
          <w:bCs w:val="1"/>
          <w:color w:val="181818"/>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53943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136130" cy="5394325"/>
                    </a:xfrm>
                    <a:prstGeom prst="rect">
                      <a:avLst/>
                    </a:prstGeom>
                    <a:noFill/>
                  </pic:spPr>
                </pic:pic>
              </a:graphicData>
            </a:graphic>
          </wp:anchor>
        </w:drawing>
        <w:t>Exhibit 10.4</w:t>
      </w:r>
    </w:p>
    <w:p>
      <w:pPr>
        <w:spacing w:after="0" w:line="269"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ADOPTION AGREEMENT</w:t>
      </w:r>
    </w:p>
    <w:p>
      <w:pPr>
        <w:spacing w:after="0" w:line="167"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DEFERRED COMPENSATION PLAN</w:t>
      </w:r>
    </w:p>
    <w:p>
      <w:pPr>
        <w:spacing w:after="0" w:line="202"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 xml:space="preserve">The undersigned Company acting on behalf of itself and each Participating Employer, having been duly advised by its own counsel as to the legal and tax consequences of adopting this Deferred Compensation Plan, and having determined that adoption of this Plan as an unfunded, nonqualified deferred compensation plan (intending that the same comply with the applicable requirements of Section 409A of the Internal Revenue Code of 1986, as amended) would better enable the Company to attract and retain key personnel, </w:t>
      </w:r>
      <w:r>
        <w:rPr>
          <w:rFonts w:ascii="Arial" w:cs="Arial" w:eastAsia="Arial" w:hAnsi="Arial"/>
          <w:sz w:val="16"/>
          <w:szCs w:val="16"/>
          <w:b w:val="1"/>
          <w:bCs w:val="1"/>
          <w:color w:val="auto"/>
        </w:rPr>
        <w:t xml:space="preserve">HEREBY ADOPTS </w:t>
      </w:r>
      <w:r>
        <w:rPr>
          <w:rFonts w:ascii="Arial" w:cs="Arial" w:eastAsia="Arial" w:hAnsi="Arial"/>
          <w:sz w:val="16"/>
          <w:szCs w:val="16"/>
          <w:color w:val="auto"/>
        </w:rPr>
        <w:t>the attached Deferred Compensation Plan, subject to the following terms, conditions and elections, all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are integral parts of the Plan adopted hereby:</w:t>
      </w:r>
    </w:p>
    <w:p>
      <w:pPr>
        <w:sectPr>
          <w:pgSz w:w="11900" w:h="16838" w:orient="portrait"/>
          <w:cols w:equalWidth="0" w:num="1">
            <w:col w:w="9740"/>
          </w:cols>
          <w:pgMar w:left="1140" w:top="1038" w:right="101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Company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Avita Medical Americas, LLC</w:t>
      </w:r>
    </w:p>
    <w:p>
      <w:pPr>
        <w:spacing w:after="0" w:line="200" w:lineRule="exact"/>
        <w:rPr>
          <w:sz w:val="20"/>
          <w:szCs w:val="20"/>
          <w:color w:val="auto"/>
        </w:rPr>
      </w:pPr>
    </w:p>
    <w:p>
      <w:pPr>
        <w:sectPr>
          <w:pgSz w:w="11900" w:h="16838" w:orient="portrait"/>
          <w:cols w:equalWidth="0" w:num="2">
            <w:col w:w="1480" w:space="720"/>
            <w:col w:w="7540"/>
          </w:cols>
          <w:pgMar w:left="1140" w:top="1038" w:right="1019" w:bottom="1440"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Company 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28159 Avenue Stanford, Suite 220, Valencia, CA 91355</w:t>
      </w:r>
    </w:p>
    <w:p>
      <w:pPr>
        <w:spacing w:after="0" w:line="200" w:lineRule="exact"/>
        <w:rPr>
          <w:sz w:val="20"/>
          <w:szCs w:val="20"/>
          <w:color w:val="auto"/>
        </w:rPr>
      </w:pPr>
    </w:p>
    <w:p>
      <w:pPr>
        <w:sectPr>
          <w:pgSz w:w="11900" w:h="16838" w:orient="portrait"/>
          <w:cols w:equalWidth="0" w:num="2">
            <w:col w:w="1500" w:space="720"/>
            <w:col w:w="7520"/>
          </w:cols>
          <w:pgMar w:left="1140" w:top="1038" w:right="1019" w:bottom="1440"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Plan Name: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Avita Medical Non-Qualified Deferred Compensation Plan</w:t>
      </w:r>
    </w:p>
    <w:p>
      <w:pPr>
        <w:spacing w:after="0" w:line="200" w:lineRule="exact"/>
        <w:rPr>
          <w:sz w:val="20"/>
          <w:szCs w:val="20"/>
          <w:color w:val="auto"/>
        </w:rPr>
      </w:pPr>
    </w:p>
    <w:p>
      <w:pPr>
        <w:sectPr>
          <w:pgSz w:w="11900" w:h="16838" w:orient="portrait"/>
          <w:cols w:equalWidth="0" w:num="2">
            <w:col w:w="1500" w:space="720"/>
            <w:col w:w="7520"/>
          </w:cols>
          <w:pgMar w:left="1140" w:top="1038" w:right="1019" w:bottom="1440"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Effective Date of the Plan: 7/1/2021</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Amended and Restated: 1/1/2022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Additional Participating Employers:</w:t>
      </w:r>
    </w:p>
    <w:p>
      <w:pPr>
        <w:spacing w:after="0" w:line="200" w:lineRule="exact"/>
        <w:rPr>
          <w:sz w:val="20"/>
          <w:szCs w:val="20"/>
          <w:color w:val="auto"/>
        </w:rPr>
      </w:pPr>
    </w:p>
    <w:p>
      <w:pPr>
        <w:spacing w:after="0" w:line="318"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auto"/>
        </w:rPr>
        <w:t>Capitalized terms used in this Adoption Agreement that are defined in the Plan document attached hereto and not separately defined herein shall have the respective defined meanings set forth in the attached Plan document.</w:t>
      </w:r>
    </w:p>
    <w:p>
      <w:pPr>
        <w:spacing w:after="0" w:line="140"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 xml:space="preserve">The Company acting on behalf of itself and each Participating Employer hereby elects, for purposes of this Plan, as follows </w:t>
      </w:r>
      <w:r>
        <w:rPr>
          <w:rFonts w:ascii="Arial" w:cs="Arial" w:eastAsia="Arial" w:hAnsi="Arial"/>
          <w:sz w:val="16"/>
          <w:szCs w:val="16"/>
          <w:i w:val="1"/>
          <w:iCs w:val="1"/>
          <w:color w:val="auto"/>
        </w:rPr>
        <w:t>(insert</w:t>
      </w:r>
      <w:r>
        <w:rPr>
          <w:rFonts w:ascii="Arial" w:cs="Arial" w:eastAsia="Arial" w:hAnsi="Arial"/>
          <w:sz w:val="16"/>
          <w:szCs w:val="16"/>
          <w:color w:val="auto"/>
        </w:rPr>
        <w:t xml:space="preserve"> </w:t>
      </w:r>
      <w:r>
        <w:rPr>
          <w:rFonts w:ascii="Arial" w:cs="Arial" w:eastAsia="Arial" w:hAnsi="Arial"/>
          <w:sz w:val="16"/>
          <w:szCs w:val="16"/>
          <w:i w:val="1"/>
          <w:iCs w:val="1"/>
          <w:color w:val="auto"/>
        </w:rPr>
        <w:t>check mark or "X" for each desired election and fill in appropriate blanks)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511175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140" w:top="1038" w:right="1019" w:bottom="1440" w:gutter="0" w:footer="0" w:header="0"/>
          <w:type w:val="continuous"/>
        </w:sectPr>
      </w:pPr>
    </w:p>
    <w:bookmarkStart w:id="41" w:name="page42"/>
    <w:bookmarkEnd w:id="41"/>
    <w:p>
      <w:pPr>
        <w:ind w:left="1360" w:hanging="665"/>
        <w:spacing w:after="0"/>
        <w:tabs>
          <w:tab w:leader="none" w:pos="136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642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7136130" cy="8642985"/>
                    </a:xfrm>
                    <a:prstGeom prst="rect">
                      <a:avLst/>
                    </a:prstGeom>
                    <a:noFill/>
                  </pic:spPr>
                </pic:pic>
              </a:graphicData>
            </a:graphic>
          </wp:anchor>
        </w:drawing>
        <w:t xml:space="preserve">Pay Types </w:t>
      </w:r>
      <w:r>
        <w:rPr>
          <w:rFonts w:ascii="Arial" w:cs="Arial" w:eastAsia="Arial" w:hAnsi="Arial"/>
          <w:sz w:val="16"/>
          <w:szCs w:val="16"/>
          <w:color w:val="auto"/>
        </w:rPr>
        <w:t>from which</w:t>
      </w:r>
      <w:r>
        <w:rPr>
          <w:rFonts w:ascii="Arial" w:cs="Arial" w:eastAsia="Arial" w:hAnsi="Arial"/>
          <w:sz w:val="16"/>
          <w:szCs w:val="16"/>
          <w:b w:val="1"/>
          <w:bCs w:val="1"/>
          <w:color w:val="auto"/>
        </w:rPr>
        <w:t xml:space="preserve"> Annual Deferral Amounts </w:t>
      </w:r>
      <w:r>
        <w:rPr>
          <w:rFonts w:ascii="Arial" w:cs="Arial" w:eastAsia="Arial" w:hAnsi="Arial"/>
          <w:sz w:val="16"/>
          <w:szCs w:val="16"/>
          <w:color w:val="auto"/>
        </w:rPr>
        <w:t>may be deferred by Participants are as follows:</w:t>
      </w:r>
    </w:p>
    <w:p>
      <w:pPr>
        <w:spacing w:after="0" w:line="216" w:lineRule="exact"/>
        <w:rPr>
          <w:sz w:val="20"/>
          <w:szCs w:val="20"/>
          <w:color w:val="auto"/>
        </w:rPr>
      </w:pPr>
    </w:p>
    <w:tbl>
      <w:tblPr>
        <w:tblLayout w:type="fixed"/>
        <w:tblInd w:w="2190" w:type="dxa"/>
        <w:tblCellMar>
          <w:top w:w="0" w:type="dxa"/>
          <w:left w:w="0" w:type="dxa"/>
          <w:bottom w:w="0" w:type="dxa"/>
          <w:right w:w="0" w:type="dxa"/>
        </w:tblCellMar>
      </w:tblPr>
      <w:tr>
        <w:trPr>
          <w:trHeight w:val="350"/>
        </w:trPr>
        <w:tc>
          <w:tcPr>
            <w:tcW w:w="4460" w:type="dxa"/>
            <w:vAlign w:val="bottom"/>
            <w:tcBorders>
              <w:top w:val="single" w:sz="8" w:color="auto"/>
              <w:left w:val="single" w:sz="8" w:color="auto"/>
              <w:right w:val="single" w:sz="8" w:color="auto"/>
            </w:tcBorders>
            <w:vMerge w:val="restart"/>
          </w:tcPr>
          <w:p>
            <w:pPr>
              <w:ind w:left="1880"/>
              <w:spacing w:after="0"/>
              <w:rPr>
                <w:sz w:val="20"/>
                <w:szCs w:val="20"/>
                <w:color w:val="auto"/>
              </w:rPr>
            </w:pPr>
            <w:r>
              <w:rPr>
                <w:rFonts w:ascii="Arial" w:cs="Arial" w:eastAsia="Arial" w:hAnsi="Arial"/>
                <w:sz w:val="16"/>
                <w:szCs w:val="16"/>
                <w:b w:val="1"/>
                <w:bCs w:val="1"/>
                <w:color w:val="auto"/>
              </w:rPr>
              <w:t>Pay Type</w:t>
            </w:r>
          </w:p>
        </w:tc>
        <w:tc>
          <w:tcPr>
            <w:tcW w:w="1280" w:type="dxa"/>
            <w:vAlign w:val="bottom"/>
            <w:tcBorders>
              <w:top w:val="single" w:sz="8" w:color="auto"/>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Min/Max</w:t>
            </w:r>
          </w:p>
        </w:tc>
        <w:tc>
          <w:tcPr>
            <w:tcW w:w="0" w:type="dxa"/>
            <w:vAlign w:val="bottom"/>
          </w:tcPr>
          <w:p>
            <w:pPr>
              <w:spacing w:after="0"/>
              <w:rPr>
                <w:sz w:val="1"/>
                <w:szCs w:val="1"/>
                <w:color w:val="auto"/>
              </w:rPr>
            </w:pPr>
          </w:p>
        </w:tc>
      </w:tr>
      <w:tr>
        <w:trPr>
          <w:trHeight w:val="217"/>
        </w:trPr>
        <w:tc>
          <w:tcPr>
            <w:tcW w:w="446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28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61"/>
        </w:trPr>
        <w:tc>
          <w:tcPr>
            <w:tcW w:w="446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6"/>
                <w:szCs w:val="16"/>
                <w:color w:val="auto"/>
              </w:rPr>
              <w:t>Base Salary</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57"/>
        </w:trPr>
        <w:tc>
          <w:tcPr>
            <w:tcW w:w="446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446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6"/>
                <w:szCs w:val="16"/>
                <w:color w:val="auto"/>
              </w:rPr>
              <w:t>Spot Bonus (Cash) (non-performance based)</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57"/>
        </w:trPr>
        <w:tc>
          <w:tcPr>
            <w:tcW w:w="446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46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Spot RSU (non-performance based)</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6"/>
                <w:szCs w:val="16"/>
                <w:color w:val="auto"/>
              </w:rPr>
              <w:t>Bonus (performance based)</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57"/>
        </w:trPr>
        <w:tc>
          <w:tcPr>
            <w:tcW w:w="446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446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6"/>
                <w:szCs w:val="16"/>
                <w:color w:val="auto"/>
              </w:rPr>
              <w:t>RSUs</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57"/>
        </w:trPr>
        <w:tc>
          <w:tcPr>
            <w:tcW w:w="446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446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Director Fees</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360" w:right="1100" w:hanging="665"/>
        <w:spacing w:after="0" w:line="286" w:lineRule="auto"/>
        <w:tabs>
          <w:tab w:leader="none" w:pos="13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Discretionary Company Matching Amounts: </w:t>
      </w:r>
      <w:r>
        <w:rPr>
          <w:rFonts w:ascii="Arial" w:cs="Arial" w:eastAsia="Arial" w:hAnsi="Arial"/>
          <w:sz w:val="16"/>
          <w:szCs w:val="16"/>
          <w:color w:val="auto"/>
        </w:rPr>
        <w:t>The Company may credit Annual Discretionary Company Matching</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for selected Participants:</w:t>
      </w:r>
    </w:p>
    <w:p>
      <w:pPr>
        <w:spacing w:after="0" w:line="255" w:lineRule="exact"/>
        <w:rPr>
          <w:sz w:val="20"/>
          <w:szCs w:val="20"/>
          <w:color w:val="auto"/>
        </w:rPr>
      </w:pPr>
    </w:p>
    <w:p>
      <w:pPr>
        <w:ind w:left="2140"/>
        <w:spacing w:after="0"/>
        <w:rPr>
          <w:sz w:val="20"/>
          <w:szCs w:val="20"/>
          <w:color w:val="auto"/>
        </w:rPr>
      </w:pPr>
      <w:r>
        <w:rPr>
          <w:sz w:val="1"/>
          <w:szCs w:val="1"/>
          <w:color w:val="auto"/>
        </w:rPr>
        <w:drawing>
          <wp:inline distT="0" distB="0" distL="0" distR="0">
            <wp:extent cx="154305" cy="15430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8"/>
          <w:szCs w:val="18"/>
          <w:color w:val="auto"/>
        </w:rPr>
        <w:t xml:space="preserve"> Yes                </w:t>
      </w:r>
      <w:r>
        <w:rPr>
          <w:sz w:val="1"/>
          <w:szCs w:val="1"/>
          <w:color w:val="auto"/>
        </w:rPr>
        <w:drawing>
          <wp:inline distT="0" distB="0" distL="0" distR="0">
            <wp:extent cx="162560" cy="16319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18"/>
          <w:szCs w:val="18"/>
          <w:color w:val="auto"/>
        </w:rPr>
        <w:t xml:space="preserve"> No</w:t>
      </w:r>
    </w:p>
    <w:p>
      <w:pPr>
        <w:spacing w:after="0" w:line="376" w:lineRule="exact"/>
        <w:rPr>
          <w:sz w:val="20"/>
          <w:szCs w:val="20"/>
          <w:color w:val="auto"/>
        </w:rPr>
      </w:pPr>
    </w:p>
    <w:p>
      <w:pPr>
        <w:ind w:left="1800" w:hanging="327"/>
        <w:spacing w:after="0"/>
        <w:tabs>
          <w:tab w:leader="none" w:pos="18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Discretionary Matching Contribution Formula: </w:t>
      </w:r>
      <w:r>
        <w:rPr>
          <w:rFonts w:ascii="Arial" w:cs="Arial" w:eastAsia="Arial" w:hAnsi="Arial"/>
          <w:sz w:val="16"/>
          <w:szCs w:val="16"/>
          <w:i w:val="1"/>
          <w:iCs w:val="1"/>
          <w:color w:val="auto"/>
        </w:rPr>
        <w:t>(select (i) or (ii) below)</w:t>
      </w:r>
    </w:p>
    <w:p>
      <w:pPr>
        <w:spacing w:after="0" w:line="212" w:lineRule="exact"/>
        <w:rPr>
          <w:rFonts w:ascii="Arial" w:cs="Arial" w:eastAsia="Arial" w:hAnsi="Arial"/>
          <w:sz w:val="16"/>
          <w:szCs w:val="16"/>
          <w:b w:val="1"/>
          <w:bCs w:val="1"/>
          <w:color w:val="auto"/>
        </w:rPr>
      </w:pPr>
    </w:p>
    <w:p>
      <w:pPr>
        <w:ind w:left="2580" w:hanging="459"/>
        <w:spacing w:after="0"/>
        <w:tabs>
          <w:tab w:leader="none" w:pos="2580" w:val="left"/>
        </w:tabs>
        <w:numPr>
          <w:ilvl w:val="1"/>
          <w:numId w:val="13"/>
        </w:numPr>
        <w:rPr>
          <w:rFonts w:ascii="Arial" w:cs="Arial" w:eastAsia="Arial" w:hAnsi="Arial"/>
          <w:sz w:val="16"/>
          <w:szCs w:val="16"/>
          <w:color w:val="auto"/>
        </w:rPr>
      </w:pPr>
      <w:r>
        <w:rPr>
          <w:rFonts w:ascii="Arial" w:cs="Arial" w:eastAsia="Arial" w:hAnsi="Arial"/>
          <w:sz w:val="1"/>
          <w:szCs w:val="1"/>
          <w:color w:val="auto"/>
        </w:rPr>
        <w:drawing>
          <wp:inline distT="0" distB="0" distL="0" distR="0">
            <wp:extent cx="154305" cy="15430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6"/>
          <w:szCs w:val="16"/>
          <w:b w:val="1"/>
          <w:bCs w:val="1"/>
          <w:color w:val="auto"/>
        </w:rPr>
        <w:t xml:space="preserve"> Percent of Participant deferrals formula</w:t>
      </w:r>
      <w:r>
        <w:rPr>
          <w:rFonts w:ascii="Arial" w:cs="Arial" w:eastAsia="Arial" w:hAnsi="Arial"/>
          <w:sz w:val="16"/>
          <w:szCs w:val="16"/>
          <w:color w:val="auto"/>
        </w:rPr>
        <w:t>, subject to a specified limit, as follows:</w:t>
      </w:r>
    </w:p>
    <w:p>
      <w:pPr>
        <w:spacing w:after="0" w:line="209" w:lineRule="exact"/>
        <w:rPr>
          <w:rFonts w:ascii="Arial" w:cs="Arial" w:eastAsia="Arial" w:hAnsi="Arial"/>
          <w:sz w:val="16"/>
          <w:szCs w:val="16"/>
          <w:color w:val="auto"/>
        </w:rPr>
      </w:pPr>
    </w:p>
    <w:p>
      <w:pPr>
        <w:ind w:left="3740" w:right="2040" w:hanging="453"/>
        <w:spacing w:after="0" w:line="271" w:lineRule="auto"/>
        <w:tabs>
          <w:tab w:leader="none" w:pos="3737" w:val="left"/>
        </w:tabs>
        <w:numPr>
          <w:ilvl w:val="2"/>
          <w:numId w:val="13"/>
        </w:numPr>
        <w:rPr>
          <w:rFonts w:ascii="Arial" w:cs="Arial" w:eastAsia="Arial" w:hAnsi="Arial"/>
          <w:sz w:val="16"/>
          <w:szCs w:val="16"/>
          <w:i w:val="1"/>
          <w:iCs w:val="1"/>
          <w:color w:val="auto"/>
        </w:rPr>
      </w:pPr>
      <w:r>
        <w:rPr>
          <w:rFonts w:ascii="Arial" w:cs="Arial" w:eastAsia="Arial" w:hAnsi="Arial"/>
          <w:sz w:val="1"/>
          <w:szCs w:val="1"/>
          <w:i w:val="1"/>
          <w:iCs w:val="1"/>
          <w:color w:val="auto"/>
        </w:rPr>
        <w:drawing>
          <wp:inline distT="0" distB="0" distL="0" distR="0">
            <wp:extent cx="154305" cy="15430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6"/>
          <w:szCs w:val="16"/>
          <w:b w:val="1"/>
          <w:bCs w:val="1"/>
          <w:color w:val="auto"/>
        </w:rPr>
        <w:t xml:space="preserve"> Matching Contribution Rate</w:t>
      </w:r>
      <w:r>
        <w:rPr>
          <w:rFonts w:ascii="Arial" w:cs="Arial" w:eastAsia="Arial" w:hAnsi="Arial"/>
          <w:sz w:val="16"/>
          <w:szCs w:val="16"/>
          <w:color w:val="auto"/>
        </w:rPr>
        <w:t>: discretionary match based on plan year –</w:t>
      </w:r>
      <w:r>
        <w:rPr>
          <w:rFonts w:ascii="Arial" w:cs="Arial" w:eastAsia="Arial" w:hAnsi="Arial"/>
          <w:sz w:val="16"/>
          <w:szCs w:val="16"/>
          <w:b w:val="1"/>
          <w:bCs w:val="1"/>
          <w:color w:val="auto"/>
        </w:rPr>
        <w:t xml:space="preserve"> </w:t>
      </w:r>
      <w:r>
        <w:rPr>
          <w:rFonts w:ascii="Arial" w:cs="Arial" w:eastAsia="Arial" w:hAnsi="Arial"/>
          <w:sz w:val="16"/>
          <w:szCs w:val="16"/>
          <w:color w:val="auto"/>
        </w:rPr>
        <w:t>to be communicated annually by Corporate leadership</w:t>
      </w:r>
    </w:p>
    <w:p>
      <w:pPr>
        <w:spacing w:after="0" w:line="355" w:lineRule="exact"/>
        <w:rPr>
          <w:rFonts w:ascii="Arial" w:cs="Arial" w:eastAsia="Arial" w:hAnsi="Arial"/>
          <w:sz w:val="16"/>
          <w:szCs w:val="16"/>
          <w:i w:val="1"/>
          <w:iCs w:val="1"/>
          <w:color w:val="auto"/>
        </w:rPr>
      </w:pPr>
    </w:p>
    <w:p>
      <w:pPr>
        <w:ind w:left="3740" w:hanging="453"/>
        <w:spacing w:after="0"/>
        <w:tabs>
          <w:tab w:leader="none" w:pos="3740" w:val="left"/>
        </w:tabs>
        <w:numPr>
          <w:ilvl w:val="2"/>
          <w:numId w:val="13"/>
        </w:numPr>
        <w:rPr>
          <w:rFonts w:ascii="Arial" w:cs="Arial" w:eastAsia="Arial" w:hAnsi="Arial"/>
          <w:sz w:val="16"/>
          <w:szCs w:val="16"/>
          <w:i w:val="1"/>
          <w:iCs w:val="1"/>
          <w:color w:val="auto"/>
        </w:rPr>
      </w:pPr>
      <w:r>
        <w:rPr>
          <w:rFonts w:ascii="Arial" w:cs="Arial" w:eastAsia="Arial" w:hAnsi="Arial"/>
          <w:sz w:val="1"/>
          <w:szCs w:val="1"/>
          <w:i w:val="1"/>
          <w:iCs w:val="1"/>
          <w:color w:val="auto"/>
        </w:rPr>
        <w:drawing>
          <wp:inline distT="0" distB="0" distL="0" distR="0">
            <wp:extent cx="162560" cy="16319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16"/>
          <w:szCs w:val="16"/>
          <w:b w:val="1"/>
          <w:bCs w:val="1"/>
          <w:color w:val="auto"/>
        </w:rPr>
        <w:t xml:space="preserve"> Matching Contribution Limit</w:t>
      </w:r>
      <w:r>
        <w:rPr>
          <w:rFonts w:ascii="Arial" w:cs="Arial" w:eastAsia="Arial" w:hAnsi="Arial"/>
          <w:sz w:val="16"/>
          <w:szCs w:val="16"/>
          <w:color w:val="auto"/>
        </w:rPr>
        <w:t>:_____% of each applicable Pay Type per pay period</w:t>
      </w:r>
    </w:p>
    <w:p>
      <w:pPr>
        <w:spacing w:after="0" w:line="155" w:lineRule="exact"/>
        <w:rPr>
          <w:sz w:val="20"/>
          <w:szCs w:val="20"/>
          <w:color w:val="auto"/>
        </w:rPr>
      </w:pPr>
    </w:p>
    <w:p>
      <w:pPr>
        <w:ind w:left="2580" w:hanging="459"/>
        <w:spacing w:after="0"/>
        <w:tabs>
          <w:tab w:leader="none" w:pos="2580" w:val="left"/>
        </w:tabs>
        <w:numPr>
          <w:ilvl w:val="3"/>
          <w:numId w:val="14"/>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62560" cy="16256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Other matching formula</w:t>
      </w:r>
      <w:r>
        <w:rPr>
          <w:rFonts w:ascii="Arial" w:cs="Arial" w:eastAsia="Arial" w:hAnsi="Arial"/>
          <w:sz w:val="16"/>
          <w:szCs w:val="16"/>
          <w:color w:val="auto"/>
        </w:rPr>
        <w:t>:</w:t>
      </w:r>
    </w:p>
    <w:p>
      <w:pPr>
        <w:spacing w:after="0" w:line="335" w:lineRule="exact"/>
        <w:rPr>
          <w:rFonts w:ascii="Arial" w:cs="Arial" w:eastAsia="Arial" w:hAnsi="Arial"/>
          <w:sz w:val="18"/>
          <w:szCs w:val="18"/>
          <w:color w:val="auto"/>
        </w:rPr>
      </w:pPr>
    </w:p>
    <w:p>
      <w:pPr>
        <w:ind w:left="1360" w:right="760" w:hanging="665"/>
        <w:spacing w:after="0" w:line="284" w:lineRule="auto"/>
        <w:tabs>
          <w:tab w:leader="none" w:pos="13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Discretionary Contributions. </w:t>
      </w:r>
      <w:r>
        <w:rPr>
          <w:rFonts w:ascii="Arial" w:cs="Arial" w:eastAsia="Arial" w:hAnsi="Arial"/>
          <w:sz w:val="16"/>
          <w:szCs w:val="16"/>
          <w:color w:val="auto"/>
        </w:rPr>
        <w:t>The Company may credit Annual Company Discretionary Amounts for selected Participants.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amounts to be calculated in one of the following manners </w:t>
      </w:r>
      <w:r>
        <w:rPr>
          <w:rFonts w:ascii="Arial" w:cs="Arial" w:eastAsia="Arial" w:hAnsi="Arial"/>
          <w:sz w:val="16"/>
          <w:szCs w:val="16"/>
          <w:i w:val="1"/>
          <w:iCs w:val="1"/>
          <w:color w:val="auto"/>
        </w:rPr>
        <w:t>(select one)</w:t>
      </w:r>
      <w:r>
        <w:rPr>
          <w:rFonts w:ascii="Arial" w:cs="Arial" w:eastAsia="Arial" w:hAnsi="Arial"/>
          <w:sz w:val="16"/>
          <w:szCs w:val="16"/>
          <w:color w:val="auto"/>
        </w:rPr>
        <w:t>:</w:t>
      </w:r>
    </w:p>
    <w:p>
      <w:pPr>
        <w:spacing w:after="0" w:line="1" w:lineRule="exact"/>
        <w:rPr>
          <w:rFonts w:ascii="Arial" w:cs="Arial" w:eastAsia="Arial" w:hAnsi="Arial"/>
          <w:sz w:val="16"/>
          <w:szCs w:val="16"/>
          <w:b w:val="1"/>
          <w:bCs w:val="1"/>
          <w:color w:val="auto"/>
        </w:rPr>
      </w:pPr>
    </w:p>
    <w:p>
      <w:pPr>
        <w:ind w:left="1800" w:hanging="327"/>
        <w:spacing w:after="0"/>
        <w:tabs>
          <w:tab w:leader="none" w:pos="1800" w:val="left"/>
        </w:tabs>
        <w:numPr>
          <w:ilvl w:val="2"/>
          <w:numId w:val="15"/>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171450" cy="1714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No Discretionary Contributions</w:t>
      </w:r>
    </w:p>
    <w:p>
      <w:pPr>
        <w:spacing w:after="0" w:line="47" w:lineRule="exact"/>
        <w:rPr>
          <w:rFonts w:ascii="Arial" w:cs="Arial" w:eastAsia="Arial" w:hAnsi="Arial"/>
          <w:sz w:val="16"/>
          <w:szCs w:val="16"/>
          <w:b w:val="1"/>
          <w:bCs w:val="1"/>
          <w:color w:val="auto"/>
        </w:rPr>
      </w:pPr>
    </w:p>
    <w:p>
      <w:pPr>
        <w:ind w:left="1800" w:hanging="327"/>
        <w:spacing w:after="0"/>
        <w:tabs>
          <w:tab w:leader="none" w:pos="1800" w:val="left"/>
        </w:tabs>
        <w:numPr>
          <w:ilvl w:val="2"/>
          <w:numId w:val="15"/>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163195" cy="1625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163195" cy="162560"/>
                    </a:xfrm>
                    <a:prstGeom prst="rect">
                      <a:avLst/>
                    </a:prstGeom>
                    <a:noFill/>
                    <a:ln>
                      <a:noFill/>
                    </a:ln>
                  </pic:spPr>
                </pic:pic>
              </a:graphicData>
            </a:graphic>
          </wp:inline>
        </w:drawing>
      </w:r>
      <w:r>
        <w:rPr>
          <w:rFonts w:ascii="Arial" w:cs="Arial" w:eastAsia="Arial" w:hAnsi="Arial"/>
          <w:sz w:val="16"/>
          <w:szCs w:val="16"/>
          <w:color w:val="auto"/>
        </w:rPr>
        <w:t xml:space="preserve"> Permissible but amount discretionary</w:t>
      </w:r>
    </w:p>
    <w:p>
      <w:pPr>
        <w:spacing w:after="0" w:line="33" w:lineRule="exact"/>
        <w:rPr>
          <w:rFonts w:ascii="Arial" w:cs="Arial" w:eastAsia="Arial" w:hAnsi="Arial"/>
          <w:sz w:val="16"/>
          <w:szCs w:val="16"/>
          <w:b w:val="1"/>
          <w:bCs w:val="1"/>
          <w:color w:val="auto"/>
        </w:rPr>
      </w:pPr>
    </w:p>
    <w:p>
      <w:pPr>
        <w:ind w:left="14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  </w:t>
      </w:r>
      <w:r>
        <w:rPr>
          <w:rFonts w:ascii="Arial" w:cs="Arial" w:eastAsia="Arial" w:hAnsi="Arial"/>
          <w:sz w:val="1"/>
          <w:szCs w:val="1"/>
          <w:b w:val="1"/>
          <w:bCs w:val="1"/>
          <w:color w:val="auto"/>
        </w:rPr>
        <w:drawing>
          <wp:inline distT="0" distB="0" distL="0" distR="0">
            <wp:extent cx="162560" cy="16319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16"/>
          <w:szCs w:val="16"/>
          <w:color w:val="auto"/>
        </w:rPr>
        <w:t xml:space="preserve"> Annual contribution amount or formula:______________________________________________</w:t>
      </w:r>
    </w:p>
    <w:p>
      <w:pPr>
        <w:spacing w:after="0" w:line="339" w:lineRule="exact"/>
        <w:rPr>
          <w:sz w:val="20"/>
          <w:szCs w:val="20"/>
          <w:color w:val="auto"/>
        </w:rPr>
      </w:pPr>
    </w:p>
    <w:p>
      <w:pPr>
        <w:ind w:left="700"/>
        <w:spacing w:after="0"/>
        <w:tabs>
          <w:tab w:leader="none" w:pos="1340" w:val="left"/>
        </w:tabs>
        <w:rPr>
          <w:sz w:val="20"/>
          <w:szCs w:val="20"/>
          <w:color w:val="auto"/>
        </w:rPr>
      </w:pPr>
      <w:r>
        <w:rPr>
          <w:rFonts w:ascii="Arial" w:cs="Arial" w:eastAsia="Arial" w:hAnsi="Arial"/>
          <w:sz w:val="16"/>
          <w:szCs w:val="16"/>
          <w:b w:val="1"/>
          <w:bCs w:val="1"/>
          <w:color w:val="auto"/>
        </w:rPr>
        <w:t>IV.</w:t>
      </w:r>
      <w:r>
        <w:rPr>
          <w:sz w:val="20"/>
          <w:szCs w:val="20"/>
          <w:color w:val="auto"/>
        </w:rPr>
        <w:tab/>
      </w:r>
      <w:r>
        <w:rPr>
          <w:rFonts w:ascii="Arial" w:cs="Arial" w:eastAsia="Arial" w:hAnsi="Arial"/>
          <w:sz w:val="16"/>
          <w:szCs w:val="16"/>
          <w:b w:val="1"/>
          <w:bCs w:val="1"/>
          <w:color w:val="auto"/>
        </w:rPr>
        <w:t>Vesting.</w:t>
      </w:r>
    </w:p>
    <w:p>
      <w:pPr>
        <w:spacing w:after="0" w:line="25" w:lineRule="exact"/>
        <w:rPr>
          <w:sz w:val="20"/>
          <w:szCs w:val="20"/>
          <w:color w:val="auto"/>
        </w:rPr>
      </w:pPr>
    </w:p>
    <w:p>
      <w:pPr>
        <w:ind w:left="1780" w:right="1720" w:hanging="307"/>
        <w:spacing w:after="0" w:line="260" w:lineRule="auto"/>
        <w:tabs>
          <w:tab w:leader="none" w:pos="178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 xml:space="preserve">The following </w:t>
      </w:r>
      <w:r>
        <w:rPr>
          <w:rFonts w:ascii="Arial" w:cs="Arial" w:eastAsia="Arial" w:hAnsi="Arial"/>
          <w:sz w:val="16"/>
          <w:szCs w:val="16"/>
          <w:b w:val="1"/>
          <w:bCs w:val="1"/>
          <w:color w:val="auto"/>
        </w:rPr>
        <w:t>Vesting Schedule</w:t>
      </w:r>
      <w:r>
        <w:rPr>
          <w:rFonts w:ascii="Arial" w:cs="Arial" w:eastAsia="Arial" w:hAnsi="Arial"/>
          <w:sz w:val="16"/>
          <w:szCs w:val="16"/>
          <w:color w:val="auto"/>
        </w:rPr>
        <w:t xml:space="preserve"> shall apply to all Annual Company Discretionary Amounts and to all Annual Company Matching Amounts, as follows </w:t>
      </w:r>
      <w:r>
        <w:rPr>
          <w:rFonts w:ascii="Arial" w:cs="Arial" w:eastAsia="Arial" w:hAnsi="Arial"/>
          <w:sz w:val="16"/>
          <w:szCs w:val="16"/>
          <w:i w:val="1"/>
          <w:iCs w:val="1"/>
          <w:color w:val="auto"/>
        </w:rPr>
        <w:t>(select one)</w:t>
      </w:r>
      <w:r>
        <w:rPr>
          <w:rFonts w:ascii="Arial" w:cs="Arial" w:eastAsia="Arial" w:hAnsi="Arial"/>
          <w:sz w:val="16"/>
          <w:szCs w:val="16"/>
          <w:color w:val="auto"/>
        </w:rPr>
        <w:t>:</w:t>
      </w:r>
    </w:p>
    <w:p>
      <w:pPr>
        <w:spacing w:after="0" w:line="11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Immediate vesting (100%) as amounts are credited</w:t>
      </w:r>
    </w:p>
    <w:p>
      <w:pPr>
        <w:spacing w:after="0" w:line="144"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Cliff vesting: 100% at the end of  years (commencing as specified below)</w:t>
      </w:r>
    </w:p>
    <w:p>
      <w:pPr>
        <w:spacing w:after="0" w:line="11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 xml:space="preserve">Incremental annual vesting, as follows </w:t>
      </w:r>
      <w:r>
        <w:rPr>
          <w:rFonts w:ascii="Arial" w:cs="Arial" w:eastAsia="Arial" w:hAnsi="Arial"/>
          <w:sz w:val="18"/>
          <w:szCs w:val="18"/>
          <w:i w:val="1"/>
          <w:iCs w:val="1"/>
          <w:color w:val="auto"/>
        </w:rPr>
        <w:t>(complete chart below)</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20" w:type="dxa"/>
            <w:vAlign w:val="bottom"/>
            <w:tcBorders>
              <w:right w:val="single" w:sz="8" w:color="auto"/>
            </w:tcBorders>
          </w:tcPr>
          <w:p>
            <w:pPr>
              <w:spacing w:after="0"/>
              <w:rPr>
                <w:sz w:val="17"/>
                <w:szCs w:val="17"/>
                <w:color w:val="auto"/>
              </w:rPr>
            </w:pPr>
          </w:p>
        </w:tc>
        <w:tc>
          <w:tcPr>
            <w:tcW w:w="228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 of Contribution</w:t>
            </w:r>
          </w:p>
        </w:tc>
        <w:tc>
          <w:tcPr>
            <w:tcW w:w="3580" w:type="dxa"/>
            <w:vAlign w:val="bottom"/>
          </w:tcPr>
          <w:p>
            <w:pPr>
              <w:spacing w:after="0"/>
              <w:rPr>
                <w:sz w:val="17"/>
                <w:szCs w:val="17"/>
                <w:color w:val="auto"/>
              </w:rPr>
            </w:pPr>
          </w:p>
        </w:tc>
      </w:tr>
      <w:tr>
        <w:trPr>
          <w:trHeight w:val="217"/>
        </w:trPr>
        <w:tc>
          <w:tcPr>
            <w:tcW w:w="3620" w:type="dxa"/>
            <w:vAlign w:val="bottom"/>
            <w:tcBorders>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Years Completed</w:t>
            </w:r>
          </w:p>
        </w:tc>
        <w:tc>
          <w:tcPr>
            <w:tcW w:w="1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Vested</w:t>
            </w:r>
          </w:p>
        </w:tc>
        <w:tc>
          <w:tcPr>
            <w:tcW w:w="3580" w:type="dxa"/>
            <w:vAlign w:val="bottom"/>
          </w:tcPr>
          <w:p>
            <w:pPr>
              <w:spacing w:after="0"/>
              <w:rPr>
                <w:sz w:val="18"/>
                <w:szCs w:val="18"/>
                <w:color w:val="auto"/>
              </w:rPr>
            </w:pPr>
          </w:p>
        </w:tc>
      </w:tr>
      <w:tr>
        <w:trPr>
          <w:trHeight w:val="223"/>
        </w:trPr>
        <w:tc>
          <w:tcPr>
            <w:tcW w:w="3620" w:type="dxa"/>
            <w:vAlign w:val="bottom"/>
            <w:tcBorders>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Year 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3580" w:type="dxa"/>
            <w:vAlign w:val="bottom"/>
          </w:tcPr>
          <w:p>
            <w:pPr>
              <w:spacing w:after="0"/>
              <w:rPr>
                <w:sz w:val="19"/>
                <w:szCs w:val="19"/>
                <w:color w:val="auto"/>
              </w:rPr>
            </w:pPr>
          </w:p>
        </w:tc>
      </w:tr>
      <w:tr>
        <w:trPr>
          <w:trHeight w:val="209"/>
        </w:trPr>
        <w:tc>
          <w:tcPr>
            <w:tcW w:w="3620" w:type="dxa"/>
            <w:vAlign w:val="bottom"/>
            <w:tcBorders>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Year 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25%</w:t>
            </w:r>
          </w:p>
        </w:tc>
        <w:tc>
          <w:tcPr>
            <w:tcW w:w="3580" w:type="dxa"/>
            <w:vAlign w:val="bottom"/>
          </w:tcPr>
          <w:p>
            <w:pPr>
              <w:spacing w:after="0"/>
              <w:rPr>
                <w:sz w:val="18"/>
                <w:szCs w:val="18"/>
                <w:color w:val="auto"/>
              </w:rPr>
            </w:pPr>
          </w:p>
        </w:tc>
      </w:tr>
      <w:tr>
        <w:trPr>
          <w:trHeight w:val="209"/>
        </w:trPr>
        <w:tc>
          <w:tcPr>
            <w:tcW w:w="3620" w:type="dxa"/>
            <w:vAlign w:val="bottom"/>
            <w:tcBorders>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Year 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3580" w:type="dxa"/>
            <w:vAlign w:val="bottom"/>
          </w:tcPr>
          <w:p>
            <w:pPr>
              <w:spacing w:after="0"/>
              <w:rPr>
                <w:sz w:val="18"/>
                <w:szCs w:val="18"/>
                <w:color w:val="auto"/>
              </w:rPr>
            </w:pPr>
          </w:p>
        </w:tc>
      </w:tr>
      <w:tr>
        <w:trPr>
          <w:trHeight w:val="868"/>
        </w:trPr>
        <w:tc>
          <w:tcPr>
            <w:tcW w:w="36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2" w:name="page43"/>
    <w:bookmarkEnd w:id="42"/>
    <w:tbl>
      <w:tblPr>
        <w:tblLayout w:type="fixed"/>
        <w:tblInd w:w="1000" w:type="dxa"/>
        <w:tblCellMar>
          <w:top w:w="0" w:type="dxa"/>
          <w:left w:w="0" w:type="dxa"/>
          <w:bottom w:w="0" w:type="dxa"/>
          <w:right w:w="0" w:type="dxa"/>
        </w:tblCellMar>
      </w:tblPr>
      <w:tr>
        <w:trPr>
          <w:trHeight w:val="207"/>
        </w:trPr>
        <w:tc>
          <w:tcPr>
            <w:tcW w:w="1900" w:type="dxa"/>
            <w:vAlign w:val="bottom"/>
            <w:gridSpan w:val="2"/>
          </w:tcPr>
          <w:p>
            <w:pPr>
              <w:spacing w:after="0"/>
              <w:rPr>
                <w:sz w:val="20"/>
                <w:szCs w:val="20"/>
                <w:color w:val="auto"/>
              </w:rPr>
            </w:pPr>
            <w:r>
              <w:rPr>
                <w:rFonts w:ascii="Arial" w:cs="Arial" w:eastAsia="Arial" w:hAnsi="Arial"/>
                <w:sz w:val="16"/>
                <w:szCs w:val="16"/>
                <w:color w:val="auto"/>
              </w:rPr>
              <w:t>EXAMPLE:</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93"/>
        </w:trPr>
        <w:tc>
          <w:tcPr>
            <w:tcW w:w="6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08"/>
        </w:trPr>
        <w:tc>
          <w:tcPr>
            <w:tcW w:w="6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20" w:type="dxa"/>
            <w:vAlign w:val="bottom"/>
            <w:gridSpan w:val="2"/>
          </w:tcPr>
          <w:p>
            <w:pPr>
              <w:ind w:left="1220"/>
              <w:spacing w:after="0"/>
              <w:rPr>
                <w:sz w:val="20"/>
                <w:szCs w:val="20"/>
                <w:color w:val="auto"/>
              </w:rPr>
            </w:pPr>
            <w:r>
              <w:rPr>
                <w:rFonts w:ascii="Arial" w:cs="Arial" w:eastAsia="Arial" w:hAnsi="Arial"/>
                <w:sz w:val="18"/>
                <w:szCs w:val="18"/>
                <w:b w:val="1"/>
                <w:bCs w:val="1"/>
                <w:color w:val="auto"/>
                <w:w w:val="99"/>
              </w:rPr>
              <w:t>←</w:t>
            </w:r>
          </w:p>
        </w:tc>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w w:val="87"/>
              </w:rPr>
              <w:t>Contributon Years</w:t>
            </w:r>
          </w:p>
        </w:tc>
        <w:tc>
          <w:tcPr>
            <w:tcW w:w="84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760" w:type="dxa"/>
            <w:vAlign w:val="bottom"/>
            <w:tcBorders>
              <w:right w:val="single" w:sz="8" w:color="auto"/>
            </w:tcBorders>
          </w:tcPr>
          <w:p>
            <w:pPr>
              <w:spacing w:after="0"/>
              <w:rPr>
                <w:sz w:val="18"/>
                <w:szCs w:val="18"/>
                <w:color w:val="auto"/>
              </w:rPr>
            </w:pPr>
          </w:p>
        </w:tc>
      </w:tr>
      <w:tr>
        <w:trPr>
          <w:trHeight w:val="67"/>
        </w:trPr>
        <w:tc>
          <w:tcPr>
            <w:tcW w:w="600" w:type="dxa"/>
            <w:vAlign w:val="bottom"/>
            <w:tcBorders>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r>
      <w:tr>
        <w:trPr>
          <w:trHeight w:val="194"/>
        </w:trPr>
        <w:tc>
          <w:tcPr>
            <w:tcW w:w="600" w:type="dxa"/>
            <w:vAlign w:val="bottom"/>
            <w:tcBorders>
              <w:right w:val="single" w:sz="8" w:color="auto"/>
            </w:tcBorders>
          </w:tcPr>
          <w:p>
            <w:pPr>
              <w:spacing w:after="0"/>
              <w:rPr>
                <w:sz w:val="16"/>
                <w:szCs w:val="16"/>
                <w:color w:val="auto"/>
              </w:rPr>
            </w:pPr>
          </w:p>
        </w:tc>
        <w:tc>
          <w:tcPr>
            <w:tcW w:w="1300" w:type="dxa"/>
            <w:vAlign w:val="bottom"/>
            <w:tcBorders>
              <w:top w:val="single" w:sz="8" w:color="D9D9D9"/>
              <w:bottom w:val="single" w:sz="8" w:color="auto"/>
              <w:right w:val="single" w:sz="8" w:color="auto"/>
            </w:tcBorders>
            <w:shd w:val="clear" w:color="auto" w:fill="D9D9D9"/>
          </w:tcPr>
          <w:p>
            <w:pPr>
              <w:jc w:val="center"/>
              <w:spacing w:after="0" w:line="194" w:lineRule="exact"/>
              <w:rPr>
                <w:sz w:val="20"/>
                <w:szCs w:val="20"/>
                <w:color w:val="auto"/>
              </w:rPr>
            </w:pPr>
            <w:r>
              <w:rPr>
                <w:rFonts w:ascii="Arial" w:cs="Arial" w:eastAsia="Arial" w:hAnsi="Arial"/>
                <w:sz w:val="18"/>
                <w:szCs w:val="18"/>
                <w:b w:val="1"/>
                <w:bCs w:val="1"/>
                <w:color w:val="auto"/>
                <w:w w:val="78"/>
              </w:rPr>
              <w:t>EOY</w:t>
            </w:r>
          </w:p>
        </w:tc>
        <w:tc>
          <w:tcPr>
            <w:tcW w:w="1280" w:type="dxa"/>
            <w:vAlign w:val="bottom"/>
            <w:tcBorders>
              <w:top w:val="single" w:sz="8" w:color="D9D9D9"/>
              <w:bottom w:val="single" w:sz="8" w:color="auto"/>
              <w:right w:val="single" w:sz="8" w:color="auto"/>
            </w:tcBorders>
            <w:shd w:val="clear" w:color="auto" w:fill="D9D9D9"/>
          </w:tcPr>
          <w:p>
            <w:pPr>
              <w:jc w:val="center"/>
              <w:spacing w:after="0" w:line="194" w:lineRule="exact"/>
              <w:rPr>
                <w:sz w:val="20"/>
                <w:szCs w:val="20"/>
                <w:color w:val="auto"/>
              </w:rPr>
            </w:pPr>
            <w:r>
              <w:rPr>
                <w:rFonts w:ascii="Arial" w:cs="Arial" w:eastAsia="Arial" w:hAnsi="Arial"/>
                <w:sz w:val="18"/>
                <w:szCs w:val="18"/>
                <w:color w:val="auto"/>
                <w:w w:val="89"/>
              </w:rPr>
              <w:t>2021</w:t>
            </w:r>
          </w:p>
        </w:tc>
        <w:tc>
          <w:tcPr>
            <w:tcW w:w="140" w:type="dxa"/>
            <w:vAlign w:val="bottom"/>
            <w:tcBorders>
              <w:top w:val="single" w:sz="8" w:color="D9D9D9"/>
              <w:bottom w:val="single" w:sz="8" w:color="auto"/>
            </w:tcBorders>
            <w:shd w:val="clear" w:color="auto" w:fill="D9D9D9"/>
          </w:tcPr>
          <w:p>
            <w:pPr>
              <w:spacing w:after="0"/>
              <w:rPr>
                <w:sz w:val="16"/>
                <w:szCs w:val="16"/>
                <w:color w:val="auto"/>
              </w:rPr>
            </w:pPr>
          </w:p>
        </w:tc>
        <w:tc>
          <w:tcPr>
            <w:tcW w:w="700" w:type="dxa"/>
            <w:vAlign w:val="bottom"/>
            <w:tcBorders>
              <w:top w:val="single" w:sz="8" w:color="D9D9D9"/>
              <w:bottom w:val="single" w:sz="8" w:color="auto"/>
              <w:right w:val="single" w:sz="8" w:color="auto"/>
            </w:tcBorders>
            <w:shd w:val="clear" w:color="auto" w:fill="D9D9D9"/>
          </w:tcPr>
          <w:p>
            <w:pPr>
              <w:jc w:val="center"/>
              <w:ind w:right="90"/>
              <w:spacing w:after="0" w:line="194" w:lineRule="exact"/>
              <w:rPr>
                <w:sz w:val="20"/>
                <w:szCs w:val="20"/>
                <w:color w:val="auto"/>
              </w:rPr>
            </w:pPr>
            <w:r>
              <w:rPr>
                <w:rFonts w:ascii="Arial" w:cs="Arial" w:eastAsia="Arial" w:hAnsi="Arial"/>
                <w:sz w:val="18"/>
                <w:szCs w:val="18"/>
                <w:color w:val="auto"/>
                <w:w w:val="89"/>
              </w:rPr>
              <w:t>2022</w:t>
            </w:r>
          </w:p>
        </w:tc>
        <w:tc>
          <w:tcPr>
            <w:tcW w:w="840" w:type="dxa"/>
            <w:vAlign w:val="bottom"/>
            <w:tcBorders>
              <w:top w:val="single" w:sz="8" w:color="D9D9D9"/>
              <w:bottom w:val="single" w:sz="8" w:color="auto"/>
              <w:right w:val="single" w:sz="8" w:color="auto"/>
            </w:tcBorders>
            <w:shd w:val="clear" w:color="auto" w:fill="D9D9D9"/>
          </w:tcPr>
          <w:p>
            <w:pPr>
              <w:jc w:val="center"/>
              <w:spacing w:after="0" w:line="194" w:lineRule="exact"/>
              <w:rPr>
                <w:sz w:val="20"/>
                <w:szCs w:val="20"/>
                <w:color w:val="auto"/>
              </w:rPr>
            </w:pPr>
            <w:r>
              <w:rPr>
                <w:rFonts w:ascii="Arial" w:cs="Arial" w:eastAsia="Arial" w:hAnsi="Arial"/>
                <w:sz w:val="18"/>
                <w:szCs w:val="18"/>
                <w:color w:val="auto"/>
                <w:w w:val="89"/>
              </w:rPr>
              <w:t>2023</w:t>
            </w:r>
          </w:p>
        </w:tc>
        <w:tc>
          <w:tcPr>
            <w:tcW w:w="840" w:type="dxa"/>
            <w:vAlign w:val="bottom"/>
            <w:tcBorders>
              <w:top w:val="single" w:sz="8" w:color="D9D9D9"/>
              <w:bottom w:val="single" w:sz="8" w:color="auto"/>
              <w:right w:val="single" w:sz="8" w:color="auto"/>
            </w:tcBorders>
            <w:shd w:val="clear" w:color="auto" w:fill="D9D9D9"/>
          </w:tcPr>
          <w:p>
            <w:pPr>
              <w:jc w:val="center"/>
              <w:spacing w:after="0" w:line="194" w:lineRule="exact"/>
              <w:rPr>
                <w:sz w:val="20"/>
                <w:szCs w:val="20"/>
                <w:color w:val="auto"/>
              </w:rPr>
            </w:pPr>
            <w:r>
              <w:rPr>
                <w:rFonts w:ascii="Arial" w:cs="Arial" w:eastAsia="Arial" w:hAnsi="Arial"/>
                <w:sz w:val="18"/>
                <w:szCs w:val="18"/>
                <w:color w:val="auto"/>
                <w:w w:val="89"/>
              </w:rPr>
              <w:t>2024</w:t>
            </w:r>
          </w:p>
        </w:tc>
        <w:tc>
          <w:tcPr>
            <w:tcW w:w="760" w:type="dxa"/>
            <w:vAlign w:val="bottom"/>
            <w:tcBorders>
              <w:top w:val="single" w:sz="8" w:color="D9D9D9"/>
              <w:bottom w:val="single" w:sz="8" w:color="auto"/>
              <w:right w:val="single" w:sz="8" w:color="auto"/>
            </w:tcBorders>
            <w:shd w:val="clear" w:color="auto" w:fill="D9D9D9"/>
          </w:tcPr>
          <w:p>
            <w:pPr>
              <w:jc w:val="right"/>
              <w:ind w:right="170"/>
              <w:spacing w:after="0" w:line="194" w:lineRule="exact"/>
              <w:rPr>
                <w:sz w:val="20"/>
                <w:szCs w:val="20"/>
                <w:color w:val="auto"/>
              </w:rPr>
            </w:pPr>
            <w:r>
              <w:rPr>
                <w:rFonts w:ascii="Arial" w:cs="Arial" w:eastAsia="Arial" w:hAnsi="Arial"/>
                <w:sz w:val="18"/>
                <w:szCs w:val="18"/>
                <w:color w:val="auto"/>
              </w:rPr>
              <w:t>2025</w:t>
            </w:r>
          </w:p>
        </w:tc>
      </w:tr>
      <w:tr>
        <w:trPr>
          <w:trHeight w:val="236"/>
        </w:trPr>
        <w:tc>
          <w:tcPr>
            <w:tcW w:w="60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7"/>
              </w:rPr>
              <w:t>12/31/2021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25%</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84"/>
              </w:rPr>
              <w:t>0%</w:t>
            </w:r>
          </w:p>
        </w:tc>
        <w:tc>
          <w:tcPr>
            <w:tcW w:w="8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r>
      <w:tr>
        <w:trPr>
          <w:trHeight w:val="237"/>
        </w:trPr>
        <w:tc>
          <w:tcPr>
            <w:tcW w:w="60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7"/>
              </w:rPr>
              <w:t>12/31/2022</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88"/>
              </w:rPr>
              <w:t>25%</w:t>
            </w:r>
          </w:p>
        </w:tc>
        <w:tc>
          <w:tcPr>
            <w:tcW w:w="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4"/>
              </w:rPr>
              <w:t>0%</w:t>
            </w:r>
          </w:p>
        </w:tc>
        <w:tc>
          <w:tcPr>
            <w:tcW w:w="8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r>
      <w:tr>
        <w:trPr>
          <w:trHeight w:val="236"/>
        </w:trPr>
        <w:tc>
          <w:tcPr>
            <w:tcW w:w="60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7"/>
              </w:rPr>
              <w:t>12/31/2023</w:t>
            </w:r>
          </w:p>
        </w:tc>
        <w:tc>
          <w:tcPr>
            <w:tcW w:w="128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86"/>
              </w:rPr>
              <w:t>100%</w:t>
            </w:r>
          </w:p>
        </w:tc>
        <w:tc>
          <w:tcPr>
            <w:tcW w:w="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3"/>
              </w:rPr>
              <w:t>25%</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0%</w:t>
            </w:r>
          </w:p>
        </w:tc>
        <w:tc>
          <w:tcPr>
            <w:tcW w:w="760" w:type="dxa"/>
            <w:vAlign w:val="bottom"/>
            <w:tcBorders>
              <w:bottom w:val="single" w:sz="8" w:color="auto"/>
              <w:right w:val="single" w:sz="8" w:color="auto"/>
            </w:tcBorders>
          </w:tcPr>
          <w:p>
            <w:pPr>
              <w:spacing w:after="0"/>
              <w:rPr>
                <w:sz w:val="20"/>
                <w:szCs w:val="20"/>
                <w:color w:val="auto"/>
              </w:rPr>
            </w:pPr>
          </w:p>
        </w:tc>
      </w:tr>
      <w:tr>
        <w:trPr>
          <w:trHeight w:val="237"/>
        </w:trPr>
        <w:tc>
          <w:tcPr>
            <w:tcW w:w="60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7"/>
              </w:rPr>
              <w:t>12/31/2024</w:t>
            </w:r>
          </w:p>
        </w:tc>
        <w:tc>
          <w:tcPr>
            <w:tcW w:w="128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237"/>
        </w:trPr>
        <w:tc>
          <w:tcPr>
            <w:tcW w:w="60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7"/>
              </w:rPr>
              <w:t>12/31/2025</w:t>
            </w:r>
          </w:p>
        </w:tc>
        <w:tc>
          <w:tcPr>
            <w:tcW w:w="128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w:t>
            </w:r>
          </w:p>
        </w:tc>
        <w:tc>
          <w:tcPr>
            <w:tcW w:w="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25%</w:t>
            </w:r>
          </w:p>
        </w:tc>
      </w:tr>
      <w:tr>
        <w:trPr>
          <w:trHeight w:val="237"/>
        </w:trPr>
        <w:tc>
          <w:tcPr>
            <w:tcW w:w="600" w:type="dxa"/>
            <w:vAlign w:val="bottom"/>
            <w:tcBorders>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7"/>
              </w:rPr>
              <w:t>12/31/2026</w:t>
            </w:r>
          </w:p>
        </w:tc>
        <w:tc>
          <w:tcPr>
            <w:tcW w:w="128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768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7136130" cy="7768590"/>
                    </a:xfrm>
                    <a:prstGeom prst="rect">
                      <a:avLst/>
                    </a:prstGeom>
                    <a:noFill/>
                  </pic:spPr>
                </pic:pic>
              </a:graphicData>
            </a:graphic>
          </wp:anchor>
        </w:drawing>
      </w:r>
    </w:p>
    <w:p>
      <w:pPr>
        <w:spacing w:after="0" w:line="335" w:lineRule="exact"/>
        <w:rPr>
          <w:sz w:val="20"/>
          <w:szCs w:val="20"/>
          <w:color w:val="auto"/>
        </w:rPr>
      </w:pPr>
    </w:p>
    <w:p>
      <w:pPr>
        <w:ind w:left="660" w:right="799" w:hanging="307"/>
        <w:spacing w:after="0" w:line="286" w:lineRule="auto"/>
        <w:tabs>
          <w:tab w:leader="none" w:pos="66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Vesting Commencement Date</w:t>
      </w:r>
      <w:r>
        <w:rPr>
          <w:rFonts w:ascii="Arial" w:cs="Arial" w:eastAsia="Arial" w:hAnsi="Arial"/>
          <w:sz w:val="16"/>
          <w:szCs w:val="16"/>
          <w:color w:val="auto"/>
        </w:rPr>
        <w:t xml:space="preserve"> shall be determined as follows </w:t>
      </w:r>
      <w:r>
        <w:rPr>
          <w:rFonts w:ascii="Arial" w:cs="Arial" w:eastAsia="Arial" w:hAnsi="Arial"/>
          <w:sz w:val="16"/>
          <w:szCs w:val="16"/>
          <w:i w:val="1"/>
          <w:iCs w:val="1"/>
          <w:color w:val="auto"/>
        </w:rPr>
        <w:t>(select one) (tenure based, too? Avita</w:t>
      </w:r>
      <w:r>
        <w:rPr>
          <w:rFonts w:ascii="Arial" w:cs="Arial" w:eastAsia="Arial" w:hAnsi="Arial"/>
          <w:sz w:val="16"/>
          <w:szCs w:val="16"/>
          <w:color w:val="auto"/>
        </w:rPr>
        <w:t xml:space="preserve"> </w:t>
      </w:r>
      <w:r>
        <w:rPr>
          <w:rFonts w:ascii="Arial" w:cs="Arial" w:eastAsia="Arial" w:hAnsi="Arial"/>
          <w:sz w:val="16"/>
          <w:szCs w:val="16"/>
          <w:i w:val="1"/>
          <w:iCs w:val="1"/>
          <w:color w:val="auto"/>
        </w:rPr>
        <w:t>reviewing)</w:t>
      </w:r>
      <w:r>
        <w:rPr>
          <w:rFonts w:ascii="Arial" w:cs="Arial" w:eastAsia="Arial" w:hAnsi="Arial"/>
          <w:sz w:val="16"/>
          <w:szCs w:val="16"/>
          <w:color w:val="auto"/>
        </w:rPr>
        <w:t>:</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Not Applicable</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Years of participation – based on plan participation date</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Years of service – based on date of hire</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Age – based on date of birth</w:t>
      </w:r>
    </w:p>
    <w:p>
      <w:pPr>
        <w:spacing w:after="0" w:line="181" w:lineRule="exact"/>
        <w:rPr>
          <w:sz w:val="20"/>
          <w:szCs w:val="20"/>
          <w:color w:val="auto"/>
        </w:rPr>
      </w:pPr>
    </w:p>
    <w:p>
      <w:pPr>
        <w:ind w:left="1520" w:right="279" w:hanging="36"/>
        <w:spacing w:after="0" w:line="276" w:lineRule="auto"/>
        <w:rPr>
          <w:sz w:val="20"/>
          <w:szCs w:val="20"/>
          <w:color w:val="auto"/>
        </w:rPr>
      </w:pPr>
      <w:r>
        <w:rPr>
          <w:rFonts w:ascii="Arial" w:cs="Arial" w:eastAsia="Arial" w:hAnsi="Arial"/>
          <w:sz w:val="16"/>
          <w:szCs w:val="16"/>
          <w:color w:val="auto"/>
        </w:rPr>
        <w:t>Class year - (all employer contributions for the same deferral year vest at the same time regardless of crediting date)</w:t>
      </w:r>
    </w:p>
    <w:p>
      <w:pPr>
        <w:spacing w:after="0" w:line="122" w:lineRule="exact"/>
        <w:rPr>
          <w:sz w:val="20"/>
          <w:szCs w:val="20"/>
          <w:color w:val="auto"/>
        </w:rPr>
      </w:pPr>
    </w:p>
    <w:p>
      <w:pPr>
        <w:ind w:left="680" w:hanging="327"/>
        <w:spacing w:after="0"/>
        <w:tabs>
          <w:tab w:leader="none" w:pos="68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Vesting Increase timing</w:t>
      </w:r>
      <w:r>
        <w:rPr>
          <w:rFonts w:ascii="Arial" w:cs="Arial" w:eastAsia="Arial" w:hAnsi="Arial"/>
          <w:sz w:val="16"/>
          <w:szCs w:val="16"/>
          <w:color w:val="auto"/>
        </w:rPr>
        <w:t xml:space="preserve"> shall be determined as follows </w:t>
      </w:r>
      <w:r>
        <w:rPr>
          <w:rFonts w:ascii="Arial" w:cs="Arial" w:eastAsia="Arial" w:hAnsi="Arial"/>
          <w:sz w:val="16"/>
          <w:szCs w:val="16"/>
          <w:i w:val="1"/>
          <w:iCs w:val="1"/>
          <w:color w:val="auto"/>
        </w:rPr>
        <w:t>(select one):</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Not Applicable</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On the last day of the vesting year</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On the first day of the vesting year (the anniversary of the Commencement Date)</w:t>
      </w:r>
    </w:p>
    <w:p>
      <w:pPr>
        <w:spacing w:after="0" w:line="375" w:lineRule="exact"/>
        <w:rPr>
          <w:sz w:val="20"/>
          <w:szCs w:val="20"/>
          <w:color w:val="auto"/>
        </w:rPr>
      </w:pPr>
    </w:p>
    <w:p>
      <w:pPr>
        <w:ind w:left="680" w:right="1279" w:hanging="327"/>
        <w:spacing w:after="0" w:line="286" w:lineRule="auto"/>
        <w:tabs>
          <w:tab w:leader="none" w:pos="688"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Vesting Acceleration events</w:t>
      </w:r>
      <w:r>
        <w:rPr>
          <w:rFonts w:ascii="Arial" w:cs="Arial" w:eastAsia="Arial" w:hAnsi="Arial"/>
          <w:sz w:val="16"/>
          <w:szCs w:val="16"/>
          <w:color w:val="auto"/>
        </w:rPr>
        <w:t xml:space="preserve"> that will automatically vest 100% shall be determined as follows </w:t>
      </w:r>
      <w:r>
        <w:rPr>
          <w:rFonts w:ascii="Arial" w:cs="Arial" w:eastAsia="Arial" w:hAnsi="Arial"/>
          <w:sz w:val="16"/>
          <w:szCs w:val="16"/>
          <w:i w:val="1"/>
          <w:iCs w:val="1"/>
          <w:color w:val="auto"/>
        </w:rPr>
        <w:t>(select all that apply):</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Not Applicable</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Retirement eligibility</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Disability</w:t>
      </w:r>
    </w:p>
    <w:p>
      <w:pPr>
        <w:spacing w:after="0" w:line="140"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Death</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Change in Control</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Other - As provided in an agreement between the Participant and the Company</w:t>
      </w:r>
    </w:p>
    <w:p>
      <w:pPr>
        <w:spacing w:after="0" w:line="375" w:lineRule="exact"/>
        <w:rPr>
          <w:sz w:val="20"/>
          <w:szCs w:val="20"/>
          <w:color w:val="auto"/>
        </w:rPr>
      </w:pPr>
    </w:p>
    <w:p>
      <w:pPr>
        <w:ind w:left="680" w:right="219" w:hanging="327"/>
        <w:spacing w:after="0" w:line="259" w:lineRule="auto"/>
        <w:tabs>
          <w:tab w:leader="none" w:pos="68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Rehires: </w:t>
      </w:r>
      <w:r>
        <w:rPr>
          <w:rFonts w:ascii="Arial" w:cs="Arial" w:eastAsia="Arial" w:hAnsi="Arial"/>
          <w:sz w:val="16"/>
          <w:szCs w:val="16"/>
          <w:color w:val="auto"/>
        </w:rPr>
        <w:t>A former Participant who is rehired following a Termination of Employment, and who is selected for</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in accordance with the terms of the Plan, shall be treated as a new employee and new participant for purposes of determining such individual’s Vesting Commencement Date, without regard to earlier dates of hire or enrollment prior to such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523240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43" w:name="page44"/>
    <w:bookmarkEnd w:id="43"/>
    <w:p>
      <w:pPr>
        <w:ind w:left="665" w:hanging="665"/>
        <w:spacing w:after="0"/>
        <w:tabs>
          <w:tab w:leader="none" w:pos="66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8714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7136130" cy="7871460"/>
                    </a:xfrm>
                    <a:prstGeom prst="rect">
                      <a:avLst/>
                    </a:prstGeom>
                    <a:noFill/>
                  </pic:spPr>
                </pic:pic>
              </a:graphicData>
            </a:graphic>
          </wp:anchor>
        </w:drawing>
        <w:t xml:space="preserve">Retirement Eligibility Date </w:t>
      </w:r>
      <w:r>
        <w:rPr>
          <w:rFonts w:ascii="Arial" w:cs="Arial" w:eastAsia="Arial" w:hAnsi="Arial"/>
          <w:sz w:val="16"/>
          <w:szCs w:val="16"/>
          <w:i w:val="1"/>
          <w:iCs w:val="1"/>
          <w:color w:val="auto"/>
        </w:rPr>
        <w:t>(select all that apply)</w:t>
      </w:r>
      <w:r>
        <w:rPr>
          <w:rFonts w:ascii="Arial" w:cs="Arial" w:eastAsia="Arial" w:hAnsi="Arial"/>
          <w:sz w:val="16"/>
          <w:szCs w:val="16"/>
          <w:color w:val="auto"/>
        </w:rPr>
        <w:t>:</w:t>
      </w:r>
    </w:p>
    <w:p>
      <w:pPr>
        <w:spacing w:after="0" w:line="162" w:lineRule="exact"/>
        <w:rPr>
          <w:sz w:val="20"/>
          <w:szCs w:val="20"/>
          <w:color w:val="auto"/>
        </w:rPr>
      </w:pPr>
    </w:p>
    <w:p>
      <w:pPr>
        <w:ind w:left="1925"/>
        <w:spacing w:after="0"/>
        <w:rPr>
          <w:sz w:val="20"/>
          <w:szCs w:val="20"/>
          <w:color w:val="auto"/>
        </w:rPr>
      </w:pPr>
      <w:r>
        <w:rPr>
          <w:rFonts w:ascii="Arial" w:cs="Arial" w:eastAsia="Arial" w:hAnsi="Arial"/>
          <w:sz w:val="16"/>
          <w:szCs w:val="16"/>
          <w:color w:val="auto"/>
        </w:rPr>
        <w:t>Not Applicable</w:t>
      </w:r>
    </w:p>
    <w:p>
      <w:pPr>
        <w:spacing w:after="0" w:line="154" w:lineRule="exact"/>
        <w:rPr>
          <w:sz w:val="20"/>
          <w:szCs w:val="20"/>
          <w:color w:val="auto"/>
        </w:rPr>
      </w:pPr>
    </w:p>
    <w:p>
      <w:pPr>
        <w:ind w:left="1905"/>
        <w:spacing w:after="0"/>
        <w:rPr>
          <w:sz w:val="20"/>
          <w:szCs w:val="20"/>
          <w:color w:val="auto"/>
        </w:rPr>
      </w:pPr>
      <w:r>
        <w:rPr>
          <w:rFonts w:ascii="Arial" w:cs="Arial" w:eastAsia="Arial" w:hAnsi="Arial"/>
          <w:sz w:val="16"/>
          <w:szCs w:val="16"/>
          <w:color w:val="auto"/>
        </w:rPr>
        <w:t>Age 65 (for Plan Year 2021 only)</w:t>
      </w:r>
    </w:p>
    <w:p>
      <w:pPr>
        <w:spacing w:after="0" w:line="146" w:lineRule="exact"/>
        <w:rPr>
          <w:sz w:val="20"/>
          <w:szCs w:val="20"/>
          <w:color w:val="auto"/>
        </w:rPr>
      </w:pPr>
    </w:p>
    <w:p>
      <w:pPr>
        <w:ind w:left="1925"/>
        <w:spacing w:after="0"/>
        <w:rPr>
          <w:sz w:val="20"/>
          <w:szCs w:val="20"/>
          <w:color w:val="auto"/>
        </w:rPr>
      </w:pPr>
      <w:r>
        <w:rPr>
          <w:rFonts w:ascii="Arial" w:cs="Arial" w:eastAsia="Arial" w:hAnsi="Arial"/>
          <w:sz w:val="16"/>
          <w:szCs w:val="16"/>
          <w:b w:val="1"/>
          <w:bCs w:val="1"/>
          <w:color w:val="auto"/>
        </w:rPr>
        <w:t>Age 55 (for all Plan Years beginning 2022)</w:t>
      </w:r>
    </w:p>
    <w:p>
      <w:pPr>
        <w:spacing w:after="0" w:line="162" w:lineRule="exact"/>
        <w:rPr>
          <w:sz w:val="20"/>
          <w:szCs w:val="20"/>
          <w:color w:val="auto"/>
        </w:rPr>
      </w:pPr>
    </w:p>
    <w:p>
      <w:pPr>
        <w:ind w:left="1905"/>
        <w:spacing w:after="0"/>
        <w:rPr>
          <w:sz w:val="20"/>
          <w:szCs w:val="20"/>
          <w:color w:val="auto"/>
        </w:rPr>
      </w:pPr>
      <w:r>
        <w:rPr>
          <w:rFonts w:ascii="Arial" w:cs="Arial" w:eastAsia="Arial" w:hAnsi="Arial"/>
          <w:sz w:val="16"/>
          <w:szCs w:val="16"/>
          <w:color w:val="auto"/>
        </w:rPr>
        <w:t>Age____plus____years of plan participation</w:t>
      </w:r>
    </w:p>
    <w:p>
      <w:pPr>
        <w:spacing w:after="0" w:line="167" w:lineRule="exact"/>
        <w:rPr>
          <w:sz w:val="20"/>
          <w:szCs w:val="20"/>
          <w:color w:val="auto"/>
        </w:rPr>
      </w:pPr>
    </w:p>
    <w:p>
      <w:pPr>
        <w:ind w:left="1905"/>
        <w:spacing w:after="0"/>
        <w:rPr>
          <w:sz w:val="20"/>
          <w:szCs w:val="20"/>
          <w:color w:val="auto"/>
        </w:rPr>
      </w:pPr>
      <w:r>
        <w:rPr>
          <w:rFonts w:ascii="Arial" w:cs="Arial" w:eastAsia="Arial" w:hAnsi="Arial"/>
          <w:sz w:val="16"/>
          <w:szCs w:val="16"/>
          <w:color w:val="auto"/>
        </w:rPr>
        <w:t>Age____plus____years of cumulative service and____years of plan participation</w:t>
      </w:r>
    </w:p>
    <w:p>
      <w:pPr>
        <w:spacing w:after="0" w:line="294" w:lineRule="exact"/>
        <w:rPr>
          <w:sz w:val="20"/>
          <w:szCs w:val="20"/>
          <w:color w:val="auto"/>
        </w:rPr>
      </w:pPr>
    </w:p>
    <w:p>
      <w:pPr>
        <w:ind w:left="5"/>
        <w:spacing w:after="0"/>
        <w:tabs>
          <w:tab w:leader="none" w:pos="644" w:val="left"/>
        </w:tabs>
        <w:rPr>
          <w:sz w:val="20"/>
          <w:szCs w:val="20"/>
          <w:color w:val="auto"/>
        </w:rPr>
      </w:pPr>
      <w:r>
        <w:rPr>
          <w:rFonts w:ascii="Arial" w:cs="Arial" w:eastAsia="Arial" w:hAnsi="Arial"/>
          <w:sz w:val="16"/>
          <w:szCs w:val="16"/>
          <w:b w:val="1"/>
          <w:bCs w:val="1"/>
          <w:color w:val="auto"/>
        </w:rPr>
        <w:t>VI.</w:t>
      </w:r>
      <w:r>
        <w:rPr>
          <w:sz w:val="20"/>
          <w:szCs w:val="20"/>
          <w:color w:val="auto"/>
        </w:rPr>
        <w:tab/>
      </w:r>
      <w:r>
        <w:rPr>
          <w:rFonts w:ascii="Arial" w:cs="Arial" w:eastAsia="Arial" w:hAnsi="Arial"/>
          <w:sz w:val="16"/>
          <w:szCs w:val="16"/>
          <w:b w:val="1"/>
          <w:bCs w:val="1"/>
          <w:color w:val="auto"/>
        </w:rPr>
        <w:t>Distributions.</w:t>
      </w:r>
    </w:p>
    <w:p>
      <w:pPr>
        <w:spacing w:after="0" w:line="37" w:lineRule="exact"/>
        <w:rPr>
          <w:sz w:val="20"/>
          <w:szCs w:val="20"/>
          <w:color w:val="auto"/>
        </w:rPr>
      </w:pPr>
    </w:p>
    <w:p>
      <w:pPr>
        <w:ind w:left="1105" w:hanging="327"/>
        <w:spacing w:after="0"/>
        <w:tabs>
          <w:tab w:leader="none" w:pos="1105"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In-Service Distributions </w:t>
      </w:r>
      <w:r>
        <w:rPr>
          <w:rFonts w:ascii="Arial" w:cs="Arial" w:eastAsia="Arial" w:hAnsi="Arial"/>
          <w:sz w:val="1"/>
          <w:szCs w:val="1"/>
          <w:b w:val="1"/>
          <w:bCs w:val="1"/>
          <w:color w:val="auto"/>
        </w:rPr>
        <w:drawing>
          <wp:inline distT="0" distB="0" distL="0" distR="0">
            <wp:extent cx="163195" cy="16319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163195" cy="163195"/>
                    </a:xfrm>
                    <a:prstGeom prst="rect">
                      <a:avLst/>
                    </a:prstGeom>
                    <a:noFill/>
                    <a:ln>
                      <a:noFill/>
                    </a:ln>
                  </pic:spPr>
                </pic:pic>
              </a:graphicData>
            </a:graphic>
          </wp:inline>
        </w:drawing>
      </w:r>
      <w:r>
        <w:rPr>
          <w:rFonts w:ascii="Arial" w:cs="Arial" w:eastAsia="Arial" w:hAnsi="Arial"/>
          <w:sz w:val="16"/>
          <w:szCs w:val="16"/>
          <w:color w:val="auto"/>
        </w:rPr>
        <w:t xml:space="preserve"> Yes </w:t>
      </w:r>
      <w:r>
        <w:rPr>
          <w:rFonts w:ascii="Arial" w:cs="Arial" w:eastAsia="Arial" w:hAnsi="Arial"/>
          <w:sz w:val="1"/>
          <w:szCs w:val="1"/>
          <w:b w:val="1"/>
          <w:bCs w:val="1"/>
          <w:color w:val="auto"/>
        </w:rPr>
        <w:drawing>
          <wp:inline distT="0" distB="0" distL="0" distR="0">
            <wp:extent cx="171450" cy="1714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No</w:t>
      </w:r>
    </w:p>
    <w:p>
      <w:pPr>
        <w:spacing w:after="0" w:line="24" w:lineRule="exact"/>
        <w:rPr>
          <w:rFonts w:ascii="Arial" w:cs="Arial" w:eastAsia="Arial" w:hAnsi="Arial"/>
          <w:sz w:val="16"/>
          <w:szCs w:val="16"/>
          <w:b w:val="1"/>
          <w:bCs w:val="1"/>
          <w:color w:val="auto"/>
        </w:rPr>
      </w:pPr>
    </w:p>
    <w:p>
      <w:pPr>
        <w:ind w:left="1105"/>
        <w:spacing w:after="0" w:line="237" w:lineRule="auto"/>
        <w:rPr>
          <w:rFonts w:ascii="Arial" w:cs="Arial" w:eastAsia="Arial" w:hAnsi="Arial"/>
          <w:sz w:val="16"/>
          <w:szCs w:val="16"/>
          <w:b w:val="1"/>
          <w:bCs w:val="1"/>
          <w:color w:val="auto"/>
        </w:rPr>
      </w:pPr>
      <w:r>
        <w:rPr>
          <w:rFonts w:ascii="Arial" w:cs="Arial" w:eastAsia="Arial" w:hAnsi="Arial"/>
          <w:sz w:val="14"/>
          <w:szCs w:val="14"/>
          <w:i w:val="1"/>
          <w:iCs w:val="1"/>
          <w:color w:val="auto"/>
        </w:rPr>
        <w:t>(trumped by all other distribution events)</w:t>
      </w:r>
    </w:p>
    <w:p>
      <w:pPr>
        <w:ind w:left="1825" w:hanging="270"/>
        <w:spacing w:after="0"/>
        <w:tabs>
          <w:tab w:leader="none" w:pos="1825" w:val="left"/>
        </w:tabs>
        <w:numPr>
          <w:ilvl w:val="1"/>
          <w:numId w:val="22"/>
        </w:numPr>
        <w:rPr>
          <w:rFonts w:ascii="Arial" w:cs="Arial" w:eastAsia="Arial" w:hAnsi="Arial"/>
          <w:sz w:val="16"/>
          <w:szCs w:val="16"/>
          <w:color w:val="auto"/>
        </w:rPr>
      </w:pPr>
      <w:r>
        <w:rPr>
          <w:rFonts w:ascii="Arial" w:cs="Arial" w:eastAsia="Arial" w:hAnsi="Arial"/>
          <w:sz w:val="16"/>
          <w:szCs w:val="16"/>
          <w:color w:val="auto"/>
        </w:rPr>
        <w:t>May include employer contributions:</w:t>
      </w:r>
    </w:p>
    <w:p>
      <w:pPr>
        <w:spacing w:after="0" w:line="17" w:lineRule="exact"/>
        <w:rPr>
          <w:sz w:val="20"/>
          <w:szCs w:val="20"/>
          <w:color w:val="auto"/>
        </w:rPr>
      </w:pPr>
    </w:p>
    <w:p>
      <w:pPr>
        <w:ind w:left="2205"/>
        <w:spacing w:after="0"/>
        <w:rPr>
          <w:sz w:val="20"/>
          <w:szCs w:val="20"/>
          <w:color w:val="auto"/>
        </w:rPr>
      </w:pPr>
      <w:r>
        <w:rPr>
          <w:rFonts w:ascii="Arial" w:cs="Arial" w:eastAsia="Arial" w:hAnsi="Arial"/>
          <w:sz w:val="16"/>
          <w:szCs w:val="16"/>
          <w:color w:val="auto"/>
        </w:rPr>
        <w:t xml:space="preserve">Company Match: </w:t>
      </w:r>
      <w:r>
        <w:rPr>
          <w:sz w:val="1"/>
          <w:szCs w:val="1"/>
          <w:color w:val="auto"/>
        </w:rPr>
        <w:drawing>
          <wp:inline distT="0" distB="0" distL="0" distR="0">
            <wp:extent cx="171450" cy="17145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Yes </w:t>
      </w:r>
      <w:r>
        <w:rPr>
          <w:sz w:val="1"/>
          <w:szCs w:val="1"/>
          <w:color w:val="auto"/>
        </w:rPr>
        <w:drawing>
          <wp:inline distT="0" distB="0" distL="0" distR="0">
            <wp:extent cx="162560" cy="16319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16"/>
          <w:szCs w:val="16"/>
          <w:color w:val="auto"/>
        </w:rPr>
        <w:t xml:space="preserve"> No </w:t>
      </w:r>
      <w:r>
        <w:rPr>
          <w:sz w:val="1"/>
          <w:szCs w:val="1"/>
          <w:color w:val="auto"/>
        </w:rPr>
        <w:drawing>
          <wp:inline distT="0" distB="0" distL="0" distR="0">
            <wp:extent cx="171450" cy="17145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N/A</w:t>
      </w:r>
    </w:p>
    <w:p>
      <w:pPr>
        <w:spacing w:after="0" w:line="34" w:lineRule="exact"/>
        <w:rPr>
          <w:sz w:val="20"/>
          <w:szCs w:val="20"/>
          <w:color w:val="auto"/>
        </w:rPr>
      </w:pPr>
    </w:p>
    <w:p>
      <w:pPr>
        <w:ind w:left="2205"/>
        <w:spacing w:after="0"/>
        <w:rPr>
          <w:sz w:val="20"/>
          <w:szCs w:val="20"/>
          <w:color w:val="auto"/>
        </w:rPr>
      </w:pPr>
      <w:r>
        <w:rPr>
          <w:rFonts w:ascii="Arial" w:cs="Arial" w:eastAsia="Arial" w:hAnsi="Arial"/>
          <w:sz w:val="16"/>
          <w:szCs w:val="16"/>
          <w:color w:val="auto"/>
        </w:rPr>
        <w:t xml:space="preserve">Company Discretionary: </w:t>
      </w:r>
      <w:r>
        <w:rPr>
          <w:sz w:val="1"/>
          <w:szCs w:val="1"/>
          <w:color w:val="auto"/>
        </w:rPr>
        <w:drawing>
          <wp:inline distT="0" distB="0" distL="0" distR="0">
            <wp:extent cx="171450" cy="17145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Yes </w:t>
      </w:r>
      <w:r>
        <w:rPr>
          <w:sz w:val="1"/>
          <w:szCs w:val="1"/>
          <w:color w:val="auto"/>
        </w:rPr>
        <w:drawing>
          <wp:inline distT="0" distB="0" distL="0" distR="0">
            <wp:extent cx="163195" cy="16319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163195" cy="163195"/>
                    </a:xfrm>
                    <a:prstGeom prst="rect">
                      <a:avLst/>
                    </a:prstGeom>
                    <a:noFill/>
                    <a:ln>
                      <a:noFill/>
                    </a:ln>
                  </pic:spPr>
                </pic:pic>
              </a:graphicData>
            </a:graphic>
          </wp:inline>
        </w:drawing>
      </w:r>
      <w:r>
        <w:rPr>
          <w:rFonts w:ascii="Arial" w:cs="Arial" w:eastAsia="Arial" w:hAnsi="Arial"/>
          <w:sz w:val="16"/>
          <w:szCs w:val="16"/>
          <w:color w:val="auto"/>
        </w:rPr>
        <w:t xml:space="preserve"> No </w:t>
      </w:r>
      <w:r>
        <w:rPr>
          <w:sz w:val="1"/>
          <w:szCs w:val="1"/>
          <w:color w:val="auto"/>
        </w:rPr>
        <w:drawing>
          <wp:inline distT="0" distB="0" distL="0" distR="0">
            <wp:extent cx="171450" cy="17145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N/A</w:t>
      </w:r>
    </w:p>
    <w:p>
      <w:pPr>
        <w:spacing w:after="0" w:line="127" w:lineRule="exact"/>
        <w:rPr>
          <w:sz w:val="20"/>
          <w:szCs w:val="20"/>
          <w:color w:val="auto"/>
        </w:rPr>
      </w:pPr>
    </w:p>
    <w:p>
      <w:pPr>
        <w:ind w:left="1565"/>
        <w:spacing w:after="0"/>
        <w:rPr>
          <w:sz w:val="20"/>
          <w:szCs w:val="20"/>
          <w:color w:val="auto"/>
        </w:rPr>
      </w:pPr>
      <w:r>
        <w:rPr>
          <w:rFonts w:ascii="Arial" w:cs="Arial" w:eastAsia="Arial" w:hAnsi="Arial"/>
          <w:sz w:val="16"/>
          <w:szCs w:val="16"/>
          <w:color w:val="auto"/>
        </w:rPr>
        <w:t xml:space="preserve">(ii) Type of election is </w:t>
      </w:r>
      <w:r>
        <w:rPr>
          <w:rFonts w:ascii="Arial" w:cs="Arial" w:eastAsia="Arial" w:hAnsi="Arial"/>
          <w:sz w:val="16"/>
          <w:szCs w:val="16"/>
          <w:i w:val="1"/>
          <w:iCs w:val="1"/>
          <w:color w:val="auto"/>
        </w:rPr>
        <w:t>(select one):</w:t>
      </w:r>
    </w:p>
    <w:p>
      <w:pPr>
        <w:spacing w:after="0" w:line="158" w:lineRule="exact"/>
        <w:rPr>
          <w:sz w:val="20"/>
          <w:szCs w:val="20"/>
          <w:color w:val="auto"/>
        </w:rPr>
      </w:pPr>
    </w:p>
    <w:p>
      <w:pPr>
        <w:ind w:left="2585"/>
        <w:spacing w:after="0"/>
        <w:rPr>
          <w:sz w:val="20"/>
          <w:szCs w:val="20"/>
          <w:color w:val="auto"/>
        </w:rPr>
      </w:pPr>
      <w:r>
        <w:rPr>
          <w:rFonts w:ascii="Arial" w:cs="Arial" w:eastAsia="Arial" w:hAnsi="Arial"/>
          <w:sz w:val="16"/>
          <w:szCs w:val="16"/>
          <w:color w:val="auto"/>
        </w:rPr>
        <w:t>Class year - each year’s balance may have a different distribution election</w:t>
      </w:r>
    </w:p>
    <w:p>
      <w:pPr>
        <w:spacing w:after="0" w:line="42" w:lineRule="exact"/>
        <w:rPr>
          <w:sz w:val="20"/>
          <w:szCs w:val="20"/>
          <w:color w:val="auto"/>
        </w:rPr>
      </w:pPr>
    </w:p>
    <w:p>
      <w:pPr>
        <w:ind w:left="2205"/>
        <w:spacing w:after="0" w:line="273" w:lineRule="auto"/>
        <w:rPr>
          <w:sz w:val="20"/>
          <w:szCs w:val="20"/>
          <w:color w:val="auto"/>
        </w:rPr>
      </w:pPr>
      <w:r>
        <w:rPr>
          <w:sz w:val="1"/>
          <w:szCs w:val="1"/>
          <w:color w:val="auto"/>
        </w:rPr>
        <w:drawing>
          <wp:inline distT="0" distB="0" distL="0" distR="0">
            <wp:extent cx="171450" cy="17145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User-created accounts (max number of accounts: ( 5 ) - each year’s balance is directed to one or more date-specific accounts.</w:t>
      </w:r>
    </w:p>
    <w:p>
      <w:pPr>
        <w:spacing w:after="0" w:line="122" w:lineRule="exact"/>
        <w:rPr>
          <w:sz w:val="20"/>
          <w:szCs w:val="20"/>
          <w:color w:val="auto"/>
        </w:rPr>
      </w:pPr>
    </w:p>
    <w:p>
      <w:pPr>
        <w:ind w:left="1825" w:hanging="270"/>
        <w:spacing w:after="0"/>
        <w:tabs>
          <w:tab w:leader="none" w:pos="182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Alternative forms of distribution </w:t>
      </w:r>
      <w:r>
        <w:rPr>
          <w:rFonts w:ascii="Arial" w:cs="Arial" w:eastAsia="Arial" w:hAnsi="Arial"/>
          <w:sz w:val="16"/>
          <w:szCs w:val="16"/>
          <w:i w:val="1"/>
          <w:iCs w:val="1"/>
          <w:color w:val="auto"/>
        </w:rPr>
        <w:t>(select all that apply</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2205"/>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62560" cy="16319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16"/>
          <w:szCs w:val="16"/>
          <w:color w:val="auto"/>
        </w:rPr>
        <w:t xml:space="preserve">  Lump Sum</w:t>
      </w:r>
    </w:p>
    <w:p>
      <w:pPr>
        <w:spacing w:after="0" w:line="33" w:lineRule="exact"/>
        <w:rPr>
          <w:rFonts w:ascii="Arial" w:cs="Arial" w:eastAsia="Arial" w:hAnsi="Arial"/>
          <w:sz w:val="16"/>
          <w:szCs w:val="16"/>
          <w:color w:val="auto"/>
        </w:rPr>
      </w:pPr>
    </w:p>
    <w:p>
      <w:pPr>
        <w:ind w:left="2205"/>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62560" cy="16256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16"/>
          <w:szCs w:val="16"/>
          <w:color w:val="auto"/>
        </w:rPr>
        <w:t xml:space="preserve">  Annual installments for any whole number of years up to 4</w:t>
      </w:r>
    </w:p>
    <w:p>
      <w:pPr>
        <w:spacing w:after="0" w:line="158" w:lineRule="exact"/>
        <w:rPr>
          <w:sz w:val="20"/>
          <w:szCs w:val="20"/>
          <w:color w:val="auto"/>
        </w:rPr>
      </w:pPr>
    </w:p>
    <w:p>
      <w:pPr>
        <w:ind w:left="2605"/>
        <w:spacing w:after="0"/>
        <w:rPr>
          <w:sz w:val="20"/>
          <w:szCs w:val="20"/>
          <w:color w:val="auto"/>
        </w:rPr>
      </w:pPr>
      <w:r>
        <w:rPr>
          <w:rFonts w:ascii="Arial" w:cs="Arial" w:eastAsia="Arial" w:hAnsi="Arial"/>
          <w:sz w:val="16"/>
          <w:szCs w:val="16"/>
          <w:color w:val="auto"/>
        </w:rPr>
        <w:t>Other:____________________________</w:t>
      </w:r>
    </w:p>
    <w:p>
      <w:pPr>
        <w:spacing w:after="0" w:line="140" w:lineRule="exact"/>
        <w:rPr>
          <w:sz w:val="20"/>
          <w:szCs w:val="20"/>
          <w:color w:val="auto"/>
        </w:rPr>
      </w:pPr>
    </w:p>
    <w:p>
      <w:pPr>
        <w:ind w:left="1565"/>
        <w:spacing w:after="0"/>
        <w:rPr>
          <w:sz w:val="20"/>
          <w:szCs w:val="20"/>
          <w:color w:val="auto"/>
        </w:rPr>
      </w:pPr>
      <w:r>
        <w:rPr>
          <w:rFonts w:ascii="Arial" w:cs="Arial" w:eastAsia="Arial" w:hAnsi="Arial"/>
          <w:sz w:val="16"/>
          <w:szCs w:val="16"/>
          <w:color w:val="auto"/>
        </w:rPr>
        <w:t>(iv)The Minimum Deferral Period for vested balances, is__3____years* measured from the beginning of</w:t>
      </w:r>
    </w:p>
    <w:p>
      <w:pPr>
        <w:spacing w:after="0" w:line="17" w:lineRule="exact"/>
        <w:rPr>
          <w:sz w:val="20"/>
          <w:szCs w:val="20"/>
          <w:color w:val="auto"/>
        </w:rPr>
      </w:pPr>
    </w:p>
    <w:p>
      <w:pPr>
        <w:ind w:left="1805"/>
        <w:spacing w:after="0"/>
        <w:rPr>
          <w:sz w:val="20"/>
          <w:szCs w:val="20"/>
          <w:color w:val="auto"/>
        </w:rPr>
      </w:pPr>
      <w:r>
        <w:rPr>
          <w:rFonts w:ascii="Arial" w:cs="Arial" w:eastAsia="Arial" w:hAnsi="Arial"/>
          <w:sz w:val="16"/>
          <w:szCs w:val="16"/>
          <w:color w:val="auto"/>
        </w:rPr>
        <w:t>the Plan Year For example: when enrolling for the___2021____plan year, the earliest allowable In-</w:t>
      </w:r>
    </w:p>
    <w:p>
      <w:pPr>
        <w:spacing w:after="0" w:line="5" w:lineRule="exact"/>
        <w:rPr>
          <w:sz w:val="20"/>
          <w:szCs w:val="20"/>
          <w:color w:val="auto"/>
        </w:rPr>
      </w:pPr>
    </w:p>
    <w:p>
      <w:pPr>
        <w:ind w:left="1805"/>
        <w:spacing w:after="0"/>
        <w:rPr>
          <w:sz w:val="20"/>
          <w:szCs w:val="20"/>
          <w:color w:val="auto"/>
        </w:rPr>
      </w:pPr>
      <w:r>
        <w:rPr>
          <w:rFonts w:ascii="Arial" w:cs="Arial" w:eastAsia="Arial" w:hAnsi="Arial"/>
          <w:sz w:val="16"/>
          <w:szCs w:val="16"/>
          <w:color w:val="auto"/>
        </w:rPr>
        <w:t>Service Distribution date is___1/1/2024__</w:t>
      </w:r>
    </w:p>
    <w:p>
      <w:pPr>
        <w:spacing w:after="0" w:line="196" w:lineRule="exact"/>
        <w:rPr>
          <w:sz w:val="20"/>
          <w:szCs w:val="20"/>
          <w:color w:val="auto"/>
        </w:rPr>
      </w:pPr>
    </w:p>
    <w:p>
      <w:pPr>
        <w:ind w:left="1745" w:right="100"/>
        <w:spacing w:after="0" w:line="279" w:lineRule="auto"/>
        <w:rPr>
          <w:sz w:val="20"/>
          <w:szCs w:val="20"/>
          <w:color w:val="auto"/>
        </w:rPr>
      </w:pPr>
      <w:r>
        <w:rPr>
          <w:rFonts w:ascii="Arial" w:cs="Arial" w:eastAsia="Arial" w:hAnsi="Arial"/>
          <w:sz w:val="14"/>
          <w:szCs w:val="14"/>
          <w:i w:val="1"/>
          <w:iCs w:val="1"/>
          <w:color w:val="auto"/>
        </w:rPr>
        <w:t>(*Recommend no earlier than the time at which company contributions are 100% vested. Unvested portions at the time of the scheduled payments would be paid out upon separation from service.)</w:t>
      </w:r>
    </w:p>
    <w:p>
      <w:pPr>
        <w:spacing w:after="0" w:line="103" w:lineRule="exact"/>
        <w:rPr>
          <w:sz w:val="20"/>
          <w:szCs w:val="20"/>
          <w:color w:val="auto"/>
        </w:rPr>
      </w:pPr>
    </w:p>
    <w:p>
      <w:pPr>
        <w:jc w:val="both"/>
        <w:ind w:left="1805" w:right="280" w:hanging="250"/>
        <w:spacing w:after="0" w:line="266" w:lineRule="auto"/>
        <w:tabs>
          <w:tab w:leader="none" w:pos="1805"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The Minimum Deferral Period for any </w:t>
      </w:r>
      <w:r>
        <w:rPr>
          <w:rFonts w:ascii="Arial" w:cs="Arial" w:eastAsia="Arial" w:hAnsi="Arial"/>
          <w:sz w:val="16"/>
          <w:szCs w:val="16"/>
          <w:b w:val="1"/>
          <w:bCs w:val="1"/>
          <w:color w:val="auto"/>
        </w:rPr>
        <w:t>RSU</w:t>
      </w:r>
      <w:r>
        <w:rPr>
          <w:rFonts w:ascii="Arial" w:cs="Arial" w:eastAsia="Arial" w:hAnsi="Arial"/>
          <w:sz w:val="16"/>
          <w:szCs w:val="16"/>
          <w:color w:val="auto"/>
        </w:rPr>
        <w:t xml:space="preserve"> balances, is___5____years* measured from the beginning of the Plan Year. For example: when enrolling for the___2021__plan year, the earliest allowable In-Service Distribution date is____1/1/2026__</w:t>
      </w:r>
    </w:p>
    <w:p>
      <w:pPr>
        <w:spacing w:after="0" w:line="144" w:lineRule="exact"/>
        <w:rPr>
          <w:rFonts w:ascii="Arial" w:cs="Arial" w:eastAsia="Arial" w:hAnsi="Arial"/>
          <w:sz w:val="16"/>
          <w:szCs w:val="16"/>
          <w:color w:val="auto"/>
        </w:rPr>
      </w:pPr>
    </w:p>
    <w:p>
      <w:pPr>
        <w:ind w:left="785"/>
        <w:spacing w:after="0"/>
        <w:rPr>
          <w:rFonts w:ascii="Arial" w:cs="Arial" w:eastAsia="Arial" w:hAnsi="Arial"/>
          <w:sz w:val="16"/>
          <w:szCs w:val="16"/>
          <w:color w:val="auto"/>
        </w:rPr>
      </w:pPr>
      <w:r>
        <w:rPr>
          <w:rFonts w:ascii="Arial" w:cs="Arial" w:eastAsia="Arial" w:hAnsi="Arial"/>
          <w:sz w:val="16"/>
          <w:szCs w:val="16"/>
          <w:b w:val="1"/>
          <w:bCs w:val="1"/>
          <w:color w:val="auto"/>
        </w:rPr>
        <w:t>b.  Retirement Distribution</w:t>
      </w:r>
    </w:p>
    <w:p>
      <w:pPr>
        <w:spacing w:after="0" w:line="25" w:lineRule="exact"/>
        <w:rPr>
          <w:rFonts w:ascii="Arial" w:cs="Arial" w:eastAsia="Arial" w:hAnsi="Arial"/>
          <w:sz w:val="16"/>
          <w:szCs w:val="16"/>
          <w:color w:val="auto"/>
        </w:rPr>
      </w:pPr>
    </w:p>
    <w:p>
      <w:pPr>
        <w:ind w:left="1825" w:hanging="270"/>
        <w:spacing w:after="0"/>
        <w:tabs>
          <w:tab w:leader="none" w:pos="1825"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Type of election applies as </w:t>
      </w:r>
      <w:r>
        <w:rPr>
          <w:rFonts w:ascii="Arial" w:cs="Arial" w:eastAsia="Arial" w:hAnsi="Arial"/>
          <w:sz w:val="16"/>
          <w:szCs w:val="16"/>
          <w:i w:val="1"/>
          <w:iCs w:val="1"/>
          <w:color w:val="auto"/>
        </w:rPr>
        <w:t>(select one):</w:t>
      </w:r>
    </w:p>
    <w:p>
      <w:pPr>
        <w:spacing w:after="0" w:line="142" w:lineRule="exact"/>
        <w:rPr>
          <w:sz w:val="20"/>
          <w:szCs w:val="20"/>
          <w:color w:val="auto"/>
        </w:rPr>
      </w:pPr>
    </w:p>
    <w:p>
      <w:pPr>
        <w:ind w:left="2605"/>
        <w:spacing w:after="0"/>
        <w:rPr>
          <w:sz w:val="20"/>
          <w:szCs w:val="20"/>
          <w:color w:val="auto"/>
        </w:rPr>
      </w:pPr>
      <w:r>
        <w:rPr>
          <w:rFonts w:ascii="Arial" w:cs="Arial" w:eastAsia="Arial" w:hAnsi="Arial"/>
          <w:sz w:val="16"/>
          <w:szCs w:val="16"/>
          <w:color w:val="auto"/>
        </w:rPr>
        <w:t>A one-time election</w:t>
      </w:r>
    </w:p>
    <w:p>
      <w:pPr>
        <w:spacing w:after="0" w:line="154" w:lineRule="exact"/>
        <w:rPr>
          <w:sz w:val="20"/>
          <w:szCs w:val="20"/>
          <w:color w:val="auto"/>
        </w:rPr>
      </w:pPr>
    </w:p>
    <w:p>
      <w:pPr>
        <w:ind w:left="2585"/>
        <w:spacing w:after="0"/>
        <w:rPr>
          <w:sz w:val="20"/>
          <w:szCs w:val="20"/>
          <w:color w:val="auto"/>
        </w:rPr>
      </w:pPr>
      <w:r>
        <w:rPr>
          <w:rFonts w:ascii="Arial" w:cs="Arial" w:eastAsia="Arial" w:hAnsi="Arial"/>
          <w:sz w:val="16"/>
          <w:szCs w:val="16"/>
          <w:color w:val="auto"/>
        </w:rPr>
        <w:t>Class year – each year’s balance may have a different distribution election</w:t>
      </w:r>
    </w:p>
    <w:p>
      <w:pPr>
        <w:spacing w:after="0" w:line="46" w:lineRule="exact"/>
        <w:rPr>
          <w:sz w:val="20"/>
          <w:szCs w:val="20"/>
          <w:color w:val="auto"/>
        </w:rPr>
      </w:pPr>
    </w:p>
    <w:p>
      <w:pPr>
        <w:ind w:left="2585"/>
        <w:spacing w:after="0"/>
        <w:rPr>
          <w:sz w:val="20"/>
          <w:szCs w:val="20"/>
          <w:color w:val="auto"/>
        </w:rPr>
      </w:pPr>
      <w:r>
        <w:rPr>
          <w:rFonts w:ascii="Arial" w:cs="Arial" w:eastAsia="Arial" w:hAnsi="Arial"/>
          <w:sz w:val="14"/>
          <w:szCs w:val="14"/>
          <w:i w:val="1"/>
          <w:iCs w:val="1"/>
          <w:color w:val="auto"/>
        </w:rPr>
        <w:t>(not recommended if user-created accounts is selected for In-service distributions)</w:t>
      </w:r>
    </w:p>
    <w:p>
      <w:pPr>
        <w:spacing w:after="0" w:line="158" w:lineRule="exact"/>
        <w:rPr>
          <w:sz w:val="20"/>
          <w:szCs w:val="20"/>
          <w:color w:val="auto"/>
        </w:rPr>
      </w:pPr>
    </w:p>
    <w:p>
      <w:pPr>
        <w:ind w:left="1825" w:hanging="270"/>
        <w:spacing w:after="0"/>
        <w:tabs>
          <w:tab w:leader="none" w:pos="1825"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Alternative forms of distribution </w:t>
      </w:r>
      <w:r>
        <w:rPr>
          <w:rFonts w:ascii="Arial" w:cs="Arial" w:eastAsia="Arial" w:hAnsi="Arial"/>
          <w:sz w:val="16"/>
          <w:szCs w:val="16"/>
          <w:i w:val="1"/>
          <w:iCs w:val="1"/>
          <w:color w:val="auto"/>
        </w:rPr>
        <w:t>(select all that apply</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2205"/>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62560" cy="1625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16"/>
          <w:szCs w:val="16"/>
          <w:color w:val="auto"/>
        </w:rPr>
        <w:t xml:space="preserve">  Lump Sum</w:t>
      </w:r>
    </w:p>
    <w:p>
      <w:pPr>
        <w:spacing w:after="0" w:line="47" w:lineRule="exact"/>
        <w:rPr>
          <w:rFonts w:ascii="Arial" w:cs="Arial" w:eastAsia="Arial" w:hAnsi="Arial"/>
          <w:sz w:val="16"/>
          <w:szCs w:val="16"/>
          <w:color w:val="auto"/>
        </w:rPr>
      </w:pPr>
    </w:p>
    <w:p>
      <w:pPr>
        <w:ind w:left="2205"/>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62560" cy="1625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16"/>
          <w:szCs w:val="16"/>
          <w:color w:val="auto"/>
        </w:rPr>
        <w:t xml:space="preserve">  Annual installments for any whole number of years up to 10</w:t>
      </w:r>
    </w:p>
    <w:p>
      <w:pPr>
        <w:spacing w:after="0" w:line="33" w:lineRule="exact"/>
        <w:rPr>
          <w:rFonts w:ascii="Arial" w:cs="Arial" w:eastAsia="Arial" w:hAnsi="Arial"/>
          <w:sz w:val="16"/>
          <w:szCs w:val="16"/>
          <w:color w:val="auto"/>
        </w:rPr>
      </w:pPr>
    </w:p>
    <w:p>
      <w:pPr>
        <w:ind w:left="2205"/>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71450" cy="17145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Other:____________________________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403225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45"/>
          </w:cols>
          <w:pgMar w:left="1015" w:top="918" w:right="1339" w:bottom="1440" w:gutter="0" w:footer="0" w:header="0"/>
        </w:sectPr>
      </w:pPr>
    </w:p>
    <w:bookmarkStart w:id="44" w:name="page45"/>
    <w:bookmarkEnd w:id="44"/>
    <w:p>
      <w:pPr>
        <w:ind w:left="680" w:hanging="327"/>
        <w:spacing w:after="0"/>
        <w:tabs>
          <w:tab w:leader="none" w:pos="68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0772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36130" cy="8077200"/>
                    </a:xfrm>
                    <a:prstGeom prst="rect">
                      <a:avLst/>
                    </a:prstGeom>
                    <a:noFill/>
                  </pic:spPr>
                </pic:pic>
              </a:graphicData>
            </a:graphic>
          </wp:anchor>
        </w:drawing>
        <w:t xml:space="preserve">Termination Distribution </w:t>
      </w:r>
      <w:r>
        <w:rPr>
          <w:rFonts w:ascii="Arial" w:cs="Arial" w:eastAsia="Arial" w:hAnsi="Arial"/>
          <w:sz w:val="16"/>
          <w:szCs w:val="16"/>
          <w:color w:val="auto"/>
        </w:rPr>
        <w:t>(or</w:t>
      </w:r>
      <w:r>
        <w:rPr>
          <w:rFonts w:ascii="Arial" w:cs="Arial" w:eastAsia="Arial" w:hAnsi="Arial"/>
          <w:sz w:val="16"/>
          <w:szCs w:val="16"/>
          <w:b w:val="1"/>
          <w:bCs w:val="1"/>
          <w:color w:val="auto"/>
        </w:rPr>
        <w:t xml:space="preserve"> Separation Distribution </w:t>
      </w:r>
      <w:r>
        <w:rPr>
          <w:rFonts w:ascii="Arial" w:cs="Arial" w:eastAsia="Arial" w:hAnsi="Arial"/>
          <w:sz w:val="16"/>
          <w:szCs w:val="16"/>
          <w:color w:val="auto"/>
        </w:rPr>
        <w:t>if not using Retirement vs. Termination)</w:t>
      </w:r>
    </w:p>
    <w:p>
      <w:pPr>
        <w:spacing w:after="0" w:line="25" w:lineRule="exact"/>
        <w:rPr>
          <w:rFonts w:ascii="Arial" w:cs="Arial" w:eastAsia="Arial" w:hAnsi="Arial"/>
          <w:sz w:val="16"/>
          <w:szCs w:val="16"/>
          <w:b w:val="1"/>
          <w:bCs w:val="1"/>
          <w:color w:val="auto"/>
        </w:rPr>
      </w:pPr>
    </w:p>
    <w:p>
      <w:pPr>
        <w:ind w:left="1400" w:hanging="270"/>
        <w:spacing w:after="0"/>
        <w:tabs>
          <w:tab w:leader="none" w:pos="14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Type of election applies as </w:t>
      </w:r>
      <w:r>
        <w:rPr>
          <w:rFonts w:ascii="Arial" w:cs="Arial" w:eastAsia="Arial" w:hAnsi="Arial"/>
          <w:sz w:val="16"/>
          <w:szCs w:val="16"/>
          <w:i w:val="1"/>
          <w:iCs w:val="1"/>
          <w:color w:val="auto"/>
        </w:rPr>
        <w:t>(select one):</w:t>
      </w:r>
    </w:p>
    <w:p>
      <w:pPr>
        <w:spacing w:after="0" w:line="142"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 xml:space="preserve">Default only </w:t>
      </w:r>
      <w:r>
        <w:rPr>
          <w:rFonts w:ascii="Arial" w:cs="Arial" w:eastAsia="Arial" w:hAnsi="Arial"/>
          <w:sz w:val="14"/>
          <w:szCs w:val="14"/>
          <w:b w:val="1"/>
          <w:bCs w:val="1"/>
          <w:i w:val="1"/>
          <w:iCs w:val="1"/>
          <w:color w:val="auto"/>
        </w:rPr>
        <w:t>(recommended)</w:t>
      </w:r>
    </w:p>
    <w:p>
      <w:pPr>
        <w:spacing w:after="0" w:line="140"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A one-time election</w:t>
      </w:r>
    </w:p>
    <w:p>
      <w:pPr>
        <w:spacing w:after="0" w:line="167"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Class year – each year’s balance may have a different distribution election</w:t>
      </w:r>
    </w:p>
    <w:p>
      <w:pPr>
        <w:spacing w:after="0" w:line="46" w:lineRule="exact"/>
        <w:rPr>
          <w:sz w:val="20"/>
          <w:szCs w:val="20"/>
          <w:color w:val="auto"/>
        </w:rPr>
      </w:pPr>
    </w:p>
    <w:p>
      <w:pPr>
        <w:ind w:left="2160"/>
        <w:spacing w:after="0"/>
        <w:rPr>
          <w:sz w:val="20"/>
          <w:szCs w:val="20"/>
          <w:color w:val="auto"/>
        </w:rPr>
      </w:pPr>
      <w:r>
        <w:rPr>
          <w:rFonts w:ascii="Arial" w:cs="Arial" w:eastAsia="Arial" w:hAnsi="Arial"/>
          <w:sz w:val="14"/>
          <w:szCs w:val="14"/>
          <w:i w:val="1"/>
          <w:iCs w:val="1"/>
          <w:color w:val="auto"/>
        </w:rPr>
        <w:t>(not recommended if user-created accounts is selected for In-service distributions)</w:t>
      </w:r>
    </w:p>
    <w:p>
      <w:pPr>
        <w:spacing w:after="0" w:line="158" w:lineRule="exact"/>
        <w:rPr>
          <w:sz w:val="20"/>
          <w:szCs w:val="20"/>
          <w:color w:val="auto"/>
        </w:rPr>
      </w:pPr>
    </w:p>
    <w:p>
      <w:pPr>
        <w:ind w:left="1400" w:hanging="270"/>
        <w:spacing w:after="0"/>
        <w:tabs>
          <w:tab w:leader="none" w:pos="14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Alternative forms of distribution </w:t>
      </w:r>
      <w:r>
        <w:rPr>
          <w:rFonts w:ascii="Arial" w:cs="Arial" w:eastAsia="Arial" w:hAnsi="Arial"/>
          <w:sz w:val="16"/>
          <w:szCs w:val="16"/>
          <w:i w:val="1"/>
          <w:iCs w:val="1"/>
          <w:color w:val="auto"/>
        </w:rPr>
        <w:t>(select all that apply</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1780"/>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62560" cy="16319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16"/>
          <w:szCs w:val="16"/>
          <w:color w:val="auto"/>
        </w:rPr>
        <w:t xml:space="preserve">  Lump Sum </w:t>
      </w:r>
      <w:r>
        <w:rPr>
          <w:rFonts w:ascii="Arial" w:cs="Arial" w:eastAsia="Arial" w:hAnsi="Arial"/>
          <w:sz w:val="14"/>
          <w:szCs w:val="14"/>
          <w:b w:val="1"/>
          <w:bCs w:val="1"/>
          <w:i w:val="1"/>
          <w:iCs w:val="1"/>
          <w:color w:val="auto"/>
        </w:rPr>
        <w:t>(recommended)</w:t>
      </w:r>
    </w:p>
    <w:p>
      <w:pPr>
        <w:spacing w:after="0" w:line="47" w:lineRule="exact"/>
        <w:rPr>
          <w:rFonts w:ascii="Arial" w:cs="Arial" w:eastAsia="Arial" w:hAnsi="Arial"/>
          <w:sz w:val="16"/>
          <w:szCs w:val="16"/>
          <w:color w:val="auto"/>
        </w:rPr>
      </w:pPr>
    </w:p>
    <w:p>
      <w:pPr>
        <w:ind w:left="1780"/>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71450" cy="17145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Annual installments for any whole number of years up to</w:t>
      </w:r>
    </w:p>
    <w:p>
      <w:pPr>
        <w:spacing w:after="0" w:line="33" w:lineRule="exact"/>
        <w:rPr>
          <w:rFonts w:ascii="Arial" w:cs="Arial" w:eastAsia="Arial" w:hAnsi="Arial"/>
          <w:sz w:val="16"/>
          <w:szCs w:val="16"/>
          <w:color w:val="auto"/>
        </w:rPr>
      </w:pPr>
    </w:p>
    <w:p>
      <w:pPr>
        <w:ind w:left="1780"/>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71450" cy="17145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Other:____________________________</w:t>
      </w:r>
    </w:p>
    <w:p>
      <w:pPr>
        <w:spacing w:after="0" w:line="285"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6"/>
          <w:szCs w:val="16"/>
          <w:b w:val="1"/>
          <w:bCs w:val="1"/>
          <w:color w:val="auto"/>
        </w:rPr>
        <w:t>d.  Disability Distribution</w:t>
      </w:r>
    </w:p>
    <w:p>
      <w:pPr>
        <w:spacing w:after="0" w:line="77" w:lineRule="exact"/>
        <w:rPr>
          <w:rFonts w:ascii="Arial" w:cs="Arial" w:eastAsia="Arial" w:hAnsi="Arial"/>
          <w:sz w:val="16"/>
          <w:szCs w:val="16"/>
          <w:color w:val="auto"/>
        </w:rPr>
      </w:pPr>
    </w:p>
    <w:p>
      <w:pPr>
        <w:ind w:left="1400" w:hanging="270"/>
        <w:spacing w:after="0"/>
        <w:tabs>
          <w:tab w:leader="none" w:pos="1400" w:val="left"/>
        </w:tabs>
        <w:numPr>
          <w:ilvl w:val="1"/>
          <w:numId w:val="29"/>
        </w:numPr>
        <w:rPr>
          <w:rFonts w:ascii="Arial" w:cs="Arial" w:eastAsia="Arial" w:hAnsi="Arial"/>
          <w:sz w:val="16"/>
          <w:szCs w:val="16"/>
          <w:color w:val="auto"/>
        </w:rPr>
      </w:pPr>
      <w:r>
        <w:rPr>
          <w:rFonts w:ascii="Arial" w:cs="Arial" w:eastAsia="Arial" w:hAnsi="Arial"/>
          <w:sz w:val="1"/>
          <w:szCs w:val="1"/>
          <w:color w:val="auto"/>
        </w:rPr>
        <w:drawing>
          <wp:inline distT="0" distB="0" distL="0" distR="0">
            <wp:extent cx="171450" cy="1714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In accordance with the participant Retirement election </w:t>
      </w:r>
      <w:r>
        <w:rPr>
          <w:rFonts w:ascii="Arial" w:cs="Arial" w:eastAsia="Arial" w:hAnsi="Arial"/>
          <w:sz w:val="14"/>
          <w:szCs w:val="14"/>
          <w:b w:val="1"/>
          <w:bCs w:val="1"/>
          <w:i w:val="1"/>
          <w:iCs w:val="1"/>
          <w:color w:val="auto"/>
        </w:rPr>
        <w:t>(recommended),</w:t>
      </w:r>
    </w:p>
    <w:p>
      <w:pPr>
        <w:spacing w:after="0" w:line="200" w:lineRule="exact"/>
        <w:rPr>
          <w:sz w:val="20"/>
          <w:szCs w:val="20"/>
          <w:color w:val="auto"/>
        </w:rPr>
      </w:pPr>
    </w:p>
    <w:p>
      <w:pPr>
        <w:spacing w:after="0" w:line="359" w:lineRule="exact"/>
        <w:rPr>
          <w:sz w:val="20"/>
          <w:szCs w:val="20"/>
          <w:color w:val="auto"/>
        </w:rPr>
      </w:pPr>
    </w:p>
    <w:p>
      <w:pPr>
        <w:ind w:left="1400" w:hanging="270"/>
        <w:spacing w:after="0"/>
        <w:tabs>
          <w:tab w:leader="none" w:pos="1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Type of distribution election applies as </w:t>
      </w:r>
      <w:r>
        <w:rPr>
          <w:rFonts w:ascii="Arial" w:cs="Arial" w:eastAsia="Arial" w:hAnsi="Arial"/>
          <w:sz w:val="16"/>
          <w:szCs w:val="16"/>
          <w:i w:val="1"/>
          <w:iCs w:val="1"/>
          <w:color w:val="auto"/>
        </w:rPr>
        <w:t>(select one):</w:t>
      </w:r>
    </w:p>
    <w:p>
      <w:pPr>
        <w:spacing w:after="0" w:line="59" w:lineRule="exact"/>
        <w:rPr>
          <w:rFonts w:ascii="Arial" w:cs="Arial" w:eastAsia="Arial" w:hAnsi="Arial"/>
          <w:sz w:val="16"/>
          <w:szCs w:val="16"/>
          <w:color w:val="auto"/>
        </w:rPr>
      </w:pPr>
    </w:p>
    <w:p>
      <w:pPr>
        <w:ind w:left="1780"/>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62560" cy="16319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16"/>
          <w:szCs w:val="16"/>
          <w:color w:val="auto"/>
        </w:rPr>
        <w:t xml:space="preserve">  Default only</w:t>
      </w:r>
    </w:p>
    <w:p>
      <w:pPr>
        <w:spacing w:after="0" w:line="33" w:lineRule="exact"/>
        <w:rPr>
          <w:rFonts w:ascii="Arial" w:cs="Arial" w:eastAsia="Arial" w:hAnsi="Arial"/>
          <w:sz w:val="16"/>
          <w:szCs w:val="16"/>
          <w:color w:val="auto"/>
        </w:rPr>
      </w:pPr>
    </w:p>
    <w:p>
      <w:pPr>
        <w:ind w:left="1780"/>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71450" cy="1714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A one-time election</w:t>
      </w:r>
    </w:p>
    <w:p>
      <w:pPr>
        <w:spacing w:after="0" w:line="158"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Class year – each year’s balance may have a different distribution election</w:t>
      </w:r>
    </w:p>
    <w:p>
      <w:pPr>
        <w:spacing w:after="0" w:line="46" w:lineRule="exact"/>
        <w:rPr>
          <w:sz w:val="20"/>
          <w:szCs w:val="20"/>
          <w:color w:val="auto"/>
        </w:rPr>
      </w:pPr>
    </w:p>
    <w:p>
      <w:pPr>
        <w:ind w:left="2160"/>
        <w:spacing w:after="0"/>
        <w:rPr>
          <w:sz w:val="20"/>
          <w:szCs w:val="20"/>
          <w:color w:val="auto"/>
        </w:rPr>
      </w:pPr>
      <w:r>
        <w:rPr>
          <w:rFonts w:ascii="Arial" w:cs="Arial" w:eastAsia="Arial" w:hAnsi="Arial"/>
          <w:sz w:val="14"/>
          <w:szCs w:val="14"/>
          <w:i w:val="1"/>
          <w:iCs w:val="1"/>
          <w:color w:val="auto"/>
        </w:rPr>
        <w:t>(not recommended if user-created accounts is selected for In-service distributions)</w:t>
      </w:r>
    </w:p>
    <w:p>
      <w:pPr>
        <w:spacing w:after="0" w:line="158"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xml:space="preserve">Alternative forms of distribution </w:t>
      </w:r>
      <w:r>
        <w:rPr>
          <w:rFonts w:ascii="Arial" w:cs="Arial" w:eastAsia="Arial" w:hAnsi="Arial"/>
          <w:sz w:val="16"/>
          <w:szCs w:val="16"/>
          <w:i w:val="1"/>
          <w:iCs w:val="1"/>
          <w:color w:val="auto"/>
        </w:rPr>
        <w:t>(select all that apply):</w:t>
      </w:r>
    </w:p>
    <w:p>
      <w:pPr>
        <w:spacing w:after="0" w:line="158"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Lump Sum</w:t>
      </w:r>
    </w:p>
    <w:p>
      <w:pPr>
        <w:spacing w:after="0" w:line="154"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Annual installments for any whole number of years up to _10</w:t>
      </w:r>
    </w:p>
    <w:p>
      <w:pPr>
        <w:spacing w:after="0" w:line="154"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Other:____________________________</w:t>
      </w:r>
    </w:p>
    <w:p>
      <w:pPr>
        <w:spacing w:after="0" w:line="335" w:lineRule="exact"/>
        <w:rPr>
          <w:sz w:val="20"/>
          <w:szCs w:val="20"/>
          <w:color w:val="auto"/>
        </w:rPr>
      </w:pPr>
    </w:p>
    <w:p>
      <w:pPr>
        <w:ind w:left="680" w:hanging="327"/>
        <w:spacing w:after="0"/>
        <w:tabs>
          <w:tab w:leader="none" w:pos="68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Benefit Distribution </w:t>
      </w:r>
      <w:r>
        <w:rPr>
          <w:rFonts w:ascii="Arial" w:cs="Arial" w:eastAsia="Arial" w:hAnsi="Arial"/>
          <w:sz w:val="16"/>
          <w:szCs w:val="16"/>
          <w:i w:val="1"/>
          <w:iCs w:val="1"/>
          <w:color w:val="auto"/>
        </w:rPr>
        <w:t>(pre-commencement AND post-commencement)</w:t>
      </w:r>
    </w:p>
    <w:p>
      <w:pPr>
        <w:spacing w:after="0" w:line="188" w:lineRule="exact"/>
        <w:rPr>
          <w:rFonts w:ascii="Arial" w:cs="Arial" w:eastAsia="Arial" w:hAnsi="Arial"/>
          <w:sz w:val="16"/>
          <w:szCs w:val="16"/>
          <w:b w:val="1"/>
          <w:bCs w:val="1"/>
          <w:color w:val="auto"/>
        </w:rPr>
      </w:pPr>
    </w:p>
    <w:p>
      <w:pPr>
        <w:ind w:left="1400" w:hanging="270"/>
        <w:spacing w:after="0"/>
        <w:tabs>
          <w:tab w:leader="none" w:pos="14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Alternative forms of distribution pre-commencement of separation distribution</w:t>
      </w:r>
    </w:p>
    <w:p>
      <w:pPr>
        <w:spacing w:after="0" w:line="15" w:lineRule="exact"/>
        <w:rPr>
          <w:rFonts w:ascii="Arial" w:cs="Arial" w:eastAsia="Arial" w:hAnsi="Arial"/>
          <w:sz w:val="16"/>
          <w:szCs w:val="16"/>
          <w:color w:val="auto"/>
        </w:rPr>
      </w:pPr>
    </w:p>
    <w:p>
      <w:pPr>
        <w:ind w:left="1780"/>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71450" cy="17145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In accordance with Participant’s separation elections, or</w:t>
      </w:r>
    </w:p>
    <w:p>
      <w:pPr>
        <w:spacing w:after="0" w:line="127" w:lineRule="exact"/>
        <w:rPr>
          <w:rFonts w:ascii="Arial" w:cs="Arial" w:eastAsia="Arial" w:hAnsi="Arial"/>
          <w:sz w:val="16"/>
          <w:szCs w:val="16"/>
          <w:color w:val="auto"/>
        </w:rPr>
      </w:pPr>
    </w:p>
    <w:p>
      <w:pPr>
        <w:ind w:left="1780"/>
        <w:spacing w:after="0"/>
        <w:rPr>
          <w:rFonts w:ascii="Arial" w:cs="Arial" w:eastAsia="Arial" w:hAnsi="Arial"/>
          <w:sz w:val="16"/>
          <w:szCs w:val="16"/>
          <w:color w:val="auto"/>
        </w:rPr>
      </w:pPr>
      <w:r>
        <w:rPr>
          <w:rFonts w:ascii="Arial" w:cs="Arial" w:eastAsia="Arial" w:hAnsi="Arial"/>
          <w:sz w:val="16"/>
          <w:szCs w:val="16"/>
          <w:color w:val="auto"/>
        </w:rPr>
        <w:t xml:space="preserve">Or if different from Participant’s separation elections </w:t>
      </w:r>
      <w:r>
        <w:rPr>
          <w:rFonts w:ascii="Arial" w:cs="Arial" w:eastAsia="Arial" w:hAnsi="Arial"/>
          <w:sz w:val="16"/>
          <w:szCs w:val="16"/>
          <w:i w:val="1"/>
          <w:iCs w:val="1"/>
          <w:color w:val="auto"/>
        </w:rPr>
        <w:t>(select all that apply):</w:t>
      </w:r>
    </w:p>
    <w:p>
      <w:pPr>
        <w:spacing w:after="0" w:line="347"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 xml:space="preserve">Lump Sum </w:t>
      </w:r>
      <w:r>
        <w:rPr>
          <w:rFonts w:ascii="Arial" w:cs="Arial" w:eastAsia="Arial" w:hAnsi="Arial"/>
          <w:sz w:val="14"/>
          <w:szCs w:val="14"/>
          <w:b w:val="1"/>
          <w:bCs w:val="1"/>
          <w:i w:val="1"/>
          <w:iCs w:val="1"/>
          <w:color w:val="auto"/>
        </w:rPr>
        <w:t>(recommended)</w:t>
      </w:r>
    </w:p>
    <w:p>
      <w:pPr>
        <w:spacing w:after="0" w:line="42" w:lineRule="exact"/>
        <w:rPr>
          <w:sz w:val="20"/>
          <w:szCs w:val="20"/>
          <w:color w:val="auto"/>
        </w:rPr>
      </w:pPr>
    </w:p>
    <w:p>
      <w:pPr>
        <w:ind w:left="1780"/>
        <w:spacing w:after="0"/>
        <w:rPr>
          <w:sz w:val="20"/>
          <w:szCs w:val="20"/>
          <w:color w:val="auto"/>
        </w:rPr>
      </w:pPr>
      <w:r>
        <w:rPr>
          <w:sz w:val="1"/>
          <w:szCs w:val="1"/>
          <w:color w:val="auto"/>
        </w:rPr>
        <w:drawing>
          <wp:inline distT="0" distB="0" distL="0" distR="0">
            <wp:extent cx="171450" cy="1714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Annual installments for any whole number of years up to</w:t>
      </w:r>
    </w:p>
    <w:p>
      <w:pPr>
        <w:spacing w:after="0" w:line="37"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Other:</w:t>
      </w:r>
    </w:p>
    <w:p>
      <w:pPr>
        <w:spacing w:after="0" w:line="113" w:lineRule="exact"/>
        <w:rPr>
          <w:sz w:val="20"/>
          <w:szCs w:val="20"/>
          <w:color w:val="auto"/>
        </w:rPr>
      </w:pPr>
    </w:p>
    <w:p>
      <w:pPr>
        <w:ind w:left="1400" w:hanging="270"/>
        <w:spacing w:after="0"/>
        <w:tabs>
          <w:tab w:leader="none" w:pos="1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Alternative forms of distribution post-commencement of separation distribution</w:t>
      </w:r>
    </w:p>
    <w:p>
      <w:pPr>
        <w:spacing w:after="0" w:line="15" w:lineRule="exact"/>
        <w:rPr>
          <w:rFonts w:ascii="Arial" w:cs="Arial" w:eastAsia="Arial" w:hAnsi="Arial"/>
          <w:sz w:val="16"/>
          <w:szCs w:val="16"/>
          <w:color w:val="auto"/>
        </w:rPr>
      </w:pPr>
    </w:p>
    <w:p>
      <w:pPr>
        <w:ind w:left="1780"/>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80340" cy="17145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180340" cy="171450"/>
                    </a:xfrm>
                    <a:prstGeom prst="rect">
                      <a:avLst/>
                    </a:prstGeom>
                    <a:noFill/>
                    <a:ln>
                      <a:noFill/>
                    </a:ln>
                  </pic:spPr>
                </pic:pic>
              </a:graphicData>
            </a:graphic>
          </wp:inline>
        </w:drawing>
      </w:r>
      <w:r>
        <w:rPr>
          <w:rFonts w:ascii="Arial" w:cs="Arial" w:eastAsia="Arial" w:hAnsi="Arial"/>
          <w:sz w:val="16"/>
          <w:szCs w:val="16"/>
          <w:color w:val="auto"/>
        </w:rPr>
        <w:t xml:space="preserve"> Continue in accordance with Participant’s elections </w:t>
      </w:r>
      <w:r>
        <w:rPr>
          <w:rFonts w:ascii="Arial" w:cs="Arial" w:eastAsia="Arial" w:hAnsi="Arial"/>
          <w:sz w:val="14"/>
          <w:szCs w:val="14"/>
          <w:b w:val="1"/>
          <w:bCs w:val="1"/>
          <w:i w:val="1"/>
          <w:iCs w:val="1"/>
          <w:color w:val="auto"/>
        </w:rPr>
        <w:t>(recommended)</w:t>
      </w:r>
    </w:p>
    <w:p>
      <w:pPr>
        <w:spacing w:after="0" w:line="181" w:lineRule="exact"/>
        <w:rPr>
          <w:rFonts w:ascii="Arial" w:cs="Arial" w:eastAsia="Arial" w:hAnsi="Arial"/>
          <w:sz w:val="16"/>
          <w:szCs w:val="16"/>
          <w:color w:val="auto"/>
        </w:rPr>
      </w:pPr>
    </w:p>
    <w:p>
      <w:pPr>
        <w:ind w:left="2240"/>
        <w:spacing w:after="0"/>
        <w:rPr>
          <w:rFonts w:ascii="Arial" w:cs="Arial" w:eastAsia="Arial" w:hAnsi="Arial"/>
          <w:sz w:val="16"/>
          <w:szCs w:val="16"/>
          <w:color w:val="auto"/>
        </w:rPr>
      </w:pPr>
      <w:r>
        <w:rPr>
          <w:rFonts w:ascii="Arial" w:cs="Arial" w:eastAsia="Arial" w:hAnsi="Arial"/>
          <w:sz w:val="16"/>
          <w:szCs w:val="16"/>
          <w:color w:val="auto"/>
        </w:rPr>
        <w:t>Or if different from Participant’s separation elections (</w:t>
      </w:r>
      <w:r>
        <w:rPr>
          <w:rFonts w:ascii="Arial" w:cs="Arial" w:eastAsia="Arial" w:hAnsi="Arial"/>
          <w:sz w:val="16"/>
          <w:szCs w:val="16"/>
          <w:i w:val="1"/>
          <w:iCs w:val="1"/>
          <w:color w:val="auto"/>
        </w:rPr>
        <w:t>select all that apply):</w:t>
      </w:r>
    </w:p>
    <w:p>
      <w:pPr>
        <w:spacing w:after="0" w:line="333"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408305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12" w:right="1440" w:bottom="1440" w:gutter="0" w:footer="0" w:header="0"/>
        </w:sectPr>
      </w:pPr>
    </w:p>
    <w:bookmarkStart w:id="45" w:name="page46"/>
    <w:bookmarkEnd w:id="45"/>
    <w:p>
      <w:pPr>
        <w:ind w:left="178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202805" cy="75888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7202805" cy="7588885"/>
                    </a:xfrm>
                    <a:prstGeom prst="rect">
                      <a:avLst/>
                    </a:prstGeom>
                    <a:noFill/>
                  </pic:spPr>
                </pic:pic>
              </a:graphicData>
            </a:graphic>
          </wp:anchor>
        </w:drawing>
        <w:drawing>
          <wp:inline distT="0" distB="0" distL="0" distR="0">
            <wp:extent cx="180340" cy="1714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180340" cy="171450"/>
                    </a:xfrm>
                    <a:prstGeom prst="rect">
                      <a:avLst/>
                    </a:prstGeom>
                    <a:noFill/>
                    <a:ln>
                      <a:noFill/>
                    </a:ln>
                  </pic:spPr>
                </pic:pic>
              </a:graphicData>
            </a:graphic>
          </wp:inline>
        </w:drawing>
      </w:r>
      <w:r>
        <w:rPr>
          <w:rFonts w:ascii="Arial" w:cs="Arial" w:eastAsia="Arial" w:hAnsi="Arial"/>
          <w:sz w:val="16"/>
          <w:szCs w:val="16"/>
          <w:color w:val="auto"/>
        </w:rPr>
        <w:t xml:space="preserve"> Annual installments for any whole number of years up to</w:t>
      </w:r>
    </w:p>
    <w:p>
      <w:pPr>
        <w:spacing w:after="0" w:line="47" w:lineRule="exact"/>
        <w:rPr>
          <w:sz w:val="20"/>
          <w:szCs w:val="20"/>
          <w:color w:val="auto"/>
        </w:rPr>
      </w:pPr>
    </w:p>
    <w:p>
      <w:pPr>
        <w:ind w:left="1780"/>
        <w:spacing w:after="0"/>
        <w:rPr>
          <w:sz w:val="20"/>
          <w:szCs w:val="20"/>
          <w:color w:val="auto"/>
        </w:rPr>
      </w:pPr>
      <w:r>
        <w:rPr>
          <w:sz w:val="1"/>
          <w:szCs w:val="1"/>
          <w:color w:val="auto"/>
        </w:rPr>
        <w:drawing>
          <wp:inline distT="0" distB="0" distL="0" distR="0">
            <wp:extent cx="180340" cy="1714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180340" cy="171450"/>
                    </a:xfrm>
                    <a:prstGeom prst="rect">
                      <a:avLst/>
                    </a:prstGeom>
                    <a:noFill/>
                    <a:ln>
                      <a:noFill/>
                    </a:ln>
                  </pic:spPr>
                </pic:pic>
              </a:graphicData>
            </a:graphic>
          </wp:inline>
        </w:drawing>
      </w:r>
      <w:r>
        <w:rPr>
          <w:rFonts w:ascii="Arial" w:cs="Arial" w:eastAsia="Arial" w:hAnsi="Arial"/>
          <w:sz w:val="16"/>
          <w:szCs w:val="16"/>
          <w:color w:val="auto"/>
        </w:rPr>
        <w:t xml:space="preserve"> An amount to be determined by the Committee</w:t>
      </w:r>
    </w:p>
    <w:p>
      <w:pPr>
        <w:spacing w:after="0" w:line="158"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Other:</w:t>
      </w:r>
    </w:p>
    <w:p>
      <w:pPr>
        <w:spacing w:after="0" w:line="348" w:lineRule="exact"/>
        <w:rPr>
          <w:sz w:val="20"/>
          <w:szCs w:val="20"/>
          <w:color w:val="auto"/>
        </w:rPr>
      </w:pPr>
    </w:p>
    <w:p>
      <w:pPr>
        <w:ind w:left="680" w:hanging="327"/>
        <w:spacing w:after="0"/>
        <w:tabs>
          <w:tab w:leader="none" w:pos="68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Additional Supplemental Death Benefit </w:t>
      </w:r>
      <w:r>
        <w:rPr>
          <w:rFonts w:ascii="Arial" w:cs="Arial" w:eastAsia="Arial" w:hAnsi="Arial"/>
          <w:sz w:val="16"/>
          <w:szCs w:val="16"/>
          <w:i w:val="1"/>
          <w:iCs w:val="1"/>
          <w:color w:val="auto"/>
        </w:rPr>
        <w:t>(may require consent for life insurance)</w:t>
      </w:r>
    </w:p>
    <w:p>
      <w:pPr>
        <w:spacing w:after="0" w:line="23" w:lineRule="exact"/>
        <w:rPr>
          <w:rFonts w:ascii="Arial" w:cs="Arial" w:eastAsia="Arial" w:hAnsi="Arial"/>
          <w:sz w:val="16"/>
          <w:szCs w:val="16"/>
          <w:b w:val="1"/>
          <w:bCs w:val="1"/>
          <w:color w:val="auto"/>
        </w:rPr>
      </w:pPr>
    </w:p>
    <w:p>
      <w:pPr>
        <w:ind w:left="1780"/>
        <w:spacing w:after="0"/>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180340" cy="1714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180340" cy="17145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42" w:lineRule="exact"/>
        <w:rPr>
          <w:rFonts w:ascii="Arial" w:cs="Arial" w:eastAsia="Arial" w:hAnsi="Arial"/>
          <w:sz w:val="16"/>
          <w:szCs w:val="16"/>
          <w:b w:val="1"/>
          <w:bCs w:val="1"/>
          <w:color w:val="auto"/>
        </w:rPr>
      </w:pPr>
    </w:p>
    <w:p>
      <w:pPr>
        <w:ind w:left="1780"/>
        <w:spacing w:after="0"/>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171450" cy="1714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Discretionary amount to be determined by the Committee</w:t>
      </w:r>
    </w:p>
    <w:p>
      <w:pPr>
        <w:spacing w:after="0" w:line="60" w:lineRule="exact"/>
        <w:rPr>
          <w:rFonts w:ascii="Arial" w:cs="Arial" w:eastAsia="Arial" w:hAnsi="Arial"/>
          <w:sz w:val="16"/>
          <w:szCs w:val="16"/>
          <w:b w:val="1"/>
          <w:bCs w:val="1"/>
          <w:color w:val="auto"/>
        </w:rPr>
      </w:pPr>
    </w:p>
    <w:p>
      <w:pPr>
        <w:ind w:left="1780"/>
        <w:spacing w:after="0"/>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180340" cy="1714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180340" cy="171450"/>
                    </a:xfrm>
                    <a:prstGeom prst="rect">
                      <a:avLst/>
                    </a:prstGeom>
                    <a:noFill/>
                    <a:ln>
                      <a:noFill/>
                    </a:ln>
                  </pic:spPr>
                </pic:pic>
              </a:graphicData>
            </a:graphic>
          </wp:inline>
        </w:drawing>
      </w:r>
      <w:r>
        <w:rPr>
          <w:rFonts w:ascii="Arial" w:cs="Arial" w:eastAsia="Arial" w:hAnsi="Arial"/>
          <w:sz w:val="16"/>
          <w:szCs w:val="16"/>
          <w:color w:val="auto"/>
        </w:rPr>
        <w:t xml:space="preserve"> Specified amount:</w:t>
      </w:r>
    </w:p>
    <w:p>
      <w:pPr>
        <w:spacing w:after="0" w:line="330" w:lineRule="exact"/>
        <w:rPr>
          <w:rFonts w:ascii="Arial" w:cs="Arial" w:eastAsia="Arial" w:hAnsi="Arial"/>
          <w:sz w:val="16"/>
          <w:szCs w:val="16"/>
          <w:b w:val="1"/>
          <w:bCs w:val="1"/>
          <w:color w:val="auto"/>
        </w:rPr>
      </w:pPr>
    </w:p>
    <w:p>
      <w:pPr>
        <w:ind w:left="680" w:hanging="327"/>
        <w:spacing w:after="0"/>
        <w:tabs>
          <w:tab w:leader="none" w:pos="68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Control Distribution  </w:t>
      </w:r>
      <w:r>
        <w:rPr>
          <w:rFonts w:ascii="Arial" w:cs="Arial" w:eastAsia="Arial" w:hAnsi="Arial"/>
          <w:sz w:val="1"/>
          <w:szCs w:val="1"/>
          <w:b w:val="1"/>
          <w:bCs w:val="1"/>
          <w:color w:val="auto"/>
        </w:rPr>
        <w:drawing>
          <wp:inline distT="0" distB="0" distL="0" distR="0">
            <wp:extent cx="171450" cy="1714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Yes </w:t>
      </w:r>
      <w:r>
        <w:rPr>
          <w:rFonts w:ascii="Arial" w:cs="Arial" w:eastAsia="Arial" w:hAnsi="Arial"/>
          <w:sz w:val="1"/>
          <w:szCs w:val="1"/>
          <w:b w:val="1"/>
          <w:bCs w:val="1"/>
          <w:color w:val="auto"/>
        </w:rPr>
        <w:drawing>
          <wp:inline distT="0" distB="0" distL="0" distR="0">
            <wp:extent cx="188595" cy="18859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r>
        <w:rPr>
          <w:rFonts w:ascii="Arial" w:cs="Arial" w:eastAsia="Arial" w:hAnsi="Arial"/>
          <w:sz w:val="16"/>
          <w:szCs w:val="16"/>
          <w:color w:val="auto"/>
        </w:rPr>
        <w:t xml:space="preserve">  No</w:t>
      </w:r>
    </w:p>
    <w:p>
      <w:pPr>
        <w:spacing w:after="0" w:line="26" w:lineRule="exact"/>
        <w:rPr>
          <w:rFonts w:ascii="Arial" w:cs="Arial" w:eastAsia="Arial" w:hAnsi="Arial"/>
          <w:sz w:val="16"/>
          <w:szCs w:val="16"/>
          <w:b w:val="1"/>
          <w:bCs w:val="1"/>
          <w:color w:val="auto"/>
        </w:rPr>
      </w:pPr>
    </w:p>
    <w:p>
      <w:pPr>
        <w:ind w:left="1400" w:hanging="270"/>
        <w:spacing w:after="0"/>
        <w:tabs>
          <w:tab w:leader="none" w:pos="14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Distribution is </w:t>
      </w:r>
      <w:r>
        <w:rPr>
          <w:rFonts w:ascii="Arial" w:cs="Arial" w:eastAsia="Arial" w:hAnsi="Arial"/>
          <w:sz w:val="16"/>
          <w:szCs w:val="16"/>
          <w:i w:val="1"/>
          <w:iCs w:val="1"/>
          <w:color w:val="auto"/>
        </w:rPr>
        <w:t>(select one):</w:t>
      </w:r>
    </w:p>
    <w:p>
      <w:pPr>
        <w:spacing w:after="0" w:line="12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Mandatory</w:t>
      </w:r>
    </w:p>
    <w:p>
      <w:pPr>
        <w:spacing w:after="0" w:line="174"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Optional (declinable): Class Year election</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(ii)Alternative forms of distribution </w:t>
      </w:r>
      <w:r>
        <w:rPr>
          <w:rFonts w:ascii="Arial" w:cs="Arial" w:eastAsia="Arial" w:hAnsi="Arial"/>
          <w:sz w:val="16"/>
          <w:szCs w:val="16"/>
          <w:i w:val="1"/>
          <w:iCs w:val="1"/>
          <w:color w:val="auto"/>
        </w:rPr>
        <w:t>(select all that apply</w:t>
      </w:r>
      <w:r>
        <w:rPr>
          <w:rFonts w:ascii="Arial" w:cs="Arial" w:eastAsia="Arial" w:hAnsi="Arial"/>
          <w:sz w:val="16"/>
          <w:szCs w:val="16"/>
          <w:color w:val="auto"/>
        </w:rPr>
        <w:t>):</w:t>
      </w:r>
    </w:p>
    <w:p>
      <w:pPr>
        <w:spacing w:after="0" w:line="131"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Lump Sum</w:t>
      </w:r>
    </w:p>
    <w:p>
      <w:pPr>
        <w:spacing w:after="0" w:line="29" w:lineRule="exact"/>
        <w:rPr>
          <w:sz w:val="20"/>
          <w:szCs w:val="20"/>
          <w:color w:val="auto"/>
        </w:rPr>
      </w:pPr>
    </w:p>
    <w:p>
      <w:pPr>
        <w:ind w:left="1780"/>
        <w:spacing w:after="0"/>
        <w:rPr>
          <w:sz w:val="20"/>
          <w:szCs w:val="20"/>
          <w:color w:val="auto"/>
        </w:rPr>
      </w:pPr>
      <w:r>
        <w:rPr>
          <w:sz w:val="1"/>
          <w:szCs w:val="1"/>
          <w:color w:val="auto"/>
        </w:rPr>
        <w:drawing>
          <wp:inline distT="0" distB="0" distL="0" distR="0">
            <wp:extent cx="171450" cy="1714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Annual installments for any whole number of years up to 10</w:t>
      </w:r>
    </w:p>
    <w:p>
      <w:pPr>
        <w:spacing w:after="0" w:line="145"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Other:</w:t>
      </w:r>
    </w:p>
    <w:p>
      <w:pPr>
        <w:spacing w:after="0" w:line="281" w:lineRule="exact"/>
        <w:rPr>
          <w:sz w:val="20"/>
          <w:szCs w:val="20"/>
          <w:color w:val="auto"/>
        </w:rPr>
      </w:pPr>
    </w:p>
    <w:p>
      <w:pPr>
        <w:ind w:left="680" w:right="520" w:hanging="327"/>
        <w:spacing w:after="0" w:line="259" w:lineRule="auto"/>
        <w:tabs>
          <w:tab w:leader="none" w:pos="68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Default Distribution </w:t>
      </w:r>
      <w:r>
        <w:rPr>
          <w:rFonts w:ascii="Arial" w:cs="Arial" w:eastAsia="Arial" w:hAnsi="Arial"/>
          <w:sz w:val="16"/>
          <w:szCs w:val="16"/>
          <w:i w:val="1"/>
          <w:iCs w:val="1"/>
          <w:color w:val="auto"/>
        </w:rPr>
        <w:t>(if none selected then the Default Distribution election for all events will be Lump Sum at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separation from service)</w:t>
      </w:r>
    </w:p>
    <w:p>
      <w:pPr>
        <w:ind w:left="1400" w:hanging="270"/>
        <w:spacing w:after="0"/>
        <w:tabs>
          <w:tab w:leader="none" w:pos="14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Alternative forms of distribution </w:t>
      </w:r>
      <w:r>
        <w:rPr>
          <w:rFonts w:ascii="Arial" w:cs="Arial" w:eastAsia="Arial" w:hAnsi="Arial"/>
          <w:sz w:val="16"/>
          <w:szCs w:val="16"/>
          <w:i w:val="1"/>
          <w:iCs w:val="1"/>
          <w:color w:val="auto"/>
        </w:rPr>
        <w:t>(select one</w:t>
      </w:r>
      <w:r>
        <w:rPr>
          <w:rFonts w:ascii="Arial" w:cs="Arial" w:eastAsia="Arial" w:hAnsi="Arial"/>
          <w:sz w:val="16"/>
          <w:szCs w:val="16"/>
          <w:color w:val="auto"/>
        </w:rPr>
        <w:t>):</w:t>
      </w:r>
    </w:p>
    <w:p>
      <w:pPr>
        <w:spacing w:after="0" w:line="115"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 xml:space="preserve">Lump Sum </w:t>
      </w:r>
      <w:r>
        <w:rPr>
          <w:rFonts w:ascii="Arial" w:cs="Arial" w:eastAsia="Arial" w:hAnsi="Arial"/>
          <w:sz w:val="14"/>
          <w:szCs w:val="14"/>
          <w:b w:val="1"/>
          <w:bCs w:val="1"/>
          <w:i w:val="1"/>
          <w:iCs w:val="1"/>
          <w:color w:val="auto"/>
        </w:rPr>
        <w:t>(recommended)</w:t>
      </w:r>
    </w:p>
    <w:p>
      <w:pPr>
        <w:sectPr>
          <w:pgSz w:w="11900" w:h="16838" w:orient="portrait"/>
          <w:cols w:equalWidth="0" w:num="1">
            <w:col w:w="9040"/>
          </w:cols>
          <w:pgMar w:left="1440" w:top="747" w:right="1419" w:bottom="1440" w:gutter="0" w:footer="0" w:header="0"/>
        </w:sectPr>
      </w:pPr>
    </w:p>
    <w:p>
      <w:pPr>
        <w:spacing w:after="0" w:line="42" w:lineRule="exact"/>
        <w:rPr>
          <w:sz w:val="20"/>
          <w:szCs w:val="20"/>
          <w:color w:val="auto"/>
        </w:rPr>
      </w:pPr>
    </w:p>
    <w:p>
      <w:pPr>
        <w:ind w:left="1780"/>
        <w:spacing w:after="0"/>
        <w:rPr>
          <w:sz w:val="20"/>
          <w:szCs w:val="20"/>
          <w:color w:val="auto"/>
        </w:rPr>
      </w:pPr>
      <w:r>
        <w:rPr>
          <w:sz w:val="1"/>
          <w:szCs w:val="1"/>
          <w:color w:val="auto"/>
        </w:rPr>
        <w:drawing>
          <wp:inline distT="0" distB="0" distL="0" distR="0">
            <wp:extent cx="171450" cy="17145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Annual installments for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years</w:t>
      </w:r>
    </w:p>
    <w:p>
      <w:pPr>
        <w:spacing w:after="0" w:line="139" w:lineRule="exact"/>
        <w:rPr>
          <w:sz w:val="20"/>
          <w:szCs w:val="20"/>
          <w:color w:val="auto"/>
        </w:rPr>
      </w:pPr>
    </w:p>
    <w:p>
      <w:pPr>
        <w:sectPr>
          <w:pgSz w:w="11900" w:h="16838" w:orient="portrait"/>
          <w:cols w:equalWidth="0" w:num="2">
            <w:col w:w="4080" w:space="720"/>
            <w:col w:w="4240"/>
          </w:cols>
          <w:pgMar w:left="1440" w:top="747" w:right="1419" w:bottom="1440" w:gutter="0" w:footer="0" w:header="0"/>
          <w:type w:val="continuous"/>
        </w:sectPr>
      </w:pPr>
    </w:p>
    <w:p>
      <w:pPr>
        <w:ind w:left="2140"/>
        <w:spacing w:after="0"/>
        <w:rPr>
          <w:sz w:val="20"/>
          <w:szCs w:val="20"/>
          <w:color w:val="auto"/>
        </w:rPr>
      </w:pPr>
      <w:r>
        <w:rPr>
          <w:rFonts w:ascii="Arial" w:cs="Arial" w:eastAsia="Arial" w:hAnsi="Arial"/>
          <w:sz w:val="16"/>
          <w:szCs w:val="16"/>
          <w:color w:val="auto"/>
        </w:rPr>
        <w:t>Other:</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(ii) Time of Distribution:</w:t>
      </w:r>
    </w:p>
    <w:p>
      <w:pPr>
        <w:spacing w:after="0" w:line="167"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 xml:space="preserve">Separation from service </w:t>
      </w:r>
      <w:r>
        <w:rPr>
          <w:rFonts w:ascii="Arial" w:cs="Arial" w:eastAsia="Arial" w:hAnsi="Arial"/>
          <w:sz w:val="14"/>
          <w:szCs w:val="14"/>
          <w:b w:val="1"/>
          <w:bCs w:val="1"/>
          <w:i w:val="1"/>
          <w:iCs w:val="1"/>
          <w:color w:val="auto"/>
        </w:rPr>
        <w:t>(recommended)</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Other:</w:t>
      </w:r>
    </w:p>
    <w:p>
      <w:pPr>
        <w:spacing w:after="0" w:line="348" w:lineRule="exact"/>
        <w:rPr>
          <w:sz w:val="20"/>
          <w:szCs w:val="20"/>
          <w:color w:val="auto"/>
        </w:rPr>
      </w:pPr>
    </w:p>
    <w:p>
      <w:pPr>
        <w:ind w:left="680" w:hanging="327"/>
        <w:spacing w:after="0"/>
        <w:tabs>
          <w:tab w:leader="none" w:pos="68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Small Accounts payment</w:t>
      </w:r>
    </w:p>
    <w:p>
      <w:pPr>
        <w:spacing w:after="0" w:line="25" w:lineRule="exact"/>
        <w:rPr>
          <w:rFonts w:ascii="Arial" w:cs="Arial" w:eastAsia="Arial" w:hAnsi="Arial"/>
          <w:sz w:val="16"/>
          <w:szCs w:val="16"/>
          <w:b w:val="1"/>
          <w:bCs w:val="1"/>
          <w:color w:val="auto"/>
        </w:rPr>
      </w:pPr>
    </w:p>
    <w:p>
      <w:pPr>
        <w:ind w:left="680"/>
        <w:spacing w:after="0" w:line="253" w:lineRule="auto"/>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(NOTE: this is in addition to the default deminimis provision in </w:t>
      </w:r>
      <w:r>
        <w:rPr>
          <w:rFonts w:ascii="Arial" w:cs="Arial" w:eastAsia="Arial" w:hAnsi="Arial"/>
          <w:sz w:val="16"/>
          <w:szCs w:val="16"/>
          <w:i w:val="1"/>
          <w:iCs w:val="1"/>
          <w:u w:val="single" w:color="auto"/>
          <w:color w:val="auto"/>
        </w:rPr>
        <w:t>Section 6.10</w:t>
      </w:r>
      <w:r>
        <w:rPr>
          <w:rFonts w:ascii="Arial" w:cs="Arial" w:eastAsia="Arial" w:hAnsi="Arial"/>
          <w:sz w:val="16"/>
          <w:szCs w:val="16"/>
          <w:i w:val="1"/>
          <w:iCs w:val="1"/>
          <w:color w:val="auto"/>
        </w:rPr>
        <w:t xml:space="preserve"> that allows the Company to pay the Participant’s vested Account Balance at any time if it does not exceed the then applicable limit of </w:t>
      </w:r>
      <w:r>
        <w:rPr>
          <w:rFonts w:ascii="Arial" w:cs="Arial" w:eastAsia="Arial" w:hAnsi="Arial"/>
          <w:sz w:val="16"/>
          <w:szCs w:val="16"/>
          <w:color w:val="auto"/>
        </w:rPr>
        <w:t>§</w:t>
      </w:r>
      <w:r>
        <w:rPr>
          <w:rFonts w:ascii="Arial" w:cs="Arial" w:eastAsia="Arial" w:hAnsi="Arial"/>
          <w:sz w:val="16"/>
          <w:szCs w:val="16"/>
          <w:i w:val="1"/>
          <w:iCs w:val="1"/>
          <w:color w:val="auto"/>
        </w:rPr>
        <w:t>402(g)(1)(B) of the Code and results in the termination of the Participant’s entire interest in the Plan.)</w:t>
      </w:r>
    </w:p>
    <w:p>
      <w:pPr>
        <w:spacing w:after="0" w:line="149"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 xml:space="preserve">None </w:t>
      </w:r>
      <w:r>
        <w:rPr>
          <w:rFonts w:ascii="Arial" w:cs="Arial" w:eastAsia="Arial" w:hAnsi="Arial"/>
          <w:sz w:val="14"/>
          <w:szCs w:val="14"/>
          <w:b w:val="1"/>
          <w:bCs w:val="1"/>
          <w:i w:val="1"/>
          <w:iCs w:val="1"/>
          <w:color w:val="auto"/>
        </w:rPr>
        <w:t>(recommended)</w:t>
      </w:r>
    </w:p>
    <w:p>
      <w:pPr>
        <w:spacing w:after="0" w:line="69" w:lineRule="exact"/>
        <w:rPr>
          <w:sz w:val="20"/>
          <w:szCs w:val="20"/>
          <w:color w:val="auto"/>
        </w:rPr>
      </w:pPr>
    </w:p>
    <w:p>
      <w:pPr>
        <w:jc w:val="both"/>
        <w:ind w:left="1320" w:right="60" w:firstLine="7"/>
        <w:spacing w:after="0" w:line="254" w:lineRule="auto"/>
        <w:rPr>
          <w:sz w:val="20"/>
          <w:szCs w:val="20"/>
          <w:color w:val="auto"/>
        </w:rPr>
      </w:pPr>
      <w:r>
        <w:rPr>
          <w:sz w:val="1"/>
          <w:szCs w:val="1"/>
          <w:color w:val="auto"/>
        </w:rPr>
        <w:drawing>
          <wp:inline distT="0" distB="0" distL="0" distR="0">
            <wp:extent cx="171450" cy="1714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Notwithstanding any payment election made by the Participant, if at the time any distribution becomes due and the vested balance of all installments associated with that distribution does not exceed $ 50,000 then the balance will be paid in a single lump sum, subject to compliance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525780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40"/>
          </w:cols>
          <w:pgMar w:left="1440" w:top="747" w:right="1419" w:bottom="1440" w:gutter="0" w:footer="0" w:header="0"/>
          <w:type w:val="continuous"/>
        </w:sectPr>
      </w:pPr>
    </w:p>
    <w:bookmarkStart w:id="46" w:name="page47"/>
    <w:bookmarkEnd w:id="46"/>
    <w:p>
      <w:pPr>
        <w:ind w:left="1100" w:hanging="327"/>
        <w:spacing w:after="0"/>
        <w:tabs>
          <w:tab w:leader="none" w:pos="110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6023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36130" cy="3602355"/>
                    </a:xfrm>
                    <a:prstGeom prst="rect">
                      <a:avLst/>
                    </a:prstGeom>
                    <a:noFill/>
                  </pic:spPr>
                </pic:pic>
              </a:graphicData>
            </a:graphic>
          </wp:anchor>
        </w:drawing>
        <w:t xml:space="preserve">The </w:t>
      </w:r>
      <w:r>
        <w:rPr>
          <w:rFonts w:ascii="Arial" w:cs="Arial" w:eastAsia="Arial" w:hAnsi="Arial"/>
          <w:sz w:val="16"/>
          <w:szCs w:val="16"/>
          <w:b w:val="1"/>
          <w:bCs w:val="1"/>
          <w:color w:val="auto"/>
        </w:rPr>
        <w:t>Plan’s Identification Date</w:t>
      </w:r>
      <w:r>
        <w:rPr>
          <w:rFonts w:ascii="Arial" w:cs="Arial" w:eastAsia="Arial" w:hAnsi="Arial"/>
          <w:sz w:val="16"/>
          <w:szCs w:val="16"/>
          <w:color w:val="auto"/>
        </w:rPr>
        <w:t xml:space="preserve"> for purposes of determining Specified Employee status is December 31 unless 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 w:type="dxa"/>
            <w:vAlign w:val="bottom"/>
          </w:tcPr>
          <w:p>
            <w:pPr>
              <w:spacing w:after="0"/>
              <w:rPr>
                <w:sz w:val="16"/>
                <w:szCs w:val="16"/>
                <w:color w:val="auto"/>
              </w:rPr>
            </w:pPr>
          </w:p>
        </w:tc>
        <w:tc>
          <w:tcPr>
            <w:tcW w:w="2280" w:type="dxa"/>
            <w:vAlign w:val="bottom"/>
          </w:tcPr>
          <w:p>
            <w:pPr>
              <w:ind w:left="460"/>
              <w:spacing w:after="0"/>
              <w:rPr>
                <w:sz w:val="20"/>
                <w:szCs w:val="20"/>
                <w:color w:val="auto"/>
              </w:rPr>
            </w:pPr>
            <w:r>
              <w:rPr>
                <w:rFonts w:ascii="Arial" w:cs="Arial" w:eastAsia="Arial" w:hAnsi="Arial"/>
                <w:sz w:val="16"/>
                <w:szCs w:val="16"/>
                <w:color w:val="auto"/>
                <w:w w:val="99"/>
              </w:rPr>
              <w:t>different date is specified:</w:t>
            </w:r>
          </w:p>
        </w:tc>
        <w:tc>
          <w:tcPr>
            <w:tcW w:w="1320" w:type="dxa"/>
            <w:vAlign w:val="bottom"/>
            <w:tcBorders>
              <w:bottom w:val="single" w:sz="8" w:color="auto"/>
            </w:tcBorders>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6"/>
                <w:szCs w:val="16"/>
                <w:i w:val="1"/>
                <w:iCs w:val="1"/>
                <w:color w:val="auto"/>
              </w:rPr>
              <w:t>(for public companies only)</w:t>
            </w:r>
          </w:p>
        </w:tc>
      </w:tr>
      <w:tr>
        <w:trPr>
          <w:trHeight w:val="573"/>
        </w:trPr>
        <w:tc>
          <w:tcPr>
            <w:tcW w:w="640" w:type="dxa"/>
            <w:vAlign w:val="bottom"/>
          </w:tcPr>
          <w:p>
            <w:pPr>
              <w:spacing w:after="0"/>
              <w:rPr>
                <w:sz w:val="20"/>
                <w:szCs w:val="20"/>
                <w:color w:val="auto"/>
              </w:rPr>
            </w:pPr>
            <w:r>
              <w:rPr>
                <w:rFonts w:ascii="Arial" w:cs="Arial" w:eastAsia="Arial" w:hAnsi="Arial"/>
                <w:sz w:val="16"/>
                <w:szCs w:val="16"/>
                <w:b w:val="1"/>
                <w:bCs w:val="1"/>
                <w:color w:val="auto"/>
              </w:rPr>
              <w:t>VII.</w:t>
            </w:r>
          </w:p>
        </w:tc>
        <w:tc>
          <w:tcPr>
            <w:tcW w:w="9180" w:type="dxa"/>
            <w:vAlign w:val="bottom"/>
            <w:gridSpan w:val="4"/>
          </w:tcPr>
          <w:p>
            <w:pPr>
              <w:ind w:left="20"/>
              <w:spacing w:after="0"/>
              <w:rPr>
                <w:sz w:val="20"/>
                <w:szCs w:val="20"/>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If the definition for "Cause" is different than that specified in the Plan, specify the alternative definition that shall apply for</w:t>
            </w:r>
          </w:p>
        </w:tc>
      </w:tr>
      <w:tr>
        <w:trPr>
          <w:trHeight w:val="211"/>
        </w:trPr>
        <w:tc>
          <w:tcPr>
            <w:tcW w:w="640" w:type="dxa"/>
            <w:vAlign w:val="bottom"/>
          </w:tcPr>
          <w:p>
            <w:pPr>
              <w:spacing w:after="0"/>
              <w:rPr>
                <w:sz w:val="18"/>
                <w:szCs w:val="18"/>
                <w:color w:val="auto"/>
              </w:rPr>
            </w:pPr>
          </w:p>
        </w:tc>
        <w:tc>
          <w:tcPr>
            <w:tcW w:w="9180" w:type="dxa"/>
            <w:vAlign w:val="bottom"/>
            <w:gridSpan w:val="4"/>
          </w:tcPr>
          <w:p>
            <w:pPr>
              <w:ind w:left="20"/>
              <w:spacing w:after="0"/>
              <w:rPr>
                <w:sz w:val="20"/>
                <w:szCs w:val="20"/>
                <w:color w:val="auto"/>
              </w:rPr>
            </w:pPr>
            <w:r>
              <w:rPr>
                <w:rFonts w:ascii="Arial" w:cs="Arial" w:eastAsia="Arial" w:hAnsi="Arial"/>
                <w:sz w:val="16"/>
                <w:szCs w:val="16"/>
                <w:color w:val="auto"/>
              </w:rPr>
              <w:t xml:space="preserve">purpose of this Plan: </w:t>
            </w:r>
            <w:r>
              <w:rPr>
                <w:rFonts w:ascii="Arial" w:cs="Arial" w:eastAsia="Arial" w:hAnsi="Arial"/>
                <w:sz w:val="16"/>
                <w:szCs w:val="16"/>
                <w:i w:val="1"/>
                <w:iCs w:val="1"/>
                <w:color w:val="auto"/>
              </w:rPr>
              <w:t>(if blank, Plan definition will apply)</w:t>
            </w:r>
            <w:r>
              <w:rPr>
                <w:rFonts w:ascii="Arial" w:cs="Arial" w:eastAsia="Arial" w:hAnsi="Arial"/>
                <w:sz w:val="16"/>
                <w:szCs w:val="16"/>
                <w:color w:val="auto"/>
              </w:rPr>
              <w:t>:</w:t>
            </w:r>
          </w:p>
        </w:tc>
      </w:tr>
      <w:tr>
        <w:trPr>
          <w:trHeight w:val="195"/>
        </w:trPr>
        <w:tc>
          <w:tcPr>
            <w:tcW w:w="64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spacing w:after="0"/>
              <w:rPr>
                <w:sz w:val="16"/>
                <w:szCs w:val="16"/>
                <w:color w:val="auto"/>
              </w:rPr>
            </w:pPr>
          </w:p>
        </w:tc>
        <w:tc>
          <w:tcPr>
            <w:tcW w:w="1920" w:type="dxa"/>
            <w:vAlign w:val="bottom"/>
          </w:tcPr>
          <w:p>
            <w:pPr>
              <w:spacing w:after="0"/>
              <w:rPr>
                <w:sz w:val="16"/>
                <w:szCs w:val="16"/>
                <w:color w:val="auto"/>
              </w:rPr>
            </w:pPr>
          </w:p>
        </w:tc>
      </w:tr>
      <w:tr>
        <w:trPr>
          <w:trHeight w:val="169"/>
        </w:trPr>
        <w:tc>
          <w:tcPr>
            <w:tcW w:w="640" w:type="dxa"/>
            <w:vAlign w:val="bottom"/>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c>
          <w:tcPr>
            <w:tcW w:w="1920" w:type="dxa"/>
            <w:vAlign w:val="bottom"/>
          </w:tcPr>
          <w:p>
            <w:pPr>
              <w:spacing w:after="0"/>
              <w:rPr>
                <w:sz w:val="14"/>
                <w:szCs w:val="14"/>
                <w:color w:val="auto"/>
              </w:rPr>
            </w:pPr>
          </w:p>
        </w:tc>
      </w:tr>
      <w:tr>
        <w:trPr>
          <w:trHeight w:val="169"/>
        </w:trPr>
        <w:tc>
          <w:tcPr>
            <w:tcW w:w="640" w:type="dxa"/>
            <w:vAlign w:val="bottom"/>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c>
          <w:tcPr>
            <w:tcW w:w="19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860"/>
          </w:cols>
          <w:pgMar w:left="1020" w:top="864" w:right="101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VIII.</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Rabbi Trust: </w:t>
      </w:r>
      <w:r>
        <w:rPr>
          <w:rFonts w:ascii="Arial" w:cs="Arial" w:eastAsia="Arial" w:hAnsi="Arial"/>
          <w:sz w:val="16"/>
          <w:szCs w:val="16"/>
          <w:color w:val="auto"/>
        </w:rPr>
        <w:t>The Sponsor elects to establish a grantor trust (rabbi trust) under the Plan: TBD</w:t>
      </w:r>
    </w:p>
    <w:p>
      <w:pPr>
        <w:spacing w:after="0" w:line="200" w:lineRule="exact"/>
        <w:rPr>
          <w:sz w:val="20"/>
          <w:szCs w:val="20"/>
          <w:color w:val="auto"/>
        </w:rPr>
      </w:pPr>
    </w:p>
    <w:p>
      <w:pPr>
        <w:sectPr>
          <w:pgSz w:w="11900" w:h="16838" w:orient="portrait"/>
          <w:cols w:equalWidth="0" w:num="2">
            <w:col w:w="280" w:space="380"/>
            <w:col w:w="9200"/>
          </w:cols>
          <w:pgMar w:left="1020" w:top="864" w:right="1019" w:bottom="1440" w:gutter="0" w:footer="0" w:header="0"/>
          <w:type w:val="continuous"/>
        </w:sectPr>
      </w:pPr>
    </w:p>
    <w:p>
      <w:pPr>
        <w:spacing w:after="0" w:line="66" w:lineRule="exact"/>
        <w:rPr>
          <w:sz w:val="20"/>
          <w:szCs w:val="20"/>
          <w:color w:val="auto"/>
        </w:rPr>
      </w:pPr>
    </w:p>
    <w:p>
      <w:pPr>
        <w:ind w:left="720"/>
        <w:spacing w:after="0"/>
        <w:rPr>
          <w:sz w:val="20"/>
          <w:szCs w:val="20"/>
          <w:color w:val="auto"/>
        </w:rPr>
      </w:pPr>
      <w:r>
        <w:rPr>
          <w:sz w:val="1"/>
          <w:szCs w:val="1"/>
          <w:color w:val="auto"/>
        </w:rPr>
        <w:drawing>
          <wp:inline distT="0" distB="0" distL="0" distR="0">
            <wp:extent cx="171450" cy="17145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7"/>
          <w:szCs w:val="17"/>
          <w:color w:val="auto"/>
        </w:rPr>
        <w:t xml:space="preserve"> Yes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28" w:lineRule="exact"/>
        <w:rPr>
          <w:sz w:val="20"/>
          <w:szCs w:val="20"/>
          <w:color w:val="auto"/>
        </w:rPr>
      </w:pPr>
    </w:p>
    <w:p>
      <w:pPr>
        <w:sectPr>
          <w:pgSz w:w="11900" w:h="16838" w:orient="portrait"/>
          <w:cols w:equalWidth="0" w:num="2">
            <w:col w:w="1380" w:space="580"/>
            <w:col w:w="7900"/>
          </w:cols>
          <w:pgMar w:left="1020" w:top="864" w:right="101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IX.</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The Plan will generally be governed by federal law but the governing state law, to the extent not preempted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federal law, and in any case subject to the choice of law rules of any court before which any suit or proceeding affecting this Plan may be heard, shall be the laws of the following state </w:t>
      </w:r>
      <w:r>
        <w:rPr>
          <w:rFonts w:ascii="Arial" w:cs="Arial" w:eastAsia="Arial" w:hAnsi="Arial"/>
          <w:sz w:val="16"/>
          <w:szCs w:val="16"/>
          <w:i w:val="1"/>
          <w:iCs w:val="1"/>
          <w:color w:val="auto"/>
        </w:rPr>
        <w:t>(specify state)</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200" w:space="460"/>
            <w:col w:w="9200"/>
          </w:cols>
          <w:pgMar w:left="1020" w:top="864" w:right="1019" w:bottom="1440" w:gutter="0" w:footer="0" w:header="0"/>
          <w:type w:val="continuous"/>
        </w:sectPr>
      </w:pPr>
    </w:p>
    <w:p>
      <w:pPr>
        <w:spacing w:after="0" w:line="178"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(if none specified, the state under which laws the Company was 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410845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020" w:top="864" w:right="1019" w:bottom="1440" w:gutter="0" w:footer="0" w:header="0"/>
          <w:type w:val="continuous"/>
        </w:sectPr>
      </w:pPr>
    </w:p>
    <w:bookmarkStart w:id="47" w:name="page48"/>
    <w:bookmarkEnd w:id="47"/>
    <w:p>
      <w:pPr>
        <w:spacing w:after="0" w:line="26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26593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136130" cy="2659380"/>
                    </a:xfrm>
                    <a:prstGeom prst="rect">
                      <a:avLst/>
                    </a:prstGeom>
                    <a:noFill/>
                  </pic:spPr>
                </pic:pic>
              </a:graphicData>
            </a:graphic>
          </wp:anchor>
        </w:drawing>
        <w:t>IN WITNESS WHEREOF, the Company, on behalf of itself and each Participating Employer, has caused its duly authorized representative to execute this Adoption Agreement, under seal, as of the Effective Date set forth above, intending that the Company shall be bound hereby, and that each Participant, Committee Member and Record Keeper may rely hereon.</w:t>
      </w:r>
    </w:p>
    <w:p>
      <w:pPr>
        <w:spacing w:after="0" w:line="210"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Avita Medical Americas, LLC</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COMPANY:</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(insert Company name above)</w:t>
      </w:r>
    </w:p>
    <w:p>
      <w:pPr>
        <w:spacing w:after="0" w:line="2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By:</w:t>
      </w:r>
    </w:p>
    <w:p>
      <w:pPr>
        <w:spacing w:after="0" w:line="316" w:lineRule="exact"/>
        <w:rPr>
          <w:sz w:val="20"/>
          <w:szCs w:val="20"/>
          <w:color w:val="auto"/>
        </w:rPr>
      </w:pPr>
    </w:p>
    <w:p>
      <w:pPr>
        <w:ind w:left="5200"/>
        <w:spacing w:after="0"/>
        <w:tabs>
          <w:tab w:leader="none" w:pos="6280" w:val="left"/>
        </w:tabs>
        <w:rPr>
          <w:sz w:val="20"/>
          <w:szCs w:val="20"/>
          <w:color w:val="auto"/>
        </w:rPr>
      </w:pPr>
      <w:r>
        <w:rPr>
          <w:rFonts w:ascii="Arial" w:cs="Arial" w:eastAsia="Arial" w:hAnsi="Arial"/>
          <w:sz w:val="16"/>
          <w:szCs w:val="16"/>
          <w:color w:val="auto"/>
        </w:rPr>
        <w:t>Print Name:</w:t>
        <w:tab/>
        <w:t>Michael Holder</w:t>
      </w:r>
    </w:p>
    <w:p>
      <w:pPr>
        <w:spacing w:after="0" w:line="46" w:lineRule="exact"/>
        <w:rPr>
          <w:sz w:val="20"/>
          <w:szCs w:val="20"/>
          <w:color w:val="auto"/>
        </w:rPr>
      </w:pPr>
    </w:p>
    <w:p>
      <w:pPr>
        <w:ind w:left="5200"/>
        <w:spacing w:after="0"/>
        <w:tabs>
          <w:tab w:leader="none" w:pos="62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Chief Financial Officer</w:t>
      </w:r>
    </w:p>
    <w:p>
      <w:pPr>
        <w:spacing w:after="0" w:line="46"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Duly authorized</w:t>
      </w:r>
    </w:p>
    <w:p>
      <w:pPr>
        <w:spacing w:after="0" w:line="46" w:lineRule="exact"/>
        <w:rPr>
          <w:sz w:val="20"/>
          <w:szCs w:val="20"/>
          <w:color w:val="auto"/>
        </w:rPr>
      </w:pPr>
    </w:p>
    <w:p>
      <w:pPr>
        <w:ind w:left="5200"/>
        <w:spacing w:after="0"/>
        <w:tabs>
          <w:tab w:leader="none" w:pos="63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02/08/2022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562610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20"/>
          </w:cols>
          <w:pgMar w:left="1140" w:top="710" w:right="1339" w:bottom="1440" w:gutter="0" w:footer="0" w:header="0"/>
        </w:sectPr>
      </w:pPr>
    </w:p>
    <w:bookmarkStart w:id="48" w:name="page49"/>
    <w:bookmarkEnd w:id="48"/>
    <w:p>
      <w:pPr>
        <w:jc w:val="both"/>
        <w:spacing w:after="0" w:line="260"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914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136130" cy="7914640"/>
                    </a:xfrm>
                    <a:prstGeom prst="rect">
                      <a:avLst/>
                    </a:prstGeom>
                    <a:noFill/>
                  </pic:spPr>
                </pic:pic>
              </a:graphicData>
            </a:graphic>
          </wp:anchor>
        </w:drawing>
        <w:t>SPECIMEN FORM: There are many possible forms that could be used to implement a nonqualified deferred compensation plan that is subject to Section 409A. The advisability of using this form and the tax implications resulting from its adoption in its existing form should be determined by each company's attorney and other tax advisers in light of circumstances, laws and regulations then applicable to the adopting company. This specimen is NOT a qualified plan for ERISA nor income tax purposes.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DEFERRED COMPENSATION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Preamble</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This Plan is adopted as of the date and by the Company, on behalf of itself and any Participating Employers, as set forth in the attached Adoption Agreement, which is an integral part of this Plan. The Company, having been duly advised by its own counsel as to the legal and tax consequences of adopting this Plan, intends that the Plan shall at all times be administered and interpreted in such a manner as to constitute an unfunded plan maintained primarily for a select group of management or highly compensated employees who contribute materially to the management of the Company or Participating Employer, so as to qualify for all available exemptions from the provisions of Title I of ERISA and to fulfill the applicable requirements of Section 409A.</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DEFINITIONS</w:t>
      </w:r>
    </w:p>
    <w:p>
      <w:pPr>
        <w:spacing w:after="0" w:line="182" w:lineRule="exact"/>
        <w:rPr>
          <w:sz w:val="20"/>
          <w:szCs w:val="20"/>
          <w:color w:val="auto"/>
        </w:rPr>
      </w:pPr>
    </w:p>
    <w:p>
      <w:pPr>
        <w:jc w:val="both"/>
        <w:ind w:left="660" w:right="60" w:hanging="647"/>
        <w:spacing w:after="0" w:line="261" w:lineRule="auto"/>
        <w:tabs>
          <w:tab w:leader="none" w:pos="6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DEFINED TERMS. Certain words and phrases are defined when first used in later paragraphs of this Plan or in the Adoption Agreement pursuant to which this Plan was adopted. In addition, the following words and phrases when used herein, unless the context clearly requires otherwise, shall have the following respective meanings:</w:t>
      </w:r>
    </w:p>
    <w:p>
      <w:pPr>
        <w:spacing w:after="0" w:line="148" w:lineRule="exact"/>
        <w:rPr>
          <w:sz w:val="20"/>
          <w:szCs w:val="20"/>
          <w:color w:val="auto"/>
        </w:rPr>
      </w:pPr>
    </w:p>
    <w:p>
      <w:pPr>
        <w:ind w:left="640" w:right="2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w:t>
      </w:r>
      <w:r>
        <w:rPr>
          <w:rFonts w:ascii="Arial" w:cs="Arial" w:eastAsia="Arial" w:hAnsi="Arial"/>
          <w:sz w:val="16"/>
          <w:szCs w:val="16"/>
          <w:color w:val="auto"/>
        </w:rPr>
        <w:t>" means, with respect to any Participant, a bookkeeping entry used as a measurement and determination of the amounts to be paid to a Participant, or his or her designated Beneficiary, pursuant to this Plan and subject to such limits, rules and procedures as the Committee from time to time may adopt under this Plan. The Committee and the Record Keeper may establish and use sub-accounts and other record keeping entries with respect to any Participant's Account, including without limitation any Deferral Account, Company Contribution Account and Company Discretionary Account applicable to such Participant.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 Balance</w:t>
      </w:r>
      <w:r>
        <w:rPr>
          <w:rFonts w:ascii="Arial" w:cs="Arial" w:eastAsia="Arial" w:hAnsi="Arial"/>
          <w:sz w:val="16"/>
          <w:szCs w:val="16"/>
          <w:color w:val="auto"/>
        </w:rPr>
        <w:t>” means, with respect to any Participant at any particular time, the sum at such time of such Participant's</w:t>
      </w:r>
    </w:p>
    <w:p>
      <w:pPr>
        <w:spacing w:after="0" w:line="25" w:lineRule="exact"/>
        <w:rPr>
          <w:sz w:val="20"/>
          <w:szCs w:val="20"/>
          <w:color w:val="auto"/>
        </w:rPr>
      </w:pPr>
    </w:p>
    <w:p>
      <w:pPr>
        <w:ind w:left="640" w:right="100" w:firstLine="9"/>
        <w:spacing w:after="0" w:line="253" w:lineRule="auto"/>
        <w:tabs>
          <w:tab w:leader="none" w:pos="829"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Deferral Account balance, (ii) Company Matching Account balance and (iii) Company Discretionary Account balance. The Account Balance shall be a bookkeeping entry only and shall be utilized solely as a measurement and determination of the amounts to be paid to a Participant, or his or her designated Beneficiary, pursuant to this Plan.</w:t>
      </w:r>
    </w:p>
    <w:p>
      <w:pPr>
        <w:spacing w:after="0" w:line="154" w:lineRule="exact"/>
        <w:rPr>
          <w:sz w:val="20"/>
          <w:szCs w:val="20"/>
          <w:color w:val="auto"/>
        </w:rPr>
      </w:pPr>
    </w:p>
    <w:p>
      <w:pPr>
        <w:ind w:left="640" w:right="2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Adoption Agreement</w:t>
      </w:r>
      <w:r>
        <w:rPr>
          <w:rFonts w:ascii="Arial" w:cs="Arial" w:eastAsia="Arial" w:hAnsi="Arial"/>
          <w:sz w:val="16"/>
          <w:szCs w:val="16"/>
          <w:color w:val="auto"/>
        </w:rPr>
        <w:t>” means the agreement pursuant to which the Company has adopted this Plan, which Adoption Agreement is incorporated herein by reference, including without limitation any terms defined therein. Adoption Agreements may be completed and/or signed using such online systems and other electronic means as the Committee or Record Keeper from time to time may designate for such purpose.</w:t>
      </w:r>
    </w:p>
    <w:p>
      <w:pPr>
        <w:spacing w:after="0" w:line="151" w:lineRule="exact"/>
        <w:rPr>
          <w:sz w:val="20"/>
          <w:szCs w:val="20"/>
          <w:color w:val="auto"/>
        </w:rPr>
      </w:pPr>
    </w:p>
    <w:p>
      <w:pPr>
        <w:ind w:left="640" w:right="14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 corporation, partnership, limited liability company or other entity that is required to be considered, together with the Company, as a single employer under §414(b) of the Code (employees of controlled group of Companies) or §414(c) of the Code (employees of partnerships or limited liability companies under common control). For purposes of determining a controlled group of Companies under</w:t>
      </w:r>
    </w:p>
    <w:p>
      <w:pPr>
        <w:ind w:left="640"/>
        <w:spacing w:after="0" w:line="250" w:lineRule="auto"/>
        <w:rPr>
          <w:sz w:val="20"/>
          <w:szCs w:val="20"/>
          <w:color w:val="auto"/>
        </w:rPr>
      </w:pPr>
      <w:r>
        <w:rPr>
          <w:rFonts w:ascii="Arial" w:cs="Arial" w:eastAsia="Arial" w:hAnsi="Arial"/>
          <w:sz w:val="16"/>
          <w:szCs w:val="16"/>
          <w:color w:val="auto"/>
        </w:rPr>
        <w:t>§414(b) of the Code, the language “at least 50 percent” shall be used instead of “at least 80 percent” each place it appears in §1563(a)(1), (2), and (3) of the Code. For purposes of determining trades or businesses that are under common control for purposes of §414(c) of the Code, “at least 50 percent” shall be used instead of “at least 80 percent” each place it appears in Treasury Regulation §1.414(c)-2. An entity shall not be considered an “Affiliate” for any period of time prior to satisfying the controlled group or common control tests described above.</w:t>
      </w:r>
    </w:p>
    <w:p>
      <w:pPr>
        <w:spacing w:after="0" w:line="156" w:lineRule="exact"/>
        <w:rPr>
          <w:sz w:val="20"/>
          <w:szCs w:val="20"/>
          <w:color w:val="auto"/>
        </w:rPr>
      </w:pPr>
    </w:p>
    <w:p>
      <w:pPr>
        <w:ind w:left="640" w:right="128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Annual Company Discretionary Amount</w:t>
      </w:r>
      <w:r>
        <w:rPr>
          <w:rFonts w:ascii="Arial" w:cs="Arial" w:eastAsia="Arial" w:hAnsi="Arial"/>
          <w:sz w:val="16"/>
          <w:szCs w:val="16"/>
          <w:color w:val="auto"/>
        </w:rPr>
        <w:t xml:space="preserve">” means the benefit amount, if any, for any one Plan Year that is determined for a Participant in accordance with </w:t>
      </w:r>
      <w:r>
        <w:rPr>
          <w:rFonts w:ascii="Arial" w:cs="Arial" w:eastAsia="Arial" w:hAnsi="Arial"/>
          <w:sz w:val="16"/>
          <w:szCs w:val="16"/>
          <w:u w:val="single" w:color="auto"/>
          <w:color w:val="auto"/>
        </w:rPr>
        <w:t>Section 3.5</w:t>
      </w:r>
      <w:r>
        <w:rPr>
          <w:rFonts w:ascii="Arial" w:cs="Arial" w:eastAsia="Arial" w:hAnsi="Arial"/>
          <w:sz w:val="16"/>
          <w:szCs w:val="16"/>
          <w:color w:val="auto"/>
        </w:rPr>
        <w:t>.</w:t>
      </w:r>
    </w:p>
    <w:p>
      <w:pPr>
        <w:spacing w:after="0" w:line="129" w:lineRule="exact"/>
        <w:rPr>
          <w:sz w:val="20"/>
          <w:szCs w:val="20"/>
          <w:color w:val="auto"/>
        </w:rPr>
      </w:pPr>
    </w:p>
    <w:p>
      <w:pPr>
        <w:ind w:left="660" w:right="38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Annual Company Matching Amount</w:t>
      </w:r>
      <w:r>
        <w:rPr>
          <w:rFonts w:ascii="Arial" w:cs="Arial" w:eastAsia="Arial" w:hAnsi="Arial"/>
          <w:sz w:val="16"/>
          <w:szCs w:val="16"/>
          <w:color w:val="auto"/>
        </w:rPr>
        <w:t xml:space="preserve">” means the benefit amount, if any, for any one Plan Year that is determined for a Participant in accordance with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474980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00"/>
          </w:cols>
          <w:pgMar w:left="1140" w:top="918" w:right="1159" w:bottom="1440" w:gutter="0" w:footer="0" w:header="0"/>
        </w:sectPr>
      </w:pPr>
    </w:p>
    <w:bookmarkStart w:id="49" w:name="page50"/>
    <w:bookmarkEnd w:id="49"/>
    <w:p>
      <w:pPr>
        <w:jc w:val="both"/>
        <w:ind w:left="340" w:right="2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2403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136130" cy="8240395"/>
                    </a:xfrm>
                    <a:prstGeom prst="rect">
                      <a:avLst/>
                    </a:prstGeom>
                    <a:noFill/>
                  </pic:spPr>
                </pic:pic>
              </a:graphicData>
            </a:graphic>
          </wp:anchor>
        </w:drawing>
        <w:t>“</w:t>
      </w:r>
      <w:r>
        <w:rPr>
          <w:rFonts w:ascii="Arial" w:cs="Arial" w:eastAsia="Arial" w:hAnsi="Arial"/>
          <w:sz w:val="16"/>
          <w:szCs w:val="16"/>
          <w:b w:val="1"/>
          <w:bCs w:val="1"/>
          <w:color w:val="auto"/>
        </w:rPr>
        <w:t>Annual Deferral Amount</w:t>
      </w:r>
      <w:r>
        <w:rPr>
          <w:rFonts w:ascii="Arial" w:cs="Arial" w:eastAsia="Arial" w:hAnsi="Arial"/>
          <w:sz w:val="16"/>
          <w:szCs w:val="16"/>
          <w:color w:val="auto"/>
        </w:rPr>
        <w:t xml:space="preserve">” means that portion of a Participant's Pay Type(s) that a Participant elects to have deferred, and is deferred, in accordance with </w:t>
      </w:r>
      <w:r>
        <w:rPr>
          <w:rFonts w:ascii="Arial" w:cs="Arial" w:eastAsia="Arial" w:hAnsi="Arial"/>
          <w:sz w:val="16"/>
          <w:szCs w:val="16"/>
          <w:u w:val="single" w:color="auto"/>
          <w:color w:val="auto"/>
        </w:rPr>
        <w:t>Article 3</w:t>
      </w:r>
      <w:r>
        <w:rPr>
          <w:rFonts w:ascii="Arial" w:cs="Arial" w:eastAsia="Arial" w:hAnsi="Arial"/>
          <w:sz w:val="16"/>
          <w:szCs w:val="16"/>
          <w:color w:val="auto"/>
        </w:rPr>
        <w:t>, for any one Plan Year. In the event of a Participant's Retirement, Disability, death or a Termination of Employment prior to the end of a Plan Year, such year's Annual Deferral Amount shall be the actual amount deferred in such Plan Year prior to such event.</w:t>
      </w:r>
    </w:p>
    <w:p>
      <w:pPr>
        <w:spacing w:after="0" w:line="151" w:lineRule="exact"/>
        <w:rPr>
          <w:sz w:val="20"/>
          <w:szCs w:val="20"/>
          <w:color w:val="auto"/>
        </w:rPr>
      </w:pPr>
    </w:p>
    <w:p>
      <w:pPr>
        <w:ind w:left="34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Salary</w:t>
      </w:r>
      <w:r>
        <w:rPr>
          <w:rFonts w:ascii="Arial" w:cs="Arial" w:eastAsia="Arial" w:hAnsi="Arial"/>
          <w:sz w:val="16"/>
          <w:szCs w:val="16"/>
          <w:color w:val="auto"/>
        </w:rPr>
        <w:t>” means base salary earned with respect to services performed and payable in cash, exclusive of any of the following: Bonuses, Commissions, overtime, incentive payments and other performance-based forms of compensation, director and other special fees, expense allowances and reimbursements, severance, and any other forms of compensation, earnings or payments that are not regular in frequency and form (before reductions for, contributions to or deferrals under this Plan or any other profit sharing, 401(k), pension, deferred compensation or benefit plan sponsored by the Company or any Affiliate).</w:t>
      </w:r>
    </w:p>
    <w:p>
      <w:pPr>
        <w:spacing w:after="0" w:line="155" w:lineRule="exact"/>
        <w:rPr>
          <w:sz w:val="20"/>
          <w:szCs w:val="20"/>
          <w:color w:val="auto"/>
        </w:rPr>
      </w:pPr>
    </w:p>
    <w:p>
      <w:pPr>
        <w:ind w:left="340" w:right="12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Beneficiary</w:t>
      </w:r>
      <w:r>
        <w:rPr>
          <w:rFonts w:ascii="Arial" w:cs="Arial" w:eastAsia="Arial" w:hAnsi="Arial"/>
          <w:sz w:val="16"/>
          <w:szCs w:val="16"/>
          <w:color w:val="auto"/>
        </w:rPr>
        <w:t>” means one or more persons, trusts, estates, or other entities, designated in accordance with Article 8 that are entitled to receive benefits under this Plan upon the death of a Participant.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Beneficiary Designation Form</w:t>
      </w:r>
      <w:r>
        <w:rPr>
          <w:rFonts w:ascii="Arial" w:cs="Arial" w:eastAsia="Arial" w:hAnsi="Arial"/>
          <w:sz w:val="16"/>
          <w:szCs w:val="16"/>
          <w:color w:val="auto"/>
        </w:rPr>
        <w:t>” means the form established from time to time by the Committee that a</w:t>
      </w:r>
    </w:p>
    <w:p>
      <w:pPr>
        <w:spacing w:after="0" w:line="25" w:lineRule="exact"/>
        <w:rPr>
          <w:sz w:val="20"/>
          <w:szCs w:val="20"/>
          <w:color w:val="auto"/>
        </w:rPr>
      </w:pPr>
    </w:p>
    <w:p>
      <w:pPr>
        <w:ind w:left="340" w:right="220"/>
        <w:spacing w:after="0" w:line="253" w:lineRule="auto"/>
        <w:rPr>
          <w:sz w:val="20"/>
          <w:szCs w:val="20"/>
          <w:color w:val="auto"/>
        </w:rPr>
      </w:pPr>
      <w:r>
        <w:rPr>
          <w:rFonts w:ascii="Arial" w:cs="Arial" w:eastAsia="Arial" w:hAnsi="Arial"/>
          <w:sz w:val="16"/>
          <w:szCs w:val="16"/>
          <w:color w:val="auto"/>
        </w:rPr>
        <w:t>Participant completes, signs and returns to the Company to designate one or more Beneficiaries. Beneficiary Designation Forms may be completed and/or signed using such online systems and other electronic means as the Committee or Record Keeper from time to time may designate for such purpose.</w:t>
      </w:r>
    </w:p>
    <w:p>
      <w:pPr>
        <w:spacing w:after="0" w:line="154" w:lineRule="exact"/>
        <w:rPr>
          <w:sz w:val="20"/>
          <w:szCs w:val="20"/>
          <w:color w:val="auto"/>
        </w:rPr>
      </w:pPr>
    </w:p>
    <w:p>
      <w:pPr>
        <w:ind w:left="340" w:right="240"/>
        <w:spacing w:after="0" w:line="286" w:lineRule="auto"/>
        <w:rPr>
          <w:sz w:val="20"/>
          <w:szCs w:val="20"/>
          <w:color w:val="auto"/>
        </w:rPr>
      </w:pPr>
      <w:r>
        <w:rPr>
          <w:rFonts w:ascii="Arial" w:cs="Arial" w:eastAsia="Arial" w:hAnsi="Arial"/>
          <w:sz w:val="16"/>
          <w:szCs w:val="16"/>
          <w:b w:val="1"/>
          <w:bCs w:val="1"/>
          <w:color w:val="auto"/>
        </w:rPr>
        <w:t xml:space="preserve">“Board of Directors” </w:t>
      </w:r>
      <w:r>
        <w:rPr>
          <w:rFonts w:ascii="Arial" w:cs="Arial" w:eastAsia="Arial" w:hAnsi="Arial"/>
          <w:sz w:val="16"/>
          <w:szCs w:val="16"/>
          <w:color w:val="auto"/>
        </w:rPr>
        <w:t>shall mean the Board of Directors, Managers, Trustees or other group having the legal authority to</w:t>
      </w:r>
      <w:r>
        <w:rPr>
          <w:rFonts w:ascii="Arial" w:cs="Arial" w:eastAsia="Arial" w:hAnsi="Arial"/>
          <w:sz w:val="16"/>
          <w:szCs w:val="16"/>
          <w:b w:val="1"/>
          <w:bCs w:val="1"/>
          <w:color w:val="auto"/>
        </w:rPr>
        <w:t xml:space="preserve"> </w:t>
      </w:r>
      <w:r>
        <w:rPr>
          <w:rFonts w:ascii="Arial" w:cs="Arial" w:eastAsia="Arial" w:hAnsi="Arial"/>
          <w:sz w:val="16"/>
          <w:szCs w:val="16"/>
          <w:color w:val="auto"/>
        </w:rPr>
        <w:t>act as the governing body of the Company.</w:t>
      </w:r>
    </w:p>
    <w:p>
      <w:pPr>
        <w:spacing w:after="0" w:line="129" w:lineRule="exact"/>
        <w:rPr>
          <w:sz w:val="20"/>
          <w:szCs w:val="20"/>
          <w:color w:val="auto"/>
        </w:rPr>
      </w:pPr>
    </w:p>
    <w:p>
      <w:pPr>
        <w:ind w:left="340" w:right="4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Bonus</w:t>
      </w:r>
      <w:r>
        <w:rPr>
          <w:rFonts w:ascii="Arial" w:cs="Arial" w:eastAsia="Arial" w:hAnsi="Arial"/>
          <w:sz w:val="16"/>
          <w:szCs w:val="16"/>
          <w:color w:val="auto"/>
        </w:rPr>
        <w:t>” means any compensation relating to services performed that is granted or awarded apart from Base Salary and Commissions and that is identified by the applicable Company or Affiliate as a “bonus” (before reductions for, contributions to or deferrals under this Plan or any other profit sharing, 401(k), pension, deferred compensation or benefit plan sponsored by the Company or any Affiliate).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Calendar Year</w:t>
      </w:r>
      <w:r>
        <w:rPr>
          <w:rFonts w:ascii="Arial" w:cs="Arial" w:eastAsia="Arial" w:hAnsi="Arial"/>
          <w:sz w:val="16"/>
          <w:szCs w:val="16"/>
          <w:color w:val="auto"/>
        </w:rPr>
        <w:t>” means the annual period measured from January 1 to December 31.</w:t>
      </w:r>
    </w:p>
    <w:p>
      <w:pPr>
        <w:spacing w:after="0" w:line="194" w:lineRule="exact"/>
        <w:rPr>
          <w:sz w:val="20"/>
          <w:szCs w:val="20"/>
          <w:color w:val="auto"/>
        </w:rPr>
      </w:pPr>
    </w:p>
    <w:p>
      <w:pPr>
        <w:ind w:left="340" w:right="4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unless otherwise defined in the Adoption Agreement, means: (a) with respect to each Participant who has an employment agreement containing a definition of "cause" or "for cause", said definition as set forth in his or her employment agreement; and (b) with respect to all other Participants, and as determined in good faith by the Committee, willfully engaging in misconduct which is demonstrably and materially injurious to the Company or any Affiliate, unless the act or omission giving rise to such misconduct is done, or omitted to be done, by a Participant in good faith and with a sound reason to believe that such action or omission was in the best interest of the Company and its Affiliates.</w:t>
      </w:r>
    </w:p>
    <w:p>
      <w:pPr>
        <w:spacing w:after="0" w:line="155" w:lineRule="exact"/>
        <w:rPr>
          <w:sz w:val="20"/>
          <w:szCs w:val="20"/>
          <w:color w:val="auto"/>
        </w:rPr>
      </w:pPr>
    </w:p>
    <w:p>
      <w:pPr>
        <w:ind w:left="340" w:right="4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with respect to the applicable Participating Employer, a change in the ownership or effective control of the Participating Employer, or in the ownership of a substantial portion of the assets of the Participating Employer. Unless otherwise specified in the Adoption Agreement, a Change in Control shall be defined as follows:</w:t>
      </w:r>
    </w:p>
    <w:p>
      <w:pPr>
        <w:spacing w:after="0" w:line="152" w:lineRule="exact"/>
        <w:rPr>
          <w:sz w:val="20"/>
          <w:szCs w:val="20"/>
          <w:color w:val="auto"/>
        </w:rPr>
      </w:pPr>
    </w:p>
    <w:p>
      <w:pPr>
        <w:ind w:left="680" w:right="40" w:hanging="327"/>
        <w:spacing w:after="0" w:line="256" w:lineRule="auto"/>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purposes of this section, a change in the ownership of the Participating Employer occurs on the date on which any one person, or more than one person acting as a group, acquires ownership of stock of the Participating Employer that, together with stock held by such person or group constitutes more than 50% of the total fair market value or total voting power of the stock of the Participating Employer.</w:t>
      </w:r>
    </w:p>
    <w:p>
      <w:pPr>
        <w:spacing w:after="0" w:line="159" w:lineRule="exact"/>
        <w:rPr>
          <w:rFonts w:ascii="Arial" w:cs="Arial" w:eastAsia="Arial" w:hAnsi="Arial"/>
          <w:sz w:val="16"/>
          <w:szCs w:val="16"/>
          <w:color w:val="auto"/>
        </w:rPr>
      </w:pPr>
    </w:p>
    <w:p>
      <w:pPr>
        <w:ind w:left="680" w:right="40" w:hanging="327"/>
        <w:spacing w:after="0" w:line="251" w:lineRule="auto"/>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change in the effective control of the Participating Employer occurs on the date on which either: (i) a person, or more than one person acting as a group, acquires ownership of stock of the Participating Employer possessing 30% or more of the total voting power of the stock of the Participating Employer, taking into account all such stock acquired during the 12-month period ending on the date of the most recent acquisition, or (ii) a majority of the members of the Participating Employer’s Board of Directors is replaced during any 12-month period by directors whose appointment or election is not endorsed by a majority of the members of such Board of Directors prior to the date of the appointment or election, but only if no other corporation is a majority shareholder of the Participating Employer.</w:t>
      </w:r>
    </w:p>
    <w:p>
      <w:pPr>
        <w:spacing w:after="0" w:line="178" w:lineRule="exact"/>
        <w:rPr>
          <w:rFonts w:ascii="Arial" w:cs="Arial" w:eastAsia="Arial" w:hAnsi="Arial"/>
          <w:sz w:val="16"/>
          <w:szCs w:val="16"/>
          <w:color w:val="auto"/>
        </w:rPr>
      </w:pPr>
    </w:p>
    <w:p>
      <w:pPr>
        <w:ind w:left="680" w:hanging="289"/>
        <w:spacing w:after="0" w:line="248" w:lineRule="auto"/>
        <w:tabs>
          <w:tab w:leader="none" w:pos="6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assets occurs on the date on which any one person, or more than one person acting as a group, other than a person or group of persons that is related to the Participating Employer, acquires assets from the Participating Employer that have a total gross fair market value equal to or more than 40% of the total gross fair market value of all of the assets of the Participating Employer immediately prior to such acquisition or acquisitions, taking into account all such assets acquired during the 12-month period ending on the date of the most recent acquisition.</w:t>
      </w:r>
    </w:p>
    <w:p>
      <w:pPr>
        <w:spacing w:after="0" w:line="3" w:lineRule="exact"/>
        <w:rPr>
          <w:sz w:val="20"/>
          <w:szCs w:val="20"/>
          <w:color w:val="auto"/>
        </w:rPr>
      </w:pPr>
    </w:p>
    <w:p>
      <w:pPr>
        <w:jc w:val="center"/>
        <w:ind w:right="240"/>
        <w:spacing w:after="0"/>
        <w:rPr>
          <w:sz w:val="20"/>
          <w:szCs w:val="20"/>
          <w:color w:val="auto"/>
        </w:rPr>
      </w:pPr>
      <w:r>
        <w:rPr>
          <w:rFonts w:ascii="Arial" w:cs="Arial" w:eastAsia="Arial" w:hAnsi="Arial"/>
          <w:sz w:val="18"/>
          <w:szCs w:val="18"/>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447675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918" w:right="1219" w:bottom="1440" w:gutter="0" w:footer="0" w:header="0"/>
        </w:sectPr>
      </w:pPr>
    </w:p>
    <w:bookmarkStart w:id="50" w:name="page51"/>
    <w:bookmarkEnd w:id="50"/>
    <w:p>
      <w:pPr>
        <w:ind w:left="680" w:right="1480"/>
        <w:spacing w:after="0" w:line="26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2315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7136130" cy="8231505"/>
                    </a:xfrm>
                    <a:prstGeom prst="rect">
                      <a:avLst/>
                    </a:prstGeom>
                    <a:noFill/>
                  </pic:spPr>
                </pic:pic>
              </a:graphicData>
            </a:graphic>
          </wp:anchor>
        </w:drawing>
        <w:t>An event constitutes a Change in Control with respect to a Participant only if the Participant’s relationship to the affected Participating Employer satisfies the requirements of Treasury Regulation §1.409A-3(i)(5)(ii).</w:t>
      </w:r>
    </w:p>
    <w:p>
      <w:pPr>
        <w:spacing w:after="0" w:line="156" w:lineRule="exact"/>
        <w:rPr>
          <w:sz w:val="20"/>
          <w:szCs w:val="20"/>
          <w:color w:val="auto"/>
        </w:rPr>
      </w:pPr>
    </w:p>
    <w:p>
      <w:pPr>
        <w:ind w:left="680" w:right="60"/>
        <w:spacing w:after="0" w:line="252" w:lineRule="auto"/>
        <w:rPr>
          <w:sz w:val="20"/>
          <w:szCs w:val="20"/>
          <w:color w:val="auto"/>
        </w:rPr>
      </w:pPr>
      <w:r>
        <w:rPr>
          <w:rFonts w:ascii="Arial" w:cs="Arial" w:eastAsia="Arial" w:hAnsi="Arial"/>
          <w:sz w:val="16"/>
          <w:szCs w:val="16"/>
          <w:color w:val="auto"/>
        </w:rPr>
        <w:t>To qualify as a Change in Control event, the occurrence of the event must be objectively determinable and any requirement that any other person or group, such as a plan administrator or compensation committee, certify the occurrence of a Change in Control must be strictly ministerial and not involve any discretionary authority. If the Adoption Agreement provides for a payment on a Change in Control, such payment shall only be made if the event specified in the Adoption Agreement also qualifies as a change in control event within the meaning of Code Section 409A (Treasury Regulation §1.409A-3(i)(5)).</w:t>
      </w:r>
    </w:p>
    <w:p>
      <w:pPr>
        <w:spacing w:after="0" w:line="164" w:lineRule="exact"/>
        <w:rPr>
          <w:sz w:val="20"/>
          <w:szCs w:val="20"/>
          <w:color w:val="auto"/>
        </w:rPr>
      </w:pPr>
    </w:p>
    <w:p>
      <w:pPr>
        <w:ind w:left="680" w:right="100"/>
        <w:spacing w:after="0" w:line="253" w:lineRule="auto"/>
        <w:rPr>
          <w:sz w:val="20"/>
          <w:szCs w:val="20"/>
          <w:color w:val="auto"/>
        </w:rPr>
      </w:pPr>
      <w:r>
        <w:rPr>
          <w:rFonts w:ascii="Arial" w:cs="Arial" w:eastAsia="Arial" w:hAnsi="Arial"/>
          <w:sz w:val="16"/>
          <w:szCs w:val="16"/>
          <w:color w:val="auto"/>
        </w:rPr>
        <w:t>To the extent permitted by the Internal Revenue Service, a Change of Control may also occur in the event of changes in ownership of a partnership and change in the ownership of a substantial portion of the assets of a partnership and the provisions set forth above respecting such changes relative to a corporation shall be applied by analogy. It is the Company's responsibility to determine whether a Change in Control has occurred and to advise the Committee and the Record Keeper accordingly.</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 Distribution</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6.4</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Claimant</w:t>
      </w:r>
      <w:r>
        <w:rPr>
          <w:rFonts w:ascii="Arial" w:cs="Arial" w:eastAsia="Arial" w:hAnsi="Arial"/>
          <w:sz w:val="16"/>
          <w:szCs w:val="16"/>
          <w:color w:val="auto"/>
        </w:rPr>
        <w:t xml:space="preserve">” shall have the same meaning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the same may be amended from time to time.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Commissions</w:t>
      </w:r>
      <w:r>
        <w:rPr>
          <w:rFonts w:ascii="Arial" w:cs="Arial" w:eastAsia="Arial" w:hAnsi="Arial"/>
          <w:sz w:val="16"/>
          <w:szCs w:val="16"/>
          <w:color w:val="auto"/>
        </w:rPr>
        <w:t>”</w:t>
      </w:r>
    </w:p>
    <w:p>
      <w:pPr>
        <w:spacing w:after="0" w:line="202" w:lineRule="exact"/>
        <w:rPr>
          <w:sz w:val="20"/>
          <w:szCs w:val="20"/>
          <w:color w:val="auto"/>
        </w:rPr>
      </w:pPr>
    </w:p>
    <w:p>
      <w:pPr>
        <w:ind w:left="680" w:right="80" w:hanging="327"/>
        <w:spacing w:after="0" w:line="256" w:lineRule="auto"/>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Sales Commission Compensation. A Participant earning sales commission compensation (as defined in Treasury Regulation §1.409A-2(a)(12)) is treated as providing the services to which such compensation relates only in the Company’s taxable Year in which the customer remits payment to the Company or, if applied consistently to all similarly situated Participants, the Company’s taxable Year in which the sale occurs.</w:t>
      </w:r>
    </w:p>
    <w:p>
      <w:pPr>
        <w:spacing w:after="0" w:line="159" w:lineRule="exact"/>
        <w:rPr>
          <w:rFonts w:ascii="Arial" w:cs="Arial" w:eastAsia="Arial" w:hAnsi="Arial"/>
          <w:sz w:val="16"/>
          <w:szCs w:val="16"/>
          <w:color w:val="auto"/>
        </w:rPr>
      </w:pPr>
    </w:p>
    <w:p>
      <w:pPr>
        <w:ind w:left="680" w:right="40" w:hanging="327"/>
        <w:spacing w:after="0" w:line="256" w:lineRule="auto"/>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Investment Commission Compensation. A Participant earning investment commission compensation (as defined Treasury Regulation §1.409A-2(a)(12)) is treated as providing the services to which such compensation relates over the 12 months preceding the date as of which the overall value of the assets or asset accounts is determined for purposes of the calculation of the investment commission compensation.</w:t>
      </w:r>
    </w:p>
    <w:p>
      <w:pPr>
        <w:spacing w:after="0" w:line="160" w:lineRule="exact"/>
        <w:rPr>
          <w:sz w:val="20"/>
          <w:szCs w:val="20"/>
          <w:color w:val="auto"/>
        </w:rPr>
      </w:pPr>
    </w:p>
    <w:p>
      <w:pPr>
        <w:ind w:left="340" w:right="620"/>
        <w:spacing w:after="0" w:line="276" w:lineRule="auto"/>
        <w:rPr>
          <w:sz w:val="20"/>
          <w:szCs w:val="20"/>
          <w:color w:val="auto"/>
        </w:rPr>
      </w:pPr>
      <w:r>
        <w:rPr>
          <w:rFonts w:ascii="Arial" w:cs="Arial" w:eastAsia="Arial" w:hAnsi="Arial"/>
          <w:sz w:val="16"/>
          <w:szCs w:val="16"/>
          <w:color w:val="auto"/>
        </w:rPr>
        <w:t>It is the Company's responsibility to determine whether a Pay Type qualifies as Commissions in accordance with the foregoing requirements with respect to any Participant and to advise the Record Keeper accordingly.</w:t>
      </w:r>
    </w:p>
    <w:p>
      <w:pPr>
        <w:spacing w:after="0" w:line="136" w:lineRule="exact"/>
        <w:rPr>
          <w:sz w:val="20"/>
          <w:szCs w:val="20"/>
          <w:color w:val="auto"/>
        </w:rPr>
      </w:pPr>
    </w:p>
    <w:p>
      <w:pPr>
        <w:ind w:left="34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person(s) designated as Committee members or such other persons as the Company's Board of Directors from time to time may designate to serve as members of the Committee hereunder. In the absence of any Committee, or should the Committee be unable or unwilling to serve, the Company shall perform the duties of the Committee under this Plan.</w:t>
      </w:r>
    </w:p>
    <w:p>
      <w:pPr>
        <w:spacing w:after="0" w:line="151" w:lineRule="exact"/>
        <w:rPr>
          <w:sz w:val="20"/>
          <w:szCs w:val="20"/>
          <w:color w:val="auto"/>
        </w:rPr>
      </w:pPr>
    </w:p>
    <w:p>
      <w:pPr>
        <w:ind w:left="340" w:right="12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the entity identified as the “Company” in the Adoption Agreement pursuant to which this Plan has been adopted and may include the applicable Participating Employer as the context requires.</w:t>
      </w:r>
    </w:p>
    <w:p>
      <w:pPr>
        <w:spacing w:after="0" w:line="129" w:lineRule="exact"/>
        <w:rPr>
          <w:sz w:val="20"/>
          <w:szCs w:val="20"/>
          <w:color w:val="auto"/>
        </w:rPr>
      </w:pPr>
    </w:p>
    <w:p>
      <w:pPr>
        <w:ind w:left="340" w:right="10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Discretionary Account</w:t>
      </w:r>
      <w:r>
        <w:rPr>
          <w:rFonts w:ascii="Arial" w:cs="Arial" w:eastAsia="Arial" w:hAnsi="Arial"/>
          <w:sz w:val="16"/>
          <w:szCs w:val="16"/>
          <w:color w:val="auto"/>
        </w:rPr>
        <w:t xml:space="preserve">” means, with respect to any Participant (but subject in the case of each Participant to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an Account consisting of the sum of (i) all of the Participant's Annual Company Discretionary Amounts, plus (ii) Notional Investment Adjustments in value credited or debited thereon in accordance with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Plan, less (iii) all distributions from such account.</w:t>
      </w:r>
    </w:p>
    <w:p>
      <w:pPr>
        <w:spacing w:after="0" w:line="151" w:lineRule="exact"/>
        <w:rPr>
          <w:sz w:val="20"/>
          <w:szCs w:val="20"/>
          <w:color w:val="auto"/>
        </w:rPr>
      </w:pPr>
    </w:p>
    <w:p>
      <w:pPr>
        <w:ind w:left="36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Matching Account</w:t>
      </w:r>
      <w:r>
        <w:rPr>
          <w:rFonts w:ascii="Arial" w:cs="Arial" w:eastAsia="Arial" w:hAnsi="Arial"/>
          <w:sz w:val="16"/>
          <w:szCs w:val="16"/>
          <w:color w:val="auto"/>
        </w:rPr>
        <w:t xml:space="preserve">” means, with respect to any Participant (but subject in the case of each Participant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3.7</w:t>
      </w:r>
      <w:r>
        <w:rPr>
          <w:rFonts w:ascii="Arial" w:cs="Arial" w:eastAsia="Arial" w:hAnsi="Arial"/>
          <w:sz w:val="16"/>
          <w:szCs w:val="16"/>
          <w:color w:val="auto"/>
        </w:rPr>
        <w:t xml:space="preserve">), an Account consisting of the sum of (i) all of the Participant's Annual Company Matching Amounts, plus (ii) Notional Investment Adjustments in value credited or debited thereon in accordance with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Plan, less (iii) all distributions from such account.</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Day</w:t>
      </w:r>
      <w:r>
        <w:rPr>
          <w:rFonts w:ascii="Arial" w:cs="Arial" w:eastAsia="Arial" w:hAnsi="Arial"/>
          <w:sz w:val="16"/>
          <w:szCs w:val="16"/>
          <w:color w:val="auto"/>
        </w:rPr>
        <w:t>” means a calendar day or any part thereof.</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Deferral Account</w:t>
      </w:r>
      <w:r>
        <w:rPr>
          <w:rFonts w:ascii="Arial" w:cs="Arial" w:eastAsia="Arial" w:hAnsi="Arial"/>
          <w:sz w:val="16"/>
          <w:szCs w:val="16"/>
          <w:color w:val="auto"/>
        </w:rPr>
        <w:t>” means an Account consisting of the sum of (i) all of a Participant's Annual Deferral</w:t>
      </w:r>
    </w:p>
    <w:p>
      <w:pPr>
        <w:spacing w:after="0" w:line="22" w:lineRule="exact"/>
        <w:rPr>
          <w:sz w:val="20"/>
          <w:szCs w:val="20"/>
          <w:color w:val="auto"/>
        </w:rPr>
      </w:pPr>
    </w:p>
    <w:p>
      <w:pPr>
        <w:jc w:val="center"/>
        <w:ind w:right="280"/>
        <w:spacing w:after="0"/>
        <w:rPr>
          <w:sz w:val="20"/>
          <w:szCs w:val="20"/>
          <w:color w:val="auto"/>
        </w:rPr>
      </w:pPr>
      <w:r>
        <w:rPr>
          <w:rFonts w:ascii="Arial" w:cs="Arial" w:eastAsia="Arial" w:hAnsi="Arial"/>
          <w:sz w:val="18"/>
          <w:szCs w:val="18"/>
          <w:i w:val="1"/>
          <w:i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447675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80"/>
          </w:cols>
          <w:pgMar w:left="1440" w:top="1115" w:right="1179" w:bottom="1440" w:gutter="0" w:footer="0" w:header="0"/>
        </w:sectPr>
      </w:pPr>
    </w:p>
    <w:bookmarkStart w:id="51" w:name="page52"/>
    <w:bookmarkEnd w:id="51"/>
    <w:p>
      <w:pPr>
        <w:ind w:left="340" w:right="300"/>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0003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7136130" cy="8000365"/>
                    </a:xfrm>
                    <a:prstGeom prst="rect">
                      <a:avLst/>
                    </a:prstGeom>
                    <a:noFill/>
                  </pic:spPr>
                </pic:pic>
              </a:graphicData>
            </a:graphic>
          </wp:anchor>
        </w:drawing>
        <w:t xml:space="preserve">Amounts, plus (ii) Notional Investment Adjustments in value credited or debited thereon in accordance with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Plan, less (iii) all distributions from such account.</w:t>
      </w:r>
    </w:p>
    <w:p>
      <w:pPr>
        <w:spacing w:after="0" w:line="136" w:lineRule="exact"/>
        <w:rPr>
          <w:sz w:val="20"/>
          <w:szCs w:val="20"/>
          <w:color w:val="auto"/>
        </w:rPr>
      </w:pPr>
    </w:p>
    <w:p>
      <w:pPr>
        <w:ind w:left="340" w:right="12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Deferral Election Form</w:t>
      </w:r>
      <w:r>
        <w:rPr>
          <w:rFonts w:ascii="Arial" w:cs="Arial" w:eastAsia="Arial" w:hAnsi="Arial"/>
          <w:sz w:val="16"/>
          <w:szCs w:val="16"/>
          <w:color w:val="auto"/>
        </w:rPr>
        <w:t>” means notice filed by a Participant with the Record Keeper specifying the amount of the Participant's Pay Type(s) to be deferred, and the time and form of distribution payments as defined in the Adoption Agreement. Deferral Election Forms may be completed and/or signed using such online systems and other electronic means as the Committee or Record Keeper from time to time may designate for such purpose.</w:t>
      </w:r>
    </w:p>
    <w:p>
      <w:pPr>
        <w:spacing w:after="0" w:line="151" w:lineRule="exact"/>
        <w:rPr>
          <w:sz w:val="20"/>
          <w:szCs w:val="20"/>
          <w:color w:val="auto"/>
        </w:rPr>
      </w:pPr>
    </w:p>
    <w:p>
      <w:pPr>
        <w:ind w:left="340" w:right="160"/>
        <w:spacing w:after="0" w:line="250" w:lineRule="auto"/>
        <w:rPr>
          <w:sz w:val="20"/>
          <w:szCs w:val="20"/>
          <w:color w:val="auto"/>
        </w:rPr>
      </w:pPr>
      <w:r>
        <w:rPr>
          <w:rFonts w:ascii="Arial" w:cs="Arial" w:eastAsia="Arial" w:hAnsi="Arial"/>
          <w:sz w:val="16"/>
          <w:szCs w:val="16"/>
          <w:b w:val="1"/>
          <w:bCs w:val="1"/>
          <w:color w:val="auto"/>
        </w:rPr>
        <w:t xml:space="preserve">“Disability” or “Disabled” </w:t>
      </w:r>
      <w:r>
        <w:rPr>
          <w:rFonts w:ascii="Arial" w:cs="Arial" w:eastAsia="Arial" w:hAnsi="Arial"/>
          <w:sz w:val="16"/>
          <w:szCs w:val="16"/>
          <w:color w:val="auto"/>
        </w:rPr>
        <w:t>shall mean the Participant is: (i) unable to engage in any substantial gainful activity by reason of</w:t>
      </w:r>
      <w:r>
        <w:rPr>
          <w:rFonts w:ascii="Arial" w:cs="Arial" w:eastAsia="Arial" w:hAnsi="Arial"/>
          <w:sz w:val="16"/>
          <w:szCs w:val="16"/>
          <w:b w:val="1"/>
          <w:bCs w:val="1"/>
          <w:color w:val="auto"/>
        </w:rPr>
        <w:t xml:space="preserve"> </w:t>
      </w:r>
      <w:r>
        <w:rPr>
          <w:rFonts w:ascii="Arial" w:cs="Arial" w:eastAsia="Arial" w:hAnsi="Arial"/>
          <w:sz w:val="16"/>
          <w:szCs w:val="16"/>
          <w:color w:val="auto"/>
        </w:rPr>
        <w:t>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 The Adoption Agreement may also provide that a Participant will be deemed to be Disabled if determined to be totally disabled by the Social Security Administration or Railroad Retirement Board. The determination of Disability shall be made by the Committee in accordance with Section 409A Requirements. The Committee may require that the Participant submit to an examination by the Company or its agent to determine the existence of a Disability.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 Benefit</w:t>
      </w:r>
      <w:r>
        <w:rPr>
          <w:rFonts w:ascii="Arial" w:cs="Arial" w:eastAsia="Arial" w:hAnsi="Arial"/>
          <w:sz w:val="16"/>
          <w:szCs w:val="16"/>
          <w:color w:val="auto"/>
        </w:rPr>
        <w:t xml:space="preserve">” means the benefit set forth in </w:t>
      </w:r>
      <w:r>
        <w:rPr>
          <w:rFonts w:ascii="Arial" w:cs="Arial" w:eastAsia="Arial" w:hAnsi="Arial"/>
          <w:sz w:val="16"/>
          <w:szCs w:val="16"/>
          <w:u w:val="single" w:color="auto"/>
          <w:color w:val="auto"/>
        </w:rPr>
        <w:t>Section 6.3</w:t>
      </w:r>
      <w:r>
        <w:rPr>
          <w:rFonts w:ascii="Arial" w:cs="Arial" w:eastAsia="Arial" w:hAnsi="Arial"/>
          <w:sz w:val="16"/>
          <w:szCs w:val="16"/>
          <w:color w:val="auto"/>
        </w:rPr>
        <w:t>.</w:t>
      </w:r>
    </w:p>
    <w:p>
      <w:pPr>
        <w:spacing w:after="0" w:line="194" w:lineRule="exact"/>
        <w:rPr>
          <w:sz w:val="20"/>
          <w:szCs w:val="20"/>
          <w:color w:val="auto"/>
        </w:rPr>
      </w:pPr>
    </w:p>
    <w:p>
      <w:pPr>
        <w:ind w:left="340" w:right="36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Employee</w:t>
      </w:r>
      <w:r>
        <w:rPr>
          <w:rFonts w:ascii="Arial" w:cs="Arial" w:eastAsia="Arial" w:hAnsi="Arial"/>
          <w:sz w:val="16"/>
          <w:szCs w:val="16"/>
          <w:color w:val="auto"/>
        </w:rPr>
        <w:t xml:space="preserve">” means any employee of the Company or other Participating Employer who is selected to participate herein in accordance with the provisions of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hereof, and is one of a select group of management or highly compensated employees. Eligible Employee may also include selected Independent Contractors as determined in the complete and sole discretion of the Committee.</w:t>
      </w:r>
    </w:p>
    <w:p>
      <w:pPr>
        <w:spacing w:after="0" w:line="151" w:lineRule="exact"/>
        <w:rPr>
          <w:sz w:val="20"/>
          <w:szCs w:val="20"/>
          <w:color w:val="auto"/>
        </w:rPr>
      </w:pPr>
    </w:p>
    <w:p>
      <w:pPr>
        <w:ind w:left="340" w:right="1560"/>
        <w:spacing w:after="0" w:line="286" w:lineRule="auto"/>
        <w:rPr>
          <w:sz w:val="20"/>
          <w:szCs w:val="20"/>
          <w:color w:val="auto"/>
        </w:rPr>
      </w:pPr>
      <w:r>
        <w:rPr>
          <w:rFonts w:ascii="Arial" w:cs="Arial" w:eastAsia="Arial" w:hAnsi="Arial"/>
          <w:sz w:val="16"/>
          <w:szCs w:val="16"/>
          <w:b w:val="1"/>
          <w:bCs w:val="1"/>
          <w:color w:val="auto"/>
        </w:rPr>
        <w:t xml:space="preserve">“Employee” </w:t>
      </w:r>
      <w:r>
        <w:rPr>
          <w:rFonts w:ascii="Arial" w:cs="Arial" w:eastAsia="Arial" w:hAnsi="Arial"/>
          <w:sz w:val="16"/>
          <w:szCs w:val="16"/>
          <w:color w:val="auto"/>
        </w:rPr>
        <w:t>means any individual who is employed by or providing services to the Employer.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means “service provider” as used in Treasury Regulation §1.409A-1(f).</w:t>
      </w:r>
    </w:p>
    <w:p>
      <w:pPr>
        <w:spacing w:after="0" w:line="129" w:lineRule="exact"/>
        <w:rPr>
          <w:sz w:val="20"/>
          <w:szCs w:val="20"/>
          <w:color w:val="auto"/>
        </w:rPr>
      </w:pPr>
    </w:p>
    <w:p>
      <w:pPr>
        <w:ind w:left="340" w:right="400"/>
        <w:spacing w:after="0" w:line="286" w:lineRule="auto"/>
        <w:rPr>
          <w:sz w:val="20"/>
          <w:szCs w:val="20"/>
          <w:color w:val="auto"/>
        </w:rPr>
      </w:pPr>
      <w:r>
        <w:rPr>
          <w:rFonts w:ascii="Arial" w:cs="Arial" w:eastAsia="Arial" w:hAnsi="Arial"/>
          <w:sz w:val="16"/>
          <w:szCs w:val="16"/>
          <w:b w:val="1"/>
          <w:bCs w:val="1"/>
          <w:color w:val="auto"/>
        </w:rPr>
        <w:t xml:space="preserve">“Employer” </w:t>
      </w:r>
      <w:r>
        <w:rPr>
          <w:rFonts w:ascii="Arial" w:cs="Arial" w:eastAsia="Arial" w:hAnsi="Arial"/>
          <w:sz w:val="16"/>
          <w:szCs w:val="16"/>
          <w:color w:val="auto"/>
        </w:rPr>
        <w:t>or</w:t>
      </w:r>
      <w:r>
        <w:rPr>
          <w:rFonts w:ascii="Arial" w:cs="Arial" w:eastAsia="Arial" w:hAnsi="Arial"/>
          <w:sz w:val="16"/>
          <w:szCs w:val="16"/>
          <w:b w:val="1"/>
          <w:bCs w:val="1"/>
          <w:color w:val="auto"/>
        </w:rPr>
        <w:t xml:space="preserve"> “Participating Employer” </w:t>
      </w:r>
      <w:r>
        <w:rPr>
          <w:rFonts w:ascii="Arial" w:cs="Arial" w:eastAsia="Arial" w:hAnsi="Arial"/>
          <w:sz w:val="16"/>
          <w:szCs w:val="16"/>
          <w:color w:val="auto"/>
        </w:rPr>
        <w:t>means the Company or Affiliate who is the legal employer of the Employee or</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recipient in the case of an Independent Contractor.</w:t>
      </w:r>
    </w:p>
    <w:p>
      <w:pPr>
        <w:spacing w:after="0" w:line="129" w:lineRule="exact"/>
        <w:rPr>
          <w:sz w:val="20"/>
          <w:szCs w:val="20"/>
          <w:color w:val="auto"/>
        </w:rPr>
      </w:pPr>
    </w:p>
    <w:p>
      <w:pPr>
        <w:ind w:left="340" w:right="13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w:t>
      </w:r>
      <w:r>
        <w:rPr>
          <w:rFonts w:ascii="Arial" w:cs="Arial" w:eastAsia="Arial" w:hAnsi="Arial"/>
          <w:sz w:val="16"/>
          <w:szCs w:val="16"/>
          <w:color w:val="auto"/>
        </w:rPr>
        <w:t>” means the Employee Retirement Income Security Act of 1974, as the same may be amended from time to time.</w:t>
      </w:r>
    </w:p>
    <w:p>
      <w:pPr>
        <w:spacing w:after="0" w:line="129" w:lineRule="exact"/>
        <w:rPr>
          <w:sz w:val="20"/>
          <w:szCs w:val="20"/>
          <w:color w:val="auto"/>
        </w:rPr>
      </w:pPr>
    </w:p>
    <w:p>
      <w:pPr>
        <w:ind w:left="340" w:right="5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Plan Year</w:t>
      </w:r>
      <w:r>
        <w:rPr>
          <w:rFonts w:ascii="Arial" w:cs="Arial" w:eastAsia="Arial" w:hAnsi="Arial"/>
          <w:sz w:val="16"/>
          <w:szCs w:val="16"/>
          <w:color w:val="auto"/>
        </w:rPr>
        <w:t>” means the period beginning on the Effective Date set forth in the Adoption Agreement and ending on December 31 immediately following the Effective Date.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Hardship Distribution</w:t>
      </w:r>
      <w:r>
        <w:rPr>
          <w:rFonts w:ascii="Arial" w:cs="Arial" w:eastAsia="Arial" w:hAnsi="Arial"/>
          <w:sz w:val="16"/>
          <w:szCs w:val="16"/>
          <w:color w:val="auto"/>
        </w:rPr>
        <w:t xml:space="preserve">" means any distribution or waiver of deferral granted by the Committee pursuant to </w:t>
      </w:r>
      <w:r>
        <w:rPr>
          <w:rFonts w:ascii="Arial" w:cs="Arial" w:eastAsia="Arial" w:hAnsi="Arial"/>
          <w:sz w:val="16"/>
          <w:szCs w:val="16"/>
          <w:u w:val="single" w:color="auto"/>
          <w:color w:val="auto"/>
        </w:rPr>
        <w:t>Article 7</w:t>
      </w:r>
      <w:r>
        <w:rPr>
          <w:rFonts w:ascii="Arial" w:cs="Arial" w:eastAsia="Arial" w:hAnsi="Arial"/>
          <w:sz w:val="16"/>
          <w:szCs w:val="16"/>
          <w:color w:val="auto"/>
        </w:rPr>
        <w:t>.</w:t>
      </w:r>
    </w:p>
    <w:p>
      <w:pPr>
        <w:spacing w:after="0" w:line="194" w:lineRule="exact"/>
        <w:rPr>
          <w:sz w:val="20"/>
          <w:szCs w:val="20"/>
          <w:color w:val="auto"/>
        </w:rPr>
      </w:pPr>
    </w:p>
    <w:p>
      <w:pPr>
        <w:ind w:left="340" w:right="300"/>
        <w:spacing w:after="0" w:line="286" w:lineRule="auto"/>
        <w:rPr>
          <w:sz w:val="20"/>
          <w:szCs w:val="20"/>
          <w:color w:val="auto"/>
        </w:rPr>
      </w:pPr>
      <w:r>
        <w:rPr>
          <w:rFonts w:ascii="Arial" w:cs="Arial" w:eastAsia="Arial" w:hAnsi="Arial"/>
          <w:sz w:val="16"/>
          <w:szCs w:val="16"/>
          <w:b w:val="1"/>
          <w:bCs w:val="1"/>
          <w:color w:val="auto"/>
        </w:rPr>
        <w:t xml:space="preserve">“Identification Date” </w:t>
      </w:r>
      <w:r>
        <w:rPr>
          <w:rFonts w:ascii="Arial" w:cs="Arial" w:eastAsia="Arial" w:hAnsi="Arial"/>
          <w:sz w:val="16"/>
          <w:szCs w:val="16"/>
          <w:color w:val="auto"/>
        </w:rPr>
        <w:t>for the purpose of identifying Specified Employees means each December 31 or such other date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the Adoption Agreement.</w:t>
      </w:r>
    </w:p>
    <w:p>
      <w:pPr>
        <w:spacing w:after="0" w:line="129" w:lineRule="exact"/>
        <w:rPr>
          <w:sz w:val="20"/>
          <w:szCs w:val="20"/>
          <w:color w:val="auto"/>
        </w:rPr>
      </w:pPr>
    </w:p>
    <w:p>
      <w:pPr>
        <w:ind w:left="340" w:right="80"/>
        <w:spacing w:after="0" w:line="286" w:lineRule="auto"/>
        <w:rPr>
          <w:sz w:val="20"/>
          <w:szCs w:val="20"/>
          <w:color w:val="auto"/>
        </w:rPr>
      </w:pPr>
      <w:r>
        <w:rPr>
          <w:rFonts w:ascii="Arial" w:cs="Arial" w:eastAsia="Arial" w:hAnsi="Arial"/>
          <w:sz w:val="16"/>
          <w:szCs w:val="16"/>
          <w:b w:val="1"/>
          <w:bCs w:val="1"/>
          <w:color w:val="auto"/>
        </w:rPr>
        <w:t xml:space="preserve">“Independent Contractor” </w:t>
      </w:r>
      <w:r>
        <w:rPr>
          <w:rFonts w:ascii="Arial" w:cs="Arial" w:eastAsia="Arial" w:hAnsi="Arial"/>
          <w:sz w:val="16"/>
          <w:szCs w:val="16"/>
          <w:color w:val="auto"/>
        </w:rPr>
        <w:t>means a non-employee director or an independent contractor for whom deferred amounts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 409A as provided in Treasury Regulation §1.409A-1(f)(2).</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In-Service Distribution</w:t>
      </w:r>
      <w:r>
        <w:rPr>
          <w:rFonts w:ascii="Arial" w:cs="Arial" w:eastAsia="Arial" w:hAnsi="Arial"/>
          <w:sz w:val="16"/>
          <w:szCs w:val="16"/>
          <w:color w:val="auto"/>
        </w:rPr>
        <w:t xml:space="preserve">" means a distribution made pursuant to </w:t>
      </w:r>
      <w:r>
        <w:rPr>
          <w:rFonts w:ascii="Arial" w:cs="Arial" w:eastAsia="Arial" w:hAnsi="Arial"/>
          <w:sz w:val="16"/>
          <w:szCs w:val="16"/>
          <w:u w:val="single" w:color="auto"/>
          <w:color w:val="auto"/>
        </w:rPr>
        <w:t>Section 6.5</w:t>
      </w:r>
      <w:r>
        <w:rPr>
          <w:rFonts w:ascii="Arial" w:cs="Arial" w:eastAsia="Arial" w:hAnsi="Arial"/>
          <w:sz w:val="16"/>
          <w:szCs w:val="16"/>
          <w:color w:val="auto"/>
        </w:rPr>
        <w:t>.</w:t>
      </w:r>
    </w:p>
    <w:p>
      <w:pPr>
        <w:spacing w:after="0" w:line="194" w:lineRule="exact"/>
        <w:rPr>
          <w:sz w:val="20"/>
          <w:szCs w:val="20"/>
          <w:color w:val="auto"/>
        </w:rPr>
      </w:pPr>
    </w:p>
    <w:p>
      <w:pPr>
        <w:ind w:left="340" w:right="4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Matching Contribution Limit</w:t>
      </w:r>
      <w:r>
        <w:rPr>
          <w:rFonts w:ascii="Arial" w:cs="Arial" w:eastAsia="Arial" w:hAnsi="Arial"/>
          <w:sz w:val="16"/>
          <w:szCs w:val="16"/>
          <w:color w:val="auto"/>
        </w:rPr>
        <w:t xml:space="preserve">" means, with respect to each Pay Type, the Maximum Contribution Limit set forth for such Pay Type in the Adoption Agreement, to be used and calculated as a limit on Annual Company Matching Amounts pursuant to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158" w:lineRule="exact"/>
        <w:rPr>
          <w:sz w:val="20"/>
          <w:szCs w:val="20"/>
          <w:color w:val="auto"/>
        </w:rPr>
      </w:pPr>
    </w:p>
    <w:p>
      <w:pPr>
        <w:ind w:left="360" w:right="2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Matching Contribution Rate</w:t>
      </w:r>
      <w:r>
        <w:rPr>
          <w:rFonts w:ascii="Arial" w:cs="Arial" w:eastAsia="Arial" w:hAnsi="Arial"/>
          <w:sz w:val="16"/>
          <w:szCs w:val="16"/>
          <w:color w:val="auto"/>
        </w:rPr>
        <w:t xml:space="preserve">" means, with respect to each Pay Type, the respective percentage rate, if any, set forth in the Adoption Agreement for such Pay Type, which rate shall be used to calculate Annual Company Matching Amounts pursuant to </w:t>
      </w:r>
      <w:r>
        <w:rPr>
          <w:rFonts w:ascii="Arial" w:cs="Arial" w:eastAsia="Arial" w:hAnsi="Arial"/>
          <w:sz w:val="16"/>
          <w:szCs w:val="16"/>
          <w:u w:val="single" w:color="auto"/>
          <w:color w:val="auto"/>
        </w:rPr>
        <w:t>Section 3.4</w:t>
      </w:r>
      <w:r>
        <w:rPr>
          <w:rFonts w:ascii="Arial" w:cs="Arial" w:eastAsia="Arial" w:hAnsi="Arial"/>
          <w:sz w:val="16"/>
          <w:szCs w:val="16"/>
          <w:color w:val="auto"/>
        </w:rPr>
        <w:t>, subject to the Matching Contribution Limit, if any, applicable to such Pay Type.</w:t>
      </w:r>
    </w:p>
    <w:p>
      <w:pPr>
        <w:spacing w:after="0" w:line="144" w:lineRule="exact"/>
        <w:rPr>
          <w:sz w:val="20"/>
          <w:szCs w:val="20"/>
          <w:color w:val="auto"/>
        </w:rPr>
      </w:pPr>
    </w:p>
    <w:p>
      <w:pPr>
        <w:ind w:left="34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Notional Investment</w:t>
      </w:r>
      <w:r>
        <w:rPr>
          <w:rFonts w:ascii="Arial" w:cs="Arial" w:eastAsia="Arial" w:hAnsi="Arial"/>
          <w:sz w:val="16"/>
          <w:szCs w:val="16"/>
          <w:color w:val="auto"/>
        </w:rPr>
        <w:t>" means any security, fund, account, sub-account, index, formula or other instrument, asset, measure or method from time to time designated by the Committee as a means to calculate the amount</w:t>
      </w:r>
    </w:p>
    <w:p>
      <w:pPr>
        <w:spacing w:after="0" w:line="1" w:lineRule="exact"/>
        <w:rPr>
          <w:sz w:val="20"/>
          <w:szCs w:val="20"/>
          <w:color w:val="auto"/>
        </w:rPr>
      </w:pPr>
    </w:p>
    <w:p>
      <w:pPr>
        <w:jc w:val="center"/>
        <w:ind w:right="380"/>
        <w:spacing w:after="0"/>
        <w:rPr>
          <w:sz w:val="20"/>
          <w:szCs w:val="20"/>
          <w:color w:val="auto"/>
        </w:rPr>
      </w:pPr>
      <w:r>
        <w:rPr>
          <w:rFonts w:ascii="Arial" w:cs="Arial" w:eastAsia="Arial" w:hAnsi="Arial"/>
          <w:sz w:val="18"/>
          <w:szCs w:val="18"/>
          <w:i w:val="1"/>
          <w:i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447675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80"/>
          </w:cols>
          <w:pgMar w:left="1440" w:top="926" w:right="1079" w:bottom="1440" w:gutter="0" w:footer="0" w:header="0"/>
        </w:sectPr>
      </w:pPr>
    </w:p>
    <w:bookmarkStart w:id="52" w:name="page53"/>
    <w:bookmarkEnd w:id="52"/>
    <w:p>
      <w:pPr>
        <w:ind w:left="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0175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7136130" cy="8017510"/>
                    </a:xfrm>
                    <a:prstGeom prst="rect">
                      <a:avLst/>
                    </a:prstGeom>
                    <a:noFill/>
                  </pic:spPr>
                </pic:pic>
              </a:graphicData>
            </a:graphic>
          </wp:anchor>
        </w:drawing>
        <w:t>of any Notional Investment Adjustment.</w:t>
      </w:r>
    </w:p>
    <w:p>
      <w:pPr>
        <w:spacing w:after="0" w:line="186" w:lineRule="exact"/>
        <w:rPr>
          <w:sz w:val="20"/>
          <w:szCs w:val="20"/>
          <w:color w:val="auto"/>
        </w:rPr>
      </w:pPr>
    </w:p>
    <w:p>
      <w:pPr>
        <w:ind w:left="340" w:right="26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Notional Investment Adjustment</w:t>
      </w:r>
      <w:r>
        <w:rPr>
          <w:rFonts w:ascii="Arial" w:cs="Arial" w:eastAsia="Arial" w:hAnsi="Arial"/>
          <w:sz w:val="16"/>
          <w:szCs w:val="16"/>
          <w:color w:val="auto"/>
        </w:rPr>
        <w:t xml:space="preserve">" means earnings, gains, losses and any other adjustments made with respect to any Annual Deferral Amount, Annual Company Matching Amount or Annual Company Discretionary Amount, which adjustments are made based on the performance of a Notional Investment pursuant to </w:t>
      </w:r>
      <w:r>
        <w:rPr>
          <w:rFonts w:ascii="Arial" w:cs="Arial" w:eastAsia="Arial" w:hAnsi="Arial"/>
          <w:sz w:val="16"/>
          <w:szCs w:val="16"/>
          <w:u w:val="single" w:color="auto"/>
          <w:color w:val="auto"/>
        </w:rPr>
        <w:t>Article 4</w:t>
      </w:r>
      <w:r>
        <w:rPr>
          <w:rFonts w:ascii="Arial" w:cs="Arial" w:eastAsia="Arial" w:hAnsi="Arial"/>
          <w:sz w:val="16"/>
          <w:szCs w:val="16"/>
          <w:color w:val="auto"/>
        </w:rPr>
        <w:t>.</w:t>
      </w:r>
    </w:p>
    <w:p>
      <w:pPr>
        <w:spacing w:after="0" w:line="144" w:lineRule="exact"/>
        <w:rPr>
          <w:sz w:val="20"/>
          <w:szCs w:val="20"/>
          <w:color w:val="auto"/>
        </w:rPr>
      </w:pPr>
    </w:p>
    <w:p>
      <w:pPr>
        <w:ind w:left="340"/>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Notional Investment Election Form</w:t>
      </w:r>
      <w:r>
        <w:rPr>
          <w:rFonts w:ascii="Arial" w:cs="Arial" w:eastAsia="Arial" w:hAnsi="Arial"/>
          <w:sz w:val="16"/>
          <w:szCs w:val="16"/>
          <w:color w:val="auto"/>
        </w:rPr>
        <w:t>” means notice filed with the Record Keeper by or on behalf of a Participant (or his or her Beneficiaries, as provided below) specifying the allocation of the Participant's Annual Deferral Amount and how the Participant's Annual Deferral Amount, Annual Company Matching Amount and Annual Company Discretionary Amount, if any, are to be allocated under the Plan among the Notional Investments provided under the Plan. Notional Investment Election Forms may be completed and/or signed using such online systems and other electronic means as the Committee or Record Keeper from time to time may designate for such purpose. Upon the death of a Participant, for so long as such Participant's Beneficiaries retain an interest in such Participant's Account hereunder, such Beneficiaries may file Notional Investment Election Forms with respect to such Account in accordance with such policies and procedures as the Committee from time to time may specify for such purpose.</w:t>
      </w:r>
    </w:p>
    <w:p>
      <w:pPr>
        <w:spacing w:after="0" w:line="158" w:lineRule="exact"/>
        <w:rPr>
          <w:sz w:val="20"/>
          <w:szCs w:val="20"/>
          <w:color w:val="auto"/>
        </w:rPr>
      </w:pPr>
    </w:p>
    <w:p>
      <w:pPr>
        <w:ind w:left="340" w:right="260"/>
        <w:spacing w:after="0" w:line="254" w:lineRule="auto"/>
        <w:rPr>
          <w:sz w:val="20"/>
          <w:szCs w:val="20"/>
          <w:color w:val="auto"/>
        </w:rPr>
      </w:pPr>
      <w:r>
        <w:rPr>
          <w:rFonts w:ascii="Arial" w:cs="Arial" w:eastAsia="Arial" w:hAnsi="Arial"/>
          <w:sz w:val="16"/>
          <w:szCs w:val="16"/>
          <w:b w:val="1"/>
          <w:bCs w:val="1"/>
          <w:color w:val="auto"/>
        </w:rPr>
        <w:t>“Participant</w:t>
      </w:r>
      <w:r>
        <w:rPr>
          <w:rFonts w:ascii="Arial" w:cs="Arial" w:eastAsia="Arial" w:hAnsi="Arial"/>
          <w:sz w:val="16"/>
          <w:szCs w:val="16"/>
          <w:color w:val="auto"/>
        </w:rPr>
        <w:t>” means any Eligible Employee (i) who is selected to participate in the Plan, (ii) who elects to participate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(iii) who signs a Participation Agreement, a Deferral Election Form, a Notional Investment Election Form, (iv) whose signed Participation Agreement, Deferral Election Form, and Notional Investment Election Form are accepted by the Committee, and (v) who commences participation in the Plan. A spouse or former spouse (or beneficiary) of a Participant shall not be treated as a Participant in the Plan, even if he or she has an interest in the Participant's benefits under the Plan as a result of applicable law or property settlements resulting from legal separation or divorce.</w:t>
      </w:r>
    </w:p>
    <w:p>
      <w:pPr>
        <w:spacing w:after="0" w:line="155" w:lineRule="exact"/>
        <w:rPr>
          <w:sz w:val="20"/>
          <w:szCs w:val="20"/>
          <w:color w:val="auto"/>
        </w:rPr>
      </w:pPr>
    </w:p>
    <w:p>
      <w:pPr>
        <w:ind w:left="340" w:right="30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Participation Agreement</w:t>
      </w:r>
      <w:r>
        <w:rPr>
          <w:rFonts w:ascii="Arial" w:cs="Arial" w:eastAsia="Arial" w:hAnsi="Arial"/>
          <w:sz w:val="16"/>
          <w:szCs w:val="16"/>
          <w:color w:val="auto"/>
        </w:rPr>
        <w:t>" means the form established from time to time by the Committee that a Participant completes, signs and returns to the Company to become a Participant in this Plan. Participation Agreements may be completed and/or signed using such online systems and other electronic means as the Committee or Record Keeper from time to time may designate for such purpose.</w:t>
      </w:r>
    </w:p>
    <w:p>
      <w:pPr>
        <w:spacing w:after="0" w:line="151" w:lineRule="exact"/>
        <w:rPr>
          <w:sz w:val="20"/>
          <w:szCs w:val="20"/>
          <w:color w:val="auto"/>
        </w:rPr>
      </w:pPr>
    </w:p>
    <w:p>
      <w:pPr>
        <w:ind w:left="340" w:right="20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Pay Type</w:t>
      </w:r>
      <w:r>
        <w:rPr>
          <w:rFonts w:ascii="Arial" w:cs="Arial" w:eastAsia="Arial" w:hAnsi="Arial"/>
          <w:sz w:val="16"/>
          <w:szCs w:val="16"/>
          <w:color w:val="auto"/>
        </w:rPr>
        <w:t>” means the forms of compensation selected in the Adoption Agreement as eligible for deferral and for inclusion in the calculation of Annual Deferral Amounts under the Plan. References to one or more “Pay Types” with respect to any particular Calendar Year means said forms of compensation relating to services performed during such Calendar Year, whether or not paid in such Calendar Year or included on a Federal Income Tax Form W-2 for such Calendar Year (except and to the extent otherwise required under any applicable Section 409A Requirements). The Committee from time to time may adopt and amend such rules and procedures as it deems appropriate to more particularly define or classify any particular Pay Type for further clarification in the administration of this Plan.</w:t>
      </w:r>
    </w:p>
    <w:p>
      <w:pPr>
        <w:spacing w:after="0" w:line="154" w:lineRule="exact"/>
        <w:rPr>
          <w:sz w:val="20"/>
          <w:szCs w:val="20"/>
          <w:color w:val="auto"/>
        </w:rPr>
      </w:pPr>
    </w:p>
    <w:p>
      <w:pPr>
        <w:ind w:left="340" w:right="158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Permissible Change Election</w:t>
      </w:r>
      <w:r>
        <w:rPr>
          <w:rFonts w:ascii="Arial" w:cs="Arial" w:eastAsia="Arial" w:hAnsi="Arial"/>
          <w:sz w:val="16"/>
          <w:szCs w:val="16"/>
          <w:color w:val="auto"/>
        </w:rPr>
        <w:t>” means an election to change the time or form of payment of any benefit under the Plan that:</w:t>
      </w:r>
    </w:p>
    <w:p>
      <w:pPr>
        <w:spacing w:after="0" w:line="137" w:lineRule="exact"/>
        <w:rPr>
          <w:sz w:val="20"/>
          <w:szCs w:val="20"/>
          <w:color w:val="auto"/>
        </w:rPr>
      </w:pPr>
    </w:p>
    <w:p>
      <w:pPr>
        <w:ind w:left="680" w:hanging="327"/>
        <w:spacing w:after="0"/>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does not take effect until at least 12 months after the date on which such election to delay or change is made;</w:t>
      </w:r>
    </w:p>
    <w:p>
      <w:pPr>
        <w:spacing w:after="0" w:line="194" w:lineRule="exact"/>
        <w:rPr>
          <w:rFonts w:ascii="Arial" w:cs="Arial" w:eastAsia="Arial" w:hAnsi="Arial"/>
          <w:sz w:val="16"/>
          <w:szCs w:val="16"/>
          <w:color w:val="auto"/>
        </w:rPr>
      </w:pPr>
    </w:p>
    <w:p>
      <w:pPr>
        <w:ind w:left="680" w:hanging="327"/>
        <w:spacing w:after="0"/>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is made at least 12 months prior to the date previously scheduled for the payment affected thereby;</w:t>
      </w:r>
    </w:p>
    <w:p>
      <w:pPr>
        <w:spacing w:after="0" w:line="194" w:lineRule="exact"/>
        <w:rPr>
          <w:rFonts w:ascii="Arial" w:cs="Arial" w:eastAsia="Arial" w:hAnsi="Arial"/>
          <w:sz w:val="16"/>
          <w:szCs w:val="16"/>
          <w:color w:val="auto"/>
        </w:rPr>
      </w:pPr>
    </w:p>
    <w:p>
      <w:pPr>
        <w:ind w:left="680" w:right="400" w:hanging="327"/>
        <w:spacing w:after="0" w:line="261" w:lineRule="auto"/>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postpones the payment affected thereby for a period of not less than 5 years from the date when such payment otherwise would have been made; provided, however, that this restriction shall not apply in the case of a payment on account of a Disability, death or an Unforeseeable Emergency; and</w:t>
      </w:r>
    </w:p>
    <w:p>
      <w:pPr>
        <w:spacing w:after="0" w:line="155" w:lineRule="exact"/>
        <w:rPr>
          <w:rFonts w:ascii="Arial" w:cs="Arial" w:eastAsia="Arial" w:hAnsi="Arial"/>
          <w:sz w:val="16"/>
          <w:szCs w:val="16"/>
          <w:color w:val="auto"/>
        </w:rPr>
      </w:pPr>
    </w:p>
    <w:p>
      <w:pPr>
        <w:ind w:left="660" w:right="760" w:hanging="307"/>
        <w:spacing w:after="0" w:line="27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does not accelerate the scheduled time for payment of any distribution, except as permitted under Section 409A Requirements.</w:t>
      </w:r>
    </w:p>
    <w:p>
      <w:pPr>
        <w:spacing w:after="0" w:line="346" w:lineRule="exact"/>
        <w:rPr>
          <w:sz w:val="20"/>
          <w:szCs w:val="20"/>
          <w:color w:val="auto"/>
        </w:rPr>
      </w:pPr>
    </w:p>
    <w:p>
      <w:pPr>
        <w:jc w:val="both"/>
        <w:ind w:left="360" w:right="180"/>
        <w:spacing w:after="0" w:line="261" w:lineRule="auto"/>
        <w:rPr>
          <w:sz w:val="20"/>
          <w:szCs w:val="20"/>
          <w:color w:val="auto"/>
        </w:rPr>
      </w:pPr>
      <w:r>
        <w:rPr>
          <w:rFonts w:ascii="Arial" w:cs="Arial" w:eastAsia="Arial" w:hAnsi="Arial"/>
          <w:sz w:val="16"/>
          <w:szCs w:val="16"/>
          <w:color w:val="auto"/>
        </w:rPr>
        <w:t>For purposes of the foregoing, unless otherwise provided in the Adoption Agreement or otherwise required under applicable Section 409A Requirements, any distribution that a Participant elects to receive in a series of installments shall be treated as being a single payment on the date of the first installment of such series.</w:t>
      </w:r>
    </w:p>
    <w:p>
      <w:pPr>
        <w:spacing w:after="0" w:line="148" w:lineRule="exact"/>
        <w:rPr>
          <w:sz w:val="20"/>
          <w:szCs w:val="20"/>
          <w:color w:val="auto"/>
        </w:rPr>
      </w:pPr>
    </w:p>
    <w:p>
      <w:pPr>
        <w:ind w:left="340" w:right="13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Plan, as evidenced by the Adoption Agreement and this document, each as amended and in effect from time to time.</w:t>
      </w:r>
    </w:p>
    <w:p>
      <w:pPr>
        <w:spacing w:after="0" w:line="155" w:lineRule="exact"/>
        <w:rPr>
          <w:sz w:val="20"/>
          <w:szCs w:val="20"/>
          <w:color w:val="auto"/>
        </w:rPr>
      </w:pPr>
    </w:p>
    <w:p>
      <w:pPr>
        <w:jc w:val="center"/>
        <w:ind w:right="420"/>
        <w:spacing w:after="0"/>
        <w:rPr>
          <w:sz w:val="20"/>
          <w:szCs w:val="20"/>
          <w:color w:val="auto"/>
        </w:rPr>
      </w:pPr>
      <w:r>
        <w:rPr>
          <w:rFonts w:ascii="Arial" w:cs="Arial" w:eastAsia="Arial" w:hAnsi="Arial"/>
          <w:sz w:val="18"/>
          <w:szCs w:val="18"/>
          <w:i w:val="1"/>
          <w:i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459105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20"/>
          </w:cols>
          <w:pgMar w:left="1440" w:top="926" w:right="1039" w:bottom="1440" w:gutter="0" w:footer="0" w:header="0"/>
        </w:sectPr>
      </w:pPr>
    </w:p>
    <w:bookmarkStart w:id="53" w:name="page54"/>
    <w:bookmarkEnd w:id="53"/>
    <w:p>
      <w:pPr>
        <w:ind w:left="340" w:right="3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008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36130" cy="8008620"/>
                    </a:xfrm>
                    <a:prstGeom prst="rect">
                      <a:avLst/>
                    </a:prstGeom>
                    <a:noFill/>
                  </pic:spPr>
                </pic:pic>
              </a:graphicData>
            </a:graphic>
          </wp:anchor>
        </w:drawing>
        <w:t>“</w:t>
      </w:r>
      <w:r>
        <w:rPr>
          <w:rFonts w:ascii="Arial" w:cs="Arial" w:eastAsia="Arial" w:hAnsi="Arial"/>
          <w:sz w:val="16"/>
          <w:szCs w:val="16"/>
          <w:b w:val="1"/>
          <w:bCs w:val="1"/>
          <w:color w:val="auto"/>
        </w:rPr>
        <w:t>Plan Year</w:t>
      </w:r>
      <w:r>
        <w:rPr>
          <w:rFonts w:ascii="Arial" w:cs="Arial" w:eastAsia="Arial" w:hAnsi="Arial"/>
          <w:sz w:val="16"/>
          <w:szCs w:val="16"/>
          <w:color w:val="auto"/>
        </w:rPr>
        <w:t>” means each Calendar Year except that the first Plan Year shall commence on the Effective Date of the Plan specified in the Adoption Agreement and end on December 31 of the same Calendar Year.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Pre-Commencement Death Benefit</w:t>
      </w:r>
      <w:r>
        <w:rPr>
          <w:rFonts w:ascii="Arial" w:cs="Arial" w:eastAsia="Arial" w:hAnsi="Arial"/>
          <w:sz w:val="16"/>
          <w:szCs w:val="16"/>
          <w:color w:val="auto"/>
        </w:rPr>
        <w:t xml:space="preserve">" means the death benefit payable under </w:t>
      </w:r>
      <w:r>
        <w:rPr>
          <w:rFonts w:ascii="Arial" w:cs="Arial" w:eastAsia="Arial" w:hAnsi="Arial"/>
          <w:sz w:val="16"/>
          <w:szCs w:val="16"/>
          <w:u w:val="single" w:color="auto"/>
          <w:color w:val="auto"/>
        </w:rPr>
        <w:t>Section 6.6.1</w:t>
      </w:r>
      <w:r>
        <w:rPr>
          <w:rFonts w:ascii="Arial" w:cs="Arial" w:eastAsia="Arial" w:hAnsi="Arial"/>
          <w:sz w:val="16"/>
          <w:szCs w:val="16"/>
          <w:color w:val="auto"/>
        </w:rPr>
        <w: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Post-Commencement Death Benefit</w:t>
      </w:r>
      <w:r>
        <w:rPr>
          <w:rFonts w:ascii="Arial" w:cs="Arial" w:eastAsia="Arial" w:hAnsi="Arial"/>
          <w:sz w:val="16"/>
          <w:szCs w:val="16"/>
          <w:color w:val="auto"/>
        </w:rPr>
        <w:t xml:space="preserve">" means the death benefit payable under </w:t>
      </w:r>
      <w:r>
        <w:rPr>
          <w:rFonts w:ascii="Arial" w:cs="Arial" w:eastAsia="Arial" w:hAnsi="Arial"/>
          <w:sz w:val="16"/>
          <w:szCs w:val="16"/>
          <w:u w:val="single" w:color="auto"/>
          <w:color w:val="auto"/>
        </w:rPr>
        <w:t>Section 6.6.2</w:t>
      </w:r>
      <w:r>
        <w:rPr>
          <w:rFonts w:ascii="Arial" w:cs="Arial" w:eastAsia="Arial" w:hAnsi="Arial"/>
          <w:sz w:val="16"/>
          <w:szCs w:val="16"/>
          <w:color w:val="auto"/>
        </w:rPr>
        <w:t>.</w:t>
      </w:r>
    </w:p>
    <w:p>
      <w:pPr>
        <w:spacing w:after="0" w:line="194" w:lineRule="exact"/>
        <w:rPr>
          <w:sz w:val="20"/>
          <w:szCs w:val="20"/>
          <w:color w:val="auto"/>
        </w:rPr>
      </w:pPr>
    </w:p>
    <w:p>
      <w:pPr>
        <w:ind w:left="340" w:right="16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Record Keeper</w:t>
      </w:r>
      <w:r>
        <w:rPr>
          <w:rFonts w:ascii="Arial" w:cs="Arial" w:eastAsia="Arial" w:hAnsi="Arial"/>
          <w:sz w:val="16"/>
          <w:szCs w:val="16"/>
          <w:color w:val="auto"/>
        </w:rPr>
        <w:t>” means the party designated as the Record Keeper, as such designation may be amended from time to time in the discretion of the Committee. In the absence of any such designation, or should the Record Keeper be unable or unwilling to serve, the Company shall perform the duties of the Record Keeper under this Plan.</w:t>
      </w:r>
    </w:p>
    <w:p>
      <w:pPr>
        <w:spacing w:after="0" w:line="144" w:lineRule="exact"/>
        <w:rPr>
          <w:sz w:val="20"/>
          <w:szCs w:val="20"/>
          <w:color w:val="auto"/>
        </w:rPr>
      </w:pPr>
    </w:p>
    <w:p>
      <w:pPr>
        <w:ind w:left="340" w:right="19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Retirement</w:t>
      </w:r>
      <w:r>
        <w:rPr>
          <w:rFonts w:ascii="Arial" w:cs="Arial" w:eastAsia="Arial" w:hAnsi="Arial"/>
          <w:sz w:val="16"/>
          <w:szCs w:val="16"/>
          <w:color w:val="auto"/>
        </w:rPr>
        <w:t>” means the Termination of Employment of a Participant on or after such Participant’s Retirement Eligibility Date.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Retirement Benefit</w:t>
      </w:r>
      <w:r>
        <w:rPr>
          <w:rFonts w:ascii="Arial" w:cs="Arial" w:eastAsia="Arial" w:hAnsi="Arial"/>
          <w:sz w:val="16"/>
          <w:szCs w:val="16"/>
          <w:color w:val="auto"/>
        </w:rPr>
        <w:t xml:space="preserve">” means the benefit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w:t>
      </w:r>
    </w:p>
    <w:p>
      <w:pPr>
        <w:spacing w:after="0" w:line="194" w:lineRule="exact"/>
        <w:rPr>
          <w:sz w:val="20"/>
          <w:szCs w:val="20"/>
          <w:color w:val="auto"/>
        </w:rPr>
      </w:pPr>
    </w:p>
    <w:p>
      <w:pPr>
        <w:ind w:left="340" w:right="12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Retirement Eligibility Date</w:t>
      </w:r>
      <w:r>
        <w:rPr>
          <w:rFonts w:ascii="Arial" w:cs="Arial" w:eastAsia="Arial" w:hAnsi="Arial"/>
          <w:sz w:val="16"/>
          <w:szCs w:val="16"/>
          <w:color w:val="auto"/>
        </w:rPr>
        <w:t>” means the date when the Participant satisfies the requirements of Retirement Eligibility Date as designated in the Adoption Agreement.</w:t>
      </w:r>
    </w:p>
    <w:p>
      <w:pPr>
        <w:spacing w:after="0" w:line="129" w:lineRule="exact"/>
        <w:rPr>
          <w:sz w:val="20"/>
          <w:szCs w:val="20"/>
          <w:color w:val="auto"/>
        </w:rPr>
      </w:pPr>
    </w:p>
    <w:p>
      <w:pPr>
        <w:jc w:val="both"/>
        <w:ind w:left="340" w:right="40"/>
        <w:spacing w:after="0" w:line="266" w:lineRule="auto"/>
        <w:rPr>
          <w:sz w:val="20"/>
          <w:szCs w:val="20"/>
          <w:color w:val="auto"/>
        </w:rPr>
      </w:pPr>
      <w:r>
        <w:rPr>
          <w:rFonts w:ascii="Arial" w:cs="Arial" w:eastAsia="Arial" w:hAnsi="Arial"/>
          <w:sz w:val="16"/>
          <w:szCs w:val="16"/>
          <w:b w:val="1"/>
          <w:bCs w:val="1"/>
          <w:color w:val="auto"/>
        </w:rPr>
        <w:t xml:space="preserve">“RSUs” </w:t>
      </w:r>
      <w:r>
        <w:rPr>
          <w:rFonts w:ascii="Arial" w:cs="Arial" w:eastAsia="Arial" w:hAnsi="Arial"/>
          <w:sz w:val="16"/>
          <w:szCs w:val="16"/>
          <w:color w:val="auto"/>
        </w:rPr>
        <w:t>means any restricted stock units, including any spot restricted stock units, awarded to a Participant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which a Participant elects defer under the Plan, as a form of Pay Type, in accordance with Section I of the Adoption Agreement, and credited to a Participant’s Account.</w:t>
      </w:r>
    </w:p>
    <w:p>
      <w:pPr>
        <w:spacing w:after="0" w:line="144" w:lineRule="exact"/>
        <w:rPr>
          <w:sz w:val="20"/>
          <w:szCs w:val="20"/>
          <w:color w:val="auto"/>
        </w:rPr>
      </w:pPr>
    </w:p>
    <w:p>
      <w:pPr>
        <w:ind w:left="34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409A</w:t>
      </w:r>
      <w:r>
        <w:rPr>
          <w:rFonts w:ascii="Arial" w:cs="Arial" w:eastAsia="Arial" w:hAnsi="Arial"/>
          <w:sz w:val="16"/>
          <w:szCs w:val="16"/>
          <w:color w:val="auto"/>
        </w:rPr>
        <w:t>” means Section 409A of the Code, as the same may be amended from time to time, and any successor statute thereto. References to Section 409A or any requirement under Section 409A, as the same may be interpreted, construed or applied to this Plan at any particular time, shall be deemed to mean and include, to the extent then applicable and then in force and effect (but not to the extent overruled, limited or superseded), published guidance, regulations, notices, rulings and similar announcements issued by the Internal Revenue Service or by the Secretary of the Treasury under or interpreting Section 409A, decisions by any court of competent jurisdiction involving a Participant or a beneficiary and any closing agreement made under §7121 of the Code that is approved by the Internal Revenue Service and involves a Participant, all as determined by the Committee in good faith, which determination may (but shall not be required to) be made in reliance on the advice of such tax counsel or other tax professional(s) with whom the Committee from time to time may elect to consult with respect to any such matter.</w:t>
      </w:r>
    </w:p>
    <w:p>
      <w:pPr>
        <w:spacing w:after="0" w:line="162" w:lineRule="exact"/>
        <w:rPr>
          <w:sz w:val="20"/>
          <w:szCs w:val="20"/>
          <w:color w:val="auto"/>
        </w:rPr>
      </w:pPr>
    </w:p>
    <w:p>
      <w:pPr>
        <w:ind w:left="340" w:right="80"/>
        <w:spacing w:after="0" w:line="261" w:lineRule="auto"/>
        <w:rPr>
          <w:sz w:val="20"/>
          <w:szCs w:val="20"/>
          <w:color w:val="auto"/>
        </w:rPr>
      </w:pPr>
      <w:r>
        <w:rPr>
          <w:rFonts w:ascii="Arial" w:cs="Arial" w:eastAsia="Arial" w:hAnsi="Arial"/>
          <w:sz w:val="16"/>
          <w:szCs w:val="16"/>
          <w:b w:val="1"/>
          <w:bCs w:val="1"/>
          <w:color w:val="auto"/>
        </w:rPr>
        <w:t xml:space="preserve">“Section 409A Discretionary Payment Period” </w:t>
      </w:r>
      <w:r>
        <w:rPr>
          <w:rFonts w:ascii="Arial" w:cs="Arial" w:eastAsia="Arial" w:hAnsi="Arial"/>
          <w:sz w:val="16"/>
          <w:szCs w:val="16"/>
          <w:color w:val="auto"/>
        </w:rPr>
        <w:t>means with respect to any designated payment date, the period during</w:t>
      </w:r>
      <w:r>
        <w:rPr>
          <w:rFonts w:ascii="Arial" w:cs="Arial" w:eastAsia="Arial" w:hAnsi="Arial"/>
          <w:sz w:val="16"/>
          <w:szCs w:val="16"/>
          <w:b w:val="1"/>
          <w:bCs w:val="1"/>
          <w:color w:val="auto"/>
        </w:rPr>
        <w:t xml:space="preserve"> </w:t>
      </w:r>
      <w:r>
        <w:rPr>
          <w:rFonts w:ascii="Arial" w:cs="Arial" w:eastAsia="Arial" w:hAnsi="Arial"/>
          <w:sz w:val="16"/>
          <w:szCs w:val="16"/>
          <w:color w:val="auto"/>
        </w:rPr>
        <w:t>which payments will be treated as having been made upon such designated payment date under Treasury Regulation §1.409A-3(d), providing for payments to be treated as timely if made no earlier than thirty (30) days prior to such designated payment date and no later than the end of the Calendar Year in which such designated payment date occurs, or if later, by the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the third calendar month following such designated payment date.</w:t>
      </w:r>
    </w:p>
    <w:p>
      <w:pPr>
        <w:spacing w:after="0" w:line="98" w:lineRule="exact"/>
        <w:rPr>
          <w:sz w:val="20"/>
          <w:szCs w:val="20"/>
          <w:color w:val="auto"/>
        </w:rPr>
      </w:pPr>
    </w:p>
    <w:p>
      <w:pPr>
        <w:ind w:left="34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409A Requirement</w:t>
      </w:r>
      <w:r>
        <w:rPr>
          <w:rFonts w:ascii="Arial" w:cs="Arial" w:eastAsia="Arial" w:hAnsi="Arial"/>
          <w:sz w:val="16"/>
          <w:szCs w:val="16"/>
          <w:color w:val="auto"/>
        </w:rPr>
        <w:t>” means any requirement under Section 409A, the failure of which would result in the imposition or accrual of interest or additional taxes under Section 409A on or with respect to any income intended to be deferred under the Plan.</w:t>
      </w:r>
    </w:p>
    <w:p>
      <w:pPr>
        <w:spacing w:after="0" w:line="144" w:lineRule="exact"/>
        <w:rPr>
          <w:sz w:val="20"/>
          <w:szCs w:val="20"/>
          <w:color w:val="auto"/>
        </w:rPr>
      </w:pPr>
    </w:p>
    <w:p>
      <w:pPr>
        <w:ind w:left="340" w:right="4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Employee</w:t>
      </w:r>
      <w:r>
        <w:rPr>
          <w:rFonts w:ascii="Arial" w:cs="Arial" w:eastAsia="Arial" w:hAnsi="Arial"/>
          <w:sz w:val="16"/>
          <w:szCs w:val="16"/>
          <w:color w:val="auto"/>
        </w:rPr>
        <w:t>” means, at any time when stock of the Company (or other Participating Employer as applicable) is publicly traded on an established securities market or otherwise (as determined in accordance with Section 409A Requirements), those service providers who are “specified employees” within the meaning of Section 409A. The determination shall be made consistent with all Section 409A Requirements as follows: (a) a key employee of the Company (within the meaning of Code Section 409A(a)(2)(B)) any stock of which is publicly traded on an established securities market or otherwise will be considered a key employee if the service provider meets the requirements of Code §416(i)(1)(A)(i),(ii) or</w:t>
      </w:r>
    </w:p>
    <w:p>
      <w:pPr>
        <w:spacing w:after="0" w:line="4" w:lineRule="exact"/>
        <w:rPr>
          <w:sz w:val="20"/>
          <w:szCs w:val="20"/>
          <w:color w:val="auto"/>
        </w:rPr>
      </w:pPr>
    </w:p>
    <w:p>
      <w:pPr>
        <w:ind w:left="340" w:right="100" w:firstLine="9"/>
        <w:spacing w:after="0" w:line="246" w:lineRule="auto"/>
        <w:tabs>
          <w:tab w:leader="none" w:pos="6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(applied in accordance with the regulations thereunder and disregarding Code §416(i)(5)) at any time during the 12-month period ending on an Identification Date specified in the Adoption Agreement; (b) if a person is a key employee as of an Identification Date, the person is treated as a Specified Employee for the 12-month period beginning on the first day of the fourth month following the Identification Date; (c) if no alternative Identification Date is designated in the Adoption Agreement, the Identification Date shall be December 31. Whether any stock of the Company is publicly traded on an established securities market or otherwise must be determined as of the date of the Participant’s Separation from Service. The application of rules regarding “Specified Employees” to spinoffs and mergers and nonresident alien employees shall be determined</w:t>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8"/>
          <w:szCs w:val="18"/>
          <w:i w:val="1"/>
          <w:i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447675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80"/>
          </w:cols>
          <w:pgMar w:left="1440" w:top="918" w:right="1179" w:bottom="1440" w:gutter="0" w:footer="0" w:header="0"/>
        </w:sectPr>
      </w:pPr>
    </w:p>
    <w:bookmarkStart w:id="54" w:name="page55"/>
    <w:bookmarkEnd w:id="54"/>
    <w:p>
      <w:pPr>
        <w:jc w:val="both"/>
        <w:ind w:left="340" w:right="180"/>
        <w:spacing w:after="0" w:line="26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6713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136130" cy="6671310"/>
                    </a:xfrm>
                    <a:prstGeom prst="rect">
                      <a:avLst/>
                    </a:prstGeom>
                    <a:noFill/>
                  </pic:spPr>
                </pic:pic>
              </a:graphicData>
            </a:graphic>
          </wp:anchor>
        </w:drawing>
        <w:t>pursuant to applicable guidance. It is the Company’s responsibly to elect which rules under Section 409A shall apply when determining who is a Specified Employee, to annually determine who are the Specified Employees, and to timely provide a list of Specified Employees to the Record Keeper.</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Benefit</w:t>
      </w:r>
      <w:r>
        <w:rPr>
          <w:rFonts w:ascii="Arial" w:cs="Arial" w:eastAsia="Arial" w:hAnsi="Arial"/>
          <w:sz w:val="16"/>
          <w:szCs w:val="16"/>
          <w:color w:val="auto"/>
        </w:rPr>
        <w:t xml:space="preserve">” means the benefit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“Termination”, “Termination of Employment</w:t>
      </w:r>
      <w:r>
        <w:rPr>
          <w:rFonts w:ascii="Arial" w:cs="Arial" w:eastAsia="Arial" w:hAnsi="Arial"/>
          <w:sz w:val="16"/>
          <w:szCs w:val="16"/>
          <w:color w:val="auto"/>
        </w:rPr>
        <w:t>”</w:t>
      </w:r>
      <w:r>
        <w:rPr>
          <w:rFonts w:ascii="Arial" w:cs="Arial" w:eastAsia="Arial" w:hAnsi="Arial"/>
          <w:sz w:val="16"/>
          <w:szCs w:val="16"/>
          <w:b w:val="1"/>
          <w:bCs w:val="1"/>
          <w:color w:val="auto"/>
        </w:rPr>
        <w:t xml:space="preserve"> or "Separation from Service" </w:t>
      </w:r>
      <w:r>
        <w:rPr>
          <w:rFonts w:ascii="Arial" w:cs="Arial" w:eastAsia="Arial" w:hAnsi="Arial"/>
          <w:sz w:val="16"/>
          <w:szCs w:val="16"/>
          <w:color w:val="auto"/>
        </w:rPr>
        <w:t>shall be interpreted consistently with all</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Section 409A Requirements according to the following specifications:</w:t>
      </w:r>
    </w:p>
    <w:p>
      <w:pPr>
        <w:spacing w:after="0" w:line="182" w:lineRule="exact"/>
        <w:rPr>
          <w:sz w:val="20"/>
          <w:szCs w:val="20"/>
          <w:color w:val="auto"/>
        </w:rPr>
      </w:pPr>
    </w:p>
    <w:p>
      <w:pPr>
        <w:ind w:left="680" w:hanging="327"/>
        <w:spacing w:after="0" w:line="249" w:lineRule="auto"/>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Employee. Any absence from service that ends the employment of an individual with the employer shall be deemed to be a Termination of Employment. However, the employment relationship is treated as continuing intact while the individual is on military leave, sick leave, or other bona fide leave of absence (such as temporary employment by the government) if the period of such leave does not exceed six months, or if longer, so long as the individual’s right to reemployment with the Company is provided whether by statute or by contract. If the period of leave exceeds six months and the individual’s right to reemployment is not provided either by statue or by contract, the employment relationship is deemed to terminate on the first date immediately following such six month period. The determination of whether an Employee has a Termination of Employment shall be determined pursuant to the Adoption Agreement and Treasury Regulation §1.409A-1(h). If the Adoption Agreement does not specify the percentage of average level of bona fide services to constitute a Termination of Employment, a Termination of Employment will occur once an Employee’s services decrease to 20% or less of the average level of bona fide services compared to services performed over the preceding 36 month period.</w:t>
      </w:r>
    </w:p>
    <w:p>
      <w:pPr>
        <w:spacing w:after="0" w:line="357" w:lineRule="exact"/>
        <w:rPr>
          <w:rFonts w:ascii="Arial" w:cs="Arial" w:eastAsia="Arial" w:hAnsi="Arial"/>
          <w:sz w:val="16"/>
          <w:szCs w:val="16"/>
          <w:color w:val="auto"/>
        </w:rPr>
      </w:pPr>
    </w:p>
    <w:p>
      <w:pPr>
        <w:jc w:val="both"/>
        <w:ind w:left="680" w:hanging="327"/>
        <w:spacing w:after="0" w:line="256" w:lineRule="auto"/>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Independent Contractor. An Independent Contractor is considered to have a Termination or Separation from Service upon (i) retirement as a director, or (ii) the expiration of the contract (or in the case of more than one contract, all contracts) under which services are performed if the expiration constitutes a good- faith and complete termination of the contractual relationship.</w:t>
      </w:r>
    </w:p>
    <w:p>
      <w:pPr>
        <w:spacing w:after="0" w:line="349" w:lineRule="exact"/>
        <w:rPr>
          <w:sz w:val="20"/>
          <w:szCs w:val="20"/>
          <w:color w:val="auto"/>
        </w:rPr>
      </w:pPr>
    </w:p>
    <w:p>
      <w:pPr>
        <w:ind w:left="340" w:right="360"/>
        <w:spacing w:after="0" w:line="276" w:lineRule="auto"/>
        <w:rPr>
          <w:sz w:val="20"/>
          <w:szCs w:val="20"/>
          <w:color w:val="auto"/>
        </w:rPr>
      </w:pPr>
      <w:r>
        <w:rPr>
          <w:rFonts w:ascii="Arial" w:cs="Arial" w:eastAsia="Arial" w:hAnsi="Arial"/>
          <w:sz w:val="16"/>
          <w:szCs w:val="16"/>
          <w:color w:val="auto"/>
        </w:rPr>
        <w:t>It is the Company's responsibility to determine whether there is a Termination of Employment/Separation from Service in accordance with Section 409A with respect to any Participant and to advise the Record Keeper accordingly.</w:t>
      </w:r>
    </w:p>
    <w:p>
      <w:pPr>
        <w:spacing w:after="0" w:line="136" w:lineRule="exact"/>
        <w:rPr>
          <w:sz w:val="20"/>
          <w:szCs w:val="20"/>
          <w:color w:val="auto"/>
        </w:rPr>
      </w:pPr>
    </w:p>
    <w:p>
      <w:pPr>
        <w:ind w:left="340" w:right="6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Unforeseeable Emergency</w:t>
      </w:r>
      <w:r>
        <w:rPr>
          <w:rFonts w:ascii="Arial" w:cs="Arial" w:eastAsia="Arial" w:hAnsi="Arial"/>
          <w:sz w:val="16"/>
          <w:szCs w:val="16"/>
          <w:color w:val="auto"/>
        </w:rPr>
        <w:t>” means, with respect to any particular Participant, (i) a severe financial hardship of such Participant resulting from an illness or accident suffered by such Participant, by such Participant’s spouse or by a dependent (within the meaning of §152 of the Code without regard to</w:t>
      </w:r>
    </w:p>
    <w:p>
      <w:pPr>
        <w:spacing w:after="0" w:line="1" w:lineRule="exact"/>
        <w:rPr>
          <w:sz w:val="20"/>
          <w:szCs w:val="20"/>
          <w:color w:val="auto"/>
        </w:rPr>
      </w:pPr>
    </w:p>
    <w:p>
      <w:pPr>
        <w:ind w:left="340" w:right="320"/>
        <w:spacing w:after="0" w:line="251" w:lineRule="auto"/>
        <w:rPr>
          <w:sz w:val="20"/>
          <w:szCs w:val="20"/>
          <w:color w:val="auto"/>
        </w:rPr>
      </w:pPr>
      <w:r>
        <w:rPr>
          <w:rFonts w:ascii="Arial" w:cs="Arial" w:eastAsia="Arial" w:hAnsi="Arial"/>
          <w:sz w:val="16"/>
          <w:szCs w:val="16"/>
          <w:color w:val="auto"/>
        </w:rPr>
        <w:t>§152(b)(1), (b)(2) and (d)(1)(B) of the Code) of such Participant; (ii) a Participant's loss of property due to casualty; or (iii) other similar extraordinary and unforeseeable circumstances arising as a result of events beyond the control of the Participant. It is the Company's responsibility to determine whether there is an Unforeseeable Emergency in accordance with Section 409A with respect to any Participant and to advise the Record Keeper accordingly.</w:t>
      </w:r>
    </w:p>
    <w:p>
      <w:pPr>
        <w:spacing w:after="0" w:line="163"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 * * * * *</w:t>
      </w:r>
    </w:p>
    <w:p>
      <w:pPr>
        <w:spacing w:after="0" w:line="194" w:lineRule="exact"/>
        <w:rPr>
          <w:sz w:val="20"/>
          <w:szCs w:val="20"/>
          <w:color w:val="auto"/>
        </w:rPr>
      </w:pPr>
    </w:p>
    <w:p>
      <w:pPr>
        <w:ind w:left="340"/>
        <w:spacing w:after="0" w:line="248" w:lineRule="auto"/>
        <w:rPr>
          <w:sz w:val="20"/>
          <w:szCs w:val="20"/>
          <w:color w:val="auto"/>
        </w:rPr>
      </w:pPr>
      <w:r>
        <w:rPr>
          <w:rFonts w:ascii="Arial" w:cs="Arial" w:eastAsia="Arial" w:hAnsi="Arial"/>
          <w:sz w:val="16"/>
          <w:szCs w:val="16"/>
          <w:color w:val="auto"/>
        </w:rPr>
        <w:t>It is intended that the Plan shall conform with all applicable Section 409A Requirements. Accordingly, in interpreting, construing or applying any of the foregoing definitions or any of the terms, conditions or provisions of the Plan, the same shall be construed in such manner as shall meet and comply with Section 409A Requirements then applicable thereto, and in the event of any inconsistency with any Section 409A Requirements, the same shall be reformed so as to meet such Section 409A Requirements to the fullest extent then permitted without penalty (and without imposition or accrual of interest or additional taxes) under Section 409A.</w:t>
      </w:r>
    </w:p>
    <w:p>
      <w:pPr>
        <w:spacing w:after="0" w:line="3" w:lineRule="exact"/>
        <w:rPr>
          <w:sz w:val="20"/>
          <w:szCs w:val="20"/>
          <w:color w:val="auto"/>
        </w:rPr>
      </w:pPr>
    </w:p>
    <w:p>
      <w:pPr>
        <w:jc w:val="center"/>
        <w:ind w:right="300"/>
        <w:spacing w:after="0"/>
        <w:rPr>
          <w:sz w:val="20"/>
          <w:szCs w:val="20"/>
          <w:color w:val="auto"/>
        </w:rPr>
      </w:pPr>
      <w:r>
        <w:rPr>
          <w:rFonts w:ascii="Arial" w:cs="Arial" w:eastAsia="Arial" w:hAnsi="Arial"/>
          <w:sz w:val="18"/>
          <w:szCs w:val="18"/>
          <w:i w:val="1"/>
          <w:i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447675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00"/>
          </w:cols>
          <w:pgMar w:left="1440" w:top="926" w:right="1159" w:bottom="1440" w:gutter="0" w:footer="0" w:header="0"/>
        </w:sectPr>
      </w:pPr>
    </w:p>
    <w:bookmarkStart w:id="55" w:name="page56"/>
    <w:bookmarkEnd w:id="55"/>
    <w:p>
      <w:pPr>
        <w:jc w:val="center"/>
        <w:ind w:right="-15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8974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7136130" cy="7897495"/>
                    </a:xfrm>
                    <a:prstGeom prst="rect">
                      <a:avLst/>
                    </a:prstGeom>
                    <a:noFill/>
                  </pic:spPr>
                </pic:pic>
              </a:graphicData>
            </a:graphic>
          </wp:anchor>
        </w:drawing>
        <w:t>ARTICLE 2</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ELIGIBILITY AND PARTICIPATION</w:t>
      </w:r>
    </w:p>
    <w:p>
      <w:pPr>
        <w:spacing w:after="0" w:line="182" w:lineRule="exact"/>
        <w:rPr>
          <w:sz w:val="20"/>
          <w:szCs w:val="20"/>
          <w:color w:val="auto"/>
        </w:rPr>
      </w:pPr>
    </w:p>
    <w:p>
      <w:pPr>
        <w:ind w:left="640" w:right="40" w:hanging="643"/>
        <w:spacing w:after="0" w:line="252" w:lineRule="auto"/>
        <w:tabs>
          <w:tab w:leader="none" w:pos="62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SELECTION. Participation in the Plan shall be limited to Eligible Employees, as determined by the Committee in its sole discretion. Any action so taken with respect to any particular Participant or group of Participants shall not imply a right on the part of any other Participant or group of Participants to enroll for or receive additional benefits or amounts of benefits. The Committee may terminate the right of any existing Participant to file additional Deferral Election Forms under this Plan, and shall terminate any such right for a Participant who ceases to be one of a select group of management or highly compensated employees, or otherwise ceases to meet any of the requirements applicable to participation in this Plan.</w:t>
      </w:r>
    </w:p>
    <w:p>
      <w:pPr>
        <w:spacing w:after="0" w:line="164" w:lineRule="exact"/>
        <w:rPr>
          <w:sz w:val="20"/>
          <w:szCs w:val="20"/>
          <w:color w:val="auto"/>
        </w:rPr>
      </w:pPr>
    </w:p>
    <w:p>
      <w:pPr>
        <w:ind w:left="640" w:right="40" w:hanging="644"/>
        <w:spacing w:after="0" w:line="251" w:lineRule="auto"/>
        <w:tabs>
          <w:tab w:leader="none" w:pos="62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ENROLLMENT. As a condition to participate, each Eligible Employee shall complete, execute and return to the Record Keeper a Participation Agreement, a Deferral Election Form and a Notional Investment Election Form within 30 days after he or she is selected to participate in the Plan. The Committee may establish from time to time such other enrollment requirements as it determines in its sole discretion are necessary, convenient or appropriate to carry out any of the purposes or intent of the Plan or to better assure the Plan’s compliance with Section 409A Requirements. Eligible Employees also shall submit to the Record Keeper a Beneficiary Designation Form, but receipt of the Beneficiary Designation Form within 30 days of eligibility shall not be a condition to enrollment in this Plan.</w:t>
      </w:r>
    </w:p>
    <w:p>
      <w:pPr>
        <w:spacing w:after="0" w:line="165" w:lineRule="exact"/>
        <w:rPr>
          <w:sz w:val="20"/>
          <w:szCs w:val="20"/>
          <w:color w:val="auto"/>
        </w:rPr>
      </w:pPr>
    </w:p>
    <w:p>
      <w:pPr>
        <w:ind w:left="640" w:right="60" w:hanging="642"/>
        <w:spacing w:after="0" w:line="250" w:lineRule="auto"/>
        <w:tabs>
          <w:tab w:leader="none" w:pos="62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6"/>
          <w:szCs w:val="16"/>
          <w:color w:val="auto"/>
        </w:rPr>
        <w:t xml:space="preserve">ELIGIBILITY. An Eligible Employee shall commence participation in the Plan as soon as practicable following the completion of the applicable enrollment period, assuming all enrollment requirements have been completed, including timely submission of all required enrollment documents to the Record Keeper; provided, however, that if an Eligible Employee is a former employee that has been rehired following a Termination of Employment or is a participant in another nonqualified deferred compensation plan aggregated with this Plan for purposes of Code Section 409A, such employee may not commence participation in the Plan until the first day of the following Plan Year. If an Eligible Employee fails to meet all such requirements within the period required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that Eligible Employee shall not be eligible to participate in the Plan until the first day of the Plan Year following the delivery to and acceptance by the Committee (or its designee) of the required documents.</w:t>
      </w:r>
    </w:p>
    <w:p>
      <w:pPr>
        <w:spacing w:after="0" w:line="165" w:lineRule="exact"/>
        <w:rPr>
          <w:sz w:val="20"/>
          <w:szCs w:val="20"/>
          <w:color w:val="auto"/>
        </w:rPr>
      </w:pPr>
    </w:p>
    <w:p>
      <w:pPr>
        <w:ind w:left="660" w:hanging="647"/>
        <w:spacing w:after="0" w:line="250" w:lineRule="auto"/>
        <w:tabs>
          <w:tab w:leader="none" w:pos="64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REHIRED EMPLOYEES. Except as otherwise required under Section 409A Requirements (or as otherwise approved by the Committee if permitted under Section 409A Requirements), a Participant who is rehired following a Termination of Employment will be treated as a new employee, without affecting or suspending any benefit payment resulting from any previous participation in this Plan or previous Termination of Employment, and without implying any right to participate further in this Plan as a result of his or her reemployment. Except as otherwise noted in the Adoption Agreement, if such former Participant is selected to become an Eligible Employee under the Plan following his or her rehiring, such Participant may not commence participation in the Plan until the first day of the Plan Year following his or her submission of all required enrollment documents to the Record Keeper, and for purposes of any applicable vesting, he or she shall be treated as a new employee and new enrollee based on his or her most recent date of hire and participation as a new Participant in this Plan.</w:t>
      </w:r>
    </w:p>
    <w:p>
      <w:pPr>
        <w:spacing w:after="0" w:line="354"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ARTICLE 3 CONTRIBUTIONS AND</w:t>
      </w:r>
    </w:p>
    <w:p>
      <w:pPr>
        <w:spacing w:after="0" w:line="17"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CREDITS</w:t>
      </w:r>
    </w:p>
    <w:p>
      <w:pPr>
        <w:spacing w:after="0" w:line="182" w:lineRule="exact"/>
        <w:rPr>
          <w:sz w:val="20"/>
          <w:szCs w:val="20"/>
          <w:color w:val="auto"/>
        </w:rPr>
      </w:pPr>
    </w:p>
    <w:p>
      <w:pPr>
        <w:ind w:left="640" w:right="380" w:hanging="638"/>
        <w:spacing w:after="0" w:line="253" w:lineRule="auto"/>
        <w:tabs>
          <w:tab w:leader="none" w:pos="6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DEFERRAL AMOUNT. For each Plan Year, a Participant may elect to defer amounts of those Pay Type(s) designated in the Adoption Agreement, using a Deferral Election Form. Any deferral election shall be subject to such limits, rules and procedures from time to time established by the Committee prior to the applicable Plan Year. In no event will the Annual Deferral Amount or the Matching Contribution Amount (if any) for any Pay Type, or for all Pay Types combined, for any particular Participant exceed the maximum amounts permitted under any applicable law.</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ELECTION TO DEFER.</w:t>
      </w:r>
    </w:p>
    <w:p>
      <w:pPr>
        <w:spacing w:after="0" w:line="208" w:lineRule="exact"/>
        <w:rPr>
          <w:sz w:val="20"/>
          <w:szCs w:val="20"/>
          <w:color w:val="auto"/>
        </w:rPr>
      </w:pPr>
    </w:p>
    <w:p>
      <w:pPr>
        <w:ind w:left="1300" w:right="100" w:hanging="645"/>
        <w:spacing w:after="0" w:line="251" w:lineRule="auto"/>
        <w:tabs>
          <w:tab w:leader="none" w:pos="128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 xml:space="preserve">FIRST PLAN YEAR. When a Participant first enrolls to participate in the Plan, except as otherwise provided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above, the Participant shall make an irrevocable deferral election by completing a Deferral Election Form for the remainder of the Plan Year in which the Participant first enrolls, along with such other elections as the Committee deems necessary or desirable under the Plan. For these elections to be valid, the Election Form must be completed and signed by the Participant, timely delivered to the Record Keeper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above and accepted by the Committee or its designee. Any election under this paragraph shall apply only on a prospective basis, and only with respect to compensation for services to be performed after the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506730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80"/>
          </w:cols>
          <w:pgMar w:left="1140" w:top="710" w:right="1179" w:bottom="1440" w:gutter="0" w:footer="0" w:header="0"/>
        </w:sectPr>
      </w:pPr>
    </w:p>
    <w:bookmarkStart w:id="56" w:name="page57"/>
    <w:bookmarkEnd w:id="56"/>
    <w:p>
      <w:pPr>
        <w:ind w:left="1000" w:right="100"/>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9571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7136130" cy="7957185"/>
                    </a:xfrm>
                    <a:prstGeom prst="rect">
                      <a:avLst/>
                    </a:prstGeom>
                    <a:noFill/>
                  </pic:spPr>
                </pic:pic>
              </a:graphicData>
            </a:graphic>
          </wp:anchor>
        </w:drawing>
        <w:t xml:space="preserve">date when the election is made and final. To the extent that Bonus is included within the Pay Types available for deferrals under this Plan, such elections may include a pro-rata portion of the then-current Plan Year's Bonus, based on the number of days remaining in the applicable Bonus performance period after such election irrevocably takes effect, divided by the total number of days in said performance period. Despite the foregoing, if a Participant already is a participant under any other nonqualified account balance plan aggregated with this Plan under Code Section 409A, or if such Participant is subject to the terms of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above, then such Participant's first Deferral Election Form under this Plan shall contain elections only with respect to Plan Years after the date when such Deferral Election Form is filed, in the same manner as contemplated for subsequent Plan Years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3.2.2</w:t>
      </w:r>
      <w:r>
        <w:rPr>
          <w:rFonts w:ascii="Arial" w:cs="Arial" w:eastAsia="Arial" w:hAnsi="Arial"/>
          <w:sz w:val="16"/>
          <w:szCs w:val="16"/>
          <w:color w:val="auto"/>
        </w:rPr>
        <w:t xml:space="preserve"> below.</w:t>
      </w:r>
    </w:p>
    <w:p>
      <w:pPr>
        <w:spacing w:after="0" w:line="165" w:lineRule="exact"/>
        <w:rPr>
          <w:sz w:val="20"/>
          <w:szCs w:val="20"/>
          <w:color w:val="auto"/>
        </w:rPr>
      </w:pPr>
    </w:p>
    <w:p>
      <w:pPr>
        <w:ind w:left="1000" w:right="260" w:hanging="642"/>
        <w:spacing w:after="0" w:line="253" w:lineRule="auto"/>
        <w:tabs>
          <w:tab w:leader="none" w:pos="98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SUBSEQUENT PLAN YEARS. For each succeeding Plan Year, an irrevocable deferral election shall be made by completing a new Deferral Election Form for that Plan Year, and such other elections as the Committee deems necessary or desirable under the Plan, which elections shall be made by timely filing with the Committee or its designee, in accordance with its and the Committee's rules and procedures, before the end of the Plan Year preceding the Plan Year for which the election is made.</w:t>
      </w:r>
    </w:p>
    <w:p>
      <w:pPr>
        <w:spacing w:after="0" w:line="164" w:lineRule="exact"/>
        <w:rPr>
          <w:sz w:val="20"/>
          <w:szCs w:val="20"/>
          <w:color w:val="auto"/>
        </w:rPr>
      </w:pPr>
    </w:p>
    <w:p>
      <w:pPr>
        <w:ind w:left="1000" w:right="80" w:hanging="643"/>
        <w:spacing w:after="0" w:line="253" w:lineRule="auto"/>
        <w:tabs>
          <w:tab w:leader="none" w:pos="980" w:val="left"/>
        </w:tabs>
        <w:rPr>
          <w:sz w:val="20"/>
          <w:szCs w:val="20"/>
          <w:color w:val="auto"/>
        </w:rPr>
      </w:pPr>
      <w:r>
        <w:rPr>
          <w:rFonts w:ascii="Arial" w:cs="Arial" w:eastAsia="Arial" w:hAnsi="Arial"/>
          <w:sz w:val="16"/>
          <w:szCs w:val="16"/>
          <w:color w:val="auto"/>
        </w:rPr>
        <w:t>3.2.3</w:t>
      </w:r>
      <w:r>
        <w:rPr>
          <w:sz w:val="20"/>
          <w:szCs w:val="20"/>
          <w:color w:val="auto"/>
        </w:rPr>
        <w:tab/>
      </w:r>
      <w:r>
        <w:rPr>
          <w:rFonts w:ascii="Arial" w:cs="Arial" w:eastAsia="Arial" w:hAnsi="Arial"/>
          <w:sz w:val="16"/>
          <w:szCs w:val="16"/>
          <w:color w:val="auto"/>
        </w:rPr>
        <w:t xml:space="preserve">PERFORMANCE-BASED COMPENSATION. Despite the foregoing, in the case of any Performance-Based Compensation (defined below) based on services performed over a period of at least 12 consecutive months, such election may be made no later than 6 months before the end of such performance period. Amounts to be treated as “Performance-Based Compensation” under </w:t>
      </w:r>
      <w:r>
        <w:rPr>
          <w:rFonts w:ascii="Arial" w:cs="Arial" w:eastAsia="Arial" w:hAnsi="Arial"/>
          <w:sz w:val="16"/>
          <w:szCs w:val="16"/>
          <w:u w:val="single" w:color="auto"/>
          <w:color w:val="auto"/>
        </w:rPr>
        <w:t>Section 3.2.3</w:t>
      </w:r>
      <w:r>
        <w:rPr>
          <w:rFonts w:ascii="Arial" w:cs="Arial" w:eastAsia="Arial" w:hAnsi="Arial"/>
          <w:sz w:val="16"/>
          <w:szCs w:val="16"/>
          <w:color w:val="auto"/>
        </w:rPr>
        <w:t xml:space="preserve"> of this Plan must meet the following criteria at the time the election is made:</w:t>
      </w:r>
    </w:p>
    <w:p>
      <w:pPr>
        <w:spacing w:after="0" w:line="164" w:lineRule="exact"/>
        <w:rPr>
          <w:sz w:val="20"/>
          <w:szCs w:val="20"/>
          <w:color w:val="auto"/>
        </w:rPr>
      </w:pPr>
    </w:p>
    <w:p>
      <w:pPr>
        <w:ind w:left="1460" w:hanging="330"/>
        <w:spacing w:after="0"/>
        <w:tabs>
          <w:tab w:leader="none" w:pos="1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performance period is at least 12 months in length</w:t>
      </w:r>
    </w:p>
    <w:p>
      <w:pPr>
        <w:spacing w:after="0" w:line="113" w:lineRule="exact"/>
        <w:rPr>
          <w:rFonts w:ascii="Arial" w:cs="Arial" w:eastAsia="Arial" w:hAnsi="Arial"/>
          <w:sz w:val="16"/>
          <w:szCs w:val="16"/>
          <w:color w:val="auto"/>
        </w:rPr>
      </w:pPr>
    </w:p>
    <w:p>
      <w:pPr>
        <w:jc w:val="both"/>
        <w:ind w:left="1460" w:right="160" w:hanging="330"/>
        <w:spacing w:after="0" w:line="253" w:lineRule="auto"/>
        <w:tabs>
          <w:tab w:leader="none" w:pos="1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Such compensation has not become readily ascertainable. Compensation is readily ascertainable when the amount is first both calculable and substantially certain to be paid. The performance-based compensation is bifurcated between the portion that is readily ascertainable and the amount that is not readily ascertainable. Accordingly, in general any minimum amount that is both calculable and substantially certain to be paid will be treated as readily ascertainable;</w:t>
      </w:r>
    </w:p>
    <w:p>
      <w:pPr>
        <w:spacing w:after="0" w:line="83" w:lineRule="exact"/>
        <w:rPr>
          <w:rFonts w:ascii="Arial" w:cs="Arial" w:eastAsia="Arial" w:hAnsi="Arial"/>
          <w:sz w:val="16"/>
          <w:szCs w:val="16"/>
          <w:color w:val="auto"/>
        </w:rPr>
      </w:pPr>
    </w:p>
    <w:p>
      <w:pPr>
        <w:ind w:left="1440" w:right="480" w:hanging="310"/>
        <w:spacing w:after="0" w:line="276" w:lineRule="auto"/>
        <w:tabs>
          <w:tab w:leader="none" w:pos="1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compensation must be contingent on the satisfaction of pre-established organizational or individual performance criteria (established no later than 90 days after the beginning of the service period);</w:t>
      </w:r>
    </w:p>
    <w:p>
      <w:pPr>
        <w:spacing w:after="0" w:line="157" w:lineRule="exact"/>
        <w:rPr>
          <w:sz w:val="20"/>
          <w:szCs w:val="20"/>
          <w:color w:val="auto"/>
        </w:rPr>
      </w:pPr>
    </w:p>
    <w:p>
      <w:pPr>
        <w:ind w:left="1000" w:right="100"/>
        <w:spacing w:after="0" w:line="250" w:lineRule="auto"/>
        <w:rPr>
          <w:sz w:val="20"/>
          <w:szCs w:val="20"/>
          <w:color w:val="auto"/>
        </w:rPr>
      </w:pPr>
      <w:r>
        <w:rPr>
          <w:rFonts w:ascii="Arial" w:cs="Arial" w:eastAsia="Arial" w:hAnsi="Arial"/>
          <w:sz w:val="16"/>
          <w:szCs w:val="16"/>
          <w:color w:val="auto"/>
        </w:rPr>
        <w:t>The term Performance-Based Compensation includes payments based upon subjective performance criteria, provided that the subjective performance criteria are bona fide and relate to the performance of the Eligible Employee, a group of employees that includes the Eligible Employee, or a business unit for which the Eligible Employee provides services (which may include the entire organization), and the determination that any subjective performance criteria have been met is not made by the Eligible Employee or a family member of the Eligible Employee (as defined in §267(c)(4) of the Code applied as if the family of an individual includes the spouse or any member of the family), or a person under the effective control of the Eligible Employee or such a family member, and no amount of the compensation of the person making such determination is effectively controlled in whole or in part by the Eligible Employee or such a family member.</w:t>
      </w:r>
    </w:p>
    <w:p>
      <w:pPr>
        <w:spacing w:after="0" w:line="179" w:lineRule="exact"/>
        <w:rPr>
          <w:sz w:val="20"/>
          <w:szCs w:val="20"/>
          <w:color w:val="auto"/>
        </w:rPr>
      </w:pPr>
    </w:p>
    <w:p>
      <w:pPr>
        <w:jc w:val="both"/>
        <w:ind w:left="1000"/>
        <w:spacing w:after="0" w:line="261" w:lineRule="auto"/>
        <w:rPr>
          <w:sz w:val="20"/>
          <w:szCs w:val="20"/>
          <w:color w:val="auto"/>
        </w:rPr>
      </w:pPr>
      <w:r>
        <w:rPr>
          <w:rFonts w:ascii="Arial" w:cs="Arial" w:eastAsia="Arial" w:hAnsi="Arial"/>
          <w:sz w:val="16"/>
          <w:szCs w:val="16"/>
          <w:color w:val="auto"/>
        </w:rPr>
        <w:t>It is the Company's responsibility to determine whether a Pay Type qualifies as Performance-Based Compensation in accordance with the foregoing requirements with respect to any Participant and to advise the Record Keeper accordingly.</w:t>
      </w:r>
    </w:p>
    <w:p>
      <w:pPr>
        <w:spacing w:after="0" w:line="156" w:lineRule="exact"/>
        <w:rPr>
          <w:sz w:val="20"/>
          <w:szCs w:val="20"/>
          <w:color w:val="auto"/>
        </w:rPr>
      </w:pPr>
    </w:p>
    <w:p>
      <w:pPr>
        <w:ind w:left="1000" w:right="80" w:hanging="643"/>
        <w:spacing w:after="0" w:line="249" w:lineRule="auto"/>
        <w:tabs>
          <w:tab w:leader="none" w:pos="980" w:val="left"/>
        </w:tabs>
        <w:rPr>
          <w:sz w:val="20"/>
          <w:szCs w:val="20"/>
          <w:color w:val="auto"/>
        </w:rPr>
      </w:pPr>
      <w:r>
        <w:rPr>
          <w:rFonts w:ascii="Arial" w:cs="Arial" w:eastAsia="Arial" w:hAnsi="Arial"/>
          <w:sz w:val="16"/>
          <w:szCs w:val="16"/>
          <w:color w:val="auto"/>
        </w:rPr>
        <w:t>3.2.4</w:t>
      </w:r>
      <w:r>
        <w:rPr>
          <w:sz w:val="20"/>
          <w:szCs w:val="20"/>
          <w:color w:val="auto"/>
        </w:rPr>
        <w:tab/>
      </w:r>
      <w:r>
        <w:rPr>
          <w:rFonts w:ascii="Arial" w:cs="Arial" w:eastAsia="Arial" w:hAnsi="Arial"/>
          <w:sz w:val="16"/>
          <w:szCs w:val="16"/>
          <w:color w:val="auto"/>
        </w:rPr>
        <w:t>DEFERRAL OF CERTAIN FORFEITABLE RIGHTS. Notwithstanding the foregoing, with respect to a legally binding right to a payment in a subsequent year that is subject to a forfeiture condition requiring the Participant’s continued services for a period of at least 12 months from the date the Participant obtains the legally binding right, a deferral election with respect to such compensation may be made no later than 30 days after the Participant obtains the legally binding right to the compensation, provided that the deferral election is made at least 12 months in advance of the earliest date at which the forfeiture condition could lapse. If the forfeiture condition applicable to the payment lapses before the end of the required service period as a result of the Participant’s death or disability (as defined in Treas. Reg. Section 1.409A-3(i)(4)) or upon a Change in Control (as defined in Treas. Reg. Section 1.409A-3(i)(5)), the applicable Deferral Election Form will be deemed void unless it would be considered timely under another subsection in this Section.</w:t>
      </w:r>
    </w:p>
    <w:p>
      <w:pPr>
        <w:spacing w:after="0" w:line="38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506730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20"/>
          </w:cols>
          <w:pgMar w:left="1440" w:top="710" w:right="1139" w:bottom="1440" w:gutter="0" w:footer="0" w:header="0"/>
        </w:sectPr>
      </w:pPr>
    </w:p>
    <w:bookmarkStart w:id="57" w:name="page58"/>
    <w:bookmarkEnd w:id="57"/>
    <w:p>
      <w:pPr>
        <w:ind w:left="1240" w:right="200" w:hanging="643"/>
        <w:spacing w:after="0" w:line="261" w:lineRule="auto"/>
        <w:tabs>
          <w:tab w:leader="none" w:pos="12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8117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136130" cy="7811770"/>
                    </a:xfrm>
                    <a:prstGeom prst="rect">
                      <a:avLst/>
                    </a:prstGeom>
                    <a:noFill/>
                  </pic:spPr>
                </pic:pic>
              </a:graphicData>
            </a:graphic>
          </wp:anchor>
        </w:drawing>
        <w:t>3.2.5</w:t>
      </w:r>
      <w:r>
        <w:rPr>
          <w:sz w:val="20"/>
          <w:szCs w:val="20"/>
          <w:color w:val="auto"/>
        </w:rPr>
        <w:tab/>
      </w:r>
      <w:r>
        <w:rPr>
          <w:rFonts w:ascii="Arial" w:cs="Arial" w:eastAsia="Arial" w:hAnsi="Arial"/>
          <w:sz w:val="16"/>
          <w:szCs w:val="16"/>
          <w:color w:val="auto"/>
        </w:rPr>
        <w:t>CHANGES. Deferral Election Forms filed prior to their applicable filing deadline hereunder may be changed, until such filing deadline occurs, by filing an updated or amended Deferral Election Form in accordance with the foregoing requirements.</w:t>
      </w:r>
    </w:p>
    <w:p>
      <w:pPr>
        <w:spacing w:after="0" w:line="156" w:lineRule="exact"/>
        <w:rPr>
          <w:sz w:val="20"/>
          <w:szCs w:val="20"/>
          <w:color w:val="auto"/>
        </w:rPr>
      </w:pPr>
    </w:p>
    <w:p>
      <w:pPr>
        <w:ind w:left="580" w:right="220" w:hanging="636"/>
        <w:spacing w:after="0" w:line="251" w:lineRule="auto"/>
        <w:tabs>
          <w:tab w:leader="none" w:pos="56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6"/>
          <w:szCs w:val="16"/>
          <w:color w:val="auto"/>
        </w:rPr>
        <w:t>WITHHOLDING OF ANNUAL DEFERRAL AMOUNTS. For each Plan Year, the Base Salary portion of the Annual Deferral Amount shall be withheld from each regularly scheduled Base Salary payroll in approximately equal amounts, as adjusted from time to time for increases and decreases in Base Salary, unless otherwise determined in the complete and sole discretion of the Committee. Deferrals of all other Pay Types that are included in the Annual Deferral Amount shall be withheld at the time each such Pay Type is or otherwise would be paid to the Participant, as determined in the complete and sole discretion of the Committee, whether or not this occurs during the Plan Year itself, subject to compliance with all applicable Section 409A Requirements.</w:t>
      </w:r>
    </w:p>
    <w:p>
      <w:pPr>
        <w:spacing w:after="0" w:line="165" w:lineRule="exact"/>
        <w:rPr>
          <w:sz w:val="20"/>
          <w:szCs w:val="20"/>
          <w:color w:val="auto"/>
        </w:rPr>
      </w:pPr>
    </w:p>
    <w:p>
      <w:pPr>
        <w:ind w:left="1240" w:right="80" w:hanging="645"/>
        <w:spacing w:after="0" w:line="253" w:lineRule="auto"/>
        <w:tabs>
          <w:tab w:leader="none" w:pos="1220" w:val="left"/>
        </w:tabs>
        <w:rPr>
          <w:sz w:val="20"/>
          <w:szCs w:val="20"/>
          <w:color w:val="auto"/>
        </w:rPr>
      </w:pPr>
      <w:r>
        <w:rPr>
          <w:rFonts w:ascii="Arial" w:cs="Arial" w:eastAsia="Arial" w:hAnsi="Arial"/>
          <w:sz w:val="16"/>
          <w:szCs w:val="16"/>
          <w:color w:val="auto"/>
        </w:rPr>
        <w:t>3.3.1</w:t>
      </w:r>
      <w:r>
        <w:rPr>
          <w:sz w:val="20"/>
          <w:szCs w:val="20"/>
          <w:color w:val="auto"/>
        </w:rPr>
        <w:tab/>
      </w:r>
      <w:r>
        <w:rPr>
          <w:rFonts w:ascii="Arial" w:cs="Arial" w:eastAsia="Arial" w:hAnsi="Arial"/>
          <w:sz w:val="16"/>
          <w:szCs w:val="16"/>
          <w:color w:val="auto"/>
        </w:rPr>
        <w:t>FINAL PAYROLL PERIOD. Compensation payable after the last day of the Plan Year solely for services performed during the payroll period containing the last day of the Plan Year (the final payroll period) is treated as compensation for services performed in the subsequent Plan Year in which the payment is made. This subsection does not apply to any Compensation paid during such period for services performed during any period other than such final payroll period, such as a payment of an annual bonus.</w:t>
      </w:r>
    </w:p>
    <w:p>
      <w:pPr>
        <w:spacing w:after="0" w:line="164" w:lineRule="exact"/>
        <w:rPr>
          <w:sz w:val="20"/>
          <w:szCs w:val="20"/>
          <w:color w:val="auto"/>
        </w:rPr>
      </w:pPr>
    </w:p>
    <w:p>
      <w:pPr>
        <w:ind w:left="600" w:hanging="647"/>
        <w:spacing w:after="0" w:line="250" w:lineRule="auto"/>
        <w:tabs>
          <w:tab w:leader="none" w:pos="58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6"/>
          <w:szCs w:val="16"/>
          <w:color w:val="auto"/>
        </w:rPr>
        <w:t>ANNUAL COMPANY MATCHING AMOUNT. If the Company shall elect in the Adoption Agreement to make Annual Company Matching Amounts, then in each Plan Year, for so long as a Participant remains actively employed by the Company or other Participating Employer and continues to be a Participant in this Plan, the Company shall credit to such Participant's Account an Annual Company Matching Amount, such amount to be calculated in the manner and on the Match Crediting Dates set forth in the Adoption Agreement, up to (and not exceeding) in each Plan Year the Matching Contribution Limit, if any, applicable thereto. Annual Company Matching Amounts shall be credited in each instance as of the applicable Match Crediting Date designated in the Adoption Agreement, such amounts to be determined by the Company as soon as practicable, but not later than 60 days after each applicable Match Crediting Date.</w:t>
      </w:r>
    </w:p>
    <w:p>
      <w:pPr>
        <w:spacing w:after="0" w:line="141" w:lineRule="exact"/>
        <w:rPr>
          <w:sz w:val="20"/>
          <w:szCs w:val="20"/>
          <w:color w:val="auto"/>
        </w:rPr>
      </w:pPr>
    </w:p>
    <w:p>
      <w:pPr>
        <w:ind w:left="580" w:right="260" w:hanging="639"/>
        <w:spacing w:after="0" w:line="256" w:lineRule="auto"/>
        <w:tabs>
          <w:tab w:leader="none" w:pos="56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6"/>
          <w:szCs w:val="16"/>
          <w:color w:val="auto"/>
        </w:rPr>
        <w:t>ANNUAL COMPANY DISCRETIONARY AMOUNTS. The Company, in its discretion, may credit additional amounts to the Company Discretionary Account of any Participant or group of Participants. No such contribution to a Participant or group of Participants shall imply any right on the part of other Participants to receive a similar contribution, nor are such contributions required to be uniform with respect to the Participants for whom they are made.</w:t>
      </w:r>
    </w:p>
    <w:p>
      <w:pPr>
        <w:spacing w:after="0" w:line="160" w:lineRule="exact"/>
        <w:rPr>
          <w:sz w:val="20"/>
          <w:szCs w:val="20"/>
          <w:color w:val="auto"/>
        </w:rPr>
      </w:pPr>
    </w:p>
    <w:p>
      <w:pPr>
        <w:ind w:left="580" w:right="80" w:hanging="643"/>
        <w:spacing w:after="0" w:line="249" w:lineRule="auto"/>
        <w:tabs>
          <w:tab w:leader="none" w:pos="56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6"/>
          <w:szCs w:val="16"/>
          <w:color w:val="auto"/>
        </w:rPr>
        <w:t xml:space="preserve">FICA/FUTA AND OTHER TAXES. For each Plan Year in which a Participant elects an Annual Deferral Amount, the Participant's Employer shall ratably withhold, from that portion of the Participant's wages, salary, bonus or other compensation that is not being deferred, the Participant's share of taxes under the Federal Insurance Contributions Act and the Federal Unemployment Tax Act ("FICA/FUTA Taxes") and any other taxes on deferred amounts which may be required or appropriate. If necessary, the Committee shall reduce the Annual Deferral Amount in order to comply with this paragraph. In addition, as balances with Company Matching Accounts and Company Discretionary Accounts, if any, become vested pursuant to </w:t>
      </w:r>
      <w:r>
        <w:rPr>
          <w:rFonts w:ascii="Arial" w:cs="Arial" w:eastAsia="Arial" w:hAnsi="Arial"/>
          <w:sz w:val="16"/>
          <w:szCs w:val="16"/>
          <w:u w:val="single" w:color="auto"/>
          <w:color w:val="auto"/>
        </w:rPr>
        <w:t>Article 5</w:t>
      </w:r>
      <w:r>
        <w:rPr>
          <w:rFonts w:ascii="Arial" w:cs="Arial" w:eastAsia="Arial" w:hAnsi="Arial"/>
          <w:sz w:val="16"/>
          <w:szCs w:val="16"/>
          <w:color w:val="auto"/>
        </w:rPr>
        <w:t>, to the extent that such amounts are subject to FICA/FUTA Taxes or any other taxes, the Participant’s Employer shall withhold from the Participant’s wages, salary, bonus or other compensation for the year in which such vesting occurs the Participant’s share of FICA/FUTA taxes and such other taxes on the amounts that have vested in such year, all to the extent necessary and appropriate to satisfy such tax obligations. If necessary, the Committee shall reduce the Annual Deferral Amount for the year in which FICA/FUTA or other taxes are due or the Participant’s Account, if other payments or deferrals are insufficient, in order to comply with this paragraph.</w:t>
      </w:r>
    </w:p>
    <w:p>
      <w:pPr>
        <w:spacing w:after="0" w:line="180" w:lineRule="exact"/>
        <w:rPr>
          <w:sz w:val="20"/>
          <w:szCs w:val="20"/>
          <w:color w:val="auto"/>
        </w:rPr>
      </w:pPr>
    </w:p>
    <w:p>
      <w:pPr>
        <w:ind w:left="580" w:right="140" w:hanging="640"/>
        <w:spacing w:after="0" w:line="256" w:lineRule="auto"/>
        <w:tabs>
          <w:tab w:leader="none" w:pos="560" w:val="left"/>
        </w:tabs>
        <w:rPr>
          <w:sz w:val="20"/>
          <w:szCs w:val="20"/>
          <w:color w:val="auto"/>
        </w:rPr>
      </w:pPr>
      <w:r>
        <w:rPr>
          <w:rFonts w:ascii="Arial" w:cs="Arial" w:eastAsia="Arial" w:hAnsi="Arial"/>
          <w:sz w:val="16"/>
          <w:szCs w:val="16"/>
          <w:color w:val="auto"/>
        </w:rPr>
        <w:t>3.7</w:t>
      </w:r>
      <w:r>
        <w:rPr>
          <w:sz w:val="20"/>
          <w:szCs w:val="20"/>
          <w:color w:val="auto"/>
        </w:rPr>
        <w:tab/>
      </w:r>
      <w:r>
        <w:rPr>
          <w:rFonts w:ascii="Arial" w:cs="Arial" w:eastAsia="Arial" w:hAnsi="Arial"/>
          <w:sz w:val="16"/>
          <w:szCs w:val="16"/>
          <w:color w:val="auto"/>
        </w:rPr>
        <w:t>FOR CAUSE TERMINATIONS. Despite anything to the contrary in this Plan, if the Committee in good faith determines that a Participant has caused or incurred a Termination of Employment for Cause, then such Participant's Company Discretionary Account and such Participant's Company Matching Account (including both vested and unvested balances thereof) automatically shall be forfeited in their entirety, subject to compliance with all applicable laws.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ARTICLE 4</w:t>
      </w:r>
    </w:p>
    <w:p>
      <w:pPr>
        <w:spacing w:after="0" w:line="1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ALLOCATION OF FUNDS</w:t>
      </w:r>
    </w:p>
    <w:p>
      <w:pPr>
        <w:spacing w:after="0" w:line="182" w:lineRule="exact"/>
        <w:rPr>
          <w:sz w:val="20"/>
          <w:szCs w:val="20"/>
          <w:color w:val="auto"/>
        </w:rPr>
      </w:pPr>
    </w:p>
    <w:p>
      <w:pPr>
        <w:ind w:left="580" w:right="80" w:hanging="640"/>
        <w:spacing w:after="0" w:line="261" w:lineRule="auto"/>
        <w:tabs>
          <w:tab w:leader="none" w:pos="56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 xml:space="preserve">CREDITING/DEBITING OF ACCOUNT BALANCES. In accordance with, and subject to, the rules and procedures that are established from time to time by the Committee, in its sole discretion, amounts shall be credited or debited to a Participant's Account in accordance with this </w:t>
      </w:r>
      <w:r>
        <w:rPr>
          <w:rFonts w:ascii="Arial" w:cs="Arial" w:eastAsia="Arial" w:hAnsi="Arial"/>
          <w:sz w:val="16"/>
          <w:szCs w:val="16"/>
          <w:u w:val="single" w:color="auto"/>
          <w:color w:val="auto"/>
        </w:rPr>
        <w:t>Article 4</w:t>
      </w:r>
      <w:r>
        <w:rPr>
          <w:rFonts w:ascii="Arial" w:cs="Arial" w:eastAsia="Arial" w:hAnsi="Arial"/>
          <w:sz w:val="16"/>
          <w:szCs w:val="16"/>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506730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00"/>
          </w:cols>
          <w:pgMar w:left="1200" w:top="710" w:right="1199" w:bottom="1440" w:gutter="0" w:footer="0" w:header="0"/>
        </w:sectPr>
      </w:pPr>
    </w:p>
    <w:bookmarkStart w:id="58" w:name="page59"/>
    <w:bookmarkEnd w:id="58"/>
    <w:p>
      <w:pPr>
        <w:ind w:left="600" w:right="100" w:hanging="640"/>
        <w:spacing w:after="0" w:line="249" w:lineRule="auto"/>
        <w:tabs>
          <w:tab w:leader="none" w:pos="58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9489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7136130" cy="7948930"/>
                    </a:xfrm>
                    <a:prstGeom prst="rect">
                      <a:avLst/>
                    </a:prstGeom>
                    <a:noFill/>
                  </pic:spPr>
                </pic:pic>
              </a:graphicData>
            </a:graphic>
          </wp:anchor>
        </w:drawing>
        <w:t>4.2</w:t>
      </w:r>
      <w:r>
        <w:rPr>
          <w:sz w:val="20"/>
          <w:szCs w:val="20"/>
          <w:color w:val="auto"/>
        </w:rPr>
        <w:tab/>
      </w:r>
      <w:r>
        <w:rPr>
          <w:rFonts w:ascii="Arial" w:cs="Arial" w:eastAsia="Arial" w:hAnsi="Arial"/>
          <w:sz w:val="16"/>
          <w:szCs w:val="16"/>
          <w:color w:val="auto"/>
        </w:rPr>
        <w:t>NOTIONAL INVESTMENT CALCULATIONS. The Committee shall designate in its sole discretion one or more Notional Investments to be used to calculate Notional Investment Adjustments to be credited or debited to Participants' Accounts, as if each Participant were making an actual investment in Notional Investments with his or her Account Balance. Notional Investments shall be used to calculate bookkeeping entries in each Participant's respective Account, and shall be utilized solely as a means to calculate and adjust Account Balances pursuant to this Plan. The Committee from time to time may delete, modify, substitute or otherwise change any Notional Investment under the Plan for any reason with respect to any future Account Balance calculations, and the Committee may impose such limits, rules and procedures governing the frequency, timing, methods and other matters pertaining to the calculation of Notional Investment Adjustments, and the use, effectiveness and application thereof, as the Committee from time to time may deem to be necessary, convenient or appropriate for purposes of administering the Plan.</w:t>
      </w:r>
    </w:p>
    <w:p>
      <w:pPr>
        <w:spacing w:after="0" w:line="170" w:lineRule="exact"/>
        <w:rPr>
          <w:sz w:val="20"/>
          <w:szCs w:val="20"/>
          <w:color w:val="auto"/>
        </w:rPr>
      </w:pPr>
    </w:p>
    <w:p>
      <w:pPr>
        <w:ind w:left="620" w:hanging="647"/>
        <w:spacing w:after="0" w:line="248" w:lineRule="auto"/>
        <w:tabs>
          <w:tab w:leader="none" w:pos="60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6"/>
          <w:szCs w:val="16"/>
          <w:color w:val="auto"/>
        </w:rPr>
        <w:t xml:space="preserve">ELECTION OF NOTIONAL INVESTMENTS. If the Committee shall approve more than one Notional Investment to be used with respect to any Plan Year, then each Participant shall elect, on a Notional Investment Election Form duly filed with the Record Keeper for such Plan Year, one or more Notional Investment(s) to be used to calculate the Notional Investment Adjustments to be credited or debited, as the case may be, to his or her Account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Each Participant shall specify, on each Notional Investment Election Form, the portions of his or her Account to be allocated to one or more Notional Investments, as if the Participant was making an actual investment in that Notional Investment with that portion of his or her Account Balance. The Committee may impose such limits, rules and procedures governing the frequency of permitted changes, timing of effectiveness, minimum and maximum amounts (if any) and other matters pertaining to Notional Investments, and the use, effectiveness and application thereof, as the Committee from time to time may deem to be necessary, convenient or appropriate for purposes of administering the Plan, including the designation of a default option in the event a Participant fails to make a valid election. Notwithstanding the foregoing, or anything to the contrary in this Plan, any Annual Deferral Amount credited to a Participant’s Account related to RSUs must first be invested in notional Company stock for a period of six (6) months and one (1) day before the Participant may elect to invest such amount in any other Notional Investment under this Plan.</w:t>
      </w:r>
    </w:p>
    <w:p>
      <w:pPr>
        <w:spacing w:after="0" w:line="173" w:lineRule="exact"/>
        <w:rPr>
          <w:sz w:val="20"/>
          <w:szCs w:val="20"/>
          <w:color w:val="auto"/>
        </w:rPr>
      </w:pPr>
    </w:p>
    <w:p>
      <w:pPr>
        <w:ind w:left="600" w:right="160" w:hanging="640"/>
        <w:spacing w:after="0" w:line="250" w:lineRule="auto"/>
        <w:tabs>
          <w:tab w:leader="none" w:pos="58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CREDITING OR DEBITING METHOD. The Participant's Account will be credited or debited, as the case may be, with the increase or decrease in the performance of each Notional Investment selected by the Participant, as though the portion of the Participant's Account Balance then was actually invested in the Notional Investments selected by the Participant, in the percentages (if more than one Notional Investment is available under this Plan) then applicable to each portion of the Participant's Account. The value of each Notional Investment shall be calculated under the Plan as of the close of business on the business day when the published or calculated value of such Notional Investment becomes effective generally, but not more frequently than once per business day. The Committee from time to time may specify such times, frequencies, methods, rules and procedures for calculating the value of any particular Notional Investment (for example, specifying that interest on money market funds shall be calculated and credited on a monthly basis).</w:t>
      </w:r>
    </w:p>
    <w:p>
      <w:pPr>
        <w:spacing w:after="0" w:line="165" w:lineRule="exact"/>
        <w:rPr>
          <w:sz w:val="20"/>
          <w:szCs w:val="20"/>
          <w:color w:val="auto"/>
        </w:rPr>
      </w:pPr>
    </w:p>
    <w:p>
      <w:pPr>
        <w:ind w:left="620" w:right="40" w:hanging="645"/>
        <w:spacing w:after="0" w:line="250" w:lineRule="auto"/>
        <w:tabs>
          <w:tab w:leader="none" w:pos="60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6"/>
          <w:szCs w:val="16"/>
          <w:color w:val="auto"/>
        </w:rPr>
        <w:t>NO ACTUAL INVESTMENT. Notwithstanding any other provision of this Plan that may be interpreted to the contrary, each Notional Investment is to be used for measurement purposes only. A Participant's election of any Notional Investment(s), the allocation of any portion of his or her Account thereto and the use of any Notional Investment(s) to calculate any Notional Investment Adjustment in value to be credited or debited to his or her Account shall not be considered or construed in any manner as an actual investment of his or her Account in any such Notional Investment. In the event that the Company, in its own discretion, decides to invest funds in any or all of the Notional Investments, no Participant shall have any rights or interests in or to any such investment. Without limiting the foregoing, a Participant's Account Balance shall at all times be a bookkeeping entry only, and shall not represent any actual investment made on his or her behalf by the Company. The Participant at all times shall remain an unsecured creditor of the Company.</w:t>
      </w:r>
    </w:p>
    <w:p>
      <w:pPr>
        <w:spacing w:after="0" w:line="206"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ARTICLE 5</w:t>
      </w:r>
    </w:p>
    <w:p>
      <w:pPr>
        <w:spacing w:after="0" w:line="17"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VESTING</w:t>
      </w:r>
    </w:p>
    <w:p>
      <w:pPr>
        <w:spacing w:after="0" w:line="182" w:lineRule="exact"/>
        <w:rPr>
          <w:sz w:val="20"/>
          <w:szCs w:val="20"/>
          <w:color w:val="auto"/>
        </w:rPr>
      </w:pPr>
    </w:p>
    <w:p>
      <w:pPr>
        <w:ind w:left="620" w:right="120" w:hanging="647"/>
        <w:spacing w:after="0" w:line="253" w:lineRule="auto"/>
        <w:tabs>
          <w:tab w:leader="none" w:pos="60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 xml:space="preserve">VESTING OF BENEFITS. The Participant's Account Balance attributable to his or her Deferral Accounts, and Notional Investment Adjustments thereto, will always be 100% vested. Subject to </w:t>
      </w:r>
      <w:r>
        <w:rPr>
          <w:rFonts w:ascii="Arial" w:cs="Arial" w:eastAsia="Arial" w:hAnsi="Arial"/>
          <w:sz w:val="16"/>
          <w:szCs w:val="16"/>
          <w:u w:val="single" w:color="auto"/>
          <w:color w:val="auto"/>
        </w:rPr>
        <w:t>Section 3.7</w:t>
      </w:r>
      <w:r>
        <w:rPr>
          <w:rFonts w:ascii="Arial" w:cs="Arial" w:eastAsia="Arial" w:hAnsi="Arial"/>
          <w:sz w:val="16"/>
          <w:szCs w:val="16"/>
          <w:color w:val="auto"/>
        </w:rPr>
        <w:t>, credits to each Participant's Company Matching Accounts, and Notional Investment Adjustments thereto, and credits to each Participant's Company Discretionary Accounts, and Notional Investment Adjustments thereto, will be vested in accordance with the provisions set forth in the Adoption Agreement.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506730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40"/>
          </w:cols>
          <w:pgMar w:left="1180" w:top="899" w:right="1179" w:bottom="1440" w:gutter="0" w:footer="0" w:header="0"/>
        </w:sectPr>
      </w:pPr>
    </w:p>
    <w:bookmarkStart w:id="59" w:name="page60"/>
    <w:bookmarkEnd w:id="59"/>
    <w:p>
      <w:pPr>
        <w:jc w:val="center"/>
        <w:ind w:right="-15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0175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36130" cy="8017510"/>
                    </a:xfrm>
                    <a:prstGeom prst="rect">
                      <a:avLst/>
                    </a:prstGeom>
                    <a:noFill/>
                  </pic:spPr>
                </pic:pic>
              </a:graphicData>
            </a:graphic>
          </wp:anchor>
        </w:drawing>
        <w:t>ARTICLE 6</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DISTRIBUTION OF BENEFITS</w:t>
      </w:r>
    </w:p>
    <w:p>
      <w:pPr>
        <w:spacing w:after="0" w:line="155" w:lineRule="exact"/>
        <w:rPr>
          <w:sz w:val="20"/>
          <w:szCs w:val="20"/>
          <w:color w:val="auto"/>
        </w:rPr>
      </w:pPr>
    </w:p>
    <w:p>
      <w:pPr>
        <w:jc w:val="both"/>
        <w:ind w:left="640" w:right="280" w:hanging="640"/>
        <w:spacing w:after="0" w:line="256" w:lineRule="auto"/>
        <w:tabs>
          <w:tab w:leader="none" w:pos="62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RETIREMENT BENEFIT. If a Participant shall remain (other than for intervening authorized leaves of absence) an active employee of the Company or any Affiliate until such Participant’s Retirement Eligibility Date, then upon such Participant's Retirement, the Company shall pay to such Participant a Retirement Benefit to be calculated and paid in accordance with the Adoption Agreement and the terms and conditions of this Plan.</w:t>
      </w:r>
    </w:p>
    <w:p>
      <w:pPr>
        <w:spacing w:after="0" w:line="160" w:lineRule="exact"/>
        <w:rPr>
          <w:sz w:val="20"/>
          <w:szCs w:val="20"/>
          <w:color w:val="auto"/>
        </w:rPr>
      </w:pPr>
    </w:p>
    <w:p>
      <w:pPr>
        <w:ind w:left="640" w:right="320" w:hanging="633"/>
        <w:spacing w:after="0" w:line="261" w:lineRule="auto"/>
        <w:tabs>
          <w:tab w:leader="none" w:pos="62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TERMINATION BENEFIT. In the event of a Participant's Termination of Employment, either voluntarily or involuntarily the Company shall pay to the Participant a Termination Benefit to be calculated and paid in accordance with the Adoption Agreement and the terms and conditions of this Plan.</w:t>
      </w:r>
    </w:p>
    <w:p>
      <w:pPr>
        <w:spacing w:after="0" w:line="156" w:lineRule="exact"/>
        <w:rPr>
          <w:sz w:val="20"/>
          <w:szCs w:val="20"/>
          <w:color w:val="auto"/>
        </w:rPr>
      </w:pPr>
    </w:p>
    <w:p>
      <w:pPr>
        <w:ind w:left="660" w:hanging="647"/>
        <w:spacing w:after="0" w:line="252" w:lineRule="auto"/>
        <w:tabs>
          <w:tab w:leader="none" w:pos="64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6"/>
          <w:szCs w:val="16"/>
          <w:color w:val="auto"/>
        </w:rPr>
        <w:t>DISABILITY BENEFIT. In the event of a Participant's Disability, then upon such Participant's Disability, the Company shall, to the extent consistent with the Participant’s Deferral Election Form, pay to such Participant a Disability Benefit subject to the terms and conditions of this Plan and the Adoption Agreement. In the event of a Participant's Disability, to the extent permitted under applicable Section 409A Requirements, all deferrals following the date of Disability will cease. The Committee may require, as a condition to any right or action under this paragraph, that the Participant be examined by a duly licensed physician selected by the Company to determine or confirm the existence of such Participant's Disability.</w:t>
      </w:r>
    </w:p>
    <w:p>
      <w:pPr>
        <w:spacing w:after="0" w:line="164" w:lineRule="exact"/>
        <w:rPr>
          <w:sz w:val="20"/>
          <w:szCs w:val="20"/>
          <w:color w:val="auto"/>
        </w:rPr>
      </w:pPr>
    </w:p>
    <w:p>
      <w:pPr>
        <w:jc w:val="both"/>
        <w:ind w:left="640" w:right="140" w:hanging="641"/>
        <w:spacing w:after="0" w:line="256" w:lineRule="auto"/>
        <w:tabs>
          <w:tab w:leader="none" w:pos="620"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6"/>
          <w:szCs w:val="16"/>
          <w:color w:val="auto"/>
        </w:rPr>
        <w:t>CHANGE IN CONTROL DISTRIBUTION. If the Adoption Agreement allows for a Change in Control Distribution then in the event of a Change in Control, the Company shall, to the extent consistent with the Participant’s Deferral Election Form, pay to the Participant a Change in Control Distribution to be calculated and paid in accordance with the terms and conditions of this Plan as specified in the Adoption Agreement.</w:t>
      </w:r>
    </w:p>
    <w:p>
      <w:pPr>
        <w:spacing w:after="0" w:line="160" w:lineRule="exact"/>
        <w:rPr>
          <w:sz w:val="20"/>
          <w:szCs w:val="20"/>
          <w:color w:val="auto"/>
        </w:rPr>
      </w:pPr>
    </w:p>
    <w:p>
      <w:pPr>
        <w:ind w:left="660" w:right="100" w:hanging="647"/>
        <w:spacing w:after="0" w:line="249" w:lineRule="auto"/>
        <w:tabs>
          <w:tab w:leader="none" w:pos="64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6"/>
          <w:szCs w:val="16"/>
          <w:color w:val="auto"/>
        </w:rPr>
        <w:t>IN-SERVICE DISTRIBUTIONS. If the Adoption Agreement allows for In-Service Distributions under this Plan, then a Participant may allocate in the Deferral Election Form a portion of his or her Account Balance to be paid as a scheduled In-Service Distribution, such payment to be made at a date designated on the form in accordance with the limits defined in the Adoption Agreement. The In-Service Distribution shall be calculated and paid in accordance with the Adoption Agreement and the terms and conditions of this Plan. Despite the foregoing, if another distribution event occurs that would result in the payment of any benefit prior to an In-Service Distribution, then such other form of benefit shall be paid in lieu of such In-Service Distribution. A Participant may elect to delay the scheduled time for payment of an In-Service Distribution under this paragraph, but only if such election constitutes a Permissible Change Election. If any amount of the Account Balance that has been designated for an In-Service Distribution shall be unvested at the time an In-Service Distribution is scheduled to occur, such unvested amount instead shall remain in such Participant's Account, to be included, when and if it vests, with other amounts payable by reason of the Participant's Separation from Service.</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6.6</w:t>
      </w:r>
      <w:r>
        <w:rPr>
          <w:sz w:val="20"/>
          <w:szCs w:val="20"/>
          <w:color w:val="auto"/>
        </w:rPr>
        <w:tab/>
      </w:r>
      <w:r>
        <w:rPr>
          <w:rFonts w:ascii="Arial" w:cs="Arial" w:eastAsia="Arial" w:hAnsi="Arial"/>
          <w:sz w:val="15"/>
          <w:szCs w:val="15"/>
          <w:color w:val="auto"/>
        </w:rPr>
        <w:t>DEATH BENEFIT</w:t>
      </w:r>
    </w:p>
    <w:p>
      <w:pPr>
        <w:spacing w:after="0" w:line="194" w:lineRule="exact"/>
        <w:rPr>
          <w:sz w:val="20"/>
          <w:szCs w:val="20"/>
          <w:color w:val="auto"/>
        </w:rPr>
      </w:pPr>
    </w:p>
    <w:p>
      <w:pPr>
        <w:ind w:left="1300" w:right="20" w:hanging="645"/>
        <w:spacing w:after="0" w:line="256" w:lineRule="auto"/>
        <w:tabs>
          <w:tab w:leader="none" w:pos="1280" w:val="left"/>
        </w:tabs>
        <w:rPr>
          <w:sz w:val="20"/>
          <w:szCs w:val="20"/>
          <w:color w:val="auto"/>
        </w:rPr>
      </w:pPr>
      <w:r>
        <w:rPr>
          <w:rFonts w:ascii="Arial" w:cs="Arial" w:eastAsia="Arial" w:hAnsi="Arial"/>
          <w:sz w:val="16"/>
          <w:szCs w:val="16"/>
          <w:color w:val="auto"/>
        </w:rPr>
        <w:t>6.6.1</w:t>
      </w:r>
      <w:r>
        <w:rPr>
          <w:sz w:val="20"/>
          <w:szCs w:val="20"/>
          <w:color w:val="auto"/>
        </w:rPr>
        <w:tab/>
      </w:r>
      <w:r>
        <w:rPr>
          <w:rFonts w:ascii="Arial" w:cs="Arial" w:eastAsia="Arial" w:hAnsi="Arial"/>
          <w:sz w:val="16"/>
          <w:szCs w:val="16"/>
          <w:color w:val="auto"/>
        </w:rPr>
        <w:t>PRE-COMMENCEMENT DEATH BENEFIT. If a Participant dies prior to the commencement of his or her Separation from Service payment then the Company shall pay the Participant’s vested Account Balance as a Pre-Commencement Death Benefit to such Participant's Beneficiary subject to the terms and conditions of this Plan and the Adoption Agreement.</w:t>
      </w:r>
    </w:p>
    <w:p>
      <w:pPr>
        <w:spacing w:after="0" w:line="160" w:lineRule="exact"/>
        <w:rPr>
          <w:sz w:val="20"/>
          <w:szCs w:val="20"/>
          <w:color w:val="auto"/>
        </w:rPr>
      </w:pPr>
    </w:p>
    <w:p>
      <w:pPr>
        <w:ind w:left="1300" w:right="20" w:hanging="647"/>
        <w:spacing w:after="0" w:line="256" w:lineRule="auto"/>
        <w:tabs>
          <w:tab w:leader="none" w:pos="1280" w:val="left"/>
        </w:tabs>
        <w:rPr>
          <w:sz w:val="20"/>
          <w:szCs w:val="20"/>
          <w:color w:val="auto"/>
        </w:rPr>
      </w:pPr>
      <w:r>
        <w:rPr>
          <w:rFonts w:ascii="Arial" w:cs="Arial" w:eastAsia="Arial" w:hAnsi="Arial"/>
          <w:sz w:val="16"/>
          <w:szCs w:val="16"/>
          <w:color w:val="auto"/>
        </w:rPr>
        <w:t>6.6.2</w:t>
      </w:r>
      <w:r>
        <w:rPr>
          <w:sz w:val="20"/>
          <w:szCs w:val="20"/>
          <w:color w:val="auto"/>
        </w:rPr>
        <w:tab/>
      </w:r>
      <w:r>
        <w:rPr>
          <w:rFonts w:ascii="Arial" w:cs="Arial" w:eastAsia="Arial" w:hAnsi="Arial"/>
          <w:sz w:val="16"/>
          <w:szCs w:val="16"/>
          <w:color w:val="auto"/>
        </w:rPr>
        <w:t>POST COMMENCEMENT DEATH BENEFIT. If a Participant dies after the commencement of his or her Separation from Service payment then the Company shall pay the Participant’s vested Account Balance as a Post-Commencement Death Benefit to such Participant’s Beneficiary subject to the terms and conditions of this Plan and the Adoption Agreement.</w:t>
      </w:r>
    </w:p>
    <w:p>
      <w:pPr>
        <w:spacing w:after="0" w:line="173" w:lineRule="exact"/>
        <w:rPr>
          <w:sz w:val="20"/>
          <w:szCs w:val="20"/>
          <w:color w:val="auto"/>
        </w:rPr>
      </w:pPr>
    </w:p>
    <w:p>
      <w:pPr>
        <w:ind w:left="660" w:right="20" w:hanging="646"/>
        <w:spacing w:after="0" w:line="249" w:lineRule="auto"/>
        <w:tabs>
          <w:tab w:leader="none" w:pos="640" w:val="left"/>
        </w:tabs>
        <w:rPr>
          <w:sz w:val="20"/>
          <w:szCs w:val="20"/>
          <w:color w:val="auto"/>
        </w:rPr>
      </w:pPr>
      <w:r>
        <w:rPr>
          <w:rFonts w:ascii="Arial" w:cs="Arial" w:eastAsia="Arial" w:hAnsi="Arial"/>
          <w:sz w:val="16"/>
          <w:szCs w:val="16"/>
          <w:color w:val="auto"/>
        </w:rPr>
        <w:t>6.7</w:t>
      </w:r>
      <w:r>
        <w:rPr>
          <w:sz w:val="20"/>
          <w:szCs w:val="20"/>
          <w:color w:val="auto"/>
        </w:rPr>
        <w:tab/>
      </w:r>
      <w:r>
        <w:rPr>
          <w:rFonts w:ascii="Arial" w:cs="Arial" w:eastAsia="Arial" w:hAnsi="Arial"/>
          <w:sz w:val="16"/>
          <w:szCs w:val="16"/>
          <w:color w:val="auto"/>
        </w:rPr>
        <w:t>SUPPLEMENTAL DEATH BENEFIT. If specified in the Adoption Agreement, in the event that a Participant dies while actively employed by the Company or an Affiliate, in addition to the Participant’s vested Account Balance, the Company may pay an extra amount (a “Supplemental Death Benefit”) to such Participant’s Beneficiary, provided, however, that (a) the Company subsequently may elect to amend, revoke or eliminate any such Supplemental Death Benefit at any time in its discretion prior to the Participant’s death, by giving notice of such subsequent election to such Participant, (b) the Company shall have no obligation to specify any Supplemental Death Benefit with respect to any Participant, regardless of whether the Company has elected to specify any Supplemental Death Benefit with respect to any other Participant or group of participants, and (c) no Supplemental Death Benefit shall be paid with respect to a Participant if such Participant’s death occurs as a result of suicide during the twenty-four (24) calendar months beginning with the calendar month following commencement of a Participant’s enrollment in this Plan or if such Participant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515620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80"/>
          </w:cols>
          <w:pgMar w:left="1140" w:top="710" w:right="1179" w:bottom="1440" w:gutter="0" w:footer="0" w:header="0"/>
        </w:sectPr>
      </w:pPr>
    </w:p>
    <w:bookmarkStart w:id="60" w:name="page61"/>
    <w:bookmarkEnd w:id="60"/>
    <w:p>
      <w:pPr>
        <w:ind w:left="580" w:right="40"/>
        <w:spacing w:after="0" w:line="24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6746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7136130" cy="7674610"/>
                    </a:xfrm>
                    <a:prstGeom prst="rect">
                      <a:avLst/>
                    </a:prstGeom>
                    <a:noFill/>
                  </pic:spPr>
                </pic:pic>
              </a:graphicData>
            </a:graphic>
          </wp:anchor>
        </w:drawing>
        <w:t>has made a material misrepresentation in any form or document provided by the Participant to or for the benefit of the Company or in connection with the administration of this Plan. The Committee may impose such conditions on its approval of any Supplemental Death Benefit as the Committee from time to time may elect, including without limitation requirements that the Participant consent to the Company’s purchase and ownership of insurance on his or her life (and to the naming of the Company and/or its designees as a beneficiary on any such policy), that the Participant complete an application for life insurance and submit to medical examinations relating to the underwriting of any such insurance policy , and that any such policy be underwritten and issued on terms satisfactory to the Committee. In the event that the service of the Participant is terminated by the applicable Employer for any reason other than his or her death, any right to a Supplemental Death Benefit shall thereupon terminate, and neither the Company nor the Participating Employer shall have any further obligation under this section.</w:t>
      </w:r>
    </w:p>
    <w:p>
      <w:pPr>
        <w:spacing w:after="0" w:line="170" w:lineRule="exact"/>
        <w:rPr>
          <w:sz w:val="20"/>
          <w:szCs w:val="20"/>
          <w:color w:val="auto"/>
        </w:rPr>
      </w:pPr>
    </w:p>
    <w:p>
      <w:pPr>
        <w:ind w:left="580" w:hanging="647"/>
        <w:spacing w:after="0" w:line="248" w:lineRule="auto"/>
        <w:tabs>
          <w:tab w:leader="none" w:pos="560" w:val="left"/>
        </w:tabs>
        <w:rPr>
          <w:sz w:val="20"/>
          <w:szCs w:val="20"/>
          <w:color w:val="auto"/>
        </w:rPr>
      </w:pPr>
      <w:r>
        <w:rPr>
          <w:rFonts w:ascii="Arial" w:cs="Arial" w:eastAsia="Arial" w:hAnsi="Arial"/>
          <w:sz w:val="16"/>
          <w:szCs w:val="16"/>
          <w:color w:val="auto"/>
        </w:rPr>
        <w:t>6.8</w:t>
      </w:r>
      <w:r>
        <w:rPr>
          <w:sz w:val="20"/>
          <w:szCs w:val="20"/>
          <w:color w:val="auto"/>
        </w:rPr>
        <w:tab/>
      </w:r>
      <w:r>
        <w:rPr>
          <w:rFonts w:ascii="Arial" w:cs="Arial" w:eastAsia="Arial" w:hAnsi="Arial"/>
          <w:sz w:val="16"/>
          <w:szCs w:val="16"/>
          <w:color w:val="auto"/>
        </w:rPr>
        <w:t xml:space="preserve">PAYMENTS. A Participant's vested Account Balance shall be distributed in one or more annual installments as set forth in the Participant’s Deferral Election Form, in accordance with definitions and subject to limitations set forth in the Adoption Agreement. The amount shall be calculated by taking the amount of the Participant's vested Account Balance divided by the total number of installments (in the case of a lump sum distribution, divided by one). This amount to be valued as of the end of the day (the "Valuation Date") that is the date of the event giving rise to the distribution or such other date as reasonably determined by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 Specified Employee's Separation from Service, to the extent required by Section 409A, the Valuation Date for payments that would have otherwise been paid during the first six months after Separation from Service shall be delayed for a minimum of six months following Separation from Service. Payments shall be made as soon as practicable, but, in any event, within 60 days after the Valuation Date (extended, in the case of Disability or Death, by such reasonable period of time as the Committee may require to confirm the existence of such Disability or Death within the Section 409A Discretionary Payment Period). If there shall be more than one installment to be paid, then each subsequent installment shall be calculated on the anniversary of the Valuation Date (not including the six month delay for Specified Employees), by taking the Participant's Account Balance as of the close of business on such anniversary, and dividing such amount by the number of installments then remaining, with payment to be made as soon as practical, but in any event within 60 days of said anniversary. The final installment payment shall be equal to the remaining Account Balance of the Participant. In no event shall the amount of any lump sum or installment payment to a Participant exceed the remaining vested Account Balance of such Participant. For purposes of the foregoing, unless otherwise provided in the Adoption Agreement or otherwise required under applicable Section 409A Requirements, any distribution that a Participant elects to receive in a series of installments shall be treated as being a single payment on the date of the first installment of such series.</w:t>
      </w:r>
    </w:p>
    <w:p>
      <w:pPr>
        <w:spacing w:after="0" w:line="167" w:lineRule="exact"/>
        <w:rPr>
          <w:sz w:val="20"/>
          <w:szCs w:val="20"/>
          <w:color w:val="auto"/>
        </w:rPr>
      </w:pPr>
    </w:p>
    <w:p>
      <w:pPr>
        <w:ind w:left="580" w:right="40" w:hanging="646"/>
        <w:spacing w:after="0" w:line="250" w:lineRule="auto"/>
        <w:tabs>
          <w:tab w:leader="none" w:pos="560" w:val="left"/>
        </w:tabs>
        <w:rPr>
          <w:sz w:val="20"/>
          <w:szCs w:val="20"/>
          <w:color w:val="auto"/>
        </w:rPr>
      </w:pPr>
      <w:r>
        <w:rPr>
          <w:rFonts w:ascii="Arial" w:cs="Arial" w:eastAsia="Arial" w:hAnsi="Arial"/>
          <w:sz w:val="16"/>
          <w:szCs w:val="16"/>
          <w:color w:val="auto"/>
        </w:rPr>
        <w:t>6.9</w:t>
      </w:r>
      <w:r>
        <w:rPr>
          <w:sz w:val="20"/>
          <w:szCs w:val="20"/>
          <w:color w:val="auto"/>
        </w:rPr>
        <w:tab/>
      </w:r>
      <w:r>
        <w:rPr>
          <w:rFonts w:ascii="Arial" w:cs="Arial" w:eastAsia="Arial" w:hAnsi="Arial"/>
          <w:sz w:val="16"/>
          <w:szCs w:val="16"/>
          <w:color w:val="auto"/>
        </w:rPr>
        <w:t>NO ACCELERATION; CHANGES; CERTAIN DELAYS. The time or schedule for payment of any distribution under the Plan may not be accelerated, except as set forth in this Plan and as permitted under applicable Section 409A Requirements. No election may be made to change the time or form of payment of any distribution under this Plan, or any installment thereof, except for a Permissible Change Election. Despite the foregoing, to the extent consistent with applicable Section 409A Requirements, the Committee may elect to delay payment of any benefit hereunder if such benefit would be fully or partially non-deductible under §162(m) of the Code, would violate securities laws, or if there is a bona fide payment dispute (but only if the applicable Participant or Beneficiary is diligently attempting to collect the applicable benefit and does not control the Company or the Committee, or control the Company's or the Committee's decisions with respect thereto); and to the extent permitted under Section 409A Requirements, the time or schedule of payment of a benefit hereunder may be accelerated:</w:t>
      </w:r>
    </w:p>
    <w:p>
      <w:pPr>
        <w:spacing w:after="0" w:line="165" w:lineRule="exact"/>
        <w:rPr>
          <w:sz w:val="20"/>
          <w:szCs w:val="20"/>
          <w:color w:val="auto"/>
        </w:rPr>
      </w:pPr>
    </w:p>
    <w:p>
      <w:pPr>
        <w:jc w:val="both"/>
        <w:ind w:left="1200" w:right="320" w:hanging="632"/>
        <w:spacing w:after="0" w:line="261" w:lineRule="auto"/>
        <w:tabs>
          <w:tab w:leader="none" w:pos="1180" w:val="left"/>
        </w:tabs>
        <w:rPr>
          <w:sz w:val="20"/>
          <w:szCs w:val="20"/>
          <w:color w:val="auto"/>
        </w:rPr>
      </w:pPr>
      <w:r>
        <w:rPr>
          <w:rFonts w:ascii="Arial" w:cs="Arial" w:eastAsia="Arial" w:hAnsi="Arial"/>
          <w:sz w:val="16"/>
          <w:szCs w:val="16"/>
          <w:color w:val="auto"/>
        </w:rPr>
        <w:t>6.9.1</w:t>
        <w:tab/>
        <w:t>to the extent that such benefit (or this Plan as it pertains thereto in the case of any particular Participant) fails to meet Section 409A Requirements, but only in an amount equal to the amount required to be included in income as a result of the failure to comply with Section 409A Requirements;</w:t>
      </w:r>
    </w:p>
    <w:p>
      <w:pPr>
        <w:spacing w:after="0" w:line="156" w:lineRule="exact"/>
        <w:rPr>
          <w:sz w:val="20"/>
          <w:szCs w:val="20"/>
          <w:color w:val="auto"/>
        </w:rPr>
      </w:pPr>
    </w:p>
    <w:p>
      <w:pPr>
        <w:ind w:left="1200" w:right="360" w:hanging="627"/>
        <w:spacing w:after="0" w:line="276" w:lineRule="auto"/>
        <w:tabs>
          <w:tab w:leader="none" w:pos="1180" w:val="left"/>
        </w:tabs>
        <w:rPr>
          <w:sz w:val="20"/>
          <w:szCs w:val="20"/>
          <w:color w:val="auto"/>
        </w:rPr>
      </w:pPr>
      <w:r>
        <w:rPr>
          <w:rFonts w:ascii="Arial" w:cs="Arial" w:eastAsia="Arial" w:hAnsi="Arial"/>
          <w:sz w:val="16"/>
          <w:szCs w:val="16"/>
          <w:color w:val="auto"/>
        </w:rPr>
        <w:t>6.9.2</w:t>
        <w:tab/>
        <w:t xml:space="preserve">for payment to an individual other than a Participant, to the extent necessary to fulfill a domestic relations order as provided in </w:t>
      </w:r>
      <w:r>
        <w:rPr>
          <w:rFonts w:ascii="Arial" w:cs="Arial" w:eastAsia="Arial" w:hAnsi="Arial"/>
          <w:sz w:val="16"/>
          <w:szCs w:val="16"/>
          <w:u w:val="single" w:color="auto"/>
          <w:color w:val="auto"/>
        </w:rPr>
        <w:t>Section 11.6</w:t>
      </w:r>
      <w:r>
        <w:rPr>
          <w:rFonts w:ascii="Arial" w:cs="Arial" w:eastAsia="Arial" w:hAnsi="Arial"/>
          <w:sz w:val="16"/>
          <w:szCs w:val="16"/>
          <w:color w:val="auto"/>
        </w:rPr>
        <w:t>;</w:t>
      </w:r>
    </w:p>
    <w:p>
      <w:pPr>
        <w:spacing w:after="0" w:line="144" w:lineRule="exact"/>
        <w:rPr>
          <w:sz w:val="20"/>
          <w:szCs w:val="20"/>
          <w:color w:val="auto"/>
        </w:rPr>
      </w:pPr>
    </w:p>
    <w:p>
      <w:pPr>
        <w:ind w:left="1220" w:right="40" w:hanging="643"/>
        <w:spacing w:after="0" w:line="252" w:lineRule="auto"/>
        <w:tabs>
          <w:tab w:leader="none" w:pos="1200" w:val="left"/>
        </w:tabs>
        <w:rPr>
          <w:sz w:val="20"/>
          <w:szCs w:val="20"/>
          <w:color w:val="auto"/>
        </w:rPr>
      </w:pPr>
      <w:r>
        <w:rPr>
          <w:rFonts w:ascii="Arial" w:cs="Arial" w:eastAsia="Arial" w:hAnsi="Arial"/>
          <w:sz w:val="16"/>
          <w:szCs w:val="16"/>
          <w:color w:val="auto"/>
        </w:rPr>
        <w:t>6.9.3</w:t>
      </w:r>
      <w:r>
        <w:rPr>
          <w:sz w:val="20"/>
          <w:szCs w:val="20"/>
          <w:color w:val="auto"/>
        </w:rPr>
        <w:tab/>
      </w:r>
      <w:r>
        <w:rPr>
          <w:rFonts w:ascii="Arial" w:cs="Arial" w:eastAsia="Arial" w:hAnsi="Arial"/>
          <w:sz w:val="16"/>
          <w:szCs w:val="16"/>
          <w:color w:val="auto"/>
        </w:rPr>
        <w:t>to pay Federal Insurance Contributions Act tax imposed under §3101, §3121(a) and §3121(v)(2) of the Code, where applicable, on compensation deferred under this Plan (hereinafter, the "FICA Amount"), or to pay the income tax at source on wages imposed under §3401 of the Code or the corresponding withholding provisions of applicable state, local or foreign tax laws as a result of the payment of the FICA Amount, and to pay additional income tax at source on wages attributable to the pyramiding §3401 wages and taxes, but not in excess of the FICA Amount and the income tax withholding related to such FICA Amount;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515620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80"/>
          </w:cols>
          <w:pgMar w:left="1220" w:top="710" w:right="1199" w:bottom="1440" w:gutter="0" w:footer="0" w:header="0"/>
        </w:sectPr>
      </w:pPr>
    </w:p>
    <w:bookmarkStart w:id="61" w:name="page62"/>
    <w:bookmarkEnd w:id="61"/>
    <w:p>
      <w:pPr>
        <w:ind w:left="660"/>
        <w:spacing w:after="0"/>
        <w:tabs>
          <w:tab w:leader="none" w:pos="130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1972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7136130" cy="8197215"/>
                    </a:xfrm>
                    <a:prstGeom prst="rect">
                      <a:avLst/>
                    </a:prstGeom>
                    <a:noFill/>
                  </pic:spPr>
                </pic:pic>
              </a:graphicData>
            </a:graphic>
          </wp:anchor>
        </w:drawing>
        <w:t>6.9.4</w:t>
      </w:r>
      <w:r>
        <w:rPr>
          <w:sz w:val="20"/>
          <w:szCs w:val="20"/>
          <w:color w:val="auto"/>
        </w:rPr>
        <w:tab/>
      </w:r>
      <w:r>
        <w:rPr>
          <w:rFonts w:ascii="Arial" w:cs="Arial" w:eastAsia="Arial" w:hAnsi="Arial"/>
          <w:sz w:val="16"/>
          <w:szCs w:val="16"/>
          <w:color w:val="auto"/>
        </w:rPr>
        <w:t xml:space="preserve">as more particularly provided in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11.8</w:t>
      </w:r>
      <w:r>
        <w:rPr>
          <w:rFonts w:ascii="Arial" w:cs="Arial" w:eastAsia="Arial" w:hAnsi="Arial"/>
          <w:sz w:val="16"/>
          <w:szCs w:val="16"/>
          <w:color w:val="auto"/>
        </w:rPr>
        <w:t>.</w:t>
      </w:r>
    </w:p>
    <w:p>
      <w:pPr>
        <w:spacing w:after="0" w:line="194" w:lineRule="exact"/>
        <w:rPr>
          <w:sz w:val="20"/>
          <w:szCs w:val="20"/>
          <w:color w:val="auto"/>
        </w:rPr>
      </w:pPr>
    </w:p>
    <w:p>
      <w:pPr>
        <w:ind w:left="640" w:right="220" w:hanging="639"/>
        <w:spacing w:after="0" w:line="256" w:lineRule="auto"/>
        <w:tabs>
          <w:tab w:leader="none" w:pos="620" w:val="left"/>
        </w:tabs>
        <w:rPr>
          <w:sz w:val="20"/>
          <w:szCs w:val="20"/>
          <w:color w:val="auto"/>
        </w:rPr>
      </w:pPr>
      <w:r>
        <w:rPr>
          <w:rFonts w:ascii="Arial" w:cs="Arial" w:eastAsia="Arial" w:hAnsi="Arial"/>
          <w:sz w:val="16"/>
          <w:szCs w:val="16"/>
          <w:color w:val="auto"/>
        </w:rPr>
        <w:t>6.10</w:t>
      </w:r>
      <w:r>
        <w:rPr>
          <w:sz w:val="20"/>
          <w:szCs w:val="20"/>
          <w:color w:val="auto"/>
        </w:rPr>
        <w:tab/>
      </w:r>
      <w:r>
        <w:rPr>
          <w:rFonts w:ascii="Arial" w:cs="Arial" w:eastAsia="Arial" w:hAnsi="Arial"/>
          <w:sz w:val="16"/>
          <w:szCs w:val="16"/>
          <w:color w:val="auto"/>
        </w:rPr>
        <w:t>DEMINIMIS AMOUNTS. Notwithstanding any other provisions of this Plan to the contrary, the Company may distribute a Participant’s vested Account Balance in a lump sum at any time if the balance does not exceed the then current limit (as indexed) under §402(g)(1)(B) of the Code and results in the termination of the Participant’s entire interest in this Plan and all other similar plans in compliance with all Section 409A Requirements.</w:t>
      </w:r>
    </w:p>
    <w:p>
      <w:pPr>
        <w:spacing w:after="0" w:line="146" w:lineRule="exact"/>
        <w:rPr>
          <w:sz w:val="20"/>
          <w:szCs w:val="20"/>
          <w:color w:val="auto"/>
        </w:rPr>
      </w:pPr>
    </w:p>
    <w:p>
      <w:pPr>
        <w:ind w:left="660" w:right="160" w:hanging="647"/>
        <w:spacing w:after="0" w:line="256" w:lineRule="auto"/>
        <w:tabs>
          <w:tab w:leader="none" w:pos="640" w:val="left"/>
        </w:tabs>
        <w:rPr>
          <w:sz w:val="20"/>
          <w:szCs w:val="20"/>
          <w:color w:val="auto"/>
        </w:rPr>
      </w:pPr>
      <w:r>
        <w:rPr>
          <w:rFonts w:ascii="Arial" w:cs="Arial" w:eastAsia="Arial" w:hAnsi="Arial"/>
          <w:sz w:val="16"/>
          <w:szCs w:val="16"/>
          <w:color w:val="auto"/>
        </w:rPr>
        <w:t>6.11</w:t>
      </w:r>
      <w:r>
        <w:rPr>
          <w:sz w:val="20"/>
          <w:szCs w:val="20"/>
          <w:color w:val="auto"/>
        </w:rPr>
        <w:tab/>
      </w:r>
      <w:r>
        <w:rPr>
          <w:rFonts w:ascii="Arial" w:cs="Arial" w:eastAsia="Arial" w:hAnsi="Arial"/>
          <w:sz w:val="16"/>
          <w:szCs w:val="16"/>
          <w:color w:val="auto"/>
        </w:rPr>
        <w:t xml:space="preserve">NO DUPLICATION OF BENEFITS. This Plan is intended to provide benefits based on a Participant's Account Balance, subject to the terms and conditions hereof. Nothing in this Plan shall be construed to express or imply the right of any Participant to receive, or to have his or her Beneficiary(ies) receive, benefits in amounts exceeding in the aggregate his or her vested Account Balance, except as may be provided in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as a Supplemental Death Benefit.</w:t>
      </w:r>
    </w:p>
    <w:p>
      <w:pPr>
        <w:spacing w:after="0" w:line="160" w:lineRule="exact"/>
        <w:rPr>
          <w:sz w:val="20"/>
          <w:szCs w:val="20"/>
          <w:color w:val="auto"/>
        </w:rPr>
      </w:pPr>
    </w:p>
    <w:p>
      <w:pPr>
        <w:ind w:left="640" w:right="120" w:hanging="637"/>
        <w:spacing w:after="0" w:line="256" w:lineRule="auto"/>
        <w:tabs>
          <w:tab w:leader="none" w:pos="620" w:val="left"/>
        </w:tabs>
        <w:rPr>
          <w:sz w:val="20"/>
          <w:szCs w:val="20"/>
          <w:color w:val="auto"/>
        </w:rPr>
      </w:pPr>
      <w:r>
        <w:rPr>
          <w:rFonts w:ascii="Arial" w:cs="Arial" w:eastAsia="Arial" w:hAnsi="Arial"/>
          <w:sz w:val="16"/>
          <w:szCs w:val="16"/>
          <w:color w:val="auto"/>
        </w:rPr>
        <w:t>6.12</w:t>
      </w:r>
      <w:r>
        <w:rPr>
          <w:sz w:val="20"/>
          <w:szCs w:val="20"/>
          <w:color w:val="auto"/>
        </w:rPr>
        <w:tab/>
      </w:r>
      <w:r>
        <w:rPr>
          <w:rFonts w:ascii="Arial" w:cs="Arial" w:eastAsia="Arial" w:hAnsi="Arial"/>
          <w:sz w:val="16"/>
          <w:szCs w:val="16"/>
          <w:color w:val="auto"/>
        </w:rPr>
        <w:t>DATE OF PAYMENT. The timing of payment hereunder shall in all events comply with all Code Section 409A Requirements. All designated payment events shall be interpreted so as to be limited to permissible payment events under Code Section 409A. Any discretion exercised by the Committee with respect to the timing of payments hereunder shall come within the Section 409A Discretionary Payment Period.</w:t>
      </w:r>
    </w:p>
    <w:p>
      <w:pPr>
        <w:spacing w:after="0" w:line="146" w:lineRule="exact"/>
        <w:rPr>
          <w:sz w:val="20"/>
          <w:szCs w:val="20"/>
          <w:color w:val="auto"/>
        </w:rPr>
      </w:pPr>
    </w:p>
    <w:p>
      <w:pPr>
        <w:ind w:left="600" w:right="580" w:hanging="604"/>
        <w:spacing w:after="0" w:line="276" w:lineRule="auto"/>
        <w:tabs>
          <w:tab w:leader="none" w:pos="580" w:val="left"/>
        </w:tabs>
        <w:rPr>
          <w:sz w:val="20"/>
          <w:szCs w:val="20"/>
          <w:color w:val="auto"/>
        </w:rPr>
      </w:pPr>
      <w:r>
        <w:rPr>
          <w:rFonts w:ascii="Arial" w:cs="Arial" w:eastAsia="Arial" w:hAnsi="Arial"/>
          <w:sz w:val="16"/>
          <w:szCs w:val="16"/>
          <w:color w:val="auto"/>
        </w:rPr>
        <w:t>6.13</w:t>
      </w:r>
      <w:r>
        <w:rPr>
          <w:sz w:val="20"/>
          <w:szCs w:val="20"/>
          <w:color w:val="auto"/>
        </w:rPr>
        <w:tab/>
      </w:r>
      <w:r>
        <w:rPr>
          <w:rFonts w:ascii="Arial" w:cs="Arial" w:eastAsia="Arial" w:hAnsi="Arial"/>
          <w:sz w:val="16"/>
          <w:szCs w:val="16"/>
          <w:color w:val="auto"/>
        </w:rPr>
        <w:t>TAX WITHHOLDING AND REPORTING. The Company shall have the right to deduct any required withholding taxes from any payment made under this Plan.</w:t>
      </w:r>
    </w:p>
    <w:p>
      <w:pPr>
        <w:spacing w:after="0" w:line="33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ARTICLE 7 UNFORESEEABLE</w:t>
      </w:r>
    </w:p>
    <w:p>
      <w:pPr>
        <w:spacing w:after="0" w:line="17"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EMERGENCIES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6"/>
          <w:szCs w:val="16"/>
          <w:color w:val="auto"/>
        </w:rPr>
        <w:t>APPLICATION FOR HARDSHIP DISTRIBUTION OR DEFERRAL ELECTION TERMINATION. In the event</w:t>
      </w:r>
    </w:p>
    <w:p>
      <w:pPr>
        <w:spacing w:after="0" w:line="17" w:lineRule="exact"/>
        <w:rPr>
          <w:sz w:val="20"/>
          <w:szCs w:val="20"/>
          <w:color w:val="auto"/>
        </w:rPr>
      </w:pPr>
    </w:p>
    <w:p>
      <w:pPr>
        <w:ind w:left="640" w:right="60"/>
        <w:spacing w:after="0" w:line="247" w:lineRule="auto"/>
        <w:rPr>
          <w:sz w:val="20"/>
          <w:szCs w:val="20"/>
          <w:color w:val="auto"/>
        </w:rPr>
      </w:pPr>
      <w:r>
        <w:rPr>
          <w:rFonts w:ascii="Arial" w:cs="Arial" w:eastAsia="Arial" w:hAnsi="Arial"/>
          <w:sz w:val="16"/>
          <w:szCs w:val="16"/>
          <w:color w:val="auto"/>
        </w:rPr>
        <w:t>that any Participant incurs an Unforeseeable Emergency, if consistent with applicable Section 409A Requirements, such Participant may apply to the Committee for a Hardship Distribution in the form of (i) cancellation of existing Annual Deferral Amount elections for Pay Types not yet earned by such Participant, and (ii) to the extent cancellation of all such elections is insufficient to satisfy the needs resulting from such Unforeseeable Emergency, an accelerated payment (“Hardship Distribution”) of some or all of such Participant’s vested Account Balance. The Committee shall consider the circumstances of each such case, and the best interests of the Participant and his or her family, and shall have the right, in its sole discretion, to allow such application, in full or in part, or to refuse to make a Hardship Distribution. In the event that any Participant receives a distribution from a plan due to an unforeseeable emergency or a hardship pursuant to Treasury Regulation §1.401(k)-1(d)(3) (or successor regulation thereto, to the extent recognized for these purposes under Section 409A Requirements), such Participant’s existing Annual Deferral Amount elections for Pay Types not yet earned by such Participant shall be cancelled for the remainder of the Plan Year.</w:t>
      </w:r>
    </w:p>
    <w:p>
      <w:pPr>
        <w:spacing w:after="0" w:line="173" w:lineRule="exact"/>
        <w:rPr>
          <w:sz w:val="20"/>
          <w:szCs w:val="20"/>
          <w:color w:val="auto"/>
        </w:rPr>
      </w:pPr>
    </w:p>
    <w:p>
      <w:pPr>
        <w:ind w:left="660" w:hanging="646"/>
        <w:spacing w:after="0" w:line="251" w:lineRule="auto"/>
        <w:tabs>
          <w:tab w:leader="none" w:pos="64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AMOUNT OF DISTRIBUTION. In no event shall the amount of any Hardship Distribution payment exceed the lesser of: (a) the Participant's vested Account Balance, or (b) the amount determined by the Committee to be necessary to alleviate the hardship, including any taxes payable by the Participant as a result of receiving such Hardship Distribution, and which is not reasonably available from other resources of the Participant, including reimbursement or compensation from insurance or otherwise, by liquidation of the Participant's assets (unless liquidation of such assets would cause severe financial hardship) or by cessation of deferrals under this Plan or other nonqualified plans in which such Participant participates, all in a manner consistent with any applicable Section 409A Requirements.</w:t>
      </w:r>
    </w:p>
    <w:p>
      <w:pPr>
        <w:spacing w:after="0" w:line="260" w:lineRule="exact"/>
        <w:rPr>
          <w:sz w:val="20"/>
          <w:szCs w:val="20"/>
          <w:color w:val="auto"/>
        </w:rPr>
      </w:pPr>
    </w:p>
    <w:p>
      <w:pPr>
        <w:ind w:left="640" w:right="20" w:hanging="641"/>
        <w:spacing w:after="0" w:line="256" w:lineRule="auto"/>
        <w:tabs>
          <w:tab w:leader="none" w:pos="62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6"/>
          <w:szCs w:val="16"/>
          <w:color w:val="auto"/>
        </w:rPr>
        <w:t>RULES ADOPTED BY COMMITTEE. The Committee shall have the authority to adopt additional rules and procedures relating to Hardship Distributions. The request to take a Hardship Distribution shall be made by filing a form provided by and filed with the Committee and shall be accompanied by appropriate documentation evidencing the existence and extent of the hardship consistent with Section 409A Requirements.</w:t>
      </w:r>
    </w:p>
    <w:p>
      <w:pPr>
        <w:spacing w:after="0" w:line="349"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ARTICLE 8 BENEFICIARY</w:t>
      </w:r>
    </w:p>
    <w:p>
      <w:pPr>
        <w:spacing w:after="0" w:line="17"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DESIGNATION</w:t>
      </w:r>
    </w:p>
    <w:p>
      <w:pPr>
        <w:spacing w:after="0" w:line="182" w:lineRule="exact"/>
        <w:rPr>
          <w:sz w:val="20"/>
          <w:szCs w:val="20"/>
          <w:color w:val="auto"/>
        </w:rPr>
      </w:pPr>
    </w:p>
    <w:p>
      <w:pPr>
        <w:ind w:left="640" w:hanging="642"/>
        <w:spacing w:after="0" w:line="256" w:lineRule="auto"/>
        <w:tabs>
          <w:tab w:leader="none" w:pos="62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color w:val="auto"/>
        </w:rPr>
        <w:t>BENEFICIARY. Each Participant shall have the right, at any time, to designate his or her Beneficiary(ies) (both primary as well as contingent) to receive any benefit under this Plan after the Participant's death. The Beneficiary designated under this Plan may be the same as or different from the beneficiary designation under any other plan of the Company in which the Participant participates.</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515620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20"/>
          </w:cols>
          <w:pgMar w:left="1140" w:top="899" w:right="1239" w:bottom="1440" w:gutter="0" w:footer="0" w:header="0"/>
        </w:sectPr>
      </w:pPr>
    </w:p>
    <w:bookmarkStart w:id="62" w:name="page63"/>
    <w:bookmarkEnd w:id="62"/>
    <w:p>
      <w:pPr>
        <w:ind w:left="660" w:right="40" w:hanging="647"/>
        <w:spacing w:after="0" w:line="250" w:lineRule="auto"/>
        <w:tabs>
          <w:tab w:leader="none" w:pos="6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8117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7136130" cy="7811770"/>
                    </a:xfrm>
                    <a:prstGeom prst="rect">
                      <a:avLst/>
                    </a:prstGeom>
                    <a:noFill/>
                  </pic:spPr>
                </pic:pic>
              </a:graphicData>
            </a:graphic>
          </wp:anchor>
        </w:drawing>
        <w:t>8.2</w:t>
      </w:r>
      <w:r>
        <w:rPr>
          <w:sz w:val="20"/>
          <w:szCs w:val="20"/>
          <w:color w:val="auto"/>
        </w:rPr>
        <w:tab/>
      </w:r>
      <w:r>
        <w:rPr>
          <w:rFonts w:ascii="Arial" w:cs="Arial" w:eastAsia="Arial" w:hAnsi="Arial"/>
          <w:sz w:val="16"/>
          <w:szCs w:val="16"/>
          <w:color w:val="auto"/>
        </w:rPr>
        <w:t>BENEFICIARY DESIGNATION; CHANGE; SPOUSAL CONSENT. A Participant shall designate his or her Beneficiary by completing and signing the Beneficiary Designation Form and returning it to the Record Keeper. A Participant shall have the right to change a Beneficiary by completing, signing and otherwise complying with the terms of the Beneficiary Designation Form and the Committee's rules and procedures, as in effect from time to time. If the Participant names someone other than his or her spouse as a Beneficiary, then to the extent required by applicable law, a spousal consent, in the form designated by the Committee, must be signed by that Participant's spouse and returned to the Record Keeper. The Committee and the Record Keeper shall be entitled to rely on the last Beneficiary Designation Form filed by the Participant and accepted by the Committee prior to his or her death.</w:t>
      </w:r>
    </w:p>
    <w:p>
      <w:pPr>
        <w:spacing w:after="0" w:line="141" w:lineRule="exact"/>
        <w:rPr>
          <w:sz w:val="20"/>
          <w:szCs w:val="20"/>
          <w:color w:val="auto"/>
        </w:rPr>
      </w:pPr>
    </w:p>
    <w:p>
      <w:pPr>
        <w:ind w:left="640" w:right="500" w:hanging="630"/>
        <w:spacing w:after="0" w:line="276" w:lineRule="auto"/>
        <w:tabs>
          <w:tab w:leader="none" w:pos="620"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6"/>
          <w:szCs w:val="16"/>
          <w:color w:val="auto"/>
        </w:rPr>
        <w:t>ACKNOWLEDGEMENT. No designation or change in designation of a Beneficiary shall be effective until received and accepted by the Committee.</w:t>
      </w:r>
    </w:p>
    <w:p>
      <w:pPr>
        <w:spacing w:after="0" w:line="130" w:lineRule="exact"/>
        <w:rPr>
          <w:sz w:val="20"/>
          <w:szCs w:val="20"/>
          <w:color w:val="auto"/>
        </w:rPr>
      </w:pPr>
    </w:p>
    <w:p>
      <w:pPr>
        <w:ind w:left="640" w:right="260" w:hanging="640"/>
        <w:spacing w:after="0" w:line="256" w:lineRule="auto"/>
        <w:tabs>
          <w:tab w:leader="none" w:pos="62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6"/>
          <w:szCs w:val="16"/>
          <w:color w:val="auto"/>
        </w:rPr>
        <w:t>NO BENEFICIARY DESIGNATION. If a Participant fails to designate a Beneficiary as provided above, or if all designated Beneficiaries predecease the Participant or die prior to complete distribution of the Participant's benefits, then the Participant's designated Beneficiary shall be deemed to be his or her surviving spouse. If the Participant has no surviving spouse, the benefits remaining under the Plan to be paid to a Beneficiary shall be payable to the Participant's estate.</w:t>
      </w:r>
    </w:p>
    <w:p>
      <w:pPr>
        <w:spacing w:after="0" w:line="146" w:lineRule="exact"/>
        <w:rPr>
          <w:sz w:val="20"/>
          <w:szCs w:val="20"/>
          <w:color w:val="auto"/>
        </w:rPr>
      </w:pPr>
    </w:p>
    <w:p>
      <w:pPr>
        <w:ind w:left="660" w:right="320" w:hanging="647"/>
        <w:spacing w:after="0" w:line="261" w:lineRule="auto"/>
        <w:tabs>
          <w:tab w:leader="none" w:pos="640"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6"/>
          <w:szCs w:val="16"/>
          <w:color w:val="auto"/>
        </w:rPr>
        <w:t>DOUBT AS TO BENEFICIARY. If the Record Keeper has any doubt as to the proper Beneficiary to receive payments pursuant to this Plan, the Committee shall have the right, exercisable in its discretion, to cause the Company to withhold such payments until this matter is resolved to the Committee's satisfaction.</w:t>
      </w:r>
    </w:p>
    <w:p>
      <w:pPr>
        <w:spacing w:after="0" w:line="156" w:lineRule="exact"/>
        <w:rPr>
          <w:sz w:val="20"/>
          <w:szCs w:val="20"/>
          <w:color w:val="auto"/>
        </w:rPr>
      </w:pPr>
    </w:p>
    <w:p>
      <w:pPr>
        <w:ind w:left="620" w:right="580" w:hanging="624"/>
        <w:spacing w:after="0" w:line="261" w:lineRule="auto"/>
        <w:tabs>
          <w:tab w:leader="none" w:pos="600" w:val="left"/>
        </w:tabs>
        <w:rPr>
          <w:sz w:val="20"/>
          <w:szCs w:val="20"/>
          <w:color w:val="auto"/>
        </w:rPr>
      </w:pPr>
      <w:r>
        <w:rPr>
          <w:rFonts w:ascii="Arial" w:cs="Arial" w:eastAsia="Arial" w:hAnsi="Arial"/>
          <w:sz w:val="16"/>
          <w:szCs w:val="16"/>
          <w:color w:val="auto"/>
        </w:rPr>
        <w:t>8.6</w:t>
      </w:r>
      <w:r>
        <w:rPr>
          <w:sz w:val="20"/>
          <w:szCs w:val="20"/>
          <w:color w:val="auto"/>
        </w:rPr>
        <w:tab/>
      </w:r>
      <w:r>
        <w:rPr>
          <w:rFonts w:ascii="Arial" w:cs="Arial" w:eastAsia="Arial" w:hAnsi="Arial"/>
          <w:sz w:val="16"/>
          <w:szCs w:val="16"/>
          <w:color w:val="auto"/>
        </w:rPr>
        <w:t>DISCHARGE OF OBLIGATION. The payment of benefits under the Plan to a Beneficiary shall fully and completely discharge the Company and the Committee from all further obligations under the Plan with respect to the Participant, and that Participant's Participation Agreement shall terminate upon such full payment of benefits.</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ARTICLE 9</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MANAGEMENT AND ADMINISTRATION OF THIS PLAN</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6"/>
          <w:szCs w:val="16"/>
          <w:color w:val="auto"/>
        </w:rPr>
        <w:t>THE COMMITTEE.</w:t>
      </w:r>
    </w:p>
    <w:p>
      <w:pPr>
        <w:spacing w:after="0" w:line="167" w:lineRule="exact"/>
        <w:rPr>
          <w:sz w:val="20"/>
          <w:szCs w:val="20"/>
          <w:color w:val="auto"/>
        </w:rPr>
      </w:pPr>
    </w:p>
    <w:p>
      <w:pPr>
        <w:ind w:left="660" w:right="100"/>
        <w:spacing w:after="0" w:line="250" w:lineRule="auto"/>
        <w:rPr>
          <w:sz w:val="20"/>
          <w:szCs w:val="20"/>
          <w:color w:val="auto"/>
        </w:rPr>
      </w:pPr>
      <w:r>
        <w:rPr>
          <w:rFonts w:ascii="Arial" w:cs="Arial" w:eastAsia="Arial" w:hAnsi="Arial"/>
          <w:sz w:val="16"/>
          <w:szCs w:val="16"/>
          <w:color w:val="auto"/>
        </w:rPr>
        <w:t xml:space="preserve">9.1.1The Committee shall be responsible for the management, operation and administration of the Plan, and for processing claims under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Plan. The Committee shall administer the Plan in accordance with its terms and shall have the discretion, power and authority to determine all questions arising in connection with the administration, interpretation and application of the Plan. Any such determination shall be conclusive and binding upon all persons. The Committee shall have all powers necessary or appropriate to accomplish its duties under the Plan. The Committee from time to time may employ others to render advice with regard to its responsibilities under this Plan and to perform services under this Plan, including the services contemplated to be performed by the Record Keeper. The Committee may also allocate its responsibilities to others and may exercise any other powers necessary for the discharge of its duties.</w:t>
      </w:r>
    </w:p>
    <w:p>
      <w:pPr>
        <w:spacing w:after="0" w:line="276" w:lineRule="exact"/>
        <w:rPr>
          <w:sz w:val="20"/>
          <w:szCs w:val="20"/>
          <w:color w:val="auto"/>
        </w:rPr>
      </w:pPr>
    </w:p>
    <w:p>
      <w:pPr>
        <w:ind w:left="660" w:right="280"/>
        <w:spacing w:after="0" w:line="253" w:lineRule="auto"/>
        <w:rPr>
          <w:sz w:val="20"/>
          <w:szCs w:val="20"/>
          <w:color w:val="auto"/>
        </w:rPr>
      </w:pPr>
      <w:r>
        <w:rPr>
          <w:rFonts w:ascii="Arial" w:cs="Arial" w:eastAsia="Arial" w:hAnsi="Arial"/>
          <w:sz w:val="16"/>
          <w:szCs w:val="16"/>
          <w:color w:val="auto"/>
        </w:rPr>
        <w:t>9.1.2No member of the Committee will have any right to vote or decide upon any matter relating solely to such member under the Plan or to vote in any case in which such member’s individual right to claim any benefit under the Plan is particularly involved. In any case in which a Committee member is so disqualified to act and a majority of the remaining members cannot agree, the Company’s Board of Directors will appoint a temporary substitute member to exercise all the powers of the disqualified member concerning the matter in which such member is disqualified.</w:t>
      </w:r>
    </w:p>
    <w:p>
      <w:pPr>
        <w:spacing w:after="0" w:line="164" w:lineRule="exact"/>
        <w:rPr>
          <w:sz w:val="20"/>
          <w:szCs w:val="20"/>
          <w:color w:val="auto"/>
        </w:rPr>
      </w:pPr>
    </w:p>
    <w:p>
      <w:pPr>
        <w:ind w:left="660" w:hanging="647"/>
        <w:spacing w:after="0" w:line="252" w:lineRule="auto"/>
        <w:tabs>
          <w:tab w:leader="none" w:pos="64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6"/>
          <w:szCs w:val="16"/>
          <w:color w:val="auto"/>
        </w:rPr>
        <w:t>INFORMATION FROM COMPANY. The Company and each Affiliate shall supply full and timely information to the Committee and the Record Keeper on all matters as may be required properly to administer the Plan. The Committee and the Record Keeper may rely upon the correctness of all such information as is so supplied and shall have no duty or responsibility to verify such information. The Committee and the Record Keeper shall also be entitled to rely conclusively upon all tables, valuations, certifications, opinions and reports furnished by any actuary, accountant, controller, counsel or other person employed or engaged by or on behalf of the Company or the Committee with respect to the Plan.</w:t>
      </w:r>
    </w:p>
    <w:p>
      <w:pPr>
        <w:spacing w:after="0" w:line="164" w:lineRule="exact"/>
        <w:rPr>
          <w:sz w:val="20"/>
          <w:szCs w:val="20"/>
          <w:color w:val="auto"/>
        </w:rPr>
      </w:pPr>
    </w:p>
    <w:p>
      <w:pPr>
        <w:ind w:left="660" w:right="140" w:hanging="647"/>
        <w:spacing w:after="0" w:line="276" w:lineRule="auto"/>
        <w:tabs>
          <w:tab w:leader="none" w:pos="64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6"/>
          <w:szCs w:val="16"/>
          <w:color w:val="auto"/>
        </w:rPr>
        <w:t>INDEMNIFICATION. The Company, to the fullest extent permitted by applicable law, shall indemnify and hold harmless the members of the Committee, the Record Keeper and their respective employees, officers,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515620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140" w:top="899" w:right="1199" w:bottom="1440" w:gutter="0" w:footer="0" w:header="0"/>
        </w:sectPr>
      </w:pPr>
    </w:p>
    <w:bookmarkStart w:id="63" w:name="page64"/>
    <w:bookmarkEnd w:id="63"/>
    <w:p>
      <w:pPr>
        <w:ind w:left="620" w:right="10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8886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7136130" cy="7888605"/>
                    </a:xfrm>
                    <a:prstGeom prst="rect">
                      <a:avLst/>
                    </a:prstGeom>
                    <a:noFill/>
                  </pic:spPr>
                </pic:pic>
              </a:graphicData>
            </a:graphic>
          </wp:anchor>
        </w:drawing>
        <w:t>directors, partners, agents, affiliates and representatives, from and against any and all claims, losses, liabilities, costs, damages and expenses (including without limitation reasonable attorneys' fees) arising from any action or failure to act with respect to this Plan on account of such party's services hereunder, except in the case of gross negligence or willful misconduct.</w:t>
      </w:r>
    </w:p>
    <w:p>
      <w:pPr>
        <w:spacing w:after="0" w:line="133" w:lineRule="exact"/>
        <w:rPr>
          <w:sz w:val="20"/>
          <w:szCs w:val="20"/>
          <w:color w:val="auto"/>
        </w:rPr>
      </w:pPr>
    </w:p>
    <w:p>
      <w:pPr>
        <w:ind w:left="620" w:right="140" w:hanging="647"/>
        <w:spacing w:after="0" w:line="253" w:lineRule="auto"/>
        <w:tabs>
          <w:tab w:leader="none" w:pos="600"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6"/>
          <w:szCs w:val="16"/>
          <w:color w:val="auto"/>
        </w:rPr>
        <w:t>SECTION 409A COMPLIANCE. The Company intends that this Plan will be established, construed, administered and applied in compliance with all Section 409A Requirements, but in light of uncertainty with respect to such requirements and limits, the Company reserves the right to unilaterally interpret or amend the Plan and/or any Participation Agreement or Deferral Election Form without the consent of the Participants and to take any actions that may be appropriate to comply with the Section 409A Requirements.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CLAIMS PROCEDURES</w:t>
      </w:r>
    </w:p>
    <w:p>
      <w:pPr>
        <w:spacing w:after="0" w:line="182" w:lineRule="exact"/>
        <w:rPr>
          <w:sz w:val="20"/>
          <w:szCs w:val="20"/>
          <w:color w:val="auto"/>
        </w:rPr>
      </w:pPr>
    </w:p>
    <w:p>
      <w:pPr>
        <w:ind w:left="620" w:right="140" w:hanging="647"/>
        <w:spacing w:after="0" w:line="252" w:lineRule="auto"/>
        <w:tabs>
          <w:tab w:leader="none" w:pos="60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PRESENTATION OF CLAIM. A Participant or a Participant’s Beneficiary after a Participant’s death (such Participant or Beneficiary being referred to below as a “Claimant”) may deliver to the Committee a written claim for a determination under this Article with respect to the amounts distributable to such Claimant. The claim must state with particularity the determination desired by the Claimant. If the claim relates to disability benefits, the Committee shall ensure that all claims and appeals for disability benefits are adjudicated in a manner designed to ensure the independence and impartiality of the persons involved in making the decision.</w:t>
      </w:r>
    </w:p>
    <w:p>
      <w:pPr>
        <w:spacing w:after="0" w:line="150" w:lineRule="exact"/>
        <w:rPr>
          <w:sz w:val="20"/>
          <w:szCs w:val="20"/>
          <w:color w:val="auto"/>
        </w:rPr>
      </w:pPr>
    </w:p>
    <w:p>
      <w:pPr>
        <w:ind w:left="620" w:hanging="647"/>
        <w:spacing w:after="0" w:line="248" w:lineRule="auto"/>
        <w:tabs>
          <w:tab w:leader="none" w:pos="60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NOTIFICATION OF DECISION. The Committee shall consider a Claimant’s claim within a reasonable time, but no later than ninety (90) days after receiving the claim. If the Committee determines that special circumstances require an extension of time for processing the claim, written notice of the extension shall be furnished to the Claimant prior to the termination of the initial ninety (90) day period. In no event shall such extension exceed a period of ninety (90) days from the end of the initial period. Notwithstanding the forgoing, if the claim relates to a Disability determination the decision shall be rendered within forty-five (45) days which may be extended up to an additional thirty (30) days if due to matters beyond the control of the Plan, the Committee needs additional time to process a claim, which may be further extended up to an additional thirty (30) days if due to matters beyond the control of the Plan, the Committee needs additional time to process a claim. The extension notice shall indicate the special circumstances requiring an extension of time, the date by which the Committee expects to render the benefit determination, the standards on which entitlement to a disability benefit is based, the unresolved issues that prevent a decision on the claim and the additional information needed from the Claimant to resolve those issues, and the Claimant shall be afforded at least forty-five (45) days within which to provide the specified information. The Committee shall notify the Claimant in writing either that the Claimant’s request has been allowed in full or denied in part or in full. In the case of an adverse benefit determination with respect to Disability benefits, on the basis of the Committee’s independent determination of the Participant’s disability status, the Committee will provide a notification in a culturally and linguistically appropriate manner (as described in Department of Labor Regulation Section 2560.503-1(o)). If the Committee has reached a conclusion contrary, in whole or in part, to the Claimant’s requested determination, and such notice must set forth in a manner calculated to be understood by the Claimant:</w:t>
      </w:r>
    </w:p>
    <w:p>
      <w:pPr>
        <w:spacing w:after="0" w:line="169" w:lineRule="exact"/>
        <w:rPr>
          <w:sz w:val="20"/>
          <w:szCs w:val="20"/>
          <w:color w:val="auto"/>
        </w:rPr>
      </w:pPr>
    </w:p>
    <w:p>
      <w:pPr>
        <w:ind w:left="1040" w:hanging="324"/>
        <w:spacing w:after="0"/>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specific reason(s) for the denial of the claim, or any part of it;</w:t>
      </w:r>
    </w:p>
    <w:p>
      <w:pPr>
        <w:spacing w:after="0" w:line="113" w:lineRule="exact"/>
        <w:rPr>
          <w:rFonts w:ascii="Arial" w:cs="Arial" w:eastAsia="Arial" w:hAnsi="Arial"/>
          <w:sz w:val="16"/>
          <w:szCs w:val="16"/>
          <w:color w:val="auto"/>
        </w:rPr>
      </w:pPr>
    </w:p>
    <w:p>
      <w:pPr>
        <w:ind w:left="1040" w:hanging="324"/>
        <w:spacing w:after="0"/>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specific reference(s) to pertinent provisions of this Plan upon which such denial was based;</w:t>
      </w:r>
    </w:p>
    <w:p>
      <w:pPr>
        <w:spacing w:after="0" w:line="113" w:lineRule="exact"/>
        <w:rPr>
          <w:rFonts w:ascii="Arial" w:cs="Arial" w:eastAsia="Arial" w:hAnsi="Arial"/>
          <w:sz w:val="16"/>
          <w:szCs w:val="16"/>
          <w:color w:val="auto"/>
        </w:rPr>
      </w:pPr>
    </w:p>
    <w:p>
      <w:pPr>
        <w:ind w:left="1040" w:right="740" w:hanging="324"/>
        <w:spacing w:after="0" w:line="276" w:lineRule="auto"/>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description of any additional material or information necessary for the Claimant to perfect the claim, and an explanation of why such material or information is necessary;</w:t>
      </w:r>
    </w:p>
    <w:p>
      <w:pPr>
        <w:spacing w:after="0" w:line="62" w:lineRule="exact"/>
        <w:rPr>
          <w:rFonts w:ascii="Arial" w:cs="Arial" w:eastAsia="Arial" w:hAnsi="Arial"/>
          <w:sz w:val="16"/>
          <w:szCs w:val="16"/>
          <w:color w:val="auto"/>
        </w:rPr>
      </w:pPr>
    </w:p>
    <w:p>
      <w:pPr>
        <w:ind w:left="1020" w:right="440" w:hanging="304"/>
        <w:spacing w:after="0" w:line="276"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notice that the Claimant has a right to request a review of the claim denial and an explanation of the claim review procedure and the time limits applicable to such procedures set forth in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below;</w:t>
      </w:r>
    </w:p>
    <w:p>
      <w:pPr>
        <w:spacing w:after="0" w:line="62" w:lineRule="exact"/>
        <w:rPr>
          <w:rFonts w:ascii="Arial" w:cs="Arial" w:eastAsia="Arial" w:hAnsi="Arial"/>
          <w:sz w:val="16"/>
          <w:szCs w:val="16"/>
          <w:color w:val="auto"/>
        </w:rPr>
      </w:pPr>
    </w:p>
    <w:p>
      <w:pPr>
        <w:ind w:left="1020" w:right="340" w:hanging="304"/>
        <w:spacing w:after="0" w:line="261"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statement of the Claimant’s right to bring a civil action under ERISA §502(a) following an adverse benefit determination on review, and a description of any time limit that applies under the Plan for bringing such an action; and</w:t>
      </w:r>
    </w:p>
    <w:p>
      <w:pPr>
        <w:spacing w:after="0" w:line="74" w:lineRule="exact"/>
        <w:rPr>
          <w:rFonts w:ascii="Arial" w:cs="Arial" w:eastAsia="Arial" w:hAnsi="Arial"/>
          <w:sz w:val="16"/>
          <w:szCs w:val="16"/>
          <w:color w:val="auto"/>
        </w:rPr>
      </w:pPr>
    </w:p>
    <w:p>
      <w:pPr>
        <w:ind w:left="1040" w:hanging="324"/>
        <w:spacing w:after="0"/>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addition, with respect to a claim that related to Disability benefits:</w:t>
      </w:r>
    </w:p>
    <w:p>
      <w:pPr>
        <w:spacing w:after="0" w:line="113" w:lineRule="exact"/>
        <w:rPr>
          <w:rFonts w:ascii="Arial" w:cs="Arial" w:eastAsia="Arial" w:hAnsi="Arial"/>
          <w:sz w:val="16"/>
          <w:szCs w:val="16"/>
          <w:color w:val="auto"/>
        </w:rPr>
      </w:pPr>
    </w:p>
    <w:p>
      <w:pPr>
        <w:ind w:left="1340" w:hanging="338"/>
        <w:spacing w:after="0"/>
        <w:tabs>
          <w:tab w:leader="none" w:pos="13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discussion of the decision, including an explanation or basis for disagreeing with or not following:</w:t>
      </w:r>
    </w:p>
    <w:p>
      <w:pPr>
        <w:spacing w:after="0" w:line="113" w:lineRule="exact"/>
        <w:rPr>
          <w:rFonts w:ascii="Arial" w:cs="Arial" w:eastAsia="Arial" w:hAnsi="Arial"/>
          <w:sz w:val="16"/>
          <w:szCs w:val="16"/>
          <w:color w:val="auto"/>
        </w:rPr>
      </w:pPr>
    </w:p>
    <w:p>
      <w:pPr>
        <w:ind w:left="1580" w:right="700" w:hanging="319"/>
        <w:spacing w:after="0" w:line="276" w:lineRule="auto"/>
        <w:tabs>
          <w:tab w:leader="none" w:pos="1580" w:val="left"/>
        </w:tabs>
        <w:numPr>
          <w:ilvl w:val="2"/>
          <w:numId w:val="44"/>
        </w:numPr>
        <w:rPr>
          <w:rFonts w:ascii="Arial" w:cs="Arial" w:eastAsia="Arial" w:hAnsi="Arial"/>
          <w:sz w:val="16"/>
          <w:szCs w:val="16"/>
          <w:color w:val="auto"/>
        </w:rPr>
      </w:pPr>
      <w:r>
        <w:rPr>
          <w:rFonts w:ascii="Arial" w:cs="Arial" w:eastAsia="Arial" w:hAnsi="Arial"/>
          <w:sz w:val="16"/>
          <w:szCs w:val="16"/>
          <w:color w:val="auto"/>
        </w:rPr>
        <w:t>the views presented by the Claimant of health care professionals treating the Claimant and vocational professionals who evaluated the Claimant;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515620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40"/>
          </w:cols>
          <w:pgMar w:left="1180" w:top="710" w:right="1179" w:bottom="1440" w:gutter="0" w:footer="0" w:header="0"/>
        </w:sectPr>
      </w:pPr>
    </w:p>
    <w:bookmarkStart w:id="64" w:name="page65"/>
    <w:bookmarkEnd w:id="64"/>
    <w:p>
      <w:pPr>
        <w:ind w:left="1520" w:right="20" w:hanging="319"/>
        <w:spacing w:after="0" w:line="261" w:lineRule="auto"/>
        <w:tabs>
          <w:tab w:leader="none" w:pos="1520" w:val="left"/>
        </w:tabs>
        <w:numPr>
          <w:ilvl w:val="1"/>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2746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136130" cy="8274685"/>
                    </a:xfrm>
                    <a:prstGeom prst="rect">
                      <a:avLst/>
                    </a:prstGeom>
                    <a:noFill/>
                  </pic:spPr>
                </pic:pic>
              </a:graphicData>
            </a:graphic>
          </wp:anchor>
        </w:drawing>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88" w:lineRule="exact"/>
        <w:rPr>
          <w:rFonts w:ascii="Arial" w:cs="Arial" w:eastAsia="Arial" w:hAnsi="Arial"/>
          <w:sz w:val="16"/>
          <w:szCs w:val="16"/>
          <w:color w:val="auto"/>
        </w:rPr>
      </w:pPr>
    </w:p>
    <w:p>
      <w:pPr>
        <w:ind w:left="1500" w:right="460" w:hanging="299"/>
        <w:spacing w:after="0" w:line="276" w:lineRule="auto"/>
        <w:tabs>
          <w:tab w:leader="none" w:pos="15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 disability determination regarding the Claimant presented by the Claimant made by the Social Security Administration.</w:t>
      </w:r>
    </w:p>
    <w:p>
      <w:pPr>
        <w:spacing w:after="0" w:line="49" w:lineRule="exact"/>
        <w:rPr>
          <w:rFonts w:ascii="Arial" w:cs="Arial" w:eastAsia="Arial" w:hAnsi="Arial"/>
          <w:sz w:val="16"/>
          <w:szCs w:val="16"/>
          <w:color w:val="auto"/>
        </w:rPr>
      </w:pPr>
    </w:p>
    <w:p>
      <w:pPr>
        <w:ind w:left="1260" w:right="140" w:hanging="318"/>
        <w:spacing w:after="0" w:line="256" w:lineRule="auto"/>
        <w:tabs>
          <w:tab w:leader="none" w:pos="1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78" w:lineRule="exact"/>
        <w:rPr>
          <w:rFonts w:ascii="Arial" w:cs="Arial" w:eastAsia="Arial" w:hAnsi="Arial"/>
          <w:sz w:val="16"/>
          <w:szCs w:val="16"/>
          <w:color w:val="auto"/>
        </w:rPr>
      </w:pPr>
    </w:p>
    <w:p>
      <w:pPr>
        <w:ind w:left="1260" w:hanging="318"/>
        <w:spacing w:after="0" w:line="261" w:lineRule="auto"/>
        <w:tabs>
          <w:tab w:leader="none" w:pos="1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 and</w:t>
      </w:r>
    </w:p>
    <w:p>
      <w:pPr>
        <w:spacing w:after="0" w:line="88" w:lineRule="exact"/>
        <w:rPr>
          <w:rFonts w:ascii="Arial" w:cs="Arial" w:eastAsia="Arial" w:hAnsi="Arial"/>
          <w:sz w:val="16"/>
          <w:szCs w:val="16"/>
          <w:color w:val="auto"/>
        </w:rPr>
      </w:pPr>
    </w:p>
    <w:p>
      <w:pPr>
        <w:ind w:left="1260" w:right="200" w:hanging="318"/>
        <w:spacing w:after="0" w:line="256" w:lineRule="auto"/>
        <w:tabs>
          <w:tab w:leader="none" w:pos="1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by Department of Labor Regulation Section 2560.503-1(m)(8).</w:t>
      </w:r>
    </w:p>
    <w:p>
      <w:pPr>
        <w:spacing w:after="0" w:line="160" w:lineRule="exact"/>
        <w:rPr>
          <w:sz w:val="20"/>
          <w:szCs w:val="20"/>
          <w:color w:val="auto"/>
        </w:rPr>
      </w:pPr>
    </w:p>
    <w:p>
      <w:pPr>
        <w:ind w:left="540" w:right="220" w:hanging="637"/>
        <w:spacing w:after="0" w:line="256" w:lineRule="auto"/>
        <w:tabs>
          <w:tab w:leader="none" w:pos="52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REVIEW OF A DENIED CLAIM. On or before sixty (60) days after receiving a notice from the Committee that a claim has been denied, in whole or in part, (180 days in the case of a Disability claim) a Claimant (or the Claimant’s duly authorized representative) may file with the Company a written request for a review of the denial of the claim. The Claimant (or the Claimant’s duly authorized representative):</w:t>
      </w:r>
    </w:p>
    <w:p>
      <w:pPr>
        <w:spacing w:after="0" w:line="133" w:lineRule="exact"/>
        <w:rPr>
          <w:sz w:val="20"/>
          <w:szCs w:val="20"/>
          <w:color w:val="auto"/>
        </w:rPr>
      </w:pPr>
    </w:p>
    <w:p>
      <w:pPr>
        <w:ind w:left="1180" w:right="440" w:hanging="632"/>
        <w:spacing w:after="0" w:line="276" w:lineRule="auto"/>
        <w:tabs>
          <w:tab w:leader="none" w:pos="1160" w:val="left"/>
        </w:tabs>
        <w:rPr>
          <w:sz w:val="20"/>
          <w:szCs w:val="20"/>
          <w:color w:val="auto"/>
        </w:rPr>
      </w:pPr>
      <w:r>
        <w:rPr>
          <w:rFonts w:ascii="Arial" w:cs="Arial" w:eastAsia="Arial" w:hAnsi="Arial"/>
          <w:sz w:val="16"/>
          <w:szCs w:val="16"/>
          <w:color w:val="auto"/>
        </w:rPr>
        <w:t>10.3.1</w:t>
        <w:tab/>
        <w:t>may, upon request and free of charge, have reasonable access to, and copies of, all documents, records and other information relevant to the claim for benefits;</w:t>
      </w:r>
    </w:p>
    <w:p>
      <w:pPr>
        <w:spacing w:after="0" w:line="144"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6"/>
          <w:szCs w:val="16"/>
          <w:color w:val="auto"/>
        </w:rPr>
        <w:t>10.3.2</w:t>
        <w:tab/>
        <w:t>may submit written comments or other documents; and/or</w:t>
      </w:r>
    </w:p>
    <w:p>
      <w:pPr>
        <w:spacing w:after="0" w:line="194"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6"/>
          <w:szCs w:val="16"/>
          <w:color w:val="auto"/>
        </w:rPr>
        <w:t>10.3.3</w:t>
        <w:tab/>
        <w:t>may request a hearing, which the Company, in its sole discretion, may grant.</w:t>
      </w:r>
    </w:p>
    <w:p>
      <w:pPr>
        <w:spacing w:after="0" w:line="181" w:lineRule="exact"/>
        <w:rPr>
          <w:sz w:val="20"/>
          <w:szCs w:val="20"/>
          <w:color w:val="auto"/>
        </w:rPr>
      </w:pPr>
    </w:p>
    <w:p>
      <w:pPr>
        <w:ind w:left="1200" w:right="40" w:hanging="640"/>
        <w:spacing w:after="0" w:line="261" w:lineRule="auto"/>
        <w:tabs>
          <w:tab w:leader="none" w:pos="1180" w:val="left"/>
        </w:tabs>
        <w:rPr>
          <w:sz w:val="20"/>
          <w:szCs w:val="20"/>
          <w:color w:val="auto"/>
        </w:rPr>
      </w:pPr>
      <w:r>
        <w:rPr>
          <w:rFonts w:ascii="Arial" w:cs="Arial" w:eastAsia="Arial" w:hAnsi="Arial"/>
          <w:sz w:val="16"/>
          <w:szCs w:val="16"/>
          <w:color w:val="auto"/>
        </w:rPr>
        <w:t>10.3.4</w:t>
        <w:tab/>
        <w:t>If the initial claim is for disability benefits, and the claim requires an independent determination by the Committee of a Participant’s Disability status, and the Committee denies the claim, in whole or in part, the Claimant shall have the opportunity for a full and fair review by the Committee of the denial, as follows:</w:t>
      </w:r>
    </w:p>
    <w:p>
      <w:pPr>
        <w:spacing w:after="0" w:line="156" w:lineRule="exact"/>
        <w:rPr>
          <w:sz w:val="20"/>
          <w:szCs w:val="20"/>
          <w:color w:val="auto"/>
        </w:rPr>
      </w:pPr>
    </w:p>
    <w:p>
      <w:pPr>
        <w:ind w:left="1200" w:firstLine="648"/>
        <w:spacing w:after="0" w:line="253" w:lineRule="auto"/>
        <w:rPr>
          <w:sz w:val="20"/>
          <w:szCs w:val="20"/>
          <w:color w:val="auto"/>
        </w:rPr>
      </w:pPr>
      <w:r>
        <w:rPr>
          <w:rFonts w:ascii="Arial" w:cs="Arial" w:eastAsia="Arial" w:hAnsi="Arial"/>
          <w:sz w:val="16"/>
          <w:szCs w:val="16"/>
          <w:color w:val="auto"/>
        </w:rPr>
        <w:t>(i)Prior to such review of the denied claim, the Claimant shall be given, free of charge, any new or additional evidence considered, relied upon, or generated by the Plan, insurer, or other person making the benefit determination in connection with the claim, or any new or additional rationale, as soon as possible and sufficiently in advance of the date on which the notice of adverse benefit determination on review is required to be provided, to give the Claimant a reasonable opportunity to respond prior to that date.</w:t>
      </w:r>
    </w:p>
    <w:p>
      <w:pPr>
        <w:spacing w:after="0" w:line="178" w:lineRule="exact"/>
        <w:rPr>
          <w:sz w:val="20"/>
          <w:szCs w:val="20"/>
          <w:color w:val="auto"/>
        </w:rPr>
      </w:pPr>
    </w:p>
    <w:p>
      <w:pPr>
        <w:jc w:val="both"/>
        <w:ind w:left="1200" w:right="160" w:firstLine="648"/>
        <w:spacing w:after="0" w:line="251" w:lineRule="auto"/>
        <w:rPr>
          <w:sz w:val="20"/>
          <w:szCs w:val="20"/>
          <w:color w:val="auto"/>
        </w:rPr>
      </w:pPr>
      <w:r>
        <w:rPr>
          <w:rFonts w:ascii="Arial" w:cs="Arial" w:eastAsia="Arial" w:hAnsi="Arial"/>
          <w:sz w:val="16"/>
          <w:szCs w:val="16"/>
          <w:color w:val="auto"/>
        </w:rPr>
        <w:t>(ii)The Committee shall respond in writing to such Claimant within forty-five (45) days after receiving the request for review. If the Committee determines that special circumstances require additional time for processing the claim, the Committee can extend the response period by an additional forty-five (45) days by notifying the</w:t>
      </w:r>
    </w:p>
    <w:p>
      <w:pPr>
        <w:spacing w:after="0" w:line="2" w:lineRule="exact"/>
        <w:rPr>
          <w:sz w:val="20"/>
          <w:szCs w:val="20"/>
          <w:color w:val="auto"/>
        </w:rPr>
      </w:pPr>
    </w:p>
    <w:p>
      <w:pPr>
        <w:ind w:left="1200" w:right="140"/>
        <w:spacing w:after="0" w:line="276" w:lineRule="auto"/>
        <w:rPr>
          <w:sz w:val="20"/>
          <w:szCs w:val="20"/>
          <w:color w:val="auto"/>
        </w:rPr>
      </w:pPr>
      <w:r>
        <w:rPr>
          <w:rFonts w:ascii="Arial" w:cs="Arial" w:eastAsia="Arial" w:hAnsi="Arial"/>
          <w:sz w:val="16"/>
          <w:szCs w:val="16"/>
          <w:color w:val="auto"/>
        </w:rPr>
        <w:t xml:space="preserve">Claimant in writing, prior to the end of the initial </w:t>
      </w:r>
      <w:r>
        <w:rPr>
          <w:rFonts w:ascii="Arial" w:cs="Arial" w:eastAsia="Arial" w:hAnsi="Arial"/>
          <w:sz w:val="17"/>
          <w:szCs w:val="17"/>
          <w:color w:val="auto"/>
        </w:rPr>
        <w:t>45-day period that an additional period is required. The notice of</w:t>
      </w:r>
      <w:r>
        <w:rPr>
          <w:rFonts w:ascii="Arial" w:cs="Arial" w:eastAsia="Arial" w:hAnsi="Arial"/>
          <w:sz w:val="16"/>
          <w:szCs w:val="16"/>
          <w:color w:val="auto"/>
        </w:rPr>
        <w:t xml:space="preserve"> </w:t>
      </w:r>
      <w:r>
        <w:rPr>
          <w:rFonts w:ascii="Arial" w:cs="Arial" w:eastAsia="Arial" w:hAnsi="Arial"/>
          <w:sz w:val="17"/>
          <w:szCs w:val="17"/>
          <w:color w:val="auto"/>
        </w:rPr>
        <w:t>extension must set forth the special circumstances and the date by which the Committee expects to render its decision.</w:t>
      </w:r>
    </w:p>
    <w:p>
      <w:pPr>
        <w:spacing w:after="0" w:line="151" w:lineRule="exact"/>
        <w:rPr>
          <w:sz w:val="20"/>
          <w:szCs w:val="20"/>
          <w:color w:val="auto"/>
        </w:rPr>
      </w:pPr>
    </w:p>
    <w:p>
      <w:pPr>
        <w:ind w:left="1200" w:right="80" w:firstLine="648"/>
        <w:spacing w:after="0" w:line="253" w:lineRule="auto"/>
        <w:rPr>
          <w:sz w:val="20"/>
          <w:szCs w:val="20"/>
          <w:color w:val="auto"/>
        </w:rPr>
      </w:pPr>
      <w:r>
        <w:rPr>
          <w:rFonts w:ascii="Arial" w:cs="Arial" w:eastAsia="Arial" w:hAnsi="Arial"/>
          <w:sz w:val="16"/>
          <w:szCs w:val="16"/>
          <w:color w:val="auto"/>
        </w:rPr>
        <w:t>(iii)The Claimant shall be given the opportunity to submit issues and written comments to the Committee, as well as to review and receive, without charge, all relevant (as defined in applicable ERISA regulations) documents, records and other information relating to the claim. The reviewer shall take into account all comments, documents, records and other information submitted by the Claimant relating to the claim regardless of whether the information was submitted or considered in the initial benefit determination.</w:t>
      </w:r>
    </w:p>
    <w:p>
      <w:pPr>
        <w:spacing w:after="0" w:line="151" w:lineRule="exact"/>
        <w:rPr>
          <w:sz w:val="20"/>
          <w:szCs w:val="20"/>
          <w:color w:val="auto"/>
        </w:rPr>
      </w:pPr>
    </w:p>
    <w:p>
      <w:pPr>
        <w:ind w:left="1200" w:right="160" w:firstLine="648"/>
        <w:spacing w:after="0" w:line="253" w:lineRule="auto"/>
        <w:rPr>
          <w:sz w:val="20"/>
          <w:szCs w:val="20"/>
          <w:color w:val="auto"/>
        </w:rPr>
      </w:pPr>
      <w:r>
        <w:rPr>
          <w:rFonts w:ascii="Arial" w:cs="Arial" w:eastAsia="Arial" w:hAnsi="Arial"/>
          <w:sz w:val="16"/>
          <w:szCs w:val="16"/>
          <w:color w:val="auto"/>
        </w:rPr>
        <w:t>(iv)In considering the review, the Committee shall take into account all comments, documents, records and other information submitted by the Claimant relating to the claim, without regard to whether such information was submitted or considered in the initial benefit determination. Additional considerations shall be required in the case of a claim for disability benefits. For example, the claim will be reviewed by an individual or committee who did not make the initial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506730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20"/>
          </w:cols>
          <w:pgMar w:left="1240" w:top="804" w:right="1239" w:bottom="1440" w:gutter="0" w:footer="0" w:header="0"/>
        </w:sectPr>
      </w:pPr>
    </w:p>
    <w:bookmarkStart w:id="65" w:name="page66"/>
    <w:bookmarkEnd w:id="65"/>
    <w:p>
      <w:pPr>
        <w:ind w:left="1200" w:right="20"/>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008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7136130" cy="8008620"/>
                    </a:xfrm>
                    <a:prstGeom prst="rect">
                      <a:avLst/>
                    </a:prstGeom>
                    <a:noFill/>
                  </pic:spPr>
                </pic:pic>
              </a:graphicData>
            </a:graphic>
          </wp:anchor>
        </w:drawing>
        <w:t>determination that is subject of the appeal, nor by a subordinate of the individual who made the determination, and the review shall be made without deference to the initial adverse benefit determination. If the initial adverse benefit determination was based in whole or in part on a medical judgment, the Committee will consult with a health care professional with appropriate training and experience in the field of medicine involving the medical judgment. The health care professional who is consulted on appeal will not be the same individual who was consulted during the initial determination or the subordinate of such individual. If the Committee obtained the advice of medical or vocational experts in making the initial adverse benefits determination (regardless of whether the advice was relied upon in making the adverse benefit determination).</w:t>
      </w:r>
    </w:p>
    <w:p>
      <w:pPr>
        <w:spacing w:after="0" w:line="168" w:lineRule="exact"/>
        <w:rPr>
          <w:sz w:val="20"/>
          <w:szCs w:val="20"/>
          <w:color w:val="auto"/>
        </w:rPr>
      </w:pPr>
    </w:p>
    <w:p>
      <w:pPr>
        <w:ind w:left="560" w:hanging="645"/>
        <w:spacing w:after="0" w:line="249" w:lineRule="auto"/>
        <w:tabs>
          <w:tab w:leader="none" w:pos="54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DECISION ON REVIEW. The review committee appointed by the Company shall render a decision on review promptly, and no later than sixty (60) days after the Company receives the Claimant’s written request for a review of the denial of the claim (45 days in the case of a Disability claim). If the Company determines that special circumstances require an extension of time for processing the claim, written notice of the extension shall be furnished to the Claimant prior to the termination of the initial sixty (60) day period. In no event shall such extension exceed a period of sixty (60) days from the end of the initial period (45 days in the case of a Disability claim). The extension notice shall indicate the special circumstances requiring an extension of time and the date by which the Company expects to render the benefit determination. In rendering its decision, the Company shall take into account all comments, documents, records and other information submitted by the Claimant relating to the claim, without regard to whether such information was submitted or considered in the initial benefit determination. In the case of an adverse benefit determination with respect to disability benefits, on the basis of the Committee’s independent determination of the Participant’s disability status, the Committee will provide a notification in a culturally and linguistically appropriate manner (as described in Department of Labor Regulation Section 2560.503-1(o)). The decision must be written in a manner calculated to be understood by the Claimant, and it must contain:</w:t>
      </w:r>
    </w:p>
    <w:p>
      <w:pPr>
        <w:spacing w:after="0" w:line="164"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6"/>
          <w:szCs w:val="16"/>
          <w:color w:val="auto"/>
        </w:rPr>
        <w:t>10.4.1</w:t>
        <w:tab/>
        <w:t>specific reasons for the decision;</w:t>
      </w:r>
    </w:p>
    <w:p>
      <w:pPr>
        <w:spacing w:after="0" w:line="167"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6"/>
          <w:szCs w:val="16"/>
          <w:color w:val="auto"/>
        </w:rPr>
        <w:t>10.4.2</w:t>
        <w:tab/>
        <w:t>specific reference(s) to the pertinent provisions of this Plan upon which the decision was based;</w:t>
      </w:r>
    </w:p>
    <w:p>
      <w:pPr>
        <w:spacing w:after="0" w:line="194" w:lineRule="exact"/>
        <w:rPr>
          <w:sz w:val="20"/>
          <w:szCs w:val="20"/>
          <w:color w:val="auto"/>
        </w:rPr>
      </w:pPr>
    </w:p>
    <w:p>
      <w:pPr>
        <w:jc w:val="both"/>
        <w:ind w:left="1180" w:right="280" w:hanging="630"/>
        <w:spacing w:after="0" w:line="261" w:lineRule="auto"/>
        <w:tabs>
          <w:tab w:leader="none" w:pos="1160" w:val="left"/>
        </w:tabs>
        <w:rPr>
          <w:sz w:val="20"/>
          <w:szCs w:val="20"/>
          <w:color w:val="auto"/>
        </w:rPr>
      </w:pPr>
      <w:r>
        <w:rPr>
          <w:rFonts w:ascii="Arial" w:cs="Arial" w:eastAsia="Arial" w:hAnsi="Arial"/>
          <w:sz w:val="16"/>
          <w:szCs w:val="16"/>
          <w:color w:val="auto"/>
        </w:rPr>
        <w:t>10.4.3</w:t>
        <w:tab/>
        <w:t>a statement that the Claimant is entitled to receive, upon request and free of charge, reasonable access to and copies of, all documents, records and other information relevant (as defined in applicable ERISA regulations) to the Claimant’s claim for benefits; and</w:t>
      </w:r>
    </w:p>
    <w:p>
      <w:pPr>
        <w:spacing w:after="0" w:line="156" w:lineRule="exact"/>
        <w:rPr>
          <w:sz w:val="20"/>
          <w:szCs w:val="20"/>
          <w:color w:val="auto"/>
        </w:rPr>
      </w:pPr>
    </w:p>
    <w:p>
      <w:pPr>
        <w:ind w:left="1200" w:right="1400" w:hanging="643"/>
        <w:spacing w:after="0" w:line="276" w:lineRule="auto"/>
        <w:tabs>
          <w:tab w:leader="none" w:pos="1180" w:val="left"/>
        </w:tabs>
        <w:rPr>
          <w:sz w:val="20"/>
          <w:szCs w:val="20"/>
          <w:color w:val="auto"/>
        </w:rPr>
      </w:pPr>
      <w:r>
        <w:rPr>
          <w:rFonts w:ascii="Arial" w:cs="Arial" w:eastAsia="Arial" w:hAnsi="Arial"/>
          <w:sz w:val="16"/>
          <w:szCs w:val="16"/>
          <w:color w:val="auto"/>
        </w:rPr>
        <w:t>10.4.4</w:t>
        <w:tab/>
        <w:t>a statement describing any voluntary appeal procedures offered by the Plan and the Claimant’s right to obtain the information about such procedures;</w:t>
      </w:r>
    </w:p>
    <w:p>
      <w:pPr>
        <w:spacing w:after="0" w:line="157" w:lineRule="exact"/>
        <w:rPr>
          <w:sz w:val="20"/>
          <w:szCs w:val="20"/>
          <w:color w:val="auto"/>
        </w:rPr>
      </w:pPr>
    </w:p>
    <w:p>
      <w:pPr>
        <w:jc w:val="both"/>
        <w:ind w:left="1180" w:right="120" w:hanging="633"/>
        <w:spacing w:after="0" w:line="261" w:lineRule="auto"/>
        <w:tabs>
          <w:tab w:leader="none" w:pos="1160" w:val="left"/>
        </w:tabs>
        <w:rPr>
          <w:sz w:val="20"/>
          <w:szCs w:val="20"/>
          <w:color w:val="auto"/>
        </w:rPr>
      </w:pPr>
      <w:r>
        <w:rPr>
          <w:rFonts w:ascii="Arial" w:cs="Arial" w:eastAsia="Arial" w:hAnsi="Arial"/>
          <w:sz w:val="16"/>
          <w:szCs w:val="16"/>
          <w:color w:val="auto"/>
        </w:rPr>
        <w:t>10.4.5</w:t>
        <w:tab/>
        <w:t>a statement of the Claimant’s right to bring a civil action under ERISA Section 502(a) which shall describe any applicable contractual limitations period that applies to the Claimant’s right to bring such an action, including the calendar date on which the contractual limitations period expires for the claim;</w:t>
      </w:r>
    </w:p>
    <w:p>
      <w:pPr>
        <w:spacing w:after="0" w:line="169" w:lineRule="exact"/>
        <w:rPr>
          <w:sz w:val="20"/>
          <w:szCs w:val="20"/>
          <w:color w:val="auto"/>
        </w:rPr>
      </w:pPr>
    </w:p>
    <w:p>
      <w:pPr>
        <w:ind w:left="560"/>
        <w:spacing w:after="0"/>
        <w:tabs>
          <w:tab w:leader="none" w:pos="1140" w:val="left"/>
        </w:tabs>
        <w:rPr>
          <w:sz w:val="20"/>
          <w:szCs w:val="20"/>
          <w:color w:val="auto"/>
        </w:rPr>
      </w:pPr>
      <w:r>
        <w:rPr>
          <w:rFonts w:ascii="Arial" w:cs="Arial" w:eastAsia="Arial" w:hAnsi="Arial"/>
          <w:sz w:val="16"/>
          <w:szCs w:val="16"/>
          <w:color w:val="auto"/>
        </w:rPr>
        <w:t>10.4.6</w:t>
        <w:tab/>
        <w:t>a discussion of the decision, including an explanation of the basis for disagreeing with or not following:</w:t>
      </w:r>
    </w:p>
    <w:p>
      <w:pPr>
        <w:spacing w:after="0" w:line="194" w:lineRule="exact"/>
        <w:rPr>
          <w:sz w:val="20"/>
          <w:szCs w:val="20"/>
          <w:color w:val="auto"/>
        </w:rPr>
      </w:pPr>
    </w:p>
    <w:p>
      <w:pPr>
        <w:ind w:left="1200" w:right="640" w:firstLine="1"/>
        <w:spacing w:after="0" w:line="276" w:lineRule="auto"/>
        <w:tabs>
          <w:tab w:leader="none" w:pos="1521"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views presented by the Claimant of health care professionals treating the Claimant and vocational professionals who evaluated the Claimant;</w:t>
      </w:r>
    </w:p>
    <w:p>
      <w:pPr>
        <w:spacing w:after="0" w:line="116" w:lineRule="exact"/>
        <w:rPr>
          <w:rFonts w:ascii="Arial" w:cs="Arial" w:eastAsia="Arial" w:hAnsi="Arial"/>
          <w:sz w:val="16"/>
          <w:szCs w:val="16"/>
          <w:color w:val="auto"/>
        </w:rPr>
      </w:pPr>
    </w:p>
    <w:p>
      <w:pPr>
        <w:ind w:left="1200" w:right="200" w:firstLine="1"/>
        <w:spacing w:after="0" w:line="261" w:lineRule="auto"/>
        <w:tabs>
          <w:tab w:leader="none" w:pos="153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155" w:lineRule="exact"/>
        <w:rPr>
          <w:rFonts w:ascii="Arial" w:cs="Arial" w:eastAsia="Arial" w:hAnsi="Arial"/>
          <w:sz w:val="16"/>
          <w:szCs w:val="16"/>
          <w:color w:val="auto"/>
        </w:rPr>
      </w:pPr>
    </w:p>
    <w:p>
      <w:pPr>
        <w:ind w:left="1200" w:right="440" w:firstLine="1"/>
        <w:spacing w:after="0" w:line="276" w:lineRule="auto"/>
        <w:tabs>
          <w:tab w:leader="none" w:pos="1518"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disability determination regarding the Claimant presented by the Claimant made by the Social Security Administration.</w:t>
      </w:r>
    </w:p>
    <w:p>
      <w:pPr>
        <w:spacing w:after="0" w:line="144" w:lineRule="exact"/>
        <w:rPr>
          <w:sz w:val="20"/>
          <w:szCs w:val="20"/>
          <w:color w:val="auto"/>
        </w:rPr>
      </w:pPr>
    </w:p>
    <w:p>
      <w:pPr>
        <w:ind w:left="1180" w:right="220" w:hanging="634"/>
        <w:spacing w:after="0" w:line="256" w:lineRule="auto"/>
        <w:tabs>
          <w:tab w:leader="none" w:pos="1160" w:val="left"/>
        </w:tabs>
        <w:rPr>
          <w:sz w:val="20"/>
          <w:szCs w:val="20"/>
          <w:color w:val="auto"/>
        </w:rPr>
      </w:pPr>
      <w:r>
        <w:rPr>
          <w:rFonts w:ascii="Arial" w:cs="Arial" w:eastAsia="Arial" w:hAnsi="Arial"/>
          <w:sz w:val="16"/>
          <w:szCs w:val="16"/>
          <w:color w:val="auto"/>
        </w:rPr>
        <w:t>10.4.7</w:t>
        <w:tab/>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 and</w:t>
      </w:r>
    </w:p>
    <w:p>
      <w:pPr>
        <w:spacing w:after="0" w:line="146" w:lineRule="exact"/>
        <w:rPr>
          <w:sz w:val="20"/>
          <w:szCs w:val="20"/>
          <w:color w:val="auto"/>
        </w:rPr>
      </w:pPr>
    </w:p>
    <w:p>
      <w:pPr>
        <w:jc w:val="both"/>
        <w:ind w:left="1200" w:right="60" w:hanging="645"/>
        <w:spacing w:after="0" w:line="261" w:lineRule="auto"/>
        <w:tabs>
          <w:tab w:leader="none" w:pos="1180" w:val="left"/>
        </w:tabs>
        <w:rPr>
          <w:sz w:val="20"/>
          <w:szCs w:val="20"/>
          <w:color w:val="auto"/>
        </w:rPr>
      </w:pPr>
      <w:r>
        <w:rPr>
          <w:rFonts w:ascii="Arial" w:cs="Arial" w:eastAsia="Arial" w:hAnsi="Arial"/>
          <w:sz w:val="16"/>
          <w:szCs w:val="16"/>
          <w:color w:val="auto"/>
        </w:rPr>
        <w:t>10.4.8</w:t>
        <w:tab/>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515620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20"/>
          </w:cols>
          <w:pgMar w:left="1240" w:top="710" w:right="1239" w:bottom="1440" w:gutter="0" w:footer="0" w:header="0"/>
        </w:sectPr>
      </w:pPr>
    </w:p>
    <w:bookmarkStart w:id="66" w:name="page67"/>
    <w:bookmarkEnd w:id="66"/>
    <w:p>
      <w:pPr>
        <w:ind w:left="600" w:right="80" w:hanging="647"/>
        <w:spacing w:after="0" w:line="249" w:lineRule="auto"/>
        <w:tabs>
          <w:tab w:leader="none" w:pos="58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5717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7136130" cy="7571740"/>
                    </a:xfrm>
                    <a:prstGeom prst="rect">
                      <a:avLst/>
                    </a:prstGeom>
                    <a:noFill/>
                  </pic:spPr>
                </pic:pic>
              </a:graphicData>
            </a:graphic>
          </wp:anchor>
        </w:drawing>
        <w:t>10.5</w:t>
      </w:r>
      <w:r>
        <w:rPr>
          <w:sz w:val="20"/>
          <w:szCs w:val="20"/>
          <w:color w:val="auto"/>
        </w:rPr>
        <w:tab/>
      </w:r>
      <w:r>
        <w:rPr>
          <w:rFonts w:ascii="Arial" w:cs="Arial" w:eastAsia="Arial" w:hAnsi="Arial"/>
          <w:sz w:val="16"/>
          <w:szCs w:val="16"/>
          <w:color w:val="auto"/>
        </w:rPr>
        <w:t>FAILURE OF PLAN TO FOLLOW PROCEDURES. In the case of a claim for Disability benefits, if the Plan fails to strictly adhere to all the requirements of this claims procedure with respect to a disability claim, the Claimant is deemed to have exhausted the administrative remedies available under the Plan, and shall be entitled to pursue any available remedies under ERISA Section 502(a) on the basis that the Plan has failed to provide a reasonable claims procedure that would yield a decision on the merits of the claim, except where the violation was: (a) deminimis; (b) non-prejudicial; (c) attributable to good cause or matters beyond the Plan’s control; (d) in the context of an ongoing good-faith exchange of information; and</w:t>
      </w:r>
    </w:p>
    <w:p>
      <w:pPr>
        <w:spacing w:after="0" w:line="1" w:lineRule="exact"/>
        <w:rPr>
          <w:sz w:val="20"/>
          <w:szCs w:val="20"/>
          <w:color w:val="auto"/>
        </w:rPr>
      </w:pPr>
    </w:p>
    <w:p>
      <w:pPr>
        <w:ind w:left="600" w:hanging="8"/>
        <w:spacing w:after="0" w:line="249" w:lineRule="auto"/>
        <w:tabs>
          <w:tab w:leader="none" w:pos="8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not reflective of a pattern or practice of noncompliance. The Claimant may request a written explanation of the violation from the Plan, and the Plan must provide such explanation within ten (10) days, including a specific description of its basis, if any, for asserting that the violation should not cause the administrative remedies to be deemed exhausted. If a court rejects the Claimant’s request for immediate review on the basis that the Plan met the standards for the exception, the claim shall be considered as re-filed on appeal upon the Plan’s receipt of the decision of the court. Within a reasonable time after the receipt of the decision, the Plan shall provide the claimant with notice of the resubmission.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11 MISCELLANEOUS</w:t>
      </w:r>
    </w:p>
    <w:p>
      <w:pPr>
        <w:spacing w:after="0" w:line="194" w:lineRule="exact"/>
        <w:rPr>
          <w:sz w:val="20"/>
          <w:szCs w:val="20"/>
          <w:color w:val="auto"/>
        </w:rPr>
      </w:pPr>
    </w:p>
    <w:p>
      <w:pPr>
        <w:ind w:left="580" w:right="100" w:hanging="639"/>
        <w:spacing w:after="0" w:line="249" w:lineRule="auto"/>
        <w:tabs>
          <w:tab w:leader="none" w:pos="560"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6"/>
          <w:szCs w:val="16"/>
          <w:color w:val="auto"/>
        </w:rPr>
        <w:t>TRUST. Except as set forth below, nothing contained in this Plan, nor any action taken pursuant to its provisions by any person, shall create, or be construed to create, a trust of any kind, or a fiduciary relationship between the Company and any other person. Despite the foregoing, if the Company, pursuant to the Adoption Agreement or otherwise, elects to establish a grantor trust for the purpose of holding any assets intended to fund the payment of any benefits under this Plan, the Company shall have no obligation to make any contributions or deposits into such trust and all assets of such trust shall remain subject to the claims of the Company's creditors generally in the event of any insolvency or bankruptcy of the Company, and except as permitted under applicable Section 409A Requirements, no such assets shall be located outside of the United States of America. No trust or restriction shall be imposed on any assets intended to fund the payment of any benefits under this Plan as a result of any change in Company's financial health. The creation of any trust shall not relieve the Company of its obligations under this Plan.</w:t>
      </w:r>
    </w:p>
    <w:p>
      <w:pPr>
        <w:spacing w:after="0" w:line="170" w:lineRule="exact"/>
        <w:rPr>
          <w:sz w:val="20"/>
          <w:szCs w:val="20"/>
          <w:color w:val="auto"/>
        </w:rPr>
      </w:pPr>
    </w:p>
    <w:p>
      <w:pPr>
        <w:ind w:left="600" w:right="40" w:hanging="647"/>
        <w:spacing w:after="0" w:line="251" w:lineRule="auto"/>
        <w:tabs>
          <w:tab w:leader="none" w:pos="58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6"/>
          <w:szCs w:val="16"/>
          <w:color w:val="auto"/>
        </w:rPr>
        <w:t>NO RIGHT TO COMPANY ASSETS UNSECURED CLAIM. Payments to any Participant or Beneficiary hereunder shall be made from assets which shall continue, for all purposes, to be part of the general, unrestricted assets of the Company. No person shall have any interest in any such asset by virtue of any provision of this Plan. The Company's obligation hereunder shall be an unfunded and unsecured promise to pay money in the future. To the extent that any person acquires a right to receive payments from the Company under the provisions hereof, such right shall be no greater than the right of any unsecured general creditor of the Company; no such person shall have or acquire any legal or equitable right, interest or claim in or to any property or assets of the Company.</w:t>
      </w:r>
    </w:p>
    <w:p>
      <w:pPr>
        <w:spacing w:after="0" w:line="179" w:lineRule="exact"/>
        <w:rPr>
          <w:sz w:val="20"/>
          <w:szCs w:val="20"/>
          <w:color w:val="auto"/>
        </w:rPr>
      </w:pPr>
    </w:p>
    <w:p>
      <w:pPr>
        <w:ind w:left="600" w:right="40"/>
        <w:spacing w:after="0" w:line="253" w:lineRule="auto"/>
        <w:rPr>
          <w:sz w:val="20"/>
          <w:szCs w:val="20"/>
          <w:color w:val="auto"/>
        </w:rPr>
      </w:pPr>
      <w:r>
        <w:rPr>
          <w:rFonts w:ascii="Arial" w:cs="Arial" w:eastAsia="Arial" w:hAnsi="Arial"/>
          <w:sz w:val="16"/>
          <w:szCs w:val="16"/>
          <w:color w:val="auto"/>
        </w:rPr>
        <w:t>In the event that, in its discretion, the Company purchases an insurance policy or policies insuring the life of a Participant or any other property, to allow the Company to recover or meet the cost of providing benefits, in whole or in part, hereunder, no Participant or Beneficiary shall have any rights whatsoever therein or in the proceeds therefrom. The Company shall be the sole owner and beneficiary of any such insurance policy or property and shall possess and may exercise all incidents of ownership therein.</w:t>
      </w:r>
    </w:p>
    <w:p>
      <w:pPr>
        <w:spacing w:after="0" w:line="164" w:lineRule="exact"/>
        <w:rPr>
          <w:sz w:val="20"/>
          <w:szCs w:val="20"/>
          <w:color w:val="auto"/>
        </w:rPr>
      </w:pPr>
    </w:p>
    <w:p>
      <w:pPr>
        <w:ind w:left="580" w:right="580" w:hanging="641"/>
        <w:spacing w:after="0" w:line="276" w:lineRule="auto"/>
        <w:tabs>
          <w:tab w:leader="none" w:pos="56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6"/>
          <w:szCs w:val="16"/>
          <w:color w:val="auto"/>
        </w:rPr>
        <w:t>CAPTIONS. The captions of the articles, sections and paragraphs of this Plan are for convenience only and shall not control or affect the meaning or construction of any of its provisions.</w:t>
      </w:r>
    </w:p>
    <w:p>
      <w:pPr>
        <w:spacing w:after="0" w:line="144" w:lineRule="exact"/>
        <w:rPr>
          <w:sz w:val="20"/>
          <w:szCs w:val="20"/>
          <w:color w:val="auto"/>
        </w:rPr>
      </w:pPr>
    </w:p>
    <w:p>
      <w:pPr>
        <w:ind w:left="580" w:right="120" w:hanging="641"/>
        <w:spacing w:after="0" w:line="256" w:lineRule="auto"/>
        <w:tabs>
          <w:tab w:leader="none" w:pos="560"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6"/>
          <w:szCs w:val="16"/>
          <w:color w:val="auto"/>
        </w:rPr>
        <w:t>FURNISHING INFORMATION. Each Participant and his or her Beneficiary(ies) shall cooperate with the Committee and the Record Keeper by furnishing any and all information requested by the Committee or the Record Keeper and take such other actions as may be requested in order to facilitate the administration of the Plan and the payments of benefits hereunder, including but not limited to taking such physical examinations as the Committee may deem necessary.</w:t>
      </w:r>
    </w:p>
    <w:p>
      <w:pPr>
        <w:spacing w:after="0" w:line="160" w:lineRule="exact"/>
        <w:rPr>
          <w:sz w:val="20"/>
          <w:szCs w:val="20"/>
          <w:color w:val="auto"/>
        </w:rPr>
      </w:pPr>
    </w:p>
    <w:p>
      <w:pPr>
        <w:ind w:left="580" w:right="240" w:hanging="633"/>
        <w:spacing w:after="0" w:line="256" w:lineRule="auto"/>
        <w:tabs>
          <w:tab w:leader="none" w:pos="560"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6"/>
          <w:szCs w:val="16"/>
          <w:color w:val="auto"/>
        </w:rPr>
        <w:t>NO CONTRACT OF EMPLOYMENT. Nothing contained herein shall be construed to be a contract of employment for any term of years, nor as conferring upon any Participant the right to continue to be employed by the Company or any Affiliate in his or her present capacity or in any capacity. It is expressly understood that this Plan relates to the payment of deferred compensation for each Participant's services, and is not intended to be an employment contract.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506730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00"/>
          </w:cols>
          <w:pgMar w:left="1200" w:top="899" w:right="1199" w:bottom="1440" w:gutter="0" w:footer="0" w:header="0"/>
        </w:sectPr>
      </w:pPr>
    </w:p>
    <w:bookmarkStart w:id="67" w:name="page68"/>
    <w:bookmarkEnd w:id="67"/>
    <w:p>
      <w:pPr>
        <w:ind w:left="600" w:right="160" w:hanging="639"/>
        <w:spacing w:after="0" w:line="253" w:lineRule="auto"/>
        <w:tabs>
          <w:tab w:leader="none" w:pos="58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8974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7136130" cy="7897495"/>
                    </a:xfrm>
                    <a:prstGeom prst="rect">
                      <a:avLst/>
                    </a:prstGeom>
                    <a:noFill/>
                  </pic:spPr>
                </pic:pic>
              </a:graphicData>
            </a:graphic>
          </wp:anchor>
        </w:drawing>
        <w:t>11.6</w:t>
      </w:r>
      <w:r>
        <w:rPr>
          <w:sz w:val="20"/>
          <w:szCs w:val="20"/>
          <w:color w:val="auto"/>
        </w:rPr>
        <w:tab/>
      </w:r>
      <w:r>
        <w:rPr>
          <w:rFonts w:ascii="Arial" w:cs="Arial" w:eastAsia="Arial" w:hAnsi="Arial"/>
          <w:sz w:val="16"/>
          <w:szCs w:val="16"/>
          <w:color w:val="auto"/>
        </w:rPr>
        <w:t>BENEFITS NOT TRANSFERABLE. No Participant or beneficiary under this Plan shall have any power or right to transfer, assign, anticipate, hypothecate or otherwise encumber any part or all of the amounts payable hereunder. No such amounts shall be subject to seizure by any creditor of any such Participant or Beneficiary, by a proceeding at law or in equity, nor shall such amounts be transferable by operation of law in the event of bankruptcy, insolvency or death of the Participant or Beneficiary. Any such attempted assignment shall be void.</w:t>
      </w:r>
    </w:p>
    <w:p>
      <w:pPr>
        <w:spacing w:after="0" w:line="164" w:lineRule="exact"/>
        <w:rPr>
          <w:sz w:val="20"/>
          <w:szCs w:val="20"/>
          <w:color w:val="auto"/>
        </w:rPr>
      </w:pPr>
    </w:p>
    <w:p>
      <w:pPr>
        <w:jc w:val="both"/>
        <w:ind w:left="600" w:right="60"/>
        <w:spacing w:after="0" w:line="261" w:lineRule="auto"/>
        <w:rPr>
          <w:sz w:val="20"/>
          <w:szCs w:val="20"/>
          <w:color w:val="auto"/>
        </w:rPr>
      </w:pPr>
      <w:r>
        <w:rPr>
          <w:rFonts w:ascii="Arial" w:cs="Arial" w:eastAsia="Arial" w:hAnsi="Arial"/>
          <w:sz w:val="16"/>
          <w:szCs w:val="16"/>
          <w:color w:val="auto"/>
        </w:rPr>
        <w:t>The interest in the benefits hereunder of a spouse of a Participant who predeceases the Participant shall automatically pass to the Participant and shall not be transferable by such spouse in any manner, including but not limited to such spouse's will, nor shall such interest pass under the laws of intestate succession.</w:t>
      </w:r>
    </w:p>
    <w:p>
      <w:pPr>
        <w:spacing w:after="0" w:line="156" w:lineRule="exact"/>
        <w:rPr>
          <w:sz w:val="20"/>
          <w:szCs w:val="20"/>
          <w:color w:val="auto"/>
        </w:rPr>
      </w:pPr>
    </w:p>
    <w:p>
      <w:pPr>
        <w:ind w:left="600"/>
        <w:spacing w:after="0" w:line="250" w:lineRule="auto"/>
        <w:rPr>
          <w:sz w:val="20"/>
          <w:szCs w:val="20"/>
          <w:color w:val="auto"/>
        </w:rPr>
      </w:pPr>
      <w:r>
        <w:rPr>
          <w:rFonts w:ascii="Arial" w:cs="Arial" w:eastAsia="Arial" w:hAnsi="Arial"/>
          <w:sz w:val="16"/>
          <w:szCs w:val="16"/>
          <w:color w:val="auto"/>
        </w:rPr>
        <w:t>Notwithstanding the foregoing, to the extent necessary to comply with the terms of a "domestic relations order" (as defined in §414(p)(1)(B) of the Code) the Committee may cause all or a portion of a Participant's Account balance to be segregated into a sub-Account for the benefit of the Participant's spouse, child or other dependent identified in such order as the alternative payee and give such alternative payee (or their legal representative if such alternative payee is incompetent or a minor), as applicable (i) the same Notional Investment alternatives as are available to the Participant under the Plan with respect to such sub-Account until distributed, and (ii) the same distribution form and timing options as are available to the Participant under the Plan or an immediate lump sum payment, all as directed by the domestic relations order and subject to compliance with Code Section 409A Requirements.</w:t>
      </w:r>
    </w:p>
    <w:p>
      <w:pPr>
        <w:spacing w:after="0" w:line="168" w:lineRule="exact"/>
        <w:rPr>
          <w:sz w:val="20"/>
          <w:szCs w:val="20"/>
          <w:color w:val="auto"/>
        </w:rPr>
      </w:pPr>
    </w:p>
    <w:p>
      <w:pPr>
        <w:ind w:left="600" w:right="800" w:hanging="639"/>
        <w:spacing w:after="0" w:line="276" w:lineRule="auto"/>
        <w:tabs>
          <w:tab w:leader="none" w:pos="580" w:val="left"/>
        </w:tabs>
        <w:rPr>
          <w:sz w:val="20"/>
          <w:szCs w:val="20"/>
          <w:color w:val="auto"/>
        </w:rPr>
      </w:pPr>
      <w:r>
        <w:rPr>
          <w:rFonts w:ascii="Arial" w:cs="Arial" w:eastAsia="Arial" w:hAnsi="Arial"/>
          <w:sz w:val="16"/>
          <w:szCs w:val="16"/>
          <w:color w:val="auto"/>
        </w:rPr>
        <w:t>11.7</w:t>
      </w:r>
      <w:r>
        <w:rPr>
          <w:sz w:val="20"/>
          <w:szCs w:val="20"/>
          <w:color w:val="auto"/>
        </w:rPr>
        <w:tab/>
      </w:r>
      <w:r>
        <w:rPr>
          <w:rFonts w:ascii="Arial" w:cs="Arial" w:eastAsia="Arial" w:hAnsi="Arial"/>
          <w:sz w:val="16"/>
          <w:szCs w:val="16"/>
          <w:color w:val="auto"/>
        </w:rPr>
        <w:t>SUCCESSORS. The provisions of this Plan shall bind and inure to the benefit of the Participant's employer and its successors and assigns and the Participant and the Participant's designated Beneficiaries.</w:t>
      </w:r>
    </w:p>
    <w:p>
      <w:pPr>
        <w:spacing w:after="0" w:line="144" w:lineRule="exact"/>
        <w:rPr>
          <w:sz w:val="20"/>
          <w:szCs w:val="20"/>
          <w:color w:val="auto"/>
        </w:rPr>
      </w:pPr>
    </w:p>
    <w:p>
      <w:pPr>
        <w:ind w:left="600" w:right="200" w:hanging="641"/>
        <w:spacing w:after="0" w:line="253" w:lineRule="auto"/>
        <w:tabs>
          <w:tab w:leader="none" w:pos="580"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6"/>
          <w:szCs w:val="16"/>
          <w:color w:val="auto"/>
        </w:rPr>
        <w:t xml:space="preserve">AMENDMENT AND TERMINATION. To the extent consistent with Section 409A Requirements, this Plan may be amended or terminated by the Company at any time, without notice to or consent of any person, pursuant to resolutions adopted by the Company. Any such amendment or termination shall take effect as of the date specified therein and, to the extent permitted by law and Section 409A Requirements, may have retroactive effect. However, no such amendment or termination shall reduce the vested balance then credited to the Participant's Account Balance under </w:t>
      </w:r>
      <w:r>
        <w:rPr>
          <w:rFonts w:ascii="Arial" w:cs="Arial" w:eastAsia="Arial" w:hAnsi="Arial"/>
          <w:sz w:val="16"/>
          <w:szCs w:val="16"/>
          <w:u w:val="single" w:color="auto"/>
          <w:color w:val="auto"/>
        </w:rPr>
        <w:t>Article 4</w:t>
      </w:r>
      <w:r>
        <w:rPr>
          <w:rFonts w:ascii="Arial" w:cs="Arial" w:eastAsia="Arial" w:hAnsi="Arial"/>
          <w:sz w:val="16"/>
          <w:szCs w:val="16"/>
          <w:color w:val="auto"/>
        </w:rPr>
        <w:t>.</w:t>
      </w:r>
    </w:p>
    <w:p>
      <w:pPr>
        <w:spacing w:after="0" w:line="164" w:lineRule="exact"/>
        <w:rPr>
          <w:sz w:val="20"/>
          <w:szCs w:val="20"/>
          <w:color w:val="auto"/>
        </w:rPr>
      </w:pPr>
    </w:p>
    <w:p>
      <w:pPr>
        <w:ind w:left="600" w:right="80"/>
        <w:spacing w:after="0" w:line="251" w:lineRule="auto"/>
        <w:rPr>
          <w:sz w:val="20"/>
          <w:szCs w:val="20"/>
          <w:color w:val="auto"/>
        </w:rPr>
      </w:pPr>
      <w:r>
        <w:rPr>
          <w:rFonts w:ascii="Arial" w:cs="Arial" w:eastAsia="Arial" w:hAnsi="Arial"/>
          <w:sz w:val="16"/>
          <w:szCs w:val="16"/>
          <w:color w:val="auto"/>
        </w:rPr>
        <w:t>The Company and each participating Employer reserve the right to terminate its participation in this Plan. Except as otherwise provided below, the termination of the Plan shall not affect the distribution provisions in effect for the Accounts maintained under the Plan, and all amounts deferred prior to the date of any such Plan termination shall continue to become due and payable in accordance with the distribution provisions in effect immediately prior to such Plan termination. Payment of the Account Balances may be accelerated upon Plan termination and liquidation of the Plan only in compliance with all Section 409A Requirements as then in effect. Section 409A regulations currently permits acceleration of distributions under the following circumstances:</w:t>
      </w:r>
    </w:p>
    <w:p>
      <w:pPr>
        <w:spacing w:after="0" w:line="179" w:lineRule="exact"/>
        <w:rPr>
          <w:sz w:val="20"/>
          <w:szCs w:val="20"/>
          <w:color w:val="auto"/>
        </w:rPr>
      </w:pPr>
    </w:p>
    <w:p>
      <w:pPr>
        <w:ind w:left="1260" w:right="240" w:hanging="637"/>
        <w:spacing w:after="0" w:line="261" w:lineRule="auto"/>
        <w:tabs>
          <w:tab w:leader="none" w:pos="1240" w:val="left"/>
        </w:tabs>
        <w:rPr>
          <w:sz w:val="20"/>
          <w:szCs w:val="20"/>
          <w:color w:val="auto"/>
        </w:rPr>
      </w:pPr>
      <w:r>
        <w:rPr>
          <w:rFonts w:ascii="Arial" w:cs="Arial" w:eastAsia="Arial" w:hAnsi="Arial"/>
          <w:sz w:val="16"/>
          <w:szCs w:val="16"/>
          <w:color w:val="auto"/>
        </w:rPr>
        <w:t>11.8.1</w:t>
        <w:tab/>
        <w:t>Dissolution/Bankruptcy. The Plan may be terminated and liquidated within 12 months of a corporate dissolution taxed under Code §331, or with the approval of a bankruptcy court pursuant to 11 U.S.C. §503(b)(1)(A), provided that the amounts deferred under the Plan are included in the Participants’ gross incomes in the latest of:</w:t>
      </w:r>
    </w:p>
    <w:p>
      <w:pPr>
        <w:spacing w:after="0" w:line="156" w:lineRule="exact"/>
        <w:rPr>
          <w:sz w:val="20"/>
          <w:szCs w:val="20"/>
          <w:color w:val="auto"/>
        </w:rPr>
      </w:pPr>
    </w:p>
    <w:p>
      <w:pPr>
        <w:ind w:left="1600" w:hanging="339"/>
        <w:spacing w:after="0"/>
        <w:tabs>
          <w:tab w:leader="none" w:pos="16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calendar year in which the plan termination and liquidation occurs</w:t>
      </w:r>
    </w:p>
    <w:p>
      <w:pPr>
        <w:spacing w:after="0" w:line="194" w:lineRule="exact"/>
        <w:rPr>
          <w:rFonts w:ascii="Arial" w:cs="Arial" w:eastAsia="Arial" w:hAnsi="Arial"/>
          <w:sz w:val="16"/>
          <w:szCs w:val="16"/>
          <w:color w:val="auto"/>
        </w:rPr>
      </w:pPr>
    </w:p>
    <w:p>
      <w:pPr>
        <w:ind w:left="1600" w:hanging="339"/>
        <w:spacing w:after="0"/>
        <w:tabs>
          <w:tab w:leader="none" w:pos="16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calendar year in which the amount is no longer subject to a substantial risk of forfeiture; or</w:t>
      </w:r>
    </w:p>
    <w:p>
      <w:pPr>
        <w:spacing w:after="0" w:line="167" w:lineRule="exact"/>
        <w:rPr>
          <w:rFonts w:ascii="Arial" w:cs="Arial" w:eastAsia="Arial" w:hAnsi="Arial"/>
          <w:sz w:val="16"/>
          <w:szCs w:val="16"/>
          <w:color w:val="auto"/>
        </w:rPr>
      </w:pPr>
    </w:p>
    <w:p>
      <w:pPr>
        <w:ind w:left="1600" w:hanging="339"/>
        <w:spacing w:after="0"/>
        <w:tabs>
          <w:tab w:leader="none" w:pos="16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first calendar year in which the payment is administratively practicable.</w:t>
      </w:r>
    </w:p>
    <w:p>
      <w:pPr>
        <w:spacing w:after="0" w:line="194" w:lineRule="exact"/>
        <w:rPr>
          <w:sz w:val="20"/>
          <w:szCs w:val="20"/>
          <w:color w:val="auto"/>
        </w:rPr>
      </w:pPr>
    </w:p>
    <w:p>
      <w:pPr>
        <w:ind w:left="1260" w:right="20" w:hanging="645"/>
        <w:spacing w:after="0" w:line="249" w:lineRule="auto"/>
        <w:tabs>
          <w:tab w:leader="none" w:pos="1240" w:val="left"/>
        </w:tabs>
        <w:rPr>
          <w:sz w:val="20"/>
          <w:szCs w:val="20"/>
          <w:color w:val="auto"/>
        </w:rPr>
      </w:pPr>
      <w:r>
        <w:rPr>
          <w:rFonts w:ascii="Arial" w:cs="Arial" w:eastAsia="Arial" w:hAnsi="Arial"/>
          <w:sz w:val="16"/>
          <w:szCs w:val="16"/>
          <w:color w:val="auto"/>
        </w:rPr>
        <w:t>11.8.2</w:t>
        <w:tab/>
        <w:t>Change in Control. The Plan may be terminated and liquidated pursuant to irrevocable action taken by the Company within the 30 days preceding or the 12 months following a change in control event (as defined in Treasury Regulation §1.409A-3(i)(5)). For purposes of this subsection</w:t>
      </w:r>
      <w:r>
        <w:rPr>
          <w:rFonts w:ascii="Arial" w:cs="Arial" w:eastAsia="Arial" w:hAnsi="Arial"/>
          <w:sz w:val="16"/>
          <w:szCs w:val="16"/>
          <w:color w:val="0000FF"/>
        </w:rPr>
        <w:t>,</w:t>
      </w:r>
      <w:r>
        <w:rPr>
          <w:rFonts w:ascii="Arial" w:cs="Arial" w:eastAsia="Arial" w:hAnsi="Arial"/>
          <w:sz w:val="16"/>
          <w:szCs w:val="16"/>
          <w:color w:val="auto"/>
        </w:rPr>
        <w:t xml:space="preserve"> an arrangement will be treated as terminated only if all substantially similar agreements, methods, programs, and other arrangements sponsored by the Company immediately after the time of the change in control event with respect to which deferrals of compensation are treated as having been deferred under a single plan under Treasury Regulation §1.409A-1(c)(2) are terminated and liquidated with respect to each participant that experienced the change in control event, so that under the terms of the termination and liquidation all such participants are required to receive all amounts of compensation deferred under the terminated agreements, methods, programs, and other arrangements within 12 months of the date the Company irrevocably takes all necessary action to terminate and liquidate the agreements, methods, programs, and other arrangements.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506730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180" w:top="710" w:right="1159" w:bottom="1440" w:gutter="0" w:footer="0" w:header="0"/>
        </w:sectPr>
      </w:pPr>
    </w:p>
    <w:bookmarkStart w:id="68" w:name="page69"/>
    <w:bookmarkEnd w:id="68"/>
    <w:p>
      <w:pPr>
        <w:ind w:left="660"/>
        <w:spacing w:after="0"/>
        <w:tabs>
          <w:tab w:leader="none" w:pos="130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37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7136130" cy="6371590"/>
                    </a:xfrm>
                    <a:prstGeom prst="rect">
                      <a:avLst/>
                    </a:prstGeom>
                    <a:noFill/>
                  </pic:spPr>
                </pic:pic>
              </a:graphicData>
            </a:graphic>
          </wp:anchor>
        </w:drawing>
        <w:t>11.8.3</w:t>
        <w:tab/>
        <w:t>Termination of All Plans. The Plan may be terminated and liquidated at any time provided that:</w:t>
      </w:r>
    </w:p>
    <w:p>
      <w:pPr>
        <w:spacing w:after="0" w:line="167" w:lineRule="exact"/>
        <w:rPr>
          <w:sz w:val="20"/>
          <w:szCs w:val="20"/>
          <w:color w:val="auto"/>
        </w:rPr>
      </w:pPr>
    </w:p>
    <w:p>
      <w:pPr>
        <w:ind w:left="1620" w:right="960" w:hanging="319"/>
        <w:spacing w:after="0" w:line="276" w:lineRule="auto"/>
        <w:tabs>
          <w:tab w:leader="none" w:pos="1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termination and liquidation does not occur proximate to a downturn in the financial health of the Company or applicable Participating Employer.</w:t>
      </w:r>
    </w:p>
    <w:p>
      <w:pPr>
        <w:spacing w:after="0" w:line="116" w:lineRule="exact"/>
        <w:rPr>
          <w:rFonts w:ascii="Arial" w:cs="Arial" w:eastAsia="Arial" w:hAnsi="Arial"/>
          <w:sz w:val="16"/>
          <w:szCs w:val="16"/>
          <w:color w:val="auto"/>
        </w:rPr>
      </w:pPr>
    </w:p>
    <w:p>
      <w:pPr>
        <w:ind w:left="1620" w:right="180" w:hanging="319"/>
        <w:spacing w:after="0" w:line="256" w:lineRule="auto"/>
        <w:tabs>
          <w:tab w:leader="none" w:pos="1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agreements, methods, programs, and other arrangements sponsored by the Company that would be aggregated with any terminated and liquidated agreements, methods, programs, and other arrangement under Treasury Regulation §1.409A-1(c) if the same Participant had deferrals of compensation under all of the agreements, methods, programs, and other arrangements that are terminated and liquidated;</w:t>
      </w:r>
    </w:p>
    <w:p>
      <w:pPr>
        <w:spacing w:after="0" w:line="132" w:lineRule="exact"/>
        <w:rPr>
          <w:rFonts w:ascii="Arial" w:cs="Arial" w:eastAsia="Arial" w:hAnsi="Arial"/>
          <w:sz w:val="16"/>
          <w:szCs w:val="16"/>
          <w:color w:val="auto"/>
        </w:rPr>
      </w:pPr>
    </w:p>
    <w:p>
      <w:pPr>
        <w:ind w:left="1620" w:right="440" w:hanging="319"/>
        <w:spacing w:after="0" w:line="276" w:lineRule="auto"/>
        <w:tabs>
          <w:tab w:leader="none" w:pos="1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payments are made other than payments that would be payable under the terms of the plans if the termination and liquidation had not occurred are made within 12 months of the termination date;</w:t>
      </w:r>
    </w:p>
    <w:p>
      <w:pPr>
        <w:spacing w:after="0" w:line="116" w:lineRule="exact"/>
        <w:rPr>
          <w:rFonts w:ascii="Arial" w:cs="Arial" w:eastAsia="Arial" w:hAnsi="Arial"/>
          <w:sz w:val="16"/>
          <w:szCs w:val="16"/>
          <w:color w:val="auto"/>
        </w:rPr>
      </w:pPr>
    </w:p>
    <w:p>
      <w:pPr>
        <w:ind w:left="1620" w:right="440" w:hanging="319"/>
        <w:spacing w:after="0" w:line="276" w:lineRule="auto"/>
        <w:tabs>
          <w:tab w:leader="none" w:pos="1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payments are made within 24 months of the date the Company takes all necessary action to irrevocably terminate and liquidate the plan; and</w:t>
      </w:r>
    </w:p>
    <w:p>
      <w:pPr>
        <w:spacing w:after="0" w:line="116" w:lineRule="exact"/>
        <w:rPr>
          <w:rFonts w:ascii="Arial" w:cs="Arial" w:eastAsia="Arial" w:hAnsi="Arial"/>
          <w:sz w:val="16"/>
          <w:szCs w:val="16"/>
          <w:color w:val="auto"/>
        </w:rPr>
      </w:pPr>
    </w:p>
    <w:p>
      <w:pPr>
        <w:ind w:left="1620" w:right="480" w:hanging="319"/>
        <w:spacing w:after="0" w:line="261" w:lineRule="auto"/>
        <w:tabs>
          <w:tab w:leader="none" w:pos="1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does not adopt a new arrangement that would be aggregated with the plan under Treasury Regulation §1.409A-1(c) provision for the deferral of compensation at any time within 3 years following the date of termination of the Plan.</w:t>
      </w:r>
    </w:p>
    <w:p>
      <w:pPr>
        <w:spacing w:after="0" w:line="310" w:lineRule="exact"/>
        <w:rPr>
          <w:sz w:val="20"/>
          <w:szCs w:val="20"/>
          <w:color w:val="auto"/>
        </w:rPr>
      </w:pPr>
    </w:p>
    <w:p>
      <w:pPr>
        <w:ind w:left="660" w:right="140" w:hanging="645"/>
        <w:spacing w:after="0" w:line="250" w:lineRule="auto"/>
        <w:tabs>
          <w:tab w:leader="none" w:pos="640" w:val="left"/>
        </w:tabs>
        <w:rPr>
          <w:sz w:val="20"/>
          <w:szCs w:val="20"/>
          <w:color w:val="auto"/>
        </w:rPr>
      </w:pPr>
      <w:r>
        <w:rPr>
          <w:rFonts w:ascii="Arial" w:cs="Arial" w:eastAsia="Arial" w:hAnsi="Arial"/>
          <w:sz w:val="16"/>
          <w:szCs w:val="16"/>
          <w:color w:val="auto"/>
        </w:rPr>
        <w:t>11.9</w:t>
      </w:r>
      <w:r>
        <w:rPr>
          <w:sz w:val="20"/>
          <w:szCs w:val="20"/>
          <w:color w:val="auto"/>
        </w:rPr>
        <w:tab/>
      </w:r>
      <w:r>
        <w:rPr>
          <w:rFonts w:ascii="Arial" w:cs="Arial" w:eastAsia="Arial" w:hAnsi="Arial"/>
          <w:sz w:val="16"/>
          <w:szCs w:val="16"/>
          <w:color w:val="auto"/>
        </w:rPr>
        <w:t xml:space="preserve">NOTICE. </w:t>
      </w:r>
      <w:r>
        <w:rPr>
          <w:rFonts w:ascii="Arial" w:cs="Arial" w:eastAsia="Arial" w:hAnsi="Arial"/>
          <w:sz w:val="16"/>
          <w:szCs w:val="16"/>
          <w:b w:val="1"/>
          <w:bCs w:val="1"/>
          <w:color w:val="auto"/>
        </w:rPr>
        <w:t>Either the Committee or the Record Keeper may specify that any election, form, designation, agreement or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communication by a Participant under the Plan shall be made or submitted online at a site on the World Wide Web designated for such purpose, or by other reasonable electronic means. </w:t>
      </w:r>
      <w:r>
        <w:rPr>
          <w:rFonts w:ascii="Arial" w:cs="Arial" w:eastAsia="Arial" w:hAnsi="Arial"/>
          <w:sz w:val="16"/>
          <w:szCs w:val="16"/>
          <w:color w:val="auto"/>
        </w:rPr>
        <w:t>Subject to the foregoing, any notice, consent or</w:t>
      </w:r>
      <w:r>
        <w:rPr>
          <w:rFonts w:ascii="Arial" w:cs="Arial" w:eastAsia="Arial" w:hAnsi="Arial"/>
          <w:sz w:val="16"/>
          <w:szCs w:val="16"/>
          <w:b w:val="1"/>
          <w:bCs w:val="1"/>
          <w:color w:val="auto"/>
        </w:rPr>
        <w:t xml:space="preserve"> </w:t>
      </w:r>
      <w:r>
        <w:rPr>
          <w:rFonts w:ascii="Arial" w:cs="Arial" w:eastAsia="Arial" w:hAnsi="Arial"/>
          <w:sz w:val="16"/>
          <w:szCs w:val="16"/>
          <w:color w:val="auto"/>
        </w:rPr>
        <w:t>demand required or permitted to be given under the provisions of this Plan shall be in writing, and shall be signed by the party giving or making the same. If such notice, consent or demand is mailed, it shall be sent by United States certified mail, postage prepaid, addressed, if to the Company or the Committee, to the Company Address set forth in the Adoption Agreement, and if to the Record Keeper, to the Record Keeper Address set forth in the Adoption Agreement, and if to any Participant, to such Participant's address most recently submitted by him or her to the Record Keeper (and in the absence of such submission, as most recently appearing on the records of the Company). The date of such mailing shall be deemed the date of notice, consent or demand. Any person may change the address to which notice is to be sent by giving notice of the change of address in the manner aforesaid.</w:t>
      </w:r>
    </w:p>
    <w:p>
      <w:pPr>
        <w:spacing w:after="0" w:line="168" w:lineRule="exact"/>
        <w:rPr>
          <w:sz w:val="20"/>
          <w:szCs w:val="20"/>
          <w:color w:val="auto"/>
        </w:rPr>
      </w:pPr>
    </w:p>
    <w:p>
      <w:pPr>
        <w:ind w:left="640" w:right="240" w:hanging="640"/>
        <w:spacing w:after="0" w:line="256" w:lineRule="auto"/>
        <w:tabs>
          <w:tab w:leader="none" w:pos="620" w:val="left"/>
        </w:tabs>
        <w:rPr>
          <w:sz w:val="20"/>
          <w:szCs w:val="20"/>
          <w:color w:val="auto"/>
        </w:rPr>
      </w:pPr>
      <w:r>
        <w:rPr>
          <w:rFonts w:ascii="Arial" w:cs="Arial" w:eastAsia="Arial" w:hAnsi="Arial"/>
          <w:sz w:val="16"/>
          <w:szCs w:val="16"/>
          <w:color w:val="auto"/>
        </w:rPr>
        <w:t>11.10</w:t>
        <w:tab/>
        <w:t>FACILITY OF PAYMENT. If a distribution is to be made to a minor, or to a person who is otherwise incompetent, then the Committee may, in its discretion, make such distribution (i) to the legal guardian, or if none, to a parent of a minor payee with whom the payee maintains his or her residence, or (ii) to the conservator or committee or, if none, to the person having custody of an incompetent payee. Any such</w:t>
      </w:r>
    </w:p>
    <w:p>
      <w:pPr>
        <w:spacing w:after="0" w:line="160" w:lineRule="exact"/>
        <w:rPr>
          <w:sz w:val="20"/>
          <w:szCs w:val="20"/>
          <w:color w:val="auto"/>
        </w:rPr>
      </w:pPr>
    </w:p>
    <w:p>
      <w:pPr>
        <w:ind w:left="660"/>
        <w:spacing w:after="0" w:line="276" w:lineRule="auto"/>
        <w:rPr>
          <w:sz w:val="20"/>
          <w:szCs w:val="20"/>
          <w:color w:val="auto"/>
        </w:rPr>
      </w:pPr>
      <w:r>
        <w:rPr>
          <w:rFonts w:ascii="Arial" w:cs="Arial" w:eastAsia="Arial" w:hAnsi="Arial"/>
          <w:sz w:val="16"/>
          <w:szCs w:val="16"/>
          <w:color w:val="auto"/>
        </w:rPr>
        <w:t>distribution shall fully discharge the Committee, the Record Keeper, the Company and the Plan from further liability on account thereof.</w:t>
      </w:r>
    </w:p>
    <w:p>
      <w:pPr>
        <w:spacing w:after="0" w:line="144" w:lineRule="exact"/>
        <w:rPr>
          <w:sz w:val="20"/>
          <w:szCs w:val="20"/>
          <w:color w:val="auto"/>
        </w:rPr>
      </w:pPr>
    </w:p>
    <w:p>
      <w:pPr>
        <w:ind w:left="640" w:right="300" w:hanging="634"/>
        <w:spacing w:after="0" w:line="261" w:lineRule="auto"/>
        <w:tabs>
          <w:tab w:leader="none" w:pos="620" w:val="left"/>
        </w:tabs>
        <w:rPr>
          <w:sz w:val="20"/>
          <w:szCs w:val="20"/>
          <w:color w:val="auto"/>
        </w:rPr>
      </w:pPr>
      <w:r>
        <w:rPr>
          <w:rFonts w:ascii="Arial" w:cs="Arial" w:eastAsia="Arial" w:hAnsi="Arial"/>
          <w:sz w:val="16"/>
          <w:szCs w:val="16"/>
          <w:color w:val="auto"/>
        </w:rPr>
        <w:t>11.11</w:t>
        <w:tab/>
        <w:t>GOVERNING LAW. The Plan and the right and obligations of all persons hereunder shall be governed by and construed in accordance with the laws of the state set forth in the Adoption Agreement, other than its laws regarding choice of law, to the extent that such state law is not preempted by federal law.</w:t>
      </w:r>
    </w:p>
    <w:p>
      <w:pPr>
        <w:spacing w:after="0" w:line="15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515620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00"/>
          </w:cols>
          <w:pgMar w:left="1140" w:top="899" w:right="1059" w:bottom="1440" w:gutter="0" w:footer="0" w:header="0"/>
        </w:sectPr>
      </w:pPr>
    </w:p>
    <w:bookmarkStart w:id="69" w:name="page70"/>
    <w:bookmarkEnd w:id="69"/>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6541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7136130" cy="6654165"/>
                    </a:xfrm>
                    <a:prstGeom prst="rect">
                      <a:avLst/>
                    </a:prstGeom>
                    <a:noFill/>
                  </pic:spPr>
                </pic:pic>
              </a:graphicData>
            </a:graphic>
          </wp:anchor>
        </w:drawing>
        <w:t>SPECIMEN RESOLUTIONS TO BE ADOPTED</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AT THE MEETING OF THE BOARD OF DIRECTORS</w:t>
      </w:r>
    </w:p>
    <w:p>
      <w:pPr>
        <w:jc w:val="center"/>
        <w:ind w:right="60"/>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Date:</w:t>
      </w:r>
    </w:p>
    <w:p>
      <w:pPr>
        <w:spacing w:after="0" w:line="289" w:lineRule="exact"/>
        <w:rPr>
          <w:sz w:val="20"/>
          <w:szCs w:val="20"/>
          <w:color w:val="auto"/>
        </w:rPr>
      </w:pPr>
    </w:p>
    <w:p>
      <w:pPr>
        <w:spacing w:after="0"/>
        <w:tabs>
          <w:tab w:leader="none" w:pos="4900" w:val="left"/>
          <w:tab w:leader="none" w:pos="6540" w:val="left"/>
        </w:tabs>
        <w:rPr>
          <w:sz w:val="20"/>
          <w:szCs w:val="20"/>
          <w:color w:val="auto"/>
        </w:rPr>
      </w:pPr>
      <w:r>
        <w:rPr>
          <w:rFonts w:ascii="Arial" w:cs="Arial" w:eastAsia="Arial" w:hAnsi="Arial"/>
          <w:sz w:val="18"/>
          <w:szCs w:val="18"/>
          <w:color w:val="auto"/>
        </w:rPr>
        <w:t>WHEREAS, the Board of Directors of</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7"/>
          <w:szCs w:val="17"/>
          <w:color w:val="auto"/>
        </w:rPr>
        <w:t>Company (the "Company”),</w:t>
      </w:r>
    </w:p>
    <w:p>
      <w:pPr>
        <w:spacing w:after="0" w:line="8" w:lineRule="exact"/>
        <w:rPr>
          <w:sz w:val="20"/>
          <w:szCs w:val="20"/>
          <w:color w:val="auto"/>
        </w:rPr>
      </w:pPr>
    </w:p>
    <w:p>
      <w:pPr>
        <w:jc w:val="both"/>
        <w:ind w:right="560"/>
        <w:spacing w:after="0"/>
        <w:rPr>
          <w:sz w:val="20"/>
          <w:szCs w:val="20"/>
          <w:color w:val="auto"/>
        </w:rPr>
      </w:pPr>
      <w:r>
        <w:rPr>
          <w:rFonts w:ascii="Arial" w:cs="Arial" w:eastAsia="Arial" w:hAnsi="Arial"/>
          <w:sz w:val="18"/>
          <w:szCs w:val="18"/>
          <w:color w:val="auto"/>
        </w:rPr>
        <w:t>believes that it is in the best interests of the Company to create a benefit plan for a select group of management or highly compensated employees of the Company, and the Board of Directors intends such plan to be considered an unfunded arrangement for purposes of the Employment Retirement Income Securities Act of 1974;</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it is hereby</w:t>
      </w:r>
    </w:p>
    <w:p>
      <w:pPr>
        <w:spacing w:after="0" w:line="185" w:lineRule="exact"/>
        <w:rPr>
          <w:sz w:val="20"/>
          <w:szCs w:val="20"/>
          <w:color w:val="auto"/>
        </w:rPr>
      </w:pPr>
    </w:p>
    <w:p>
      <w:pPr>
        <w:spacing w:after="0"/>
        <w:tabs>
          <w:tab w:leader="none" w:pos="8520" w:val="left"/>
        </w:tabs>
        <w:rPr>
          <w:sz w:val="20"/>
          <w:szCs w:val="20"/>
          <w:color w:val="auto"/>
        </w:rPr>
      </w:pPr>
      <w:r>
        <w:rPr>
          <w:rFonts w:ascii="Arial" w:cs="Arial" w:eastAsia="Arial" w:hAnsi="Arial"/>
          <w:sz w:val="18"/>
          <w:szCs w:val="18"/>
          <w:color w:val="auto"/>
        </w:rPr>
        <w:t>RESOLVED: That the Board of Directors hereby approves and adopts the attached</w:t>
      </w:r>
      <w:r>
        <w:rPr>
          <w:sz w:val="20"/>
          <w:szCs w:val="20"/>
          <w:color w:val="auto"/>
        </w:rPr>
        <w:tab/>
      </w:r>
      <w:r>
        <w:rPr>
          <w:rFonts w:ascii="Arial" w:cs="Arial" w:eastAsia="Arial" w:hAnsi="Arial"/>
          <w:sz w:val="17"/>
          <w:szCs w:val="17"/>
          <w:color w:val="auto"/>
        </w:rPr>
        <w:t>Plan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"Plan") and the Adoption Agreement attached thereto, and in connection therewith, that the President, the Treasurer and</w:t>
      </w:r>
    </w:p>
    <w:p>
      <w:pPr>
        <w:spacing w:after="0" w:line="234" w:lineRule="auto"/>
        <w:tabs>
          <w:tab w:leader="none" w:pos="174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[insert titles of other officers, if any] of the Company hereby are, and each such officer acting singly</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hereby is, authorized and directed in the name and on behalf of this Company, to execute and deliver, under seal, if desired, and to acknowledge and make oath with respect to, if desired, said Adoption Agreement and Plan, together with any record keeping or other similar service agreement and such other instruments, documents, filings and agreements as any such officer, acting singly, from time to time may determine to be necessary, convenient or appropriate to carry out any of the purposes or intent of the Plan or any of the resolutions adopted hereby;</w:t>
      </w:r>
    </w:p>
    <w:p>
      <w:pPr>
        <w:spacing w:after="0" w:line="17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RESOLVED: That the Board of Directors hereby appoints the following individuals to serve as members of the Committee of the Plan, each such person to serve in such capacity in accordance with the Plan's terms and conditions until his or her successor shall have been duly elected by this Board and qualified, and such Committee shall have full power and authority to designate and appoint key employees and other qualified persons as participants under the Plan, and to designate and appoint such record keepers, agents and representatives, to retain such consultants and professional advisers, to incur such fees and to make and enter into (and authorize one or more of its representative to do the same) such instruments, documents, filings and agreements as a majority of such Committee from time to time may determine to be necessary, convenient or appropriate to carry out any of the purposes or intent of the Plan or any of the resolutions adopted hereby:</w:t>
      </w:r>
    </w:p>
    <w:p>
      <w:pPr>
        <w:spacing w:after="0" w:line="380" w:lineRule="exact"/>
        <w:rPr>
          <w:sz w:val="20"/>
          <w:szCs w:val="20"/>
          <w:color w:val="auto"/>
        </w:rPr>
      </w:pPr>
    </w:p>
    <w:p>
      <w:pPr>
        <w:jc w:val="both"/>
        <w:ind w:right="300"/>
        <w:spacing w:after="0" w:line="247" w:lineRule="auto"/>
        <w:rPr>
          <w:sz w:val="20"/>
          <w:szCs w:val="20"/>
          <w:color w:val="auto"/>
        </w:rPr>
      </w:pPr>
      <w:r>
        <w:rPr>
          <w:rFonts w:ascii="Arial" w:cs="Arial" w:eastAsia="Arial" w:hAnsi="Arial"/>
          <w:sz w:val="18"/>
          <w:szCs w:val="18"/>
          <w:color w:val="auto"/>
        </w:rPr>
        <w:t>RESOLVED: That no executive or manager who is a Participant in the Plan and is delegated authority to act on behalf of the Company or as a member of the Committee shall vote or otherwise participate directly in any decision that may affect the amount or timing of payments of his or her own benefits made under the Plan.</w:t>
      </w:r>
    </w:p>
    <w:p>
      <w:pPr>
        <w:spacing w:after="0" w:line="157"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RESOLVED: That any person may rely on the foregoing resolutions, appointments and authorizations until receipt of notice by the Company or Committee that any such resolution, appointment or authority has been terminated, revoked or amended, and no such termination, revocation or amendment shall serve to eliminate any benefit theretofore granted or any action theretofore taken in good faith in reliance on any such resolution, appointment or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551815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60"/>
          </w:cols>
          <w:pgMar w:left="1140" w:top="697" w:right="1099" w:bottom="1440" w:gutter="0" w:footer="0" w:header="0"/>
        </w:sectPr>
      </w:pPr>
    </w:p>
    <w:bookmarkStart w:id="70" w:name="page71"/>
    <w:bookmarkEnd w:id="7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Arial" w:cs="Arial" w:eastAsia="Arial" w:hAnsi="Arial"/>
          <w:sz w:val="25"/>
          <w:szCs w:val="25"/>
          <w:b w:val="1"/>
          <w:bCs w:val="1"/>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rPr>
          <w:sz w:val="20"/>
          <w:szCs w:val="20"/>
          <w:color w:val="auto"/>
        </w:rPr>
      </w:pPr>
      <w:r>
        <w:rPr>
          <w:rFonts w:ascii="Arial" w:cs="Arial" w:eastAsia="Arial" w:hAnsi="Arial"/>
          <w:sz w:val="25"/>
          <w:szCs w:val="25"/>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40"/>
        <w:spacing w:after="0"/>
        <w:rPr>
          <w:sz w:val="20"/>
          <w:szCs w:val="20"/>
          <w:color w:val="auto"/>
        </w:rPr>
      </w:pPr>
      <w:r>
        <w:rPr>
          <w:rFonts w:ascii="Arial" w:cs="Arial" w:eastAsia="Arial" w:hAnsi="Arial"/>
          <w:sz w:val="25"/>
          <w:szCs w:val="25"/>
          <w:b w:val="1"/>
          <w:bCs w:val="1"/>
          <w:color w:val="auto"/>
        </w:rPr>
        <w:t>URP X LLC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40"/>
        <w:spacing w:after="0"/>
        <w:rPr>
          <w:sz w:val="20"/>
          <w:szCs w:val="20"/>
          <w:color w:val="auto"/>
        </w:rPr>
      </w:pPr>
      <w:r>
        <w:rPr>
          <w:rFonts w:ascii="Arial" w:cs="Arial" w:eastAsia="Arial" w:hAnsi="Arial"/>
          <w:sz w:val="25"/>
          <w:szCs w:val="25"/>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20"/>
        <w:spacing w:after="0"/>
        <w:rPr>
          <w:sz w:val="20"/>
          <w:szCs w:val="20"/>
          <w:color w:val="auto"/>
        </w:rPr>
      </w:pPr>
      <w:r>
        <w:rPr>
          <w:rFonts w:ascii="Arial" w:cs="Arial" w:eastAsia="Arial" w:hAnsi="Arial"/>
          <w:sz w:val="25"/>
          <w:szCs w:val="25"/>
          <w:b w:val="1"/>
          <w:bCs w:val="1"/>
          <w:color w:val="auto"/>
        </w:rPr>
        <w:t>AVITA MEDICAL,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5"/>
          <w:szCs w:val="25"/>
          <w:b w:val="1"/>
          <w:bCs w:val="1"/>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40"/>
        <w:spacing w:after="0"/>
        <w:rPr>
          <w:sz w:val="20"/>
          <w:szCs w:val="20"/>
          <w:color w:val="auto"/>
        </w:rPr>
      </w:pPr>
      <w:r>
        <w:rPr>
          <w:rFonts w:ascii="Arial" w:cs="Arial" w:eastAsia="Arial" w:hAnsi="Arial"/>
          <w:sz w:val="25"/>
          <w:szCs w:val="25"/>
          <w:b w:val="1"/>
          <w:bCs w:val="1"/>
          <w:color w:val="auto"/>
        </w:rPr>
        <w:t>(Short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758825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LEASE</w:t>
      </w:r>
    </w:p>
    <w:p>
      <w:pPr>
        <w:spacing w:after="0" w:line="212" w:lineRule="exact"/>
        <w:rPr>
          <w:sz w:val="20"/>
          <w:szCs w:val="20"/>
          <w:color w:val="auto"/>
        </w:rPr>
      </w:pPr>
    </w:p>
    <w:p>
      <w:pPr>
        <w:ind w:left="760"/>
        <w:spacing w:after="0"/>
        <w:tabs>
          <w:tab w:leader="none" w:pos="3280" w:val="left"/>
        </w:tabs>
        <w:rPr>
          <w:sz w:val="20"/>
          <w:szCs w:val="20"/>
          <w:color w:val="auto"/>
        </w:rPr>
      </w:pPr>
      <w:r>
        <w:rPr>
          <w:rFonts w:ascii="Arial" w:cs="Arial" w:eastAsia="Arial" w:hAnsi="Arial"/>
          <w:sz w:val="18"/>
          <w:szCs w:val="18"/>
          <w:color w:val="auto"/>
        </w:rPr>
        <w:t>THIS LEASE is made as of</w:t>
      </w:r>
      <w:r>
        <w:rPr>
          <w:sz w:val="20"/>
          <w:szCs w:val="20"/>
          <w:color w:val="auto"/>
        </w:rPr>
        <w:tab/>
      </w:r>
      <w:r>
        <w:rPr>
          <w:rFonts w:ascii="Arial" w:cs="Arial" w:eastAsia="Arial" w:hAnsi="Arial"/>
          <w:sz w:val="17"/>
          <w:szCs w:val="17"/>
          <w:color w:val="auto"/>
        </w:rPr>
        <w:t xml:space="preserve">__________________, by and between </w:t>
      </w:r>
      <w:r>
        <w:rPr>
          <w:rFonts w:ascii="Arial" w:cs="Arial" w:eastAsia="Arial" w:hAnsi="Arial"/>
          <w:sz w:val="17"/>
          <w:szCs w:val="17"/>
          <w:b w:val="1"/>
          <w:bCs w:val="1"/>
          <w:color w:val="auto"/>
        </w:rPr>
        <w:t>URP X LLC</w:t>
      </w:r>
      <w:r>
        <w:rPr>
          <w:rFonts w:ascii="Arial" w:cs="Arial" w:eastAsia="Arial" w:hAnsi="Arial"/>
          <w:sz w:val="17"/>
          <w:szCs w:val="17"/>
          <w:color w:val="auto"/>
        </w:rPr>
        <w:t>, a Delaware limited liability company, hereafter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called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AVITA MEDICAL, INC.</w:t>
      </w:r>
      <w:r>
        <w:rPr>
          <w:rFonts w:ascii="Arial" w:cs="Arial" w:eastAsia="Arial" w:hAnsi="Arial"/>
          <w:sz w:val="18"/>
          <w:szCs w:val="18"/>
          <w:color w:val="auto"/>
        </w:rPr>
        <w:t>, a California corporation, hereafter called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1.BASIC LEASE PROVISIONS</w:t>
      </w:r>
    </w:p>
    <w:p>
      <w:pPr>
        <w:spacing w:after="0" w:line="212"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Each reference in this Lease to the “</w:t>
      </w:r>
      <w:r>
        <w:rPr>
          <w:rFonts w:ascii="Arial" w:cs="Arial" w:eastAsia="Arial" w:hAnsi="Arial"/>
          <w:sz w:val="18"/>
          <w:szCs w:val="18"/>
          <w:b w:val="1"/>
          <w:bCs w:val="1"/>
          <w:color w:val="auto"/>
        </w:rPr>
        <w:t>Basic Lease Provisions</w:t>
      </w:r>
      <w:r>
        <w:rPr>
          <w:rFonts w:ascii="Arial" w:cs="Arial" w:eastAsia="Arial" w:hAnsi="Arial"/>
          <w:sz w:val="18"/>
          <w:szCs w:val="18"/>
          <w:color w:val="auto"/>
        </w:rPr>
        <w:t>” shall mean and refer to the following collective terms, the application of which shall be governed by the provisions in the remaining Articles of this Lease.</w:t>
      </w:r>
    </w:p>
    <w:p>
      <w:pPr>
        <w:spacing w:after="0" w:line="154" w:lineRule="exact"/>
        <w:rPr>
          <w:sz w:val="20"/>
          <w:szCs w:val="20"/>
          <w:color w:val="auto"/>
        </w:rPr>
      </w:pPr>
    </w:p>
    <w:p>
      <w:pPr>
        <w:ind w:left="780" w:hanging="772"/>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Tenant’s Trade Name: </w:t>
      </w:r>
      <w:r>
        <w:rPr>
          <w:rFonts w:ascii="Arial" w:cs="Arial" w:eastAsia="Arial" w:hAnsi="Arial"/>
          <w:sz w:val="18"/>
          <w:szCs w:val="18"/>
          <w:color w:val="auto"/>
        </w:rPr>
        <w:t>N/A</w:t>
      </w:r>
    </w:p>
    <w:p>
      <w:pPr>
        <w:sectPr>
          <w:pgSz w:w="11900" w:h="16838" w:orient="portrait"/>
          <w:cols w:equalWidth="0" w:num="1">
            <w:col w:w="11240"/>
          </w:cols>
          <w:pgMar w:left="320" w:top="549" w:right="339" w:bottom="1440" w:gutter="0" w:footer="0" w:header="0"/>
        </w:sectPr>
      </w:pPr>
    </w:p>
    <w:p>
      <w:pPr>
        <w:spacing w:after="0" w:line="239"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b w:val="1"/>
          <w:bCs w:val="1"/>
          <w:color w:val="auto"/>
        </w:rPr>
        <w:t>Premises: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Suite No. 230 (The Premises are more particularly described in Section 2.1.)</w:t>
      </w:r>
    </w:p>
    <w:p>
      <w:pPr>
        <w:spacing w:after="0" w:line="65" w:lineRule="exact"/>
        <w:rPr>
          <w:sz w:val="20"/>
          <w:szCs w:val="20"/>
          <w:color w:val="auto"/>
        </w:rPr>
      </w:pPr>
    </w:p>
    <w:p>
      <w:pPr>
        <w:sectPr>
          <w:pgSz w:w="11900" w:h="16838" w:orient="portrait"/>
          <w:cols w:equalWidth="0" w:num="2">
            <w:col w:w="2340" w:space="720"/>
            <w:col w:w="8180"/>
          </w:cols>
          <w:pgMar w:left="320" w:top="549" w:right="339" w:bottom="1440" w:gutter="0" w:footer="0" w:header="0"/>
          <w:type w:val="continuous"/>
        </w:sectPr>
      </w:pPr>
    </w:p>
    <w:p>
      <w:pPr>
        <w:ind w:left="360"/>
        <w:spacing w:after="0"/>
        <w:rPr>
          <w:sz w:val="20"/>
          <w:szCs w:val="20"/>
          <w:color w:val="auto"/>
        </w:rPr>
      </w:pPr>
      <w:r>
        <w:rPr>
          <w:rFonts w:ascii="Arial" w:cs="Arial" w:eastAsia="Arial" w:hAnsi="Arial"/>
          <w:sz w:val="18"/>
          <w:szCs w:val="18"/>
          <w:b w:val="1"/>
          <w:bCs w:val="1"/>
          <w:color w:val="auto"/>
        </w:rPr>
        <w:t>Address of Building: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5151 California Avenue, Irvine, CA 92617</w:t>
      </w:r>
    </w:p>
    <w:p>
      <w:pPr>
        <w:spacing w:after="0" w:line="64" w:lineRule="exact"/>
        <w:rPr>
          <w:sz w:val="20"/>
          <w:szCs w:val="20"/>
          <w:color w:val="auto"/>
        </w:rPr>
      </w:pPr>
    </w:p>
    <w:p>
      <w:pPr>
        <w:sectPr>
          <w:pgSz w:w="11900" w:h="16838" w:orient="portrait"/>
          <w:cols w:equalWidth="0" w:num="2">
            <w:col w:w="2340" w:space="720"/>
            <w:col w:w="8180"/>
          </w:cols>
          <w:pgMar w:left="320" w:top="549" w:right="339" w:bottom="1440" w:gutter="0" w:footer="0" w:header="0"/>
          <w:type w:val="continuous"/>
        </w:sectPr>
      </w:pPr>
    </w:p>
    <w:p>
      <w:pPr>
        <w:ind w:left="360"/>
        <w:spacing w:after="0"/>
        <w:rPr>
          <w:sz w:val="20"/>
          <w:szCs w:val="20"/>
          <w:color w:val="auto"/>
        </w:rPr>
      </w:pPr>
      <w:r>
        <w:rPr>
          <w:rFonts w:ascii="Arial" w:cs="Arial" w:eastAsia="Arial" w:hAnsi="Arial"/>
          <w:sz w:val="18"/>
          <w:szCs w:val="18"/>
          <w:b w:val="1"/>
          <w:bCs w:val="1"/>
          <w:color w:val="auto"/>
        </w:rPr>
        <w:t>Project Description: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UCI Research Park (as shown 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b w:val="1"/>
          <w:bCs w:val="1"/>
          <w:color w:val="auto"/>
        </w:rPr>
        <w:t>Exhibit 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to this Lease)</w:t>
      </w:r>
    </w:p>
    <w:p>
      <w:pPr>
        <w:spacing w:after="0" w:line="201" w:lineRule="exact"/>
        <w:rPr>
          <w:sz w:val="20"/>
          <w:szCs w:val="20"/>
          <w:color w:val="auto"/>
        </w:rPr>
      </w:pPr>
    </w:p>
    <w:p>
      <w:pPr>
        <w:sectPr>
          <w:pgSz w:w="11900" w:h="16838" w:orient="portrait"/>
          <w:cols w:equalWidth="0" w:num="4">
            <w:col w:w="2340" w:space="720"/>
            <w:col w:w="2660" w:space="60"/>
            <w:col w:w="760" w:space="40"/>
            <w:col w:w="4660"/>
          </w:cols>
          <w:pgMar w:left="320" w:top="549" w:right="339" w:bottom="1440" w:gutter="0" w:footer="0" w:header="0"/>
          <w:type w:val="continuous"/>
        </w:sectPr>
      </w:pPr>
    </w:p>
    <w:p>
      <w:pPr>
        <w:spacing w:after="0" w:line="66" w:lineRule="exact"/>
        <w:rPr>
          <w:sz w:val="20"/>
          <w:szCs w:val="20"/>
          <w:color w:val="auto"/>
        </w:rPr>
      </w:pPr>
    </w:p>
    <w:p>
      <w:pPr>
        <w:ind w:left="780" w:hanging="772"/>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Permitted Use</w:t>
      </w:r>
      <w:r>
        <w:rPr>
          <w:rFonts w:ascii="Arial" w:cs="Arial" w:eastAsia="Arial" w:hAnsi="Arial"/>
          <w:sz w:val="18"/>
          <w:szCs w:val="18"/>
          <w:color w:val="auto"/>
        </w:rPr>
        <w:t>: General office and for no other use.</w:t>
      </w:r>
    </w:p>
    <w:p>
      <w:pPr>
        <w:spacing w:after="0" w:line="211" w:lineRule="exact"/>
        <w:rPr>
          <w:rFonts w:ascii="Arial" w:cs="Arial" w:eastAsia="Arial" w:hAnsi="Arial"/>
          <w:sz w:val="18"/>
          <w:szCs w:val="18"/>
          <w:color w:val="auto"/>
        </w:rPr>
      </w:pPr>
    </w:p>
    <w:p>
      <w:pPr>
        <w:ind w:left="780" w:hanging="772"/>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Estimated Commencement Date</w:t>
      </w:r>
      <w:r>
        <w:rPr>
          <w:rFonts w:ascii="Arial" w:cs="Arial" w:eastAsia="Arial" w:hAnsi="Arial"/>
          <w:sz w:val="18"/>
          <w:szCs w:val="18"/>
          <w:color w:val="auto"/>
        </w:rPr>
        <w:t>: July 14, 2023</w:t>
      </w:r>
    </w:p>
    <w:p>
      <w:pPr>
        <w:spacing w:after="0" w:line="211" w:lineRule="exact"/>
        <w:rPr>
          <w:rFonts w:ascii="Arial" w:cs="Arial" w:eastAsia="Arial" w:hAnsi="Arial"/>
          <w:sz w:val="18"/>
          <w:szCs w:val="18"/>
          <w:color w:val="auto"/>
        </w:rPr>
      </w:pPr>
    </w:p>
    <w:p>
      <w:pPr>
        <w:ind w:left="380" w:hanging="372"/>
        <w:spacing w:after="0" w:line="271" w:lineRule="auto"/>
        <w:tabs>
          <w:tab w:leader="none" w:pos="807"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Lease Term</w:t>
      </w:r>
      <w:r>
        <w:rPr>
          <w:rFonts w:ascii="Arial" w:cs="Arial" w:eastAsia="Arial" w:hAnsi="Arial"/>
          <w:sz w:val="18"/>
          <w:szCs w:val="18"/>
          <w:color w:val="auto"/>
        </w:rPr>
        <w:t>: 60 months, plus such additional days as may be required to cause this Lease to expire on the final day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month.</w:t>
      </w:r>
    </w:p>
    <w:p>
      <w:pPr>
        <w:spacing w:after="0" w:line="153" w:lineRule="exact"/>
        <w:rPr>
          <w:rFonts w:ascii="Arial" w:cs="Arial" w:eastAsia="Arial" w:hAnsi="Arial"/>
          <w:sz w:val="18"/>
          <w:szCs w:val="18"/>
          <w:color w:val="auto"/>
        </w:rPr>
      </w:pPr>
    </w:p>
    <w:p>
      <w:pPr>
        <w:ind w:left="780" w:hanging="772"/>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Basic Rent</w:t>
      </w:r>
      <w:r>
        <w:rPr>
          <w:rFonts w:ascii="Arial" w:cs="Arial" w:eastAsia="Arial" w:hAnsi="Arial"/>
          <w:sz w:val="18"/>
          <w:szCs w:val="18"/>
          <w:color w:val="auto"/>
        </w:rPr>
        <w:t>:</w:t>
      </w:r>
    </w:p>
    <w:p>
      <w:pPr>
        <w:spacing w:after="0" w:line="228" w:lineRule="exact"/>
        <w:rPr>
          <w:sz w:val="20"/>
          <w:szCs w:val="20"/>
          <w:color w:val="auto"/>
        </w:rPr>
      </w:pPr>
    </w:p>
    <w:tbl>
      <w:tblPr>
        <w:tblLayout w:type="fixed"/>
        <w:tblInd w:w="590" w:type="dxa"/>
        <w:tblCellMar>
          <w:top w:w="0" w:type="dxa"/>
          <w:left w:w="0" w:type="dxa"/>
          <w:bottom w:w="0" w:type="dxa"/>
          <w:right w:w="0" w:type="dxa"/>
        </w:tblCellMar>
      </w:tblPr>
      <w:tr>
        <w:trPr>
          <w:trHeight w:val="220"/>
        </w:trPr>
        <w:tc>
          <w:tcPr>
            <w:tcW w:w="35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Months of Term or Period</w:t>
            </w:r>
          </w:p>
        </w:tc>
        <w:tc>
          <w:tcPr>
            <w:tcW w:w="35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Monthly Rate Per Rentable Square</w:t>
            </w:r>
          </w:p>
        </w:tc>
        <w:tc>
          <w:tcPr>
            <w:tcW w:w="3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Monthly Basic Rent</w:t>
            </w:r>
          </w:p>
        </w:tc>
      </w:tr>
      <w:tr>
        <w:trPr>
          <w:trHeight w:val="262"/>
        </w:trPr>
        <w:tc>
          <w:tcPr>
            <w:tcW w:w="3560" w:type="dxa"/>
            <w:vAlign w:val="bottom"/>
            <w:tcBorders>
              <w:left w:val="single" w:sz="8" w:color="auto"/>
              <w:bottom w:val="single" w:sz="8" w:color="auto"/>
              <w:right w:val="single" w:sz="8" w:color="auto"/>
            </w:tcBorders>
          </w:tcPr>
          <w:p>
            <w:pPr>
              <w:spacing w:after="0"/>
              <w:rPr>
                <w:sz w:val="22"/>
                <w:szCs w:val="22"/>
                <w:color w:val="auto"/>
              </w:rPr>
            </w:pPr>
          </w:p>
        </w:tc>
        <w:tc>
          <w:tcPr>
            <w:tcW w:w="3540" w:type="dxa"/>
            <w:vAlign w:val="bottom"/>
            <w:tcBorders>
              <w:bottom w:val="single" w:sz="8" w:color="auto"/>
              <w:right w:val="single" w:sz="8" w:color="auto"/>
            </w:tcBorders>
          </w:tcPr>
          <w:p>
            <w:pPr>
              <w:ind w:left="1560"/>
              <w:spacing w:after="0"/>
              <w:rPr>
                <w:sz w:val="20"/>
                <w:szCs w:val="20"/>
                <w:color w:val="auto"/>
              </w:rPr>
            </w:pPr>
            <w:r>
              <w:rPr>
                <w:rFonts w:ascii="Arial" w:cs="Arial" w:eastAsia="Arial" w:hAnsi="Arial"/>
                <w:sz w:val="18"/>
                <w:szCs w:val="18"/>
                <w:b w:val="1"/>
                <w:bCs w:val="1"/>
                <w:color w:val="auto"/>
              </w:rPr>
              <w:t>Foot</w:t>
            </w:r>
          </w:p>
        </w:tc>
        <w:tc>
          <w:tcPr>
            <w:tcW w:w="3560" w:type="dxa"/>
            <w:vAlign w:val="bottom"/>
            <w:tcBorders>
              <w:bottom w:val="single" w:sz="8" w:color="auto"/>
              <w:right w:val="single" w:sz="8" w:color="auto"/>
            </w:tcBorders>
          </w:tcPr>
          <w:p>
            <w:pPr>
              <w:spacing w:after="0"/>
              <w:rPr>
                <w:sz w:val="22"/>
                <w:szCs w:val="22"/>
                <w:color w:val="auto"/>
              </w:rPr>
            </w:pPr>
          </w:p>
        </w:tc>
      </w:tr>
      <w:tr>
        <w:trPr>
          <w:trHeight w:val="213"/>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 to 12</w:t>
            </w:r>
          </w:p>
        </w:tc>
        <w:tc>
          <w:tcPr>
            <w:tcW w:w="3540" w:type="dxa"/>
            <w:vAlign w:val="bottom"/>
            <w:tcBorders>
              <w:bottom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$2.20</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$23,555.40</w:t>
            </w:r>
          </w:p>
        </w:tc>
      </w:tr>
      <w:tr>
        <w:trPr>
          <w:trHeight w:val="223"/>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13 to 24</w:t>
            </w:r>
          </w:p>
        </w:tc>
        <w:tc>
          <w:tcPr>
            <w:tcW w:w="3540" w:type="dxa"/>
            <w:vAlign w:val="bottom"/>
            <w:tcBorders>
              <w:bottom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$2.28</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$24,411.96</w:t>
            </w:r>
          </w:p>
        </w:tc>
      </w:tr>
      <w:tr>
        <w:trPr>
          <w:trHeight w:val="223"/>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25 to 36</w:t>
            </w:r>
          </w:p>
        </w:tc>
        <w:tc>
          <w:tcPr>
            <w:tcW w:w="3540" w:type="dxa"/>
            <w:vAlign w:val="bottom"/>
            <w:tcBorders>
              <w:bottom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$2.36</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$25,268.52</w:t>
            </w:r>
          </w:p>
        </w:tc>
      </w:tr>
      <w:tr>
        <w:trPr>
          <w:trHeight w:val="223"/>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37 to 48</w:t>
            </w:r>
          </w:p>
        </w:tc>
        <w:tc>
          <w:tcPr>
            <w:tcW w:w="3540" w:type="dxa"/>
            <w:vAlign w:val="bottom"/>
            <w:tcBorders>
              <w:bottom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$2.44</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$26,125.08</w:t>
            </w:r>
          </w:p>
        </w:tc>
      </w:tr>
      <w:tr>
        <w:trPr>
          <w:trHeight w:val="223"/>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49 to 60</w:t>
            </w:r>
          </w:p>
        </w:tc>
        <w:tc>
          <w:tcPr>
            <w:tcW w:w="3540" w:type="dxa"/>
            <w:vAlign w:val="bottom"/>
            <w:tcBorders>
              <w:bottom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$2.53</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$27,088.71</w:t>
            </w:r>
          </w:p>
        </w:tc>
      </w:tr>
    </w:tbl>
    <w:p>
      <w:pPr>
        <w:spacing w:after="0" w:line="200" w:lineRule="exact"/>
        <w:rPr>
          <w:sz w:val="20"/>
          <w:szCs w:val="20"/>
          <w:color w:val="auto"/>
        </w:rPr>
      </w:pPr>
    </w:p>
    <w:p>
      <w:pPr>
        <w:spacing w:after="0" w:line="206" w:lineRule="exact"/>
        <w:rPr>
          <w:sz w:val="20"/>
          <w:szCs w:val="20"/>
          <w:color w:val="auto"/>
        </w:rPr>
      </w:pPr>
    </w:p>
    <w:p>
      <w:pPr>
        <w:jc w:val="both"/>
        <w:ind w:left="380"/>
        <w:spacing w:after="0" w:line="237" w:lineRule="auto"/>
        <w:rPr>
          <w:sz w:val="20"/>
          <w:szCs w:val="20"/>
          <w:color w:val="auto"/>
        </w:rPr>
      </w:pPr>
      <w:r>
        <w:rPr>
          <w:rFonts w:ascii="Arial" w:cs="Arial" w:eastAsia="Arial" w:hAnsi="Arial"/>
          <w:sz w:val="18"/>
          <w:szCs w:val="18"/>
          <w:color w:val="auto"/>
        </w:rPr>
        <w:t>Notwithstanding the above schedule of Basic Rent to the contrary, as long as Tenant is not in Default (as defined in Section 14.1) under this Lease, Tenant shall be entitled to an abatement of 2 full calendar months of Basic Rent in the aggregate amount of $47,110.80 (i.e. $23,555.40 per month) (the “</w:t>
      </w:r>
      <w:r>
        <w:rPr>
          <w:rFonts w:ascii="Arial" w:cs="Arial" w:eastAsia="Arial" w:hAnsi="Arial"/>
          <w:sz w:val="18"/>
          <w:szCs w:val="18"/>
          <w:b w:val="1"/>
          <w:bCs w:val="1"/>
          <w:color w:val="auto"/>
        </w:rPr>
        <w:t>Abated Basic Rent</w:t>
      </w:r>
      <w:r>
        <w:rPr>
          <w:rFonts w:ascii="Arial" w:cs="Arial" w:eastAsia="Arial" w:hAnsi="Arial"/>
          <w:sz w:val="18"/>
          <w:szCs w:val="18"/>
          <w:color w:val="auto"/>
        </w:rPr>
        <w:t>”) for the first 2 full calendar months of the Term (the “</w:t>
      </w:r>
      <w:r>
        <w:rPr>
          <w:rFonts w:ascii="Arial" w:cs="Arial" w:eastAsia="Arial" w:hAnsi="Arial"/>
          <w:sz w:val="18"/>
          <w:szCs w:val="18"/>
          <w:b w:val="1"/>
          <w:bCs w:val="1"/>
          <w:color w:val="auto"/>
        </w:rPr>
        <w:t>Abatement Period</w:t>
      </w:r>
      <w:r>
        <w:rPr>
          <w:rFonts w:ascii="Arial" w:cs="Arial" w:eastAsia="Arial" w:hAnsi="Arial"/>
          <w:sz w:val="18"/>
          <w:szCs w:val="18"/>
          <w:color w:val="auto"/>
        </w:rPr>
        <w:t>”). In the event of a Default that results in termination of this Lease, then as a part of Landlord’s recovery (but only to the extent Landlord is not otherwise “made whole” for the Abated Basic Rent hereunder through its recovery of leasehold damages), Landlord shall be entitled to the recovery of the then-unamortized remaining balance of the Abated Basic Rent (such amortization being calculated on a straight line basis over the initial Lease Term [excluding the Abatement Period] and such balance being determined as of the date of the Default). The payment by Tenant of the Abated Basic Rent in the event of a Default shall not limit or affect any of Landlord’s other rights, pursuant to this Lease or at law or in equity. Only Basic Rent shall be abated during the Abatement Period and all other additional rent and other costs and charges specified in this Lease shall remain due and payable pursuant to the provisions of this Lease.</w:t>
      </w:r>
    </w:p>
    <w:p>
      <w:pPr>
        <w:spacing w:after="0" w:line="187" w:lineRule="exact"/>
        <w:rPr>
          <w:sz w:val="20"/>
          <w:szCs w:val="20"/>
          <w:color w:val="auto"/>
        </w:rPr>
      </w:pPr>
    </w:p>
    <w:p>
      <w:pPr>
        <w:ind w:left="380" w:hanging="372"/>
        <w:spacing w:after="0" w:line="271" w:lineRule="auto"/>
        <w:tabs>
          <w:tab w:leader="none" w:pos="792"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Expense Recovery Period</w:t>
      </w:r>
      <w:r>
        <w:rPr>
          <w:rFonts w:ascii="Arial" w:cs="Arial" w:eastAsia="Arial" w:hAnsi="Arial"/>
          <w:sz w:val="18"/>
          <w:szCs w:val="18"/>
          <w:color w:val="auto"/>
        </w:rPr>
        <w:t>: Every twelve-month period during the Term (or portion thereof during the first and last Lease years)</w:t>
      </w:r>
      <w:r>
        <w:rPr>
          <w:rFonts w:ascii="Arial" w:cs="Arial" w:eastAsia="Arial" w:hAnsi="Arial"/>
          <w:sz w:val="18"/>
          <w:szCs w:val="18"/>
          <w:b w:val="1"/>
          <w:bCs w:val="1"/>
          <w:color w:val="auto"/>
        </w:rPr>
        <w:t xml:space="preserve"> </w:t>
      </w:r>
      <w:r>
        <w:rPr>
          <w:rFonts w:ascii="Arial" w:cs="Arial" w:eastAsia="Arial" w:hAnsi="Arial"/>
          <w:sz w:val="18"/>
          <w:szCs w:val="18"/>
          <w:color w:val="auto"/>
        </w:rPr>
        <w:t>ending June 30.</w:t>
      </w:r>
    </w:p>
    <w:p>
      <w:pPr>
        <w:spacing w:after="0" w:line="153" w:lineRule="exact"/>
        <w:rPr>
          <w:rFonts w:ascii="Arial" w:cs="Arial" w:eastAsia="Arial" w:hAnsi="Arial"/>
          <w:sz w:val="18"/>
          <w:szCs w:val="18"/>
          <w:color w:val="auto"/>
        </w:rPr>
      </w:pPr>
    </w:p>
    <w:p>
      <w:pPr>
        <w:ind w:left="780" w:hanging="772"/>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Floor Area of Premises</w:t>
      </w:r>
      <w:r>
        <w:rPr>
          <w:rFonts w:ascii="Arial" w:cs="Arial" w:eastAsia="Arial" w:hAnsi="Arial"/>
          <w:sz w:val="18"/>
          <w:szCs w:val="18"/>
          <w:color w:val="auto"/>
        </w:rPr>
        <w:t>: approximately 10,707 rentable square feet</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Floor Area of Building</w:t>
      </w:r>
      <w:r>
        <w:rPr>
          <w:rFonts w:ascii="Arial" w:cs="Arial" w:eastAsia="Arial" w:hAnsi="Arial"/>
          <w:sz w:val="18"/>
          <w:szCs w:val="18"/>
          <w:color w:val="auto"/>
        </w:rPr>
        <w:t>: approximately 63,440 rentable square feet</w:t>
      </w:r>
    </w:p>
    <w:p>
      <w:pPr>
        <w:spacing w:after="0" w:line="212" w:lineRule="exact"/>
        <w:rPr>
          <w:sz w:val="20"/>
          <w:szCs w:val="20"/>
          <w:color w:val="auto"/>
        </w:rPr>
      </w:pPr>
    </w:p>
    <w:p>
      <w:pPr>
        <w:ind w:left="780" w:hanging="772"/>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 $54,600.00</w:t>
      </w:r>
    </w:p>
    <w:p>
      <w:pPr>
        <w:spacing w:after="0" w:line="211" w:lineRule="exact"/>
        <w:rPr>
          <w:rFonts w:ascii="Arial" w:cs="Arial" w:eastAsia="Arial" w:hAnsi="Arial"/>
          <w:sz w:val="18"/>
          <w:szCs w:val="18"/>
          <w:color w:val="auto"/>
        </w:rPr>
      </w:pPr>
    </w:p>
    <w:p>
      <w:pPr>
        <w:ind w:left="380" w:hanging="372"/>
        <w:spacing w:after="0" w:line="285" w:lineRule="auto"/>
        <w:tabs>
          <w:tab w:leader="none" w:pos="822"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Irvine Management Company (“</w:t>
      </w:r>
      <w:r>
        <w:rPr>
          <w:rFonts w:ascii="Arial" w:cs="Arial" w:eastAsia="Arial" w:hAnsi="Arial"/>
          <w:sz w:val="18"/>
          <w:szCs w:val="18"/>
          <w:b w:val="1"/>
          <w:bCs w:val="1"/>
          <w:color w:val="auto"/>
        </w:rPr>
        <w:t>Landlord’s Broker</w:t>
      </w:r>
      <w:r>
        <w:rPr>
          <w:rFonts w:ascii="Arial" w:cs="Arial" w:eastAsia="Arial" w:hAnsi="Arial"/>
          <w:sz w:val="18"/>
          <w:szCs w:val="18"/>
          <w:color w:val="auto"/>
        </w:rPr>
        <w:t>”) is the agent of Landlord exclusively and CBRE (“</w:t>
      </w:r>
      <w:r>
        <w:rPr>
          <w:rFonts w:ascii="Arial" w:cs="Arial" w:eastAsia="Arial" w:hAnsi="Arial"/>
          <w:sz w:val="18"/>
          <w:szCs w:val="18"/>
          <w:b w:val="1"/>
          <w:bCs w:val="1"/>
          <w:color w:val="auto"/>
        </w:rPr>
        <w:t>Tenant’s Broker</w:t>
      </w:r>
      <w:r>
        <w:rPr>
          <w:rFonts w:ascii="Arial" w:cs="Arial" w:eastAsia="Arial" w:hAnsi="Arial"/>
          <w:sz w:val="18"/>
          <w:szCs w:val="18"/>
          <w:color w:val="auto"/>
        </w:rPr>
        <w:t>”) is the agent of Tenant exclusively.</w:t>
      </w:r>
    </w:p>
    <w:p>
      <w:pPr>
        <w:spacing w:after="0" w:line="129" w:lineRule="exact"/>
        <w:rPr>
          <w:rFonts w:ascii="Arial" w:cs="Arial" w:eastAsia="Arial" w:hAnsi="Arial"/>
          <w:sz w:val="18"/>
          <w:szCs w:val="18"/>
          <w:color w:val="auto"/>
        </w:rPr>
      </w:pPr>
    </w:p>
    <w:p>
      <w:pPr>
        <w:ind w:left="780" w:hanging="772"/>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Parking</w:t>
      </w:r>
      <w:r>
        <w:rPr>
          <w:rFonts w:ascii="Arial" w:cs="Arial" w:eastAsia="Arial" w:hAnsi="Arial"/>
          <w:sz w:val="18"/>
          <w:szCs w:val="18"/>
          <w:color w:val="auto"/>
        </w:rPr>
        <w:t>: 40 parking spaces in accordance with the provisions set forth in</w:t>
      </w:r>
      <w:r>
        <w:rPr>
          <w:rFonts w:ascii="Arial" w:cs="Arial" w:eastAsia="Arial" w:hAnsi="Arial"/>
          <w:sz w:val="18"/>
          <w:szCs w:val="18"/>
          <w:b w:val="1"/>
          <w:bCs w:val="1"/>
          <w:color w:val="auto"/>
        </w:rPr>
        <w:t xml:space="preserve"> Exhibit F </w:t>
      </w:r>
      <w:r>
        <w:rPr>
          <w:rFonts w:ascii="Arial" w:cs="Arial" w:eastAsia="Arial" w:hAnsi="Arial"/>
          <w:sz w:val="18"/>
          <w:szCs w:val="18"/>
          <w:color w:val="auto"/>
        </w:rPr>
        <w:t>to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73" w:name="page74"/>
    <w:bookmarkEnd w:id="73"/>
    <w:p>
      <w:pPr>
        <w:ind w:left="780" w:hanging="772"/>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Address for Payments and Notices</w:t>
      </w:r>
      <w:r>
        <w:rPr>
          <w:rFonts w:ascii="Arial" w:cs="Arial" w:eastAsia="Arial" w:hAnsi="Arial"/>
          <w:sz w:val="18"/>
          <w:szCs w:val="18"/>
          <w:color w:val="auto"/>
        </w:rPr>
        <w:t>:</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LANDLORD</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Payment Registration Address:</w:t>
      </w:r>
    </w:p>
    <w:p>
      <w:pPr>
        <w:spacing w:after="0" w:line="198" w:lineRule="exact"/>
        <w:rPr>
          <w:sz w:val="20"/>
          <w:szCs w:val="20"/>
          <w:color w:val="auto"/>
        </w:rPr>
      </w:pPr>
    </w:p>
    <w:p>
      <w:pPr>
        <w:ind w:left="600"/>
        <w:spacing w:after="0" w:line="260" w:lineRule="auto"/>
        <w:rPr>
          <w:sz w:val="20"/>
          <w:szCs w:val="20"/>
          <w:color w:val="auto"/>
        </w:rPr>
      </w:pPr>
      <w:r>
        <w:rPr>
          <w:rFonts w:ascii="Arial" w:cs="Arial" w:eastAsia="Arial" w:hAnsi="Arial"/>
          <w:sz w:val="18"/>
          <w:szCs w:val="18"/>
          <w:color w:val="auto"/>
        </w:rPr>
        <w:t>Email tenantportal@irvinecompany.com to request an account for the Tenant Payment Portal.</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Notice Address:</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IRVINE COMPANY LLC</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550 Newport Center Drive</w:t>
      </w:r>
    </w:p>
    <w:p>
      <w:pPr>
        <w:ind w:left="600"/>
        <w:spacing w:after="0" w:line="234" w:lineRule="auto"/>
        <w:rPr>
          <w:sz w:val="20"/>
          <w:szCs w:val="20"/>
          <w:color w:val="auto"/>
        </w:rPr>
      </w:pPr>
      <w:r>
        <w:rPr>
          <w:rFonts w:ascii="Arial" w:cs="Arial" w:eastAsia="Arial" w:hAnsi="Arial"/>
          <w:sz w:val="18"/>
          <w:szCs w:val="18"/>
          <w:color w:val="auto"/>
        </w:rPr>
        <w:t>Newport Beach, CA 92660</w:t>
      </w:r>
    </w:p>
    <w:p>
      <w:pPr>
        <w:ind w:left="600"/>
        <w:spacing w:after="0" w:line="235" w:lineRule="auto"/>
        <w:rPr>
          <w:sz w:val="20"/>
          <w:szCs w:val="20"/>
          <w:color w:val="auto"/>
        </w:rPr>
      </w:pPr>
      <w:r>
        <w:rPr>
          <w:rFonts w:ascii="Arial" w:cs="Arial" w:eastAsia="Arial" w:hAnsi="Arial"/>
          <w:sz w:val="18"/>
          <w:szCs w:val="18"/>
          <w:color w:val="auto"/>
        </w:rPr>
        <w:t>Attn: Executive Vice President, Operations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Office Properties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28159 Avenue Stanford, Suite 220</w:t>
      </w:r>
    </w:p>
    <w:p>
      <w:pPr>
        <w:spacing w:after="0"/>
        <w:rPr>
          <w:sz w:val="20"/>
          <w:szCs w:val="20"/>
          <w:color w:val="auto"/>
        </w:rPr>
      </w:pPr>
      <w:r>
        <w:rPr>
          <w:rFonts w:ascii="Arial" w:cs="Arial" w:eastAsia="Arial" w:hAnsi="Arial"/>
          <w:sz w:val="18"/>
          <w:szCs w:val="18"/>
          <w:color w:val="auto"/>
        </w:rPr>
        <w:t>Valencia, CA 91355</w:t>
      </w:r>
    </w:p>
    <w:p>
      <w:pPr>
        <w:spacing w:after="0" w:line="186"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Notwithstanding the foregoing, Tenant acknowledges and agrees that any notice given by Landlord under Part 3, Title 3, Chapter 4 of the California Code of Civil Procedure (entitled “</w:t>
      </w:r>
      <w:r>
        <w:rPr>
          <w:rFonts w:ascii="Arial" w:cs="Arial" w:eastAsia="Arial" w:hAnsi="Arial"/>
          <w:sz w:val="18"/>
          <w:szCs w:val="18"/>
          <w:b w:val="1"/>
          <w:bCs w:val="1"/>
          <w:color w:val="auto"/>
        </w:rPr>
        <w:t>Summary</w:t>
      </w:r>
    </w:p>
    <w:p>
      <w:pPr>
        <w:spacing w:after="0" w:line="1"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b w:val="1"/>
          <w:bCs w:val="1"/>
          <w:color w:val="auto"/>
        </w:rPr>
        <w:t>Proceedings for Obtaining Possession of Real Property in Certain Cases</w:t>
      </w:r>
      <w:r>
        <w:rPr>
          <w:rFonts w:ascii="Arial" w:cs="Arial" w:eastAsia="Arial" w:hAnsi="Arial"/>
          <w:sz w:val="18"/>
          <w:szCs w:val="18"/>
          <w:color w:val="auto"/>
        </w:rPr>
        <w:t>”) may be delivered to the Premises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required therein, provided that copies of any such notice shall be provided to all other addresses set forth in this Item 12.</w:t>
      </w:r>
    </w:p>
    <w:p>
      <w:pPr>
        <w:spacing w:after="0" w:line="196" w:lineRule="exact"/>
        <w:rPr>
          <w:sz w:val="20"/>
          <w:szCs w:val="20"/>
          <w:color w:val="auto"/>
        </w:rPr>
      </w:pPr>
    </w:p>
    <w:p>
      <w:pPr>
        <w:sectPr>
          <w:pgSz w:w="11900" w:h="16838" w:orient="portrait"/>
          <w:cols w:equalWidth="0" w:num="2">
            <w:col w:w="5540" w:space="400"/>
            <w:col w:w="5300"/>
          </w:cols>
          <w:pgMar w:left="320" w:top="535" w:right="339" w:bottom="1440" w:gutter="0" w:footer="0" w:header="0"/>
        </w:sectPr>
      </w:pPr>
    </w:p>
    <w:p>
      <w:pPr>
        <w:spacing w:after="0"/>
        <w:rPr>
          <w:sz w:val="20"/>
          <w:szCs w:val="20"/>
          <w:color w:val="auto"/>
        </w:rPr>
      </w:pPr>
      <w:r>
        <w:rPr>
          <w:rFonts w:ascii="Arial" w:cs="Arial" w:eastAsia="Arial" w:hAnsi="Arial"/>
          <w:sz w:val="18"/>
          <w:szCs w:val="18"/>
          <w:b w:val="1"/>
          <w:bCs w:val="1"/>
          <w:color w:val="auto"/>
        </w:rPr>
        <w:t xml:space="preserve">LIST OF LEASE EXHIBITS </w:t>
      </w:r>
      <w:r>
        <w:rPr>
          <w:rFonts w:ascii="Arial" w:cs="Arial" w:eastAsia="Arial" w:hAnsi="Arial"/>
          <w:sz w:val="18"/>
          <w:szCs w:val="18"/>
          <w:color w:val="auto"/>
        </w:rPr>
        <w:t>(All exhibits, riders and addenda attached to this Lease are hereby incorporated into and made a part of this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234" w:lineRule="auto"/>
        <w:rPr>
          <w:sz w:val="20"/>
          <w:szCs w:val="20"/>
          <w:color w:val="auto"/>
        </w:rPr>
      </w:pPr>
      <w:r>
        <w:rPr>
          <w:rFonts w:ascii="Arial" w:cs="Arial" w:eastAsia="Arial" w:hAnsi="Arial"/>
          <w:sz w:val="18"/>
          <w:szCs w:val="18"/>
          <w:color w:val="auto"/>
        </w:rPr>
        <w:t>Exhibit A Description of Premises</w:t>
      </w:r>
    </w:p>
    <w:p>
      <w:pPr>
        <w:spacing w:after="0" w:line="235" w:lineRule="auto"/>
        <w:rPr>
          <w:sz w:val="20"/>
          <w:szCs w:val="20"/>
          <w:color w:val="auto"/>
        </w:rPr>
      </w:pPr>
      <w:r>
        <w:rPr>
          <w:rFonts w:ascii="Arial" w:cs="Arial" w:eastAsia="Arial" w:hAnsi="Arial"/>
          <w:sz w:val="18"/>
          <w:szCs w:val="18"/>
          <w:color w:val="auto"/>
        </w:rPr>
        <w:t>Exhibit B Operating Expenses</w:t>
      </w:r>
    </w:p>
    <w:p>
      <w:pPr>
        <w:spacing w:after="0" w:line="235" w:lineRule="auto"/>
        <w:rPr>
          <w:sz w:val="20"/>
          <w:szCs w:val="20"/>
          <w:color w:val="auto"/>
        </w:rPr>
      </w:pPr>
      <w:r>
        <w:rPr>
          <w:rFonts w:ascii="Arial" w:cs="Arial" w:eastAsia="Arial" w:hAnsi="Arial"/>
          <w:sz w:val="18"/>
          <w:szCs w:val="18"/>
          <w:color w:val="auto"/>
        </w:rPr>
        <w:t>Exhibit C Utilities and Services</w:t>
      </w:r>
    </w:p>
    <w:p>
      <w:pPr>
        <w:spacing w:after="0" w:line="235" w:lineRule="auto"/>
        <w:rPr>
          <w:sz w:val="20"/>
          <w:szCs w:val="20"/>
          <w:color w:val="auto"/>
        </w:rPr>
      </w:pPr>
      <w:r>
        <w:rPr>
          <w:rFonts w:ascii="Arial" w:cs="Arial" w:eastAsia="Arial" w:hAnsi="Arial"/>
          <w:sz w:val="18"/>
          <w:szCs w:val="18"/>
          <w:color w:val="auto"/>
        </w:rPr>
        <w:t>Exhibit D Tenant’s Insurance</w:t>
      </w:r>
    </w:p>
    <w:p>
      <w:pPr>
        <w:spacing w:after="0" w:line="235" w:lineRule="auto"/>
        <w:rPr>
          <w:sz w:val="20"/>
          <w:szCs w:val="20"/>
          <w:color w:val="auto"/>
        </w:rPr>
      </w:pPr>
      <w:r>
        <w:rPr>
          <w:rFonts w:ascii="Arial" w:cs="Arial" w:eastAsia="Arial" w:hAnsi="Arial"/>
          <w:sz w:val="18"/>
          <w:szCs w:val="18"/>
          <w:color w:val="auto"/>
        </w:rPr>
        <w:t>Exhibit E Rules and Regulations</w:t>
      </w:r>
    </w:p>
    <w:p>
      <w:pPr>
        <w:spacing w:after="0" w:line="234" w:lineRule="auto"/>
        <w:rPr>
          <w:sz w:val="20"/>
          <w:szCs w:val="20"/>
          <w:color w:val="auto"/>
        </w:rPr>
      </w:pPr>
      <w:r>
        <w:rPr>
          <w:rFonts w:ascii="Arial" w:cs="Arial" w:eastAsia="Arial" w:hAnsi="Arial"/>
          <w:sz w:val="18"/>
          <w:szCs w:val="18"/>
          <w:color w:val="auto"/>
        </w:rPr>
        <w:t>Exhibit F Parking</w:t>
      </w:r>
    </w:p>
    <w:p>
      <w:pPr>
        <w:spacing w:after="0" w:line="235" w:lineRule="auto"/>
        <w:rPr>
          <w:sz w:val="20"/>
          <w:szCs w:val="20"/>
          <w:color w:val="auto"/>
        </w:rPr>
      </w:pPr>
      <w:r>
        <w:rPr>
          <w:rFonts w:ascii="Arial" w:cs="Arial" w:eastAsia="Arial" w:hAnsi="Arial"/>
          <w:sz w:val="18"/>
          <w:szCs w:val="18"/>
          <w:color w:val="auto"/>
        </w:rPr>
        <w:t>Exhibit G Additional Provisions</w:t>
      </w:r>
    </w:p>
    <w:p>
      <w:pPr>
        <w:spacing w:after="0" w:line="235" w:lineRule="auto"/>
        <w:rPr>
          <w:sz w:val="20"/>
          <w:szCs w:val="20"/>
          <w:color w:val="auto"/>
        </w:rPr>
      </w:pPr>
      <w:r>
        <w:rPr>
          <w:rFonts w:ascii="Arial" w:cs="Arial" w:eastAsia="Arial" w:hAnsi="Arial"/>
          <w:sz w:val="18"/>
          <w:szCs w:val="18"/>
          <w:color w:val="auto"/>
        </w:rPr>
        <w:t>Exhibit X Work Letter</w:t>
      </w:r>
    </w:p>
    <w:p>
      <w:pPr>
        <w:spacing w:after="0"/>
        <w:rPr>
          <w:sz w:val="20"/>
          <w:szCs w:val="20"/>
          <w:color w:val="auto"/>
        </w:rPr>
      </w:pPr>
      <w:r>
        <w:rPr>
          <w:rFonts w:ascii="Arial" w:cs="Arial" w:eastAsia="Arial" w:hAnsi="Arial"/>
          <w:sz w:val="18"/>
          <w:szCs w:val="18"/>
          <w:color w:val="auto"/>
        </w:rPr>
        <w:t>Exhibit Y Project Description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2.PREMISES</w:t>
      </w:r>
    </w:p>
    <w:p>
      <w:pPr>
        <w:spacing w:after="0" w:line="21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b w:val="1"/>
          <w:bCs w:val="1"/>
          <w:color w:val="auto"/>
        </w:rPr>
        <w:t>2.1LEASED PREMISES</w:t>
      </w:r>
      <w:r>
        <w:rPr>
          <w:rFonts w:ascii="Arial" w:cs="Arial" w:eastAsia="Arial" w:hAnsi="Arial"/>
          <w:sz w:val="18"/>
          <w:szCs w:val="18"/>
          <w:color w:val="auto"/>
        </w:rPr>
        <w:t>. Landlord leases to Tenant and Tenant leases from Landlord the Premises shown in</w:t>
      </w:r>
      <w:r>
        <w:rPr>
          <w:rFonts w:ascii="Arial" w:cs="Arial" w:eastAsia="Arial" w:hAnsi="Arial"/>
          <w:sz w:val="18"/>
          <w:szCs w:val="18"/>
          <w:b w:val="1"/>
          <w:bCs w:val="1"/>
          <w:color w:val="auto"/>
        </w:rPr>
        <w:t xml:space="preserve"> Exhibit A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containing approximately the floor area set forth in Item 8 of the Basic Lease Provisions (the “</w:t>
      </w:r>
      <w:r>
        <w:rPr>
          <w:rFonts w:ascii="Arial" w:cs="Arial" w:eastAsia="Arial" w:hAnsi="Arial"/>
          <w:sz w:val="18"/>
          <w:szCs w:val="18"/>
          <w:b w:val="1"/>
          <w:bCs w:val="1"/>
          <w:color w:val="auto"/>
        </w:rPr>
        <w:t>Floor Area</w:t>
      </w:r>
      <w:r>
        <w:rPr>
          <w:rFonts w:ascii="Arial" w:cs="Arial" w:eastAsia="Arial" w:hAnsi="Arial"/>
          <w:sz w:val="18"/>
          <w:szCs w:val="18"/>
          <w:color w:val="auto"/>
        </w:rPr>
        <w:t>”). The Premises are located in the building identified in Item 2 of the Basic Lease Provisions (the “</w:t>
      </w:r>
      <w:r>
        <w:rPr>
          <w:rFonts w:ascii="Arial" w:cs="Arial" w:eastAsia="Arial" w:hAnsi="Arial"/>
          <w:sz w:val="18"/>
          <w:szCs w:val="18"/>
          <w:b w:val="1"/>
          <w:bCs w:val="1"/>
          <w:color w:val="auto"/>
        </w:rPr>
        <w:t>Building</w:t>
      </w:r>
      <w:r>
        <w:rPr>
          <w:rFonts w:ascii="Arial" w:cs="Arial" w:eastAsia="Arial" w:hAnsi="Arial"/>
          <w:sz w:val="18"/>
          <w:szCs w:val="18"/>
          <w:color w:val="auto"/>
        </w:rPr>
        <w:t>”), which is a portion of the project described in Item 2 (the “</w:t>
      </w:r>
      <w:r>
        <w:rPr>
          <w:rFonts w:ascii="Arial" w:cs="Arial" w:eastAsia="Arial" w:hAnsi="Arial"/>
          <w:sz w:val="18"/>
          <w:szCs w:val="18"/>
          <w:b w:val="1"/>
          <w:bCs w:val="1"/>
          <w:color w:val="auto"/>
        </w:rPr>
        <w:t>Project</w:t>
      </w:r>
      <w:r>
        <w:rPr>
          <w:rFonts w:ascii="Arial" w:cs="Arial" w:eastAsia="Arial" w:hAnsi="Arial"/>
          <w:sz w:val="18"/>
          <w:szCs w:val="18"/>
          <w:color w:val="auto"/>
        </w:rPr>
        <w:t>”). Landlord and Tenant stipulate and agree that the Floor Area of Premises set forth in Item 8 of the Basic Lease Provisions is correct.</w:t>
      </w:r>
    </w:p>
    <w:p>
      <w:pPr>
        <w:spacing w:after="0" w:line="17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The Premises are a portion of certain real property which is leased by Landlord pursuant to that certain Ground Lease (the “</w:t>
      </w:r>
      <w:r>
        <w:rPr>
          <w:rFonts w:ascii="Arial" w:cs="Arial" w:eastAsia="Arial" w:hAnsi="Arial"/>
          <w:sz w:val="18"/>
          <w:szCs w:val="18"/>
          <w:b w:val="1"/>
          <w:bCs w:val="1"/>
          <w:color w:val="auto"/>
        </w:rPr>
        <w:t>Ground</w:t>
      </w:r>
      <w:r>
        <w:rPr>
          <w:rFonts w:ascii="Arial" w:cs="Arial" w:eastAsia="Arial" w:hAnsi="Arial"/>
          <w:sz w:val="18"/>
          <w:szCs w:val="18"/>
          <w:color w:val="auto"/>
        </w:rPr>
        <w:t xml:space="preserve"> </w:t>
      </w:r>
      <w:r>
        <w:rPr>
          <w:rFonts w:ascii="Arial" w:cs="Arial" w:eastAsia="Arial" w:hAnsi="Arial"/>
          <w:sz w:val="18"/>
          <w:szCs w:val="18"/>
          <w:b w:val="1"/>
          <w:bCs w:val="1"/>
          <w:color w:val="auto"/>
        </w:rPr>
        <w:t>Lease</w:t>
      </w:r>
      <w:r>
        <w:rPr>
          <w:rFonts w:ascii="Arial" w:cs="Arial" w:eastAsia="Arial" w:hAnsi="Arial"/>
          <w:sz w:val="18"/>
          <w:szCs w:val="18"/>
          <w:color w:val="auto"/>
        </w:rPr>
        <w:t>”) dated as of June 24, 1998, by and between The Regents of the University of California, a California corporation (“</w:t>
      </w:r>
      <w:r>
        <w:rPr>
          <w:rFonts w:ascii="Arial" w:cs="Arial" w:eastAsia="Arial" w:hAnsi="Arial"/>
          <w:sz w:val="18"/>
          <w:szCs w:val="18"/>
          <w:b w:val="1"/>
          <w:bCs w:val="1"/>
          <w:color w:val="auto"/>
        </w:rPr>
        <w:t>Ground Lessor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Irvine Company, a Delaware corporation, a Memorandum of which was recorded on May 5, 1999, as Instrument No. 19990328619 in the Official Records of Orange County, California. Tenant understands and acknowledges that a material consideration for Landlord entering into this Lease with Tenant is the nature of Tenant’s business and the mutual benefits to be derived by Tenant and by Ground Lessor. Accordingly, in the event of any proposed assignment of this Lease or sublease of the Premises or any portion thereof, in addition to all of the provisions of Section 9.2 of this Lease, Landlord may reasonably withhold its consent to any such proposed assignment or sublease if Landlord determines in its sole and absolute discretion that such mutual benefits will not be derived as a result of the proposed use of the Premises by such assignee, sublessee or transferee.</w:t>
      </w:r>
    </w:p>
    <w:p>
      <w:pPr>
        <w:spacing w:after="0" w:line="183" w:lineRule="exact"/>
        <w:rPr>
          <w:sz w:val="20"/>
          <w:szCs w:val="20"/>
          <w:color w:val="auto"/>
        </w:rPr>
      </w:pPr>
    </w:p>
    <w:p>
      <w:pPr>
        <w:jc w:val="both"/>
        <w:ind w:firstLine="749"/>
        <w:spacing w:after="0"/>
        <w:rPr>
          <w:sz w:val="20"/>
          <w:szCs w:val="20"/>
          <w:color w:val="auto"/>
        </w:rPr>
      </w:pPr>
      <w:r>
        <w:rPr>
          <w:rFonts w:ascii="Arial" w:cs="Arial" w:eastAsia="Arial" w:hAnsi="Arial"/>
          <w:sz w:val="18"/>
          <w:szCs w:val="18"/>
          <w:b w:val="1"/>
          <w:bCs w:val="1"/>
          <w:color w:val="auto"/>
        </w:rPr>
        <w:t>2.2ACCEPTANCE OF PREMISES</w:t>
      </w:r>
      <w:r>
        <w:rPr>
          <w:rFonts w:ascii="Arial" w:cs="Arial" w:eastAsia="Arial" w:hAnsi="Arial"/>
          <w:sz w:val="18"/>
          <w:szCs w:val="18"/>
          <w:color w:val="auto"/>
        </w:rPr>
        <w:t>. Tenant acknowledges that neither Landlord nor any representative of Landlord has made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or warranty with respect to the Premises, the Building or the Project or the suitability or fitness of either for any purpose, except as set forth in this Lease. Tenant acknowledges that the flooring materials which may be installed within portions of the Premises located on the ground floor of the Building may be limited by the moisture content of the Building slab and underlying soils. The taking of possession or use of the Premises by Tenant for any purpose other than construction shall conclusively establish that the Premises and the Building were in satisfactory condition and in conformity with the provisions of this Lease in all respects. Nothing contained in this Section 2.2 shall affect the commencement of the Term or the obligation of Tenant to pay rent.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3.TERM</w:t>
      </w:r>
    </w:p>
    <w:p>
      <w:pPr>
        <w:spacing w:after="0" w:line="212"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b w:val="1"/>
          <w:bCs w:val="1"/>
          <w:color w:val="auto"/>
        </w:rPr>
        <w:t>3.1GENERAL</w:t>
      </w:r>
      <w:r>
        <w:rPr>
          <w:rFonts w:ascii="Arial" w:cs="Arial" w:eastAsia="Arial" w:hAnsi="Arial"/>
          <w:sz w:val="18"/>
          <w:szCs w:val="18"/>
          <w:color w:val="auto"/>
        </w:rPr>
        <w:t>. The term of this Lease (“</w:t>
      </w:r>
      <w:r>
        <w:rPr>
          <w:rFonts w:ascii="Arial" w:cs="Arial" w:eastAsia="Arial" w:hAnsi="Arial"/>
          <w:sz w:val="18"/>
          <w:szCs w:val="18"/>
          <w:b w:val="1"/>
          <w:bCs w:val="1"/>
          <w:color w:val="auto"/>
        </w:rPr>
        <w:t>Term</w:t>
      </w:r>
      <w:r>
        <w:rPr>
          <w:rFonts w:ascii="Arial" w:cs="Arial" w:eastAsia="Arial" w:hAnsi="Arial"/>
          <w:sz w:val="18"/>
          <w:szCs w:val="18"/>
          <w:color w:val="auto"/>
        </w:rPr>
        <w:t>”) shall be for the period shown in Item 5 of the Basic Lease Provisions.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commence (“</w:t>
      </w:r>
      <w:r>
        <w:rPr>
          <w:rFonts w:ascii="Arial" w:cs="Arial" w:eastAsia="Arial" w:hAnsi="Arial"/>
          <w:sz w:val="18"/>
          <w:szCs w:val="18"/>
          <w:b w:val="1"/>
          <w:bCs w:val="1"/>
          <w:color w:val="auto"/>
        </w:rPr>
        <w:t>Commencement Date</w:t>
      </w:r>
      <w:r>
        <w:rPr>
          <w:rFonts w:ascii="Arial" w:cs="Arial" w:eastAsia="Arial" w:hAnsi="Arial"/>
          <w:sz w:val="18"/>
          <w:szCs w:val="18"/>
          <w:color w:val="auto"/>
        </w:rPr>
        <w:t>”) on the earlier of (a) the date the Premises are deemed “ready for occupancy” (as hereinafter defined) and possession thereof is delivered to Tenant, or (b) the date Tenant commences its regular business activities within the Premises. Promptly following request by Landlord, the parties shall memorialize on a form provided by Landlord (the “</w:t>
      </w:r>
      <w:r>
        <w:rPr>
          <w:rFonts w:ascii="Arial" w:cs="Arial" w:eastAsia="Arial" w:hAnsi="Arial"/>
          <w:sz w:val="18"/>
          <w:szCs w:val="18"/>
          <w:b w:val="1"/>
          <w:bCs w:val="1"/>
          <w:color w:val="auto"/>
        </w:rPr>
        <w:t>Commencement</w:t>
      </w:r>
      <w:r>
        <w:rPr>
          <w:rFonts w:ascii="Arial" w:cs="Arial" w:eastAsia="Arial" w:hAnsi="Arial"/>
          <w:sz w:val="18"/>
          <w:szCs w:val="18"/>
          <w:color w:val="auto"/>
        </w:rPr>
        <w:t xml:space="preserve"> </w:t>
      </w:r>
      <w:r>
        <w:rPr>
          <w:rFonts w:ascii="Arial" w:cs="Arial" w:eastAsia="Arial" w:hAnsi="Arial"/>
          <w:sz w:val="18"/>
          <w:szCs w:val="18"/>
          <w:b w:val="1"/>
          <w:bCs w:val="1"/>
          <w:color w:val="auto"/>
        </w:rPr>
        <w:t>Memorandum</w:t>
      </w:r>
      <w:r>
        <w:rPr>
          <w:rFonts w:ascii="Arial" w:cs="Arial" w:eastAsia="Arial" w:hAnsi="Arial"/>
          <w:sz w:val="18"/>
          <w:szCs w:val="18"/>
          <w:color w:val="auto"/>
        </w:rPr>
        <w:t>”) the actual Commencement Date and the expiration date (“</w:t>
      </w:r>
      <w:r>
        <w:rPr>
          <w:rFonts w:ascii="Arial" w:cs="Arial" w:eastAsia="Arial" w:hAnsi="Arial"/>
          <w:sz w:val="18"/>
          <w:szCs w:val="18"/>
          <w:b w:val="1"/>
          <w:bCs w:val="1"/>
          <w:color w:val="auto"/>
        </w:rPr>
        <w:t>Expiration Date</w:t>
      </w:r>
      <w:r>
        <w:rPr>
          <w:rFonts w:ascii="Arial" w:cs="Arial" w:eastAsia="Arial" w:hAnsi="Arial"/>
          <w:sz w:val="18"/>
          <w:szCs w:val="18"/>
          <w:color w:val="auto"/>
        </w:rPr>
        <w:t>”) of this Lease; should Tenant fail to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 the Commencement Memorandum 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74" w:name="page75"/>
    <w:bookmarkEnd w:id="74"/>
    <w:p>
      <w:pPr>
        <w:jc w:val="both"/>
        <w:spacing w:after="0" w:line="241" w:lineRule="auto"/>
        <w:rPr>
          <w:sz w:val="20"/>
          <w:szCs w:val="20"/>
          <w:color w:val="auto"/>
        </w:rPr>
      </w:pPr>
      <w:r>
        <w:rPr>
          <w:rFonts w:ascii="Arial" w:cs="Arial" w:eastAsia="Arial" w:hAnsi="Arial"/>
          <w:sz w:val="18"/>
          <w:szCs w:val="18"/>
          <w:color w:val="auto"/>
        </w:rPr>
        <w:t>Landlord within 5 business days (or provide specific written objections thereto within that period), then Landlord’s determination of the Commencement and Expiration Dates as set forth in the Commencement Memorandum shall be conclusive. The Premises shall be deemed “</w:t>
      </w:r>
      <w:r>
        <w:rPr>
          <w:rFonts w:ascii="Arial" w:cs="Arial" w:eastAsia="Arial" w:hAnsi="Arial"/>
          <w:sz w:val="18"/>
          <w:szCs w:val="18"/>
          <w:b w:val="1"/>
          <w:bCs w:val="1"/>
          <w:color w:val="auto"/>
        </w:rPr>
        <w:t>ready for occupancy</w:t>
      </w:r>
      <w:r>
        <w:rPr>
          <w:rFonts w:ascii="Arial" w:cs="Arial" w:eastAsia="Arial" w:hAnsi="Arial"/>
          <w:sz w:val="18"/>
          <w:szCs w:val="18"/>
          <w:color w:val="auto"/>
        </w:rPr>
        <w:t>” when Landlord, to the extent applicable, (i) has substantially completed all the work required to be completed by Landlord pursuant to the Work Letter (if any) attached to this Lease but for minor punch list matters, and (ii) has obtained the requisite governmental approvals for Tenant’s occupancy in connection with such work.</w:t>
      </w:r>
    </w:p>
    <w:p>
      <w:pPr>
        <w:spacing w:after="0" w:line="179" w:lineRule="exact"/>
        <w:rPr>
          <w:sz w:val="20"/>
          <w:szCs w:val="20"/>
          <w:color w:val="auto"/>
        </w:rPr>
      </w:pPr>
    </w:p>
    <w:p>
      <w:pPr>
        <w:jc w:val="both"/>
        <w:ind w:firstLine="749"/>
        <w:spacing w:after="0"/>
        <w:rPr>
          <w:sz w:val="20"/>
          <w:szCs w:val="20"/>
          <w:color w:val="auto"/>
        </w:rPr>
      </w:pPr>
      <w:r>
        <w:rPr>
          <w:rFonts w:ascii="Arial" w:cs="Arial" w:eastAsia="Arial" w:hAnsi="Arial"/>
          <w:sz w:val="18"/>
          <w:szCs w:val="18"/>
          <w:b w:val="1"/>
          <w:bCs w:val="1"/>
          <w:color w:val="auto"/>
        </w:rPr>
        <w:t xml:space="preserve">3.2DELAY IN POSSESSION </w:t>
      </w:r>
      <w:r>
        <w:rPr>
          <w:rFonts w:ascii="Arial" w:cs="Arial" w:eastAsia="Arial" w:hAnsi="Arial"/>
          <w:sz w:val="18"/>
          <w:szCs w:val="18"/>
          <w:color w:val="auto"/>
        </w:rPr>
        <w:t>. If Landlord, for any reason whatsoever, cannot deliver possession of the Premises to Tenant on or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Estimated Commencement Date set forth in Item 4 of the Basic Lease Provisions, this Lease shall not be void or voidable nor shall Landlord be liable to Tenant for any resulting loss or damage. However, Tenant shall not be liable for any rent until the Commencement Date occurs as provided in Section 3.1 above, except that if Landlord’s failure to substantially complete all work required of Landlord pursuant to Section 3.1(i) above is attributable to any action or inaction by Tenant (including without limitation any Tenant Delay described in the Work Letter, if any, attached to this Lease), then the Premises shall be deemed ready for occupancy, and Landlord shall be entitled to full performance by Tenant (including the payment of rent), as of the date Landlord would have been able to substantially complete such work and deliver the Premises to Tenant but for Tenant’s delay(s).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4.RENT AND OPERATING EXPENSES</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18"/>
          <w:szCs w:val="18"/>
          <w:b w:val="1"/>
          <w:bCs w:val="1"/>
          <w:color w:val="auto"/>
        </w:rPr>
        <w:t>4.1BASIC RENT</w:t>
      </w:r>
      <w:r>
        <w:rPr>
          <w:rFonts w:ascii="Arial" w:cs="Arial" w:eastAsia="Arial" w:hAnsi="Arial"/>
          <w:sz w:val="18"/>
          <w:szCs w:val="18"/>
          <w:color w:val="auto"/>
        </w:rPr>
        <w:t>. From and after the Commencement Date, Tenant shall pay to Landlord without deduction or offset a Basic Rent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Premises in the total amount shown (including subsequent adjustments, if any) in Item 6 of the Basic Lease Provisions (the “</w:t>
      </w:r>
      <w:r>
        <w:rPr>
          <w:rFonts w:ascii="Arial" w:cs="Arial" w:eastAsia="Arial" w:hAnsi="Arial"/>
          <w:sz w:val="18"/>
          <w:szCs w:val="18"/>
          <w:b w:val="1"/>
          <w:bCs w:val="1"/>
          <w:color w:val="auto"/>
        </w:rPr>
        <w:t>Basic</w:t>
      </w:r>
      <w:r>
        <w:rPr>
          <w:rFonts w:ascii="Arial" w:cs="Arial" w:eastAsia="Arial" w:hAnsi="Arial"/>
          <w:sz w:val="18"/>
          <w:szCs w:val="18"/>
          <w:color w:val="auto"/>
        </w:rPr>
        <w:t xml:space="preserve"> </w:t>
      </w:r>
      <w:r>
        <w:rPr>
          <w:rFonts w:ascii="Arial" w:cs="Arial" w:eastAsia="Arial" w:hAnsi="Arial"/>
          <w:sz w:val="18"/>
          <w:szCs w:val="18"/>
          <w:b w:val="1"/>
          <w:bCs w:val="1"/>
          <w:color w:val="auto"/>
        </w:rPr>
        <w:t>Rent</w:t>
      </w:r>
      <w:r>
        <w:rPr>
          <w:rFonts w:ascii="Arial" w:cs="Arial" w:eastAsia="Arial" w:hAnsi="Arial"/>
          <w:sz w:val="18"/>
          <w:szCs w:val="18"/>
          <w:color w:val="auto"/>
        </w:rPr>
        <w:t>”). If the Commencement Date is other than the first day of a calendar month, any rental adjustment shown in Item 6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occur on the first day of the next calendar month following the specified monthly anniversary of the Commencement Date. The Basic Rent shall be due and payable in advance commencing on the Commencement Date and continuing thereafter on the first day of each successive calendar month of the Term, as prorated for any partial month. No demand, notice or invoice shall be required. An installment in the amount of 1 full month’s Basic Rent at the initial rate specified in Item 6 of the Basic Lease Provisions, and 1 month’s estimated Tenant’s Share of Operating Expenses shall be delivered to Landlord concurrently with Tenant’s execution of this Lease.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4.2OPERATING EXPENSES</w:t>
      </w:r>
      <w:r>
        <w:rPr>
          <w:rFonts w:ascii="Arial" w:cs="Arial" w:eastAsia="Arial" w:hAnsi="Arial"/>
          <w:sz w:val="18"/>
          <w:szCs w:val="18"/>
          <w:color w:val="auto"/>
        </w:rPr>
        <w:t>. Tenant shall pay Tenant’s Share of Operating Expenses in accordance with</w:t>
      </w:r>
      <w:r>
        <w:rPr>
          <w:rFonts w:ascii="Arial" w:cs="Arial" w:eastAsia="Arial" w:hAnsi="Arial"/>
          <w:sz w:val="18"/>
          <w:szCs w:val="18"/>
          <w:b w:val="1"/>
          <w:bCs w:val="1"/>
          <w:color w:val="auto"/>
        </w:rPr>
        <w:t xml:space="preserve"> Exhibit B </w:t>
      </w:r>
      <w:r>
        <w:rPr>
          <w:rFonts w:ascii="Arial" w:cs="Arial" w:eastAsia="Arial" w:hAnsi="Arial"/>
          <w:sz w:val="18"/>
          <w:szCs w:val="18"/>
          <w:color w:val="auto"/>
        </w:rPr>
        <w:t>of this Lease.</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b w:val="1"/>
          <w:bCs w:val="1"/>
          <w:color w:val="auto"/>
        </w:rPr>
        <w:t>4.3SECURITY DEPOSIT</w:t>
      </w:r>
      <w:r>
        <w:rPr>
          <w:rFonts w:ascii="Arial" w:cs="Arial" w:eastAsia="Arial" w:hAnsi="Arial"/>
          <w:sz w:val="18"/>
          <w:szCs w:val="18"/>
          <w:color w:val="auto"/>
        </w:rPr>
        <w:t>. Concurrently with Tenant’s delivery of this Lease, Tenant shall deposit with Landlord the sum, if any,</w:t>
      </w:r>
      <w:r>
        <w:rPr>
          <w:rFonts w:ascii="Arial" w:cs="Arial" w:eastAsia="Arial" w:hAnsi="Arial"/>
          <w:sz w:val="18"/>
          <w:szCs w:val="18"/>
          <w:b w:val="1"/>
          <w:bCs w:val="1"/>
          <w:color w:val="auto"/>
        </w:rPr>
        <w:t xml:space="preserve"> </w:t>
      </w:r>
      <w:r>
        <w:rPr>
          <w:rFonts w:ascii="Arial" w:cs="Arial" w:eastAsia="Arial" w:hAnsi="Arial"/>
          <w:sz w:val="18"/>
          <w:szCs w:val="18"/>
          <w:color w:val="auto"/>
        </w:rPr>
        <w:t>stated in Item 9 of the Basic Lease Provisions (the “</w:t>
      </w:r>
      <w:r>
        <w:rPr>
          <w:rFonts w:ascii="Arial" w:cs="Arial" w:eastAsia="Arial" w:hAnsi="Arial"/>
          <w:sz w:val="18"/>
          <w:szCs w:val="18"/>
          <w:b w:val="1"/>
          <w:bCs w:val="1"/>
          <w:color w:val="auto"/>
        </w:rPr>
        <w:t>Security Deposit</w:t>
      </w:r>
      <w:r>
        <w:rPr>
          <w:rFonts w:ascii="Arial" w:cs="Arial" w:eastAsia="Arial" w:hAnsi="Arial"/>
          <w:sz w:val="18"/>
          <w:szCs w:val="18"/>
          <w:color w:val="auto"/>
        </w:rPr>
        <w:t>”), to be held by Landlord as security for the full and faithful performance of Tenant’s obligations under this Lease, to pay any rental sums, including without limitation such additional rent as may be owing under any provision hereof, and to maintain the Premises as required by this Lease. Upon any Default by Tenant, Landlord may apply all or part of the Security Deposit as full or partial compensation. If any portion of the Security Deposit is so applied, Tenant shall within 5 days after written demand by Landlord deposit cash with Landlord in an amount sufficient to restore the Security Deposit to its original amount. Landlord shall not be required to keep the Security Deposit separate from its general funds, and Tenant shall not be entitled to interest on the Security Deposit. In no event may Tenant utilize all or any portion of the Security Deposit as a payment toward any Rent due under this Lease. Any unapplied balance of the Security Deposit shall be returned to Tenant or, at Landlord’s option, to the last assignee of Tenant’s interest in this Lease within 30 days following the termination of this Lease and Tenant’s vacation of the Premises. Tenant hereby waives the provisions of Section 1950.7 of the California Civil Code, or any similar or successor laws now or hereafter in effect.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5.USES</w:t>
      </w:r>
    </w:p>
    <w:p>
      <w:pPr>
        <w:spacing w:after="0" w:line="21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b w:val="1"/>
          <w:bCs w:val="1"/>
          <w:color w:val="auto"/>
        </w:rPr>
        <w:t>5.1USE</w:t>
      </w:r>
      <w:r>
        <w:rPr>
          <w:rFonts w:ascii="Arial" w:cs="Arial" w:eastAsia="Arial" w:hAnsi="Arial"/>
          <w:sz w:val="18"/>
          <w:szCs w:val="18"/>
          <w:color w:val="auto"/>
        </w:rPr>
        <w:t>. Tenant shall use the Premises only for the purposes stated in Item 3 of the Basic Lease Provisions and for no other use</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Tenant shall not do or permit anything to be done in or about the Premises which will in any way interfere with the rights or quiet enjoyment of other occupants of the Building or the Project, or use or allow the Premises to be used for any unlawful purpose, nor shall Tenant permit any nuisance in the Premises or the Project. Tenant shall comply at its expense with all present and future laws, ordinances and requirements of all governmental authorities that pertain to Tenant or its use of the Premises, and with all energy usage reporting requirements of Landlord. Pursuant to California Civil Code § 1938, Landlord hereby states that the Premises have not undergone inspection by a Certified Access Specialist (CASp) (defined in California Civil Code § 55.52(a)(3)). Pursuant to Section 1938 of the California Civil Code, Landlord hereby provides the following notification to Tenant: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 related accessibility standards within the premises.”</w:t>
      </w:r>
    </w:p>
    <w:p>
      <w:pPr>
        <w:spacing w:after="0" w:line="18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b w:val="1"/>
          <w:bCs w:val="1"/>
          <w:color w:val="auto"/>
        </w:rPr>
        <w:t>5.2SIGNS</w:t>
      </w:r>
      <w:r>
        <w:rPr>
          <w:rFonts w:ascii="Arial" w:cs="Arial" w:eastAsia="Arial" w:hAnsi="Arial"/>
          <w:sz w:val="18"/>
          <w:szCs w:val="18"/>
          <w:color w:val="auto"/>
        </w:rPr>
        <w:t>. Landlord shall affix and maintain a sign (restricted solely to Tenant’s name/logo as set forth herein or such other name</w:t>
      </w:r>
      <w:r>
        <w:rPr>
          <w:rFonts w:ascii="Arial" w:cs="Arial" w:eastAsia="Arial" w:hAnsi="Arial"/>
          <w:sz w:val="18"/>
          <w:szCs w:val="18"/>
          <w:b w:val="1"/>
          <w:bCs w:val="1"/>
          <w:color w:val="auto"/>
        </w:rPr>
        <w:t xml:space="preserve"> </w:t>
      </w:r>
      <w:r>
        <w:rPr>
          <w:rFonts w:ascii="Arial" w:cs="Arial" w:eastAsia="Arial" w:hAnsi="Arial"/>
          <w:sz w:val="18"/>
          <w:szCs w:val="18"/>
          <w:color w:val="auto"/>
        </w:rPr>
        <w:t>as Landlord may consent to in writing) adjacent to the entry door 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5" w:name="page76"/>
    <w:bookmarkEnd w:id="75"/>
    <w:p>
      <w:pPr>
        <w:jc w:val="both"/>
        <w:spacing w:after="0" w:line="260" w:lineRule="auto"/>
        <w:rPr>
          <w:sz w:val="20"/>
          <w:szCs w:val="20"/>
          <w:color w:val="auto"/>
        </w:rPr>
      </w:pPr>
      <w:r>
        <w:rPr>
          <w:rFonts w:ascii="Arial" w:cs="Arial" w:eastAsia="Arial" w:hAnsi="Arial"/>
          <w:sz w:val="18"/>
          <w:szCs w:val="18"/>
          <w:color w:val="auto"/>
        </w:rPr>
        <w:t>the Premises, together with a listing for Tenant’s name as set forth herein in the lobby directory of the Building. Tenant shall not place or allow to be placed any other sign, decoration or advertising matter of any kind that is visible from the exterior of the Premises.</w:t>
      </w:r>
    </w:p>
    <w:p>
      <w:pPr>
        <w:spacing w:after="0" w:line="16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b w:val="1"/>
          <w:bCs w:val="1"/>
          <w:color w:val="auto"/>
        </w:rPr>
        <w:t xml:space="preserve">5.3HAZARDOUS MATERIALS. </w:t>
      </w:r>
      <w:r>
        <w:rPr>
          <w:rFonts w:ascii="Arial" w:cs="Arial" w:eastAsia="Arial" w:hAnsi="Arial"/>
          <w:sz w:val="18"/>
          <w:szCs w:val="18"/>
          <w:color w:val="auto"/>
        </w:rPr>
        <w:t>Tenant shall not generate, handle, store or dispose of hazardous or toxic materials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materials may be identified in any federal, state or local law or regulation) in the Premises or Project without the prior written consent of Landlord. Tenant acknowledges that it has read, understands and, if applicable, shall comply with the provisions of </w:t>
      </w:r>
      <w:r>
        <w:rPr>
          <w:rFonts w:ascii="Arial" w:cs="Arial" w:eastAsia="Arial" w:hAnsi="Arial"/>
          <w:sz w:val="18"/>
          <w:szCs w:val="18"/>
          <w:b w:val="1"/>
          <w:bCs w:val="1"/>
          <w:color w:val="auto"/>
        </w:rPr>
        <w:t>Exhibit H</w:t>
      </w:r>
      <w:r>
        <w:rPr>
          <w:rFonts w:ascii="Arial" w:cs="Arial" w:eastAsia="Arial" w:hAnsi="Arial"/>
          <w:sz w:val="18"/>
          <w:szCs w:val="18"/>
          <w:color w:val="auto"/>
        </w:rPr>
        <w:t xml:space="preserve"> to this Lease, if that Exhibit is attached.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6.LANDLORD SERVICES</w:t>
      </w:r>
    </w:p>
    <w:p>
      <w:pPr>
        <w:spacing w:after="0" w:line="21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b w:val="1"/>
          <w:bCs w:val="1"/>
          <w:color w:val="auto"/>
        </w:rPr>
        <w:t xml:space="preserve">6.1UTILITIES AND SERVICES. </w:t>
      </w:r>
      <w:r>
        <w:rPr>
          <w:rFonts w:ascii="Arial" w:cs="Arial" w:eastAsia="Arial" w:hAnsi="Arial"/>
          <w:sz w:val="18"/>
          <w:szCs w:val="18"/>
          <w:color w:val="auto"/>
        </w:rPr>
        <w:t>Landlord and Tenant shall be responsible to furnish those utilities and services to the Premises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extent provided in </w:t>
      </w:r>
      <w:r>
        <w:rPr>
          <w:rFonts w:ascii="Arial" w:cs="Arial" w:eastAsia="Arial" w:hAnsi="Arial"/>
          <w:sz w:val="18"/>
          <w:szCs w:val="18"/>
          <w:b w:val="1"/>
          <w:bCs w:val="1"/>
          <w:color w:val="auto"/>
        </w:rPr>
        <w:t>Exhibit C</w:t>
      </w:r>
      <w:r>
        <w:rPr>
          <w:rFonts w:ascii="Arial" w:cs="Arial" w:eastAsia="Arial" w:hAnsi="Arial"/>
          <w:sz w:val="18"/>
          <w:szCs w:val="18"/>
          <w:color w:val="auto"/>
        </w:rPr>
        <w:t>, subject to the conditions and payment obligations and standards set forth in this Lease. Landlord’s failure to furnish, or any interruption, diminishment or termination of, services due to the application of laws, the failure of any equipment, the performance of repairs, improvements or alterations, utility interruptions or the occurrence of an event of force majeure (defined in Section 20.7) shall not render Landlord liable to Tenant, constitute a constructive eviction of Tenant, give rise to an abatement of Rent, nor relieve Tenant from the obligation to fulfill any covenant or agreement. However, if the Premises, or a material portion of the Premises, are made untenantable for a period in excess of 5 consecutive business days as a result of a service interruption that is reasonably within the control of Landlord to correct and through no fault of Tenant and for reasons other than as contemplated in Article 11, then Tenant, as its sole remedy, shall be entitled to receive an abatement of Rent payable hereunder during the period beginning on the 6th consecutive business day of the service interruption and ending on the day the service has been restored.</w:t>
      </w:r>
    </w:p>
    <w:p>
      <w:pPr>
        <w:spacing w:after="0" w:line="18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b w:val="1"/>
          <w:bCs w:val="1"/>
          <w:color w:val="auto"/>
        </w:rPr>
        <w:t>6.2OPERATION AND MAINTENANCE OF COMMON AREAS</w:t>
      </w:r>
      <w:r>
        <w:rPr>
          <w:rFonts w:ascii="Arial" w:cs="Arial" w:eastAsia="Arial" w:hAnsi="Arial"/>
          <w:sz w:val="18"/>
          <w:szCs w:val="18"/>
          <w:color w:val="auto"/>
        </w:rPr>
        <w:t>. During the Term, Landlord shall operate all Common Areas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Building and the Project. The term “</w:t>
      </w:r>
      <w:r>
        <w:rPr>
          <w:rFonts w:ascii="Arial" w:cs="Arial" w:eastAsia="Arial" w:hAnsi="Arial"/>
          <w:sz w:val="18"/>
          <w:szCs w:val="18"/>
          <w:b w:val="1"/>
          <w:bCs w:val="1"/>
          <w:color w:val="auto"/>
        </w:rPr>
        <w:t>Common Areas</w:t>
      </w:r>
      <w:r>
        <w:rPr>
          <w:rFonts w:ascii="Arial" w:cs="Arial" w:eastAsia="Arial" w:hAnsi="Arial"/>
          <w:sz w:val="18"/>
          <w:szCs w:val="18"/>
          <w:color w:val="auto"/>
        </w:rPr>
        <w:t>” shall mean all areas within the Building, Project and other buildings in the Project which are not held for exclusive use by persons entitled to occupy space.</w:t>
      </w:r>
    </w:p>
    <w:p>
      <w:pPr>
        <w:spacing w:after="0" w:line="16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b w:val="1"/>
          <w:bCs w:val="1"/>
          <w:color w:val="auto"/>
        </w:rPr>
        <w:t>6.3COMMON AREAS</w:t>
      </w:r>
      <w:r>
        <w:rPr>
          <w:rFonts w:ascii="Arial" w:cs="Arial" w:eastAsia="Arial" w:hAnsi="Arial"/>
          <w:sz w:val="18"/>
          <w:szCs w:val="18"/>
          <w:color w:val="auto"/>
        </w:rPr>
        <w:t>. The occupancy by Tenant of the Premises shall include the use of the Common Areas in common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Landlord and with all others for whose convenience and use the Common Areas may be provided by Landlord, subject, however, to compliance with Rules and Regulations set forth in </w:t>
      </w:r>
      <w:r>
        <w:rPr>
          <w:rFonts w:ascii="Arial" w:cs="Arial" w:eastAsia="Arial" w:hAnsi="Arial"/>
          <w:sz w:val="18"/>
          <w:szCs w:val="18"/>
          <w:b w:val="1"/>
          <w:bCs w:val="1"/>
          <w:color w:val="auto"/>
        </w:rPr>
        <w:t>Exhibit E</w:t>
      </w:r>
      <w:r>
        <w:rPr>
          <w:rFonts w:ascii="Arial" w:cs="Arial" w:eastAsia="Arial" w:hAnsi="Arial"/>
          <w:sz w:val="18"/>
          <w:szCs w:val="18"/>
          <w:color w:val="auto"/>
        </w:rPr>
        <w:t>. Landlord shall at all times during the Term have exclusive control of the Common Areas, and may restrain or permit any use or occupancy. Landlord may temporarily close any portion of the Common Areas for repairs, remodeling and/or alterations, to prevent a public dedication or the accrual of prescriptive rights, or for any other reasonable purpose.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7.REPAIRS AND MAINTENANCE</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18"/>
          <w:szCs w:val="18"/>
          <w:b w:val="1"/>
          <w:bCs w:val="1"/>
          <w:color w:val="auto"/>
        </w:rPr>
        <w:t>7.1TENANT’S MAINTENANCE AND REPAIR</w:t>
      </w:r>
      <w:r>
        <w:rPr>
          <w:rFonts w:ascii="Arial" w:cs="Arial" w:eastAsia="Arial" w:hAnsi="Arial"/>
          <w:sz w:val="18"/>
          <w:szCs w:val="18"/>
          <w:color w:val="auto"/>
        </w:rPr>
        <w:t>. Subject to Articles 11 and 12, Tenant at its sole expense shall make all repairs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keep the Premises and all improvements and fixtures therein in good condition and repair. Tenant’s maintenance obligation shall include without limitation all appliances, interior glass, doors, door closures, hardware, fixtures, electrical, plumbing, fire extinguisher equipment and other equipment installed in the Premises, together with any supplemental HVAC equipment servicing only the Premises. Should Landlord or its management agent agree to make a repair on behalf of Tenant and at Tenant’s request, Tenant shall promptly reimburse Landlord as additional rent for all reasonable costs incurred (including the standard supervision fee) upon submission of an invoice.</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b w:val="1"/>
          <w:bCs w:val="1"/>
          <w:color w:val="auto"/>
        </w:rPr>
        <w:t>7.2LANDLORD’S MAINTENANCE AND REPAIR</w:t>
      </w:r>
      <w:r>
        <w:rPr>
          <w:rFonts w:ascii="Arial" w:cs="Arial" w:eastAsia="Arial" w:hAnsi="Arial"/>
          <w:sz w:val="18"/>
          <w:szCs w:val="18"/>
          <w:color w:val="auto"/>
        </w:rPr>
        <w:t>. Subject to Articles 11 and 12, Landlord shall provide service, maintenance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repair with respect to the heating, ventilating and air conditioning (“</w:t>
      </w:r>
      <w:r>
        <w:rPr>
          <w:rFonts w:ascii="Arial" w:cs="Arial" w:eastAsia="Arial" w:hAnsi="Arial"/>
          <w:sz w:val="18"/>
          <w:szCs w:val="18"/>
          <w:b w:val="1"/>
          <w:bCs w:val="1"/>
          <w:color w:val="auto"/>
        </w:rPr>
        <w:t>HVAC</w:t>
      </w:r>
      <w:r>
        <w:rPr>
          <w:rFonts w:ascii="Arial" w:cs="Arial" w:eastAsia="Arial" w:hAnsi="Arial"/>
          <w:sz w:val="18"/>
          <w:szCs w:val="18"/>
          <w:color w:val="auto"/>
        </w:rPr>
        <w:t>”) equipment of the Building (exclusive of any supplemental HVAC equipment servicing only the Premises) and shall maintain in good repair the Common Areas, roof, foundations, footings, the exterior surfaces of the exterior walls of the Building (including exterior glass), and the structural, electrical, mechanical and plumbing systems of the Building (including elevators, if any, serving the Building), except to the extent provided in Section 7.1 above. Notwithstanding any provision of the California Civil Code or any similar or successor laws to the contrary, Tenant understands that it shall not make repairs at Landlord’s expense or by rental offset. Except as provided in Section 11.1 and Article 12 below, there shall be no abatement of rent and no liability of Landlord by reason of any injury to or interference with Tenant’s business arising from the making of any repairs, alterations or improvements to any portion of the Building, including repairs to the Premises, nor shall any related activity by Landlord constitute an actual or constructive eviction. Tenant hereby waives any and all rights under and benefits of subsection 1 of Section 1932, and Sections 1941 and 1942 of the California Civil Code, or any similar or successor laws now or hereafter in effect.</w:t>
      </w:r>
    </w:p>
    <w:p>
      <w:pPr>
        <w:spacing w:after="0" w:line="186"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b w:val="1"/>
          <w:bCs w:val="1"/>
          <w:color w:val="auto"/>
        </w:rPr>
        <w:t>7.3ALTERATIONS</w:t>
      </w:r>
      <w:r>
        <w:rPr>
          <w:rFonts w:ascii="Arial" w:cs="Arial" w:eastAsia="Arial" w:hAnsi="Arial"/>
          <w:sz w:val="18"/>
          <w:szCs w:val="18"/>
          <w:color w:val="auto"/>
        </w:rPr>
        <w:t>. Except for cosmetic alteration projects that do not exceed $53,535.00 during each calendar year and that do</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the structural, electrical or mechanical components or systems of the Building, are not visible from the exterior of the Premises, do not change the basic floor plan of the Premises, and utilize only Landlord’s building standard materials (which work shall require notice to Landlord but not Landlord’s consent), Tenant shall make no alterations, additions, decorations, or improvements (collectively referred to as “</w:t>
      </w:r>
      <w:r>
        <w:rPr>
          <w:rFonts w:ascii="Arial" w:cs="Arial" w:eastAsia="Arial" w:hAnsi="Arial"/>
          <w:sz w:val="18"/>
          <w:szCs w:val="18"/>
          <w:b w:val="1"/>
          <w:bCs w:val="1"/>
          <w:color w:val="auto"/>
        </w:rPr>
        <w:t>Alterations</w:t>
      </w:r>
      <w:r>
        <w:rPr>
          <w:rFonts w:ascii="Arial" w:cs="Arial" w:eastAsia="Arial" w:hAnsi="Arial"/>
          <w:sz w:val="18"/>
          <w:szCs w:val="18"/>
          <w:color w:val="auto"/>
        </w:rPr>
        <w:t>”) to the Premises without the prior written consent of Landlord. Landlord may impose, as a condition to its consent, any requirements that Landlord in its discretion may deem reasonable or desirable. Tenant shall use Landlord’s designated mechanical 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6" w:name="page77"/>
    <w:bookmarkEnd w:id="76"/>
    <w:p>
      <w:pPr>
        <w:jc w:val="both"/>
        <w:spacing w:after="0" w:line="236" w:lineRule="auto"/>
        <w:rPr>
          <w:sz w:val="20"/>
          <w:szCs w:val="20"/>
          <w:color w:val="auto"/>
        </w:rPr>
      </w:pPr>
      <w:r>
        <w:rPr>
          <w:rFonts w:ascii="Arial" w:cs="Arial" w:eastAsia="Arial" w:hAnsi="Arial"/>
          <w:sz w:val="18"/>
          <w:szCs w:val="18"/>
          <w:color w:val="auto"/>
        </w:rPr>
        <w:t>electrical contractors, obtain all required permits for the Alterations and shall perform the work in compliance with all applicable laws, regulations and ordinances with contractors reasonably acceptable to Landlord. Landlord shall be entitled to a supervision fee in the amount of 5% of the cost of the Alterations. Landlord may elect to cause its architect to review Tenant’s architectural plans, and the reasonable cost of that review shall be reimbursed by Tenant. Should the Alterations proposed by Tenant and consented to by Landlord change the floor plan of the Premises, then Tenant shall, at its expense, furnish Landlord with as-built drawings and CAD disks compatible with Landlord’s systems. Unless Landlord otherwise agrees in writing, all Alterations affixed to the Premises, including without limitation all Tenant Improvements constructed pursuant to the Work Letter (except as otherwise provided in the Work Letter), but excluding moveable trade fixtures and furniture, shall become the property of Landlord and shall be surrendered with the Premises at the end of the Term, except that Landlord may, by notice to Tenant given at the time of Landlord’s approval, require Tenant to remove by the Expiration Date or sooner termination date of this Lease, all or any Alterations installed either by Tenant or by Landlord at Tenant’s request (collectively, the “</w:t>
      </w:r>
      <w:r>
        <w:rPr>
          <w:rFonts w:ascii="Arial" w:cs="Arial" w:eastAsia="Arial" w:hAnsi="Arial"/>
          <w:sz w:val="18"/>
          <w:szCs w:val="18"/>
          <w:b w:val="1"/>
          <w:bCs w:val="1"/>
          <w:color w:val="auto"/>
        </w:rPr>
        <w:t>Required</w:t>
      </w:r>
      <w:r>
        <w:rPr>
          <w:rFonts w:ascii="Arial" w:cs="Arial" w:eastAsia="Arial" w:hAnsi="Arial"/>
          <w:sz w:val="18"/>
          <w:szCs w:val="18"/>
          <w:color w:val="auto"/>
        </w:rPr>
        <w:t xml:space="preserve"> </w:t>
      </w:r>
      <w:r>
        <w:rPr>
          <w:rFonts w:ascii="Arial" w:cs="Arial" w:eastAsia="Arial" w:hAnsi="Arial"/>
          <w:sz w:val="18"/>
          <w:szCs w:val="18"/>
          <w:b w:val="1"/>
          <w:bCs w:val="1"/>
          <w:color w:val="auto"/>
        </w:rPr>
        <w:t>Removables</w:t>
      </w:r>
      <w:r>
        <w:rPr>
          <w:rFonts w:ascii="Arial" w:cs="Arial" w:eastAsia="Arial" w:hAnsi="Arial"/>
          <w:sz w:val="18"/>
          <w:szCs w:val="18"/>
          <w:color w:val="auto"/>
        </w:rPr>
        <w:t>”). Notwithstanding anything to the contrary in the foregoing, the Tenant Improvements (as defined in the Work Letter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shall not be Required Removables but any alternates described in the “Plan” (as defined in the Work Letter attached hereto) installed at Tenant’s request shall be Required Removables. In connection with its removal of Required Removables, Tenant shall repair any damage to the Premises arising from that removal and shall restore the affected area to its pre-existing condition, reasonable wear and tear excepted.</w:t>
      </w:r>
    </w:p>
    <w:p>
      <w:pPr>
        <w:spacing w:after="0" w:line="192" w:lineRule="exact"/>
        <w:rPr>
          <w:sz w:val="20"/>
          <w:szCs w:val="20"/>
          <w:color w:val="auto"/>
        </w:rPr>
      </w:pPr>
    </w:p>
    <w:p>
      <w:pPr>
        <w:jc w:val="both"/>
        <w:ind w:firstLine="749"/>
        <w:spacing w:after="0"/>
        <w:rPr>
          <w:sz w:val="20"/>
          <w:szCs w:val="20"/>
          <w:color w:val="auto"/>
        </w:rPr>
      </w:pPr>
      <w:r>
        <w:rPr>
          <w:rFonts w:ascii="Arial" w:cs="Arial" w:eastAsia="Arial" w:hAnsi="Arial"/>
          <w:sz w:val="18"/>
          <w:szCs w:val="18"/>
          <w:b w:val="1"/>
          <w:bCs w:val="1"/>
          <w:color w:val="auto"/>
        </w:rPr>
        <w:t>7.4MECHANIC’S LIENS</w:t>
      </w:r>
      <w:r>
        <w:rPr>
          <w:rFonts w:ascii="Arial" w:cs="Arial" w:eastAsia="Arial" w:hAnsi="Arial"/>
          <w:sz w:val="18"/>
          <w:szCs w:val="18"/>
          <w:color w:val="auto"/>
        </w:rPr>
        <w:t>. Tenant shall keep the Premises free from any liens arising out of any work performed,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furnished, or obligations incurred by or for Tenant. In the event that Tenant shall not, within 15 days following the imposition of any lien, cause the lien to be released of record by payment or posting of a proper bond in accordance with California Civil Code Section 8424 or any successor statute, Landlord shall have, in addition to all other available remedies, the right to cause the lien to be released by any means it deems proper, including payment of or defense against the claim giving rise to the lien. All expenses so incurred by Landlord shall be reimbursed by Tenant promptly following Landlord’s demand. Tenant shall give Landlord no less than 20 days’ prior notice in writing before commencing construction of any kind on the Premises.</w:t>
      </w:r>
    </w:p>
    <w:p>
      <w:pPr>
        <w:spacing w:after="0" w:line="18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b w:val="1"/>
          <w:bCs w:val="1"/>
          <w:color w:val="auto"/>
        </w:rPr>
        <w:t>7.5ENTRY AND INSPECTION</w:t>
      </w:r>
      <w:r>
        <w:rPr>
          <w:rFonts w:ascii="Arial" w:cs="Arial" w:eastAsia="Arial" w:hAnsi="Arial"/>
          <w:sz w:val="18"/>
          <w:szCs w:val="18"/>
          <w:color w:val="auto"/>
        </w:rPr>
        <w:t>. Landlord shall at all reasonable times and with reasonable prior verbal notice, except in</w:t>
      </w:r>
      <w:r>
        <w:rPr>
          <w:rFonts w:ascii="Arial" w:cs="Arial" w:eastAsia="Arial" w:hAnsi="Arial"/>
          <w:sz w:val="18"/>
          <w:szCs w:val="18"/>
          <w:b w:val="1"/>
          <w:bCs w:val="1"/>
          <w:color w:val="auto"/>
        </w:rPr>
        <w:t xml:space="preserve"> </w:t>
      </w:r>
      <w:r>
        <w:rPr>
          <w:rFonts w:ascii="Arial" w:cs="Arial" w:eastAsia="Arial" w:hAnsi="Arial"/>
          <w:sz w:val="18"/>
          <w:szCs w:val="18"/>
          <w:color w:val="auto"/>
        </w:rPr>
        <w:t>emergencies or to provide Building services, have the right to enter the Premises to inspect them, to supply services in accordance with this Lease, to make repairs and renovations as reasonably deemed necessary by Landlord, and to submit the Premises to prospective or actual purchasers or encumbrance holders (or, during the final twelve months of the Term or when an uncured Default exists, to prospective tenants), all without being deemed to have caused an eviction of Tenant and without abatement of rent except as provided elsewhere in this Lease.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[INTENTIONALLY OMITTED]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9.ASSIGNMENT AND SUBLETTING</w:t>
      </w:r>
    </w:p>
    <w:p>
      <w:pPr>
        <w:spacing w:after="0" w:line="21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b w:val="1"/>
          <w:bCs w:val="1"/>
          <w:color w:val="auto"/>
        </w:rPr>
        <w:t xml:space="preserve">9.1RIGHTS OF PARTIES. </w:t>
      </w:r>
      <w:r>
        <w:rPr>
          <w:rFonts w:ascii="Arial" w:cs="Arial" w:eastAsia="Arial" w:hAnsi="Arial"/>
          <w:sz w:val="18"/>
          <w:szCs w:val="18"/>
          <w:color w:val="auto"/>
        </w:rPr>
        <w:t>Tenant shall not, directly or indirectly, assign, sublease, transfer or encumber any interest in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or allow any third party to use any portion of the Premises (collectively or individually, a “</w:t>
      </w:r>
      <w:r>
        <w:rPr>
          <w:rFonts w:ascii="Arial" w:cs="Arial" w:eastAsia="Arial" w:hAnsi="Arial"/>
          <w:sz w:val="18"/>
          <w:szCs w:val="18"/>
          <w:b w:val="1"/>
          <w:bCs w:val="1"/>
          <w:color w:val="auto"/>
        </w:rPr>
        <w:t>Transfer</w:t>
      </w:r>
      <w:r>
        <w:rPr>
          <w:rFonts w:ascii="Arial" w:cs="Arial" w:eastAsia="Arial" w:hAnsi="Arial"/>
          <w:sz w:val="18"/>
          <w:szCs w:val="18"/>
          <w:color w:val="auto"/>
        </w:rPr>
        <w:t>”) without the prior written consent of Landlord, which consent shall not be unreasonably withheld if Landlord does not exercise its recapture rights. Tenant agrees that it is not unreasonable for Landlord to withhold consent to a Transfer to a proposed assignee or subtenant who is an existing tenant or occupant of the Building or Project, except that Landlord will not enforce this restriction if it does not have sufficient available space to accommodate the proposed transferee, or to a prospective tenant with whom Landlord or Landlord’s affiliate has been actively negotiating within the prior 6 months. Any attempted Transfer in violation of this Article shall be a Default by Tenant and shall, at Landlord’s option, be void. Within 30 days after receipt of executed copies of the transfer documentation and such other information as Landlord may request, Landlord shall either: (a) consent to the Transfer by execution of a consent agreement in a form reasonably designated by Landlord; (b) refuse to consent to the Transfer; or (c) recapture the portion of the Premises that Tenant is proposing to Transfer. Tenant hereby waives the provisions of Section 1995.310 of the California Civil Code, or any similar or successor Laws, now or hereinafter in effect, and all other remedies, including, without limitation, any right at law or equity to terminate this Lease, on its own behalf and, to the extent permitted under all applicable laws, on behalf of the proposed transferee. In no event shall any Transfer release or relieve Tenant from any obligation under this Lease, as same may be amended. Tenant shall pay Landlord a review fee of $1,000.00 for Landlord’s review of any requested Transfer. Tenant shall pay Landlord, as additional Rent, 50% of all rent and other consideration which Tenant receives as a result of a Transfer that is in excess of the Rent payable to Landlord for the portion of the Premises and Term covered by the Transfer, after first deducting Tenant’s costs incurred in connection with the Transfer. For purposes herein, such transfer costs shall include all reasonable and customary expenses directly incurred by Tenant attributable to the Transfer, including brokerage fees, legal fees, construction costs, and Landlord’s review fee. If Tenant is in Default, Landlord may require that all sublease payments be made directly to Landlord, in which case Tenant shall receive a credit against Rent in the amount of Tenant’s share of payments received by Landlord.</w:t>
      </w:r>
    </w:p>
    <w:p>
      <w:pPr>
        <w:spacing w:after="0" w:line="19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b w:val="1"/>
          <w:bCs w:val="1"/>
          <w:color w:val="auto"/>
        </w:rPr>
        <w:t>9.2PERMITTED TRANSFER</w:t>
      </w:r>
      <w:r>
        <w:rPr>
          <w:rFonts w:ascii="Arial" w:cs="Arial" w:eastAsia="Arial" w:hAnsi="Arial"/>
          <w:sz w:val="18"/>
          <w:szCs w:val="18"/>
          <w:color w:val="auto"/>
        </w:rPr>
        <w:t>. Notwithstanding the foregoing, Tenant may assign this Lease to a successor to Tenant by merger,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or the purchase of substantially all of Tenant’s assets, or assign this Lease or sublet all or a portion of the Premises to an Affiliate (defined below), without the consent of Landlord, provided that all of the following conditions are satisfied (a “</w:t>
      </w:r>
      <w:r>
        <w:rPr>
          <w:rFonts w:ascii="Arial" w:cs="Arial" w:eastAsia="Arial" w:hAnsi="Arial"/>
          <w:sz w:val="18"/>
          <w:szCs w:val="18"/>
          <w:b w:val="1"/>
          <w:bCs w:val="1"/>
          <w:color w:val="auto"/>
        </w:rPr>
        <w:t>Permitted Transfer</w:t>
      </w:r>
      <w:r>
        <w:rPr>
          <w:rFonts w:ascii="Arial" w:cs="Arial" w:eastAsia="Arial" w:hAnsi="Arial"/>
          <w:sz w:val="18"/>
          <w:szCs w:val="18"/>
          <w:color w:val="auto"/>
        </w:rPr>
        <w:t>”):</w:t>
      </w:r>
    </w:p>
    <w:p>
      <w:pPr>
        <w:spacing w:after="0" w:line="1" w:lineRule="exact"/>
        <w:rPr>
          <w:sz w:val="20"/>
          <w:szCs w:val="20"/>
          <w:color w:val="auto"/>
        </w:rPr>
      </w:pPr>
    </w:p>
    <w:p>
      <w:pPr>
        <w:ind w:left="5520" w:right="2840" w:hanging="5512"/>
        <w:spacing w:after="0" w:line="543" w:lineRule="auto"/>
        <w:tabs>
          <w:tab w:leader="none" w:pos="2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Tenant is not then in Default hereunder; (ii) Tenant gives Landlord written notice prior to such Permitted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7" w:name="page78"/>
    <w:bookmarkEnd w:id="77"/>
    <w:p>
      <w:pPr>
        <w:jc w:val="both"/>
        <w:spacing w:after="0" w:line="254" w:lineRule="auto"/>
        <w:rPr>
          <w:sz w:val="20"/>
          <w:szCs w:val="20"/>
          <w:color w:val="auto"/>
        </w:rPr>
      </w:pPr>
      <w:r>
        <w:rPr>
          <w:rFonts w:ascii="Arial" w:cs="Arial" w:eastAsia="Arial" w:hAnsi="Arial"/>
          <w:sz w:val="18"/>
          <w:szCs w:val="18"/>
          <w:color w:val="auto"/>
        </w:rPr>
        <w:t>Transfer; and (iii) if Tenant ceases to exist as a going concern as a result of any merger or consolidation of Tenant or the sale of all or substantially all of the assets of Tenant, the resulting successor entity has a tangible net worth not less than the tangible net worth of Tenant immediately before the Permitted Transfer. “</w:t>
      </w:r>
      <w:r>
        <w:rPr>
          <w:rFonts w:ascii="Arial" w:cs="Arial" w:eastAsia="Arial" w:hAnsi="Arial"/>
          <w:sz w:val="18"/>
          <w:szCs w:val="18"/>
          <w:b w:val="1"/>
          <w:bCs w:val="1"/>
          <w:color w:val="auto"/>
        </w:rPr>
        <w:t>Affiliate</w:t>
      </w:r>
      <w:r>
        <w:rPr>
          <w:rFonts w:ascii="Arial" w:cs="Arial" w:eastAsia="Arial" w:hAnsi="Arial"/>
          <w:sz w:val="18"/>
          <w:szCs w:val="18"/>
          <w:color w:val="auto"/>
        </w:rPr>
        <w:t>” shall mean an entity controlled by, controlling or under common control with Tenant.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10.INSURANCE AND INDEMNITY</w:t>
      </w:r>
    </w:p>
    <w:p>
      <w:pPr>
        <w:spacing w:after="0" w:line="212"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8"/>
          <w:szCs w:val="18"/>
          <w:b w:val="1"/>
          <w:bCs w:val="1"/>
          <w:color w:val="auto"/>
        </w:rPr>
        <w:t>10.1TENANT’S INSURANCE</w:t>
      </w:r>
      <w:r>
        <w:rPr>
          <w:rFonts w:ascii="Arial" w:cs="Arial" w:eastAsia="Arial" w:hAnsi="Arial"/>
          <w:sz w:val="18"/>
          <w:szCs w:val="18"/>
          <w:color w:val="auto"/>
        </w:rPr>
        <w:t>. Tenant, at its sole cost and expense, shall provide and maintain in effect the insurance described in</w:t>
      </w:r>
      <w:r>
        <w:rPr>
          <w:rFonts w:ascii="Arial" w:cs="Arial" w:eastAsia="Arial" w:hAnsi="Arial"/>
          <w:sz w:val="18"/>
          <w:szCs w:val="18"/>
          <w:b w:val="1"/>
          <w:bCs w:val="1"/>
          <w:color w:val="auto"/>
        </w:rPr>
        <w:t xml:space="preserve"> Exhibit D</w:t>
      </w:r>
      <w:r>
        <w:rPr>
          <w:rFonts w:ascii="Arial" w:cs="Arial" w:eastAsia="Arial" w:hAnsi="Arial"/>
          <w:sz w:val="18"/>
          <w:szCs w:val="18"/>
          <w:color w:val="auto"/>
        </w:rPr>
        <w:t>. Evidence of that insurance must be delivered to Landlord prior to the Commencement Date.</w:t>
      </w:r>
    </w:p>
    <w:p>
      <w:pPr>
        <w:spacing w:after="0" w:line="12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7"/>
          <w:szCs w:val="17"/>
          <w:b w:val="1"/>
          <w:bCs w:val="1"/>
          <w:color w:val="auto"/>
        </w:rPr>
        <w:t>10.2TENANT’S INDEMNITY</w:t>
      </w:r>
      <w:r>
        <w:rPr>
          <w:rFonts w:ascii="Arial" w:cs="Arial" w:eastAsia="Arial" w:hAnsi="Arial"/>
          <w:sz w:val="17"/>
          <w:szCs w:val="17"/>
          <w:color w:val="auto"/>
        </w:rPr>
        <w:t>. To the fullest extent permitted by law, but subject to Section 10.4 below, Tenant shall defend,</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indemnify and hold harmless Landlord, Ground Lessor, and Landlord’s agents, employees, lenders, and affiliates, from and against any and all negligence, claims, liabilities, damages, costs or expenses including attorney’s fees and costs (collectively, “</w:t>
      </w:r>
      <w:r>
        <w:rPr>
          <w:rFonts w:ascii="Arial" w:cs="Arial" w:eastAsia="Arial" w:hAnsi="Arial"/>
          <w:sz w:val="17"/>
          <w:szCs w:val="17"/>
          <w:b w:val="1"/>
          <w:bCs w:val="1"/>
          <w:color w:val="auto"/>
        </w:rPr>
        <w:t>Costs</w:t>
      </w:r>
      <w:r>
        <w:rPr>
          <w:rFonts w:ascii="Arial" w:cs="Arial" w:eastAsia="Arial" w:hAnsi="Arial"/>
          <w:sz w:val="17"/>
          <w:szCs w:val="17"/>
          <w:color w:val="auto"/>
        </w:rPr>
        <w:t>”) arising either before or after the Commencement Date which arise from or related to or are caused by Tenant’s use or occupancy of the Premises, the Building or the Common Areas of the Project, or from the conduct of Tenant’s business, or from any activity, work, or thing done, permitted or suffered by Tenant or Tenant’s agents, employees, subtenants, vendors, contractors, invitees or licensees in or about the Premises, the Building or the Common Areas of the Project, or from any Default in the performance of any obligation on Tenant’s part to be performed under this Lease, or from any act, omission or negligence on the part of Tenant or Tenant’s agents, employees, subtenants, vendors, contractors, invitees or licensees. Landlord may, at its option, require Tenant to assume Landlord’s defense in any action covered by this Section 10.2 through counsel reasonably satisfactory to Landlord. Notwithstanding the foregoing, Tenant shall not be obligated to indemnify Landlord against any liability or expense to the extent it is ultimately determined that the same was caused by the negligence or willful misconduct of Landlord, its agents, contractors or employees. Tenant shall in all cases accept any tender of defense of any action or proceeding in which Landlord is named or made a party, within 14 days of the tender and shall, notwithstanding any allegations of negligence or willful misconduct on the part of Landlord, defend Landlord as provided herein until a final determination of negligence or willful misconduct is made. Costs shall also include all of Landlord’s attorneys’ fees, litigation costs, investigation costs and court costs and all other costs, expenses and liabilities incurred by Landlord or its counsel from the date Landlord first receives Notice that any claim or demand is to be made or may be made. Tenant shall also tender the action or proceeding to its insurer, and request coverage for its indemnity obligations to Landlord. For purposes of this Section 10.2, (a) “</w:t>
      </w:r>
      <w:r>
        <w:rPr>
          <w:rFonts w:ascii="Arial" w:cs="Arial" w:eastAsia="Arial" w:hAnsi="Arial"/>
          <w:sz w:val="17"/>
          <w:szCs w:val="17"/>
          <w:b w:val="1"/>
          <w:bCs w:val="1"/>
          <w:i w:val="1"/>
          <w:iCs w:val="1"/>
          <w:color w:val="auto"/>
        </w:rPr>
        <w:t>Landlord</w:t>
      </w:r>
      <w:r>
        <w:rPr>
          <w:rFonts w:ascii="Arial" w:cs="Arial" w:eastAsia="Arial" w:hAnsi="Arial"/>
          <w:sz w:val="17"/>
          <w:szCs w:val="17"/>
          <w:color w:val="auto"/>
        </w:rPr>
        <w:t>” includes Landlord and Landlord’s directors, officers, shareholders, members, agents and employees, and</w:t>
      </w:r>
    </w:p>
    <w:p>
      <w:pPr>
        <w:spacing w:after="0" w:line="2" w:lineRule="exact"/>
        <w:rPr>
          <w:sz w:val="20"/>
          <w:szCs w:val="20"/>
          <w:color w:val="auto"/>
        </w:rPr>
      </w:pPr>
    </w:p>
    <w:p>
      <w:pPr>
        <w:ind w:firstLine="8"/>
        <w:spacing w:after="0" w:line="246" w:lineRule="auto"/>
        <w:tabs>
          <w:tab w:leader="none" w:pos="292"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Tenant</w:t>
      </w:r>
      <w:r>
        <w:rPr>
          <w:rFonts w:ascii="Arial" w:cs="Arial" w:eastAsia="Arial" w:hAnsi="Arial"/>
          <w:sz w:val="18"/>
          <w:szCs w:val="18"/>
          <w:color w:val="auto"/>
        </w:rPr>
        <w:t>” includes Tenant and its directors, officers, shareholders, members, agents, contractors and employees. Tenant’s obligations under this Section 10.2 shall survive the termination of this Lease.</w:t>
      </w:r>
    </w:p>
    <w:p>
      <w:pPr>
        <w:spacing w:after="0" w:line="17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b w:val="1"/>
          <w:bCs w:val="1"/>
          <w:color w:val="auto"/>
        </w:rPr>
        <w:t>10.3WAIVER OF CLAIMS</w:t>
      </w:r>
      <w:r>
        <w:rPr>
          <w:rFonts w:ascii="Arial" w:cs="Arial" w:eastAsia="Arial" w:hAnsi="Arial"/>
          <w:sz w:val="18"/>
          <w:szCs w:val="18"/>
          <w:color w:val="auto"/>
        </w:rPr>
        <w:t>. Unless caused by the negligence or intentional misconduct of Landlord, its agents, employees or</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but subject to Section 10.4 below, Landlord shall not be liable to Tenant, its employees, agents and invitees, and Tenant hereby waives all claims against Landlord, its employees and agents for loss of or damage to any property, or any injury to any person, resulting from any condition including, but not limited to, acts or omissions (criminal or otherwise) of third parties and/or other tenants of the Project, or their agents, employees or invitees, fire, explosion, falling plaster, steam, gas, electricity, water or rain which may leak or flow from or into any part of the Premises or from the breakage, leakage, obstruction or other defects of the pipes, sprinklers, wires, appliances, plumbing, air conditioning, electrical works or other fixtures in the Building, whether the damage or injury results from conditions arising in the Premises or in other portions of the Building. Notwithstanding anything to the contrary contained in this Lease, in no event shall Landlord be liable for Tenant’s loss or interruption of business or income (including without limitation, Tenant’s consequential damages, lost profits or opportunity costs), or for interference with light or other similar intangible interests.</w:t>
      </w:r>
    </w:p>
    <w:p>
      <w:pPr>
        <w:spacing w:after="0" w:line="18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b w:val="1"/>
          <w:bCs w:val="1"/>
          <w:color w:val="auto"/>
        </w:rPr>
        <w:t>10.4WAIVER OF SUBROGATION</w:t>
      </w:r>
      <w:r>
        <w:rPr>
          <w:rFonts w:ascii="Arial" w:cs="Arial" w:eastAsia="Arial" w:hAnsi="Arial"/>
          <w:sz w:val="18"/>
          <w:szCs w:val="18"/>
          <w:color w:val="auto"/>
        </w:rPr>
        <w:t>. Landlord and Tenant waive all rights of recovery against the other on account of loss and</w:t>
      </w:r>
      <w:r>
        <w:rPr>
          <w:rFonts w:ascii="Arial" w:cs="Arial" w:eastAsia="Arial" w:hAnsi="Arial"/>
          <w:sz w:val="18"/>
          <w:szCs w:val="18"/>
          <w:b w:val="1"/>
          <w:bCs w:val="1"/>
          <w:color w:val="auto"/>
        </w:rPr>
        <w:t xml:space="preserve"> </w:t>
      </w:r>
      <w:r>
        <w:rPr>
          <w:rFonts w:ascii="Arial" w:cs="Arial" w:eastAsia="Arial" w:hAnsi="Arial"/>
          <w:sz w:val="18"/>
          <w:szCs w:val="18"/>
          <w:color w:val="auto"/>
        </w:rPr>
        <w:t>damage to the property of such waiving party to the extent that the waiving party is entitled to proceeds for such loss and damage under any property insurance policies carried or otherwise required to be carried by this Lease.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11.DAMAGE OR DESTRUCTION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11.1RESTORATION</w:t>
      </w:r>
      <w:r>
        <w:rPr>
          <w:rFonts w:ascii="Arial" w:cs="Arial" w:eastAsia="Arial" w:hAnsi="Arial"/>
          <w:sz w:val="18"/>
          <w:szCs w:val="18"/>
          <w:color w:val="auto"/>
        </w:rPr>
        <w:t>.</w:t>
      </w:r>
    </w:p>
    <w:p>
      <w:pPr>
        <w:spacing w:after="0" w:line="222" w:lineRule="exact"/>
        <w:rPr>
          <w:sz w:val="20"/>
          <w:szCs w:val="20"/>
          <w:color w:val="auto"/>
        </w:rPr>
      </w:pPr>
    </w:p>
    <w:p>
      <w:pPr>
        <w:jc w:val="both"/>
        <w:ind w:firstLine="1505"/>
        <w:spacing w:after="0" w:line="239" w:lineRule="auto"/>
        <w:tabs>
          <w:tab w:leader="none" w:pos="203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Building of which the Premises are a part is damaged as the result of an event of casualty, then subject to the provisions below, Landlord shall repair that damage as soon as reasonably possible unless Landlord reasonably determines that: (i) the Premises have been materially damaged and there is less than 1 year of the Term remaining on the date of the casualty; (ii) any Mortgagee (defined in Section 13.1) requires that the insurance proceeds be applied to the payment of the mortgage debt; or (iii) proceeds necessary to pay the full cost of the repair are not available from Landlord’s insurance, including without limitation earthquake insurance. Should Landlord elect not to repair the damage for one of the preceding reasons, Landlord shall so notify Tenant in the “Casualty Notice” (as defined below), and this Lease shall terminate as of the date of delivery of that notice.</w:t>
      </w:r>
    </w:p>
    <w:p>
      <w:pPr>
        <w:spacing w:after="0" w:line="190" w:lineRule="exact"/>
        <w:rPr>
          <w:rFonts w:ascii="Arial" w:cs="Arial" w:eastAsia="Arial" w:hAnsi="Arial"/>
          <w:sz w:val="18"/>
          <w:szCs w:val="18"/>
          <w:color w:val="auto"/>
        </w:rPr>
      </w:pPr>
    </w:p>
    <w:p>
      <w:pPr>
        <w:ind w:firstLine="1505"/>
        <w:spacing w:after="0" w:line="274" w:lineRule="auto"/>
        <w:tabs>
          <w:tab w:leader="none" w:pos="203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soon as reasonably practicable following the casualty event but not later than 60 days thereafter, Landlord shall notify Tenant in writing (“</w:t>
      </w:r>
      <w:r>
        <w:rPr>
          <w:rFonts w:ascii="Arial" w:cs="Arial" w:eastAsia="Arial" w:hAnsi="Arial"/>
          <w:sz w:val="18"/>
          <w:szCs w:val="18"/>
          <w:b w:val="1"/>
          <w:bCs w:val="1"/>
          <w:color w:val="auto"/>
        </w:rPr>
        <w:t>Casualty Notice</w:t>
      </w:r>
      <w:r>
        <w:rPr>
          <w:rFonts w:ascii="Arial" w:cs="Arial" w:eastAsia="Arial" w:hAnsi="Arial"/>
          <w:sz w:val="18"/>
          <w:szCs w:val="18"/>
          <w:color w:val="auto"/>
        </w:rPr>
        <w:t>”) of Landlord’s election, if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8" w:name="page79"/>
    <w:bookmarkEnd w:id="78"/>
    <w:p>
      <w:pPr>
        <w:jc w:val="both"/>
        <w:spacing w:after="0" w:line="243" w:lineRule="auto"/>
        <w:rPr>
          <w:sz w:val="20"/>
          <w:szCs w:val="20"/>
          <w:color w:val="auto"/>
        </w:rPr>
      </w:pPr>
      <w:r>
        <w:rPr>
          <w:rFonts w:ascii="Arial" w:cs="Arial" w:eastAsia="Arial" w:hAnsi="Arial"/>
          <w:sz w:val="18"/>
          <w:szCs w:val="18"/>
          <w:color w:val="auto"/>
        </w:rPr>
        <w:t>applicable, to terminate this Lease. If this Lease is not so terminated, the Casualty Notice shall set forth the anticipated period for repairing the casualty damage. If the anticipated repair period exceeds 270 days and if the damage is so extensive as to reasonably prevent Tenant’s substantial use and enjoyment of the Premises, then either party may elect to terminate this Lease by written notice to the other within 10 days following delivery of the Casualty Notice.</w:t>
      </w:r>
    </w:p>
    <w:p>
      <w:pPr>
        <w:spacing w:after="0" w:line="188" w:lineRule="exact"/>
        <w:rPr>
          <w:sz w:val="20"/>
          <w:szCs w:val="20"/>
          <w:color w:val="auto"/>
        </w:rPr>
      </w:pPr>
    </w:p>
    <w:p>
      <w:pPr>
        <w:jc w:val="both"/>
        <w:ind w:firstLine="1505"/>
        <w:spacing w:after="0" w:line="241" w:lineRule="auto"/>
        <w:tabs>
          <w:tab w:leader="none" w:pos="20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event that neither Landlord nor Tenant terminates this Lease pursuant to Section 11.1(b), Landlord shall repair all material damage to the Premises or the Building as soon as reasonably possible and this Lease shall continue in effect for the remainder of the Term. Upon notice from Landlord, Tenant shall assign or endorse over to Landlord (or to any party designated by Landlord) all property insurance proceeds payable to Tenant under Tenant’s insurance with respect to any Alterations. Within 15 days of demand, Tenant shall also pay Landlord for any additional excess costs that are determined during the performance of the repairs to such Alterations.</w:t>
      </w:r>
    </w:p>
    <w:p>
      <w:pPr>
        <w:spacing w:after="0" w:line="189"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From and after the day following the casualty event, the rental to be paid under this Lease shall be abated in the same proportion that the Floor Area of the Premises that is rendered unusable by the damage from time to time bears to the total Floor Area of the Premises.</w:t>
      </w:r>
    </w:p>
    <w:p>
      <w:pPr>
        <w:spacing w:after="0" w:line="184"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Notwithstanding the provisions of subsections (a), (b) and (c) of this Section 11.1, Tenant shall not be entitled to rental abatement or termination rights, if the damage is due to the gross negligence or willful misconduct of Tenant or its employees, subtenants, contractors, invitees or representatives.</w:t>
      </w:r>
    </w:p>
    <w:p>
      <w:pPr>
        <w:spacing w:after="0" w:line="17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b w:val="1"/>
          <w:bCs w:val="1"/>
          <w:color w:val="auto"/>
        </w:rPr>
        <w:t>11.2LEASE GOVERNS</w:t>
      </w:r>
      <w:r>
        <w:rPr>
          <w:rFonts w:ascii="Arial" w:cs="Arial" w:eastAsia="Arial" w:hAnsi="Arial"/>
          <w:sz w:val="18"/>
          <w:szCs w:val="18"/>
          <w:color w:val="auto"/>
        </w:rPr>
        <w:t>. Tenant agrees that the provisions of this Lease, including without limitation Section 11.1, shall govern any</w:t>
      </w:r>
      <w:r>
        <w:rPr>
          <w:rFonts w:ascii="Arial" w:cs="Arial" w:eastAsia="Arial" w:hAnsi="Arial"/>
          <w:sz w:val="18"/>
          <w:szCs w:val="18"/>
          <w:b w:val="1"/>
          <w:bCs w:val="1"/>
          <w:color w:val="auto"/>
        </w:rPr>
        <w:t xml:space="preserve"> </w:t>
      </w:r>
      <w:r>
        <w:rPr>
          <w:rFonts w:ascii="Arial" w:cs="Arial" w:eastAsia="Arial" w:hAnsi="Arial"/>
          <w:sz w:val="18"/>
          <w:szCs w:val="18"/>
          <w:color w:val="auto"/>
        </w:rPr>
        <w:t>damage or destruction and shall accordingly supersede any contrary statute or rule of law.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12.EMINENT DOMAIN</w:t>
      </w:r>
    </w:p>
    <w:p>
      <w:pPr>
        <w:spacing w:after="0" w:line="22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Either party may terminate this Lease if any material part of the Premises is taken or condemned for any public or quasi-public use under Law, by eminent domain or private purchase in lieu thereof (a “</w:t>
      </w:r>
      <w:r>
        <w:rPr>
          <w:rFonts w:ascii="Arial" w:cs="Arial" w:eastAsia="Arial" w:hAnsi="Arial"/>
          <w:sz w:val="18"/>
          <w:szCs w:val="18"/>
          <w:b w:val="1"/>
          <w:bCs w:val="1"/>
          <w:color w:val="auto"/>
        </w:rPr>
        <w:t>Taking</w:t>
      </w:r>
      <w:r>
        <w:rPr>
          <w:rFonts w:ascii="Arial" w:cs="Arial" w:eastAsia="Arial" w:hAnsi="Arial"/>
          <w:sz w:val="18"/>
          <w:szCs w:val="18"/>
          <w:color w:val="auto"/>
        </w:rPr>
        <w:t>”). Landlord shall also have the right to terminate this Lease if there is a Taking of any portion of the Building or Project which would have a material adverse effect on Landlord’s ability to profitably operate the remainder of the Building or Project. The termination shall be effective as of the effective date of any order granting possession to, or vesting legal title in, the condemning authority. All compensation awarded for a Taking shall be the property of Landlord. Tenant agrees that the provisions of this Lease shall govern any Taking and shall accordingly supersede any contrary statute or rule of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13.SUBORDINATION; ESTOPPEL CERTIFICATE</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b w:val="1"/>
          <w:bCs w:val="1"/>
          <w:color w:val="auto"/>
        </w:rPr>
        <w:t>13.1SUBORDINATION</w:t>
      </w:r>
      <w:r>
        <w:rPr>
          <w:rFonts w:ascii="Arial" w:cs="Arial" w:eastAsia="Arial" w:hAnsi="Arial"/>
          <w:sz w:val="18"/>
          <w:szCs w:val="18"/>
          <w:color w:val="auto"/>
        </w:rPr>
        <w:t>. Tenant accepts this Lease subject and subordinate to any mortgage(s), deed(s) of trust, ground lease(s)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lien(s) now or subsequently arising upon the Building or the Project, and to renewals, modifications, refinancings and extensions thereof (collectively referred to as a “</w:t>
      </w:r>
      <w:r>
        <w:rPr>
          <w:rFonts w:ascii="Arial" w:cs="Arial" w:eastAsia="Arial" w:hAnsi="Arial"/>
          <w:sz w:val="18"/>
          <w:szCs w:val="18"/>
          <w:b w:val="1"/>
          <w:bCs w:val="1"/>
          <w:color w:val="auto"/>
        </w:rPr>
        <w:t>Mortgage</w:t>
      </w:r>
      <w:r>
        <w:rPr>
          <w:rFonts w:ascii="Arial" w:cs="Arial" w:eastAsia="Arial" w:hAnsi="Arial"/>
          <w:sz w:val="18"/>
          <w:szCs w:val="18"/>
          <w:color w:val="auto"/>
        </w:rPr>
        <w:t>”). The party having the benefit of a Mortgage shall be referred to as a “</w:t>
      </w:r>
      <w:r>
        <w:rPr>
          <w:rFonts w:ascii="Arial" w:cs="Arial" w:eastAsia="Arial" w:hAnsi="Arial"/>
          <w:sz w:val="18"/>
          <w:szCs w:val="18"/>
          <w:b w:val="1"/>
          <w:bCs w:val="1"/>
          <w:color w:val="auto"/>
        </w:rPr>
        <w:t>Mortgagee</w:t>
      </w:r>
      <w:r>
        <w:rPr>
          <w:rFonts w:ascii="Arial" w:cs="Arial" w:eastAsia="Arial" w:hAnsi="Arial"/>
          <w:sz w:val="18"/>
          <w:szCs w:val="18"/>
          <w:color w:val="auto"/>
        </w:rPr>
        <w:t>.” This clause shall be self-operative, but upon request from a Mortgagee, Tenant shall execute a commercially reasonable subordination and attornment agreement in favor of the Mortgagee, provided such agreement provides a non-disturbance covenant benefitting Tenant. Alternatively, a Mortgagee shall have the right at any time to subordinate its Mortgage to this Lease. Upon request, Tenant, without charge, shall attorn to any successor to Landlord’s interest in this Lease in the event of a foreclosure of any Mortgage. Tenant agrees that any purchaser at a foreclosure sale or lender taking title under a deed in lieu of foreclosure shall not be responsible for any act or omission of a prior landlord, shall not be subject to any offsets or defenses Tenant may have against a prior landlord, and shall not be liable for the return of the Security Deposit not actually recovered by such purchaser nor bound by any rent paid in advance of the calendar month in which the transfer of title occurred; provided that the foregoing shall not release the applicable prior landlord from any liability for those obligations. Tenant acknowledges that Landlord’s Mortgagees and their successors-in-interest are intended third party beneficiaries of this Section 13.1.</w:t>
      </w:r>
    </w:p>
    <w:p>
      <w:pPr>
        <w:spacing w:after="0" w:line="18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b w:val="1"/>
          <w:bCs w:val="1"/>
          <w:color w:val="auto"/>
        </w:rPr>
        <w:t>13.2ESTOPPEL CERTIFICATE</w:t>
      </w:r>
      <w:r>
        <w:rPr>
          <w:rFonts w:ascii="Arial" w:cs="Arial" w:eastAsia="Arial" w:hAnsi="Arial"/>
          <w:sz w:val="18"/>
          <w:szCs w:val="18"/>
          <w:color w:val="auto"/>
        </w:rPr>
        <w:t>. Tenant shall, within 10 business days after receipt of a written request from Landlord,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a commercially reasonable estoppel certificate in favor of those parties as are reasonably requested by Landlord (including a Mortgagee or a prospective purchaser of the Building or the Project).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14.DEFAULTS AND REMEDIES</w:t>
      </w:r>
    </w:p>
    <w:p>
      <w:pPr>
        <w:spacing w:after="0" w:line="212"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8"/>
          <w:szCs w:val="18"/>
          <w:b w:val="1"/>
          <w:bCs w:val="1"/>
          <w:color w:val="auto"/>
        </w:rPr>
        <w:t>14.1TENANT’S DEFAULTS</w:t>
      </w:r>
      <w:r>
        <w:rPr>
          <w:rFonts w:ascii="Arial" w:cs="Arial" w:eastAsia="Arial" w:hAnsi="Arial"/>
          <w:sz w:val="18"/>
          <w:szCs w:val="18"/>
          <w:color w:val="auto"/>
        </w:rPr>
        <w:t>. In addition to any other event of default set forth in this Lease, the occurrence of any one or more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events shall constitute a “</w:t>
      </w:r>
      <w:r>
        <w:rPr>
          <w:rFonts w:ascii="Arial" w:cs="Arial" w:eastAsia="Arial" w:hAnsi="Arial"/>
          <w:sz w:val="18"/>
          <w:szCs w:val="18"/>
          <w:b w:val="1"/>
          <w:bCs w:val="1"/>
          <w:color w:val="auto"/>
        </w:rPr>
        <w:t>Default</w:t>
      </w:r>
      <w:r>
        <w:rPr>
          <w:rFonts w:ascii="Arial" w:cs="Arial" w:eastAsia="Arial" w:hAnsi="Arial"/>
          <w:sz w:val="18"/>
          <w:szCs w:val="18"/>
          <w:color w:val="auto"/>
        </w:rPr>
        <w:t>” by Tenant:</w:t>
      </w:r>
    </w:p>
    <w:p>
      <w:pPr>
        <w:spacing w:after="0" w:line="139" w:lineRule="exact"/>
        <w:rPr>
          <w:sz w:val="20"/>
          <w:szCs w:val="20"/>
          <w:color w:val="auto"/>
        </w:rPr>
      </w:pPr>
    </w:p>
    <w:p>
      <w:pPr>
        <w:jc w:val="both"/>
        <w:ind w:firstLine="1505"/>
        <w:spacing w:after="0" w:line="247" w:lineRule="auto"/>
        <w:tabs>
          <w:tab w:leader="none" w:pos="20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failure by Tenant to make any payment of Rent required to be made by Tenant, as and when due, where the failure continues for a period of 5 business days after written notice from Landlord to Tenant. The term “</w:t>
      </w:r>
      <w:r>
        <w:rPr>
          <w:rFonts w:ascii="Arial" w:cs="Arial" w:eastAsia="Arial" w:hAnsi="Arial"/>
          <w:sz w:val="18"/>
          <w:szCs w:val="18"/>
          <w:b w:val="1"/>
          <w:bCs w:val="1"/>
          <w:color w:val="auto"/>
        </w:rPr>
        <w:t>Rent</w:t>
      </w:r>
      <w:r>
        <w:rPr>
          <w:rFonts w:ascii="Arial" w:cs="Arial" w:eastAsia="Arial" w:hAnsi="Arial"/>
          <w:sz w:val="18"/>
          <w:szCs w:val="18"/>
          <w:color w:val="auto"/>
        </w:rPr>
        <w:t>” as used in this Lease shall be deemed to mean the Basic Rent and all other sums required to be paid by Tenant to Landlord pursuant to the terms of this Lease.</w:t>
      </w:r>
    </w:p>
    <w:p>
      <w:pPr>
        <w:spacing w:after="0" w:line="184" w:lineRule="exact"/>
        <w:rPr>
          <w:rFonts w:ascii="Arial" w:cs="Arial" w:eastAsia="Arial" w:hAnsi="Arial"/>
          <w:sz w:val="18"/>
          <w:szCs w:val="18"/>
          <w:color w:val="auto"/>
        </w:rPr>
      </w:pPr>
    </w:p>
    <w:p>
      <w:pPr>
        <w:ind w:firstLine="1505"/>
        <w:spacing w:after="0" w:line="260" w:lineRule="auto"/>
        <w:tabs>
          <w:tab w:leader="none" w:pos="20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where a specific time period is otherwise set forth for Tenant’s performance in this Lease (in which event the failure to perform by Tenant within such time period shall be a Default),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9" w:name="page80"/>
    <w:bookmarkEnd w:id="79"/>
    <w:p>
      <w:pPr>
        <w:jc w:val="both"/>
        <w:spacing w:after="0" w:line="247" w:lineRule="auto"/>
        <w:rPr>
          <w:sz w:val="20"/>
          <w:szCs w:val="20"/>
          <w:color w:val="auto"/>
        </w:rPr>
      </w:pPr>
      <w:r>
        <w:rPr>
          <w:rFonts w:ascii="Arial" w:cs="Arial" w:eastAsia="Arial" w:hAnsi="Arial"/>
          <w:sz w:val="18"/>
          <w:szCs w:val="18"/>
          <w:color w:val="auto"/>
        </w:rPr>
        <w:t>the failure or inability by Tenant to observe or perform any of the covenants or provisions of this Lease to be observed or performed by Tenant, other than as specified in any other subsection of this Section 14.1, where the failure continues for a period of 30 days after written notice from Landlord to Tenant.</w:t>
      </w:r>
    </w:p>
    <w:p>
      <w:pPr>
        <w:spacing w:after="0" w:line="18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notice periods provided herein are in lieu of, and not in addition to, any notice periods provided by law, and Landlord shall not be required to give any additional notice under California Code of Civil Procedure Section 1161, or any successor statute, in order to be entitled to commence an unlawful detainer proceeding.</w:t>
      </w:r>
    </w:p>
    <w:p>
      <w:pPr>
        <w:spacing w:after="0" w:line="17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b w:val="1"/>
          <w:bCs w:val="1"/>
          <w:color w:val="auto"/>
        </w:rPr>
        <w:t>14.2LANDLORD’S REMEDIES</w:t>
      </w:r>
      <w:r>
        <w:rPr>
          <w:rFonts w:ascii="Arial" w:cs="Arial" w:eastAsia="Arial" w:hAnsi="Arial"/>
          <w:sz w:val="18"/>
          <w:szCs w:val="18"/>
          <w:color w:val="auto"/>
        </w:rPr>
        <w:t>. In addition to all other rights or remedies of Landlord set forth in this Lease, if a Default occurs,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have all rights available to Landlord under California law, without further notice or demand to Tenant, including, without limitation, the right to terminate this Lease. In addition, Landlord has the remedy described in California Civil Code Section 1951.4 (Landlord may continue this Lease in effect after Tenant’s breach and abandonment and recover Rent as it becomes due, if Tenant has the right to sublet or assign, subject only to reasonable limitations). In any case in which Landlord re-enters and occupies the Premises, by unlawful detainer proceedings or otherwise, Landlord, at its option, may repair, alter, subdivide or change the character of the Premises as Landlord deems best, relet all or any part of the Premises and receive the rents therefor, and none of these actions shall constitute a termination of this Lease, a release of Tenant from any liability, or result in the release of any Guarantor. Landlord shall not be deemed to have terminated this Lease or the liability of Tenant to pay any Rent or other charges later becoming due by any re-entry of the Premises pursuant to this Section 14.2, or by any action in unlawful detainer or otherwise to obtain possession of the Premises, unless Landlord has first given Tenant notice that it is terminating this Lease. Any notice given by Landlord pursuant to Section 14.1 shall be in lieu of, and not in addition to, any notice required by Section 1161 of the California Code of Civil Procedure or superseding statute. Any payment of Rent following Landlord’s delivery of notice to Tenant pursuant to Section 14.1 shall not constitute acceptance of Rent. If Landlord elects to terminate this Lease pursuant to the provisions of this Section 14.2, damages shall include, without limitation, the remedy and measure of damages specified pursuant to California Civil Code Section 1951.2, which shall include the worth at the time of award of the amount by which the unpaid Rent for the balance of the Term after the time of award exceeds the amount of Rent loss Tenant proves could have been reasonably avoided.</w:t>
      </w:r>
    </w:p>
    <w:p>
      <w:pPr>
        <w:spacing w:after="0" w:line="18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b w:val="1"/>
          <w:bCs w:val="1"/>
          <w:color w:val="auto"/>
        </w:rPr>
        <w:t>14.3LATE PAYMENTS</w:t>
      </w:r>
      <w:r>
        <w:rPr>
          <w:rFonts w:ascii="Arial" w:cs="Arial" w:eastAsia="Arial" w:hAnsi="Arial"/>
          <w:sz w:val="18"/>
          <w:szCs w:val="18"/>
          <w:color w:val="auto"/>
        </w:rPr>
        <w:t>. Any Rent due under this Lease that is not paid to Landlord within 5 days of the date when due shall bear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at the maximum rate permitted by law from the date due until fully paid and if any Rent due from Tenant shall not be received by Landlord or Landlord’s designee within 5 days after the date due, then Tenant shall pay to Landlord, in addition to the interest, a late charge for each delinquent payment equal to the greater of (i) 5% of that delinquent payment or (ii) $100.00.</w:t>
      </w:r>
    </w:p>
    <w:p>
      <w:pPr>
        <w:spacing w:after="0" w:line="17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b w:val="1"/>
          <w:bCs w:val="1"/>
          <w:color w:val="auto"/>
        </w:rPr>
        <w:t>14.4DEFAULT BY LANDLORD</w:t>
      </w:r>
      <w:r>
        <w:rPr>
          <w:rFonts w:ascii="Arial" w:cs="Arial" w:eastAsia="Arial" w:hAnsi="Arial"/>
          <w:sz w:val="18"/>
          <w:szCs w:val="18"/>
          <w:color w:val="auto"/>
        </w:rPr>
        <w:t>. Landlord shall not be deemed to be in default in the performance of any obligation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unless and until it has failed to perform the obligation within 30 days after written notice by Tenant to Landlord specifying in reasonable detail the nature and extent of the failure; provided, however, that if the nature of Landlord’s obligation is such that more than 30 days are required for its performance, then Landlord shall not be deemed to be in default if it commences performance within the 30 day period and thereafter diligently pursues the cure to completion.</w:t>
      </w:r>
    </w:p>
    <w:p>
      <w:pPr>
        <w:spacing w:after="0" w:line="17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b w:val="1"/>
          <w:bCs w:val="1"/>
          <w:color w:val="auto"/>
        </w:rPr>
        <w:t>14.5EXPENSES AND LEGAL FEES</w:t>
      </w:r>
      <w:r>
        <w:rPr>
          <w:rFonts w:ascii="Arial" w:cs="Arial" w:eastAsia="Arial" w:hAnsi="Arial"/>
          <w:sz w:val="18"/>
          <w:szCs w:val="18"/>
          <w:color w:val="auto"/>
        </w:rPr>
        <w:t>. Should either Landlord or Tenant bring any action in connection with this Lease,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prevailing party shall be entitled to recover as a part of the action its reasonable attorneys’ fees, and all other reasonable costs. The prevailing party for the purpose of this paragraph shall be determined by the trier of the facts.</w:t>
      </w:r>
    </w:p>
    <w:p>
      <w:pPr>
        <w:spacing w:after="0" w:line="16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b w:val="1"/>
          <w:bCs w:val="1"/>
          <w:color w:val="auto"/>
        </w:rPr>
        <w:t>14.6JUDICIAL REFERENCE/ WAIVER OF JURY TRIAL</w:t>
      </w:r>
      <w:r>
        <w:rPr>
          <w:rFonts w:ascii="Arial" w:cs="Arial" w:eastAsia="Arial" w:hAnsi="Arial"/>
          <w:sz w:val="18"/>
          <w:szCs w:val="18"/>
          <w:color w:val="auto"/>
        </w:rPr>
        <w:t>. Landlord and Tenant agree that any disputes arising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(including but not limited to a determination of any and all of the issues in such dispute, whether of fact or of law) shall be resolved (and a decision shall be rendered) by way of a general reference as provided for in Part 2, Title 8, Chapter 6 (§§ 638 et. seq.) of the California Code of Civil Procedure, or any successor California statute governing resolution of disputes by a court appointed referee. Nothing within this Section 14.6 shall apply to an unlawful detainer action. LANDLORD AND TENANT EACH ACKNOWLEDGES THAT IT IS AWARE OF AND HAS HAD THE ADVICE OF COUNSEL OF ITS CHOICE WITH RESPECT TO ITS RIGHT TO TRIAL BY JURY, AND, TO THE EXTENT PERMITTED BY LAW, EACH PARTY DOES HEREBY EXPRESSLY AND KNOWINGLY WAIVE AND RELEASE ALL SUCH RIGHTS TO TRIAL BY JURY IN ANY ACTION, PROCEEDING OR COUNTERCLAIM ARISING OUT OF OR IN ANY WAY CONNECTED WITH THIS LEASE.</w:t>
      </w:r>
    </w:p>
    <w:p>
      <w:pPr>
        <w:spacing w:after="0" w:line="18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b w:val="1"/>
          <w:bCs w:val="1"/>
          <w:color w:val="auto"/>
        </w:rPr>
        <w:t>14.7SATISFACTION OF JUDGMENT</w:t>
      </w:r>
      <w:r>
        <w:rPr>
          <w:rFonts w:ascii="Arial" w:cs="Arial" w:eastAsia="Arial" w:hAnsi="Arial"/>
          <w:sz w:val="18"/>
          <w:szCs w:val="18"/>
          <w:color w:val="auto"/>
        </w:rPr>
        <w:t>. The obligations of Landlord do not constitute the personal obligations of the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trustees, directors, officers, members or shareholders of Landlord or its constituent partners or members. Should Tenant recover a money judgment against Landlord, such judgment shall be satisfied only from the interest of Landlord in the Project and out of the rent or other income from such property receivable by Landlord, and no action for any deficiency may be sought or obtained by Tenant.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15.END OF TERM</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b w:val="1"/>
          <w:bCs w:val="1"/>
          <w:color w:val="auto"/>
        </w:rPr>
        <w:t>15.1HOLDING OVER</w:t>
      </w:r>
      <w:r>
        <w:rPr>
          <w:rFonts w:ascii="Arial" w:cs="Arial" w:eastAsia="Arial" w:hAnsi="Arial"/>
          <w:sz w:val="18"/>
          <w:szCs w:val="18"/>
          <w:color w:val="auto"/>
        </w:rPr>
        <w:t>. If Tenant holds over for any period after the Expiration Date (or earlier termination of the Term), such</w:t>
      </w:r>
      <w:r>
        <w:rPr>
          <w:rFonts w:ascii="Arial" w:cs="Arial" w:eastAsia="Arial" w:hAnsi="Arial"/>
          <w:sz w:val="18"/>
          <w:szCs w:val="18"/>
          <w:b w:val="1"/>
          <w:bCs w:val="1"/>
          <w:color w:val="auto"/>
        </w:rPr>
        <w:t xml:space="preserve"> </w:t>
      </w:r>
      <w:r>
        <w:rPr>
          <w:rFonts w:ascii="Arial" w:cs="Arial" w:eastAsia="Arial" w:hAnsi="Arial"/>
          <w:sz w:val="18"/>
          <w:szCs w:val="18"/>
          <w:color w:val="auto"/>
        </w:rPr>
        <w:t>tenancy shall constitute a tenancy at sufferance only and possession shall be subject to all of the terms of this Lease, except that the monthly rental shall be 150% of the total monthly rental for the month immediately preceding the date of termination. The acceptance by Landlord of monthly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0" w:name="page81"/>
    <w:bookmarkEnd w:id="80"/>
    <w:p>
      <w:pPr>
        <w:jc w:val="both"/>
        <w:spacing w:after="0" w:line="241" w:lineRule="auto"/>
        <w:rPr>
          <w:sz w:val="20"/>
          <w:szCs w:val="20"/>
          <w:color w:val="auto"/>
        </w:rPr>
      </w:pPr>
      <w:r>
        <w:rPr>
          <w:rFonts w:ascii="Arial" w:cs="Arial" w:eastAsia="Arial" w:hAnsi="Arial"/>
          <w:sz w:val="18"/>
          <w:szCs w:val="18"/>
          <w:color w:val="auto"/>
        </w:rPr>
        <w:t>hold-over rental in a lesser amount shall not constitute a waiver of Landlord’s right to recover the full amount due unless otherwise agreed in writing by Landlord. If Tenant fails to surrender the Premises upon the expiration of this Lease despite demand to do so by Landlord, Tenant shall indemnify and hold Landlord harmless from all loss or liability, including without limitation, any claims made by any succeeding tenant relating to such failure to surrender. The foregoing provisions of this Section 15.1 are in addition to and do not affect Landlord’s right of re-entry or any other rights of Landlord under this Lease or at law.</w:t>
      </w:r>
    </w:p>
    <w:p>
      <w:pPr>
        <w:spacing w:after="0" w:line="17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b w:val="1"/>
          <w:bCs w:val="1"/>
          <w:color w:val="auto"/>
        </w:rPr>
        <w:t>15.2SURRENDER OF PREMISES; REMOVAL OF PROPERTY</w:t>
      </w:r>
      <w:r>
        <w:rPr>
          <w:rFonts w:ascii="Arial" w:cs="Arial" w:eastAsia="Arial" w:hAnsi="Arial"/>
          <w:sz w:val="18"/>
          <w:szCs w:val="18"/>
          <w:color w:val="auto"/>
        </w:rPr>
        <w:t>. Upon the Expiration Date or upon any earlier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Tenant shall quit and surrender possession of the Premises to Landlord in as good order, condition and repair as when received or as hereafter may be improved by Landlord or Tenant, reasonable wear and tear and repairs which are Landlord’s obligation excepted, and shall remove or fund to Landlord the cost of removing all wallpapering, voice and/or data transmission cabling installed by or for Tenant and Required Removables, together with all personal property and debris, and shall perform all work required under Section 7.3 of this Lease. If Tenant shall fail to comply with the provisions of this Section 15.2, and remove any personal property within 10 days following the expiration or earlier termination of this Lease, such personal property shall be conclusively deemed to have been abandoned, then Landlord may effect the removal and/or make any repairs, without notice and without incurring any liability to Tenant, and the cost to Landlord shall be additional rent payable by Tenant upon demand. Tenant hereby waives all rights under and benefits of Section 1993.03 of the California Civil Code, or any similar or successor laws now or hereafter in effect and authorizes Landlord to dispose of any personal property remaining at the Premises following the expiration or earlier termination of this Lease without further notice to Tenant.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16.PAYMENTS AND NOTICES</w:t>
      </w:r>
    </w:p>
    <w:p>
      <w:pPr>
        <w:spacing w:after="0" w:line="22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All sums payable by Tenant to Landlord shall be paid, without deduction or offset, in lawful money of the United States to Landlord at its address set forth in Item 12 of the Basic Lease Provisions, or at any other place as Landlord may designate in writing. Unless this Lease expressly provides otherwise, all payments shall be due and payable within 5 days after demand. All payments requiring proration shall be prorated on the basis of the number of days in the pertinent calendar month or year, as applicable. Any notice, election, demand, consent, approval or other communication to be given or other document to be delivered by either party to the other may be delivered to the other party, at the address set forth in Item 12 of the Basic Lease Provisions, by personal service or by any courier or “overnight” express mailing service. Either party may, by written notice to the other, served in the manner provided in this Article, designate a different address. The refusal to accept delivery of a notice, or the inability to deliver the notice (whether due to a change of address for which notice was not duly given or other good reason), shall be deemed delivery and receipt of the notice as of the date of attempted delivery. If more than one person or entity is named as Tenant under this Lease, service of any notice upon any one of them shall be deemed as service upon all of them.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17.RULES AND REGULATIONS</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 xml:space="preserve">Tenant agrees to comply with the Rules and Regulations attached as </w:t>
      </w:r>
      <w:r>
        <w:rPr>
          <w:rFonts w:ascii="Arial" w:cs="Arial" w:eastAsia="Arial" w:hAnsi="Arial"/>
          <w:sz w:val="18"/>
          <w:szCs w:val="18"/>
          <w:b w:val="1"/>
          <w:bCs w:val="1"/>
          <w:color w:val="auto"/>
        </w:rPr>
        <w:t>Exhibit E</w:t>
      </w:r>
      <w:r>
        <w:rPr>
          <w:rFonts w:ascii="Arial" w:cs="Arial" w:eastAsia="Arial" w:hAnsi="Arial"/>
          <w:sz w:val="18"/>
          <w:szCs w:val="18"/>
          <w:color w:val="auto"/>
        </w:rPr>
        <w:t>, and any reasonable and nondiscriminatory amendments, modifications and/or additions as may be adopted by Landlord from time to time.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18.BROKER</w:t>
      </w:r>
      <w:r>
        <w:rPr>
          <w:rFonts w:ascii="Arial" w:cs="Arial" w:eastAsia="Arial" w:hAnsi="Arial"/>
          <w:sz w:val="18"/>
          <w:szCs w:val="18"/>
          <w:color w:val="auto"/>
        </w:rPr>
        <w:t>’</w:t>
      </w:r>
      <w:r>
        <w:rPr>
          <w:rFonts w:ascii="Arial" w:cs="Arial" w:eastAsia="Arial" w:hAnsi="Arial"/>
          <w:sz w:val="18"/>
          <w:szCs w:val="18"/>
          <w:b w:val="1"/>
          <w:bCs w:val="1"/>
          <w:color w:val="auto"/>
        </w:rPr>
        <w:t>S COMMISSION</w:t>
      </w:r>
    </w:p>
    <w:p>
      <w:pPr>
        <w:spacing w:after="0" w:line="22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The parties recognize as the broker(s) who negotiated this Lease the firm(s) whose name(s) is (are) stated in Item 10 of the Basic Lease Provisions, and agree that Landlord shall be responsible for the payment of brokerage commissions to those broker(s) unless otherwise provided in this Lease. Tenant agrees to indemnify and hold Landlord harmless from any cost, expense or liability (including reasonable attorneys’ fees) for any compensation, commissions or charges claimed by any other real estate broker or agent employed or claiming to represent or to have been employed by Tenant in connection with the negotiation of this Lease.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19.TRANSFER OF LANDLORD</w:t>
      </w:r>
      <w:r>
        <w:rPr>
          <w:rFonts w:ascii="Arial" w:cs="Arial" w:eastAsia="Arial" w:hAnsi="Arial"/>
          <w:sz w:val="18"/>
          <w:szCs w:val="18"/>
          <w:color w:val="auto"/>
        </w:rPr>
        <w:t>’</w:t>
      </w:r>
      <w:r>
        <w:rPr>
          <w:rFonts w:ascii="Arial" w:cs="Arial" w:eastAsia="Arial" w:hAnsi="Arial"/>
          <w:sz w:val="18"/>
          <w:szCs w:val="18"/>
          <w:b w:val="1"/>
          <w:bCs w:val="1"/>
          <w:color w:val="auto"/>
        </w:rPr>
        <w:t>S INTEREST</w:t>
      </w:r>
    </w:p>
    <w:p>
      <w:pPr>
        <w:spacing w:after="0" w:line="22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Landlord shall have the right to transfer and assign, in whole or in part, all of its ownership interest, rights and obligations in the Building, Project or Lease, including the Security Deposit, and upon transfer Landlord shall be released from any further obligations hereunder, and Tenant agrees to look solely to the successor in interest of Landlord for the performance of such obligations and the return of any Security Deposit.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20.INTERPRETATION</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b w:val="1"/>
          <w:bCs w:val="1"/>
          <w:color w:val="auto"/>
        </w:rPr>
        <w:t>20.1JOINT AND SEVERAL LIABILITY</w:t>
      </w:r>
      <w:r>
        <w:rPr>
          <w:rFonts w:ascii="Arial" w:cs="Arial" w:eastAsia="Arial" w:hAnsi="Arial"/>
          <w:sz w:val="18"/>
          <w:szCs w:val="18"/>
          <w:color w:val="auto"/>
        </w:rPr>
        <w:t>. If more than one person or entity is named as Tenant, the obligations imposed upon each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joint and several and the act of or notice from, or notice or refund to, or the signature of, any one or more of them shall be binding on all of them with respect to the tenancy of this Lease, including, but not limited to, any renewal, extension, termination or modification of this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1" w:name="page82"/>
    <w:bookmarkEnd w:id="81"/>
    <w:p>
      <w:pPr>
        <w:jc w:val="both"/>
        <w:ind w:firstLine="749"/>
        <w:spacing w:after="0" w:line="271" w:lineRule="auto"/>
        <w:rPr>
          <w:sz w:val="20"/>
          <w:szCs w:val="20"/>
          <w:color w:val="auto"/>
        </w:rPr>
      </w:pPr>
      <w:r>
        <w:rPr>
          <w:rFonts w:ascii="Arial" w:cs="Arial" w:eastAsia="Arial" w:hAnsi="Arial"/>
          <w:sz w:val="18"/>
          <w:szCs w:val="18"/>
          <w:b w:val="1"/>
          <w:bCs w:val="1"/>
          <w:color w:val="auto"/>
        </w:rPr>
        <w:t>20.2SUCCESSORS</w:t>
      </w:r>
      <w:r>
        <w:rPr>
          <w:rFonts w:ascii="Arial" w:cs="Arial" w:eastAsia="Arial" w:hAnsi="Arial"/>
          <w:sz w:val="18"/>
          <w:szCs w:val="18"/>
          <w:color w:val="auto"/>
        </w:rPr>
        <w:t>. Subject to Sections 13.1 and 22.3 and to Articles 9 and 19 of this Lease, all rights and liabilities given to or</w:t>
      </w:r>
      <w:r>
        <w:rPr>
          <w:rFonts w:ascii="Arial" w:cs="Arial" w:eastAsia="Arial" w:hAnsi="Arial"/>
          <w:sz w:val="18"/>
          <w:szCs w:val="18"/>
          <w:b w:val="1"/>
          <w:bCs w:val="1"/>
          <w:color w:val="auto"/>
        </w:rPr>
        <w:t xml:space="preserve"> </w:t>
      </w:r>
      <w:r>
        <w:rPr>
          <w:rFonts w:ascii="Arial" w:cs="Arial" w:eastAsia="Arial" w:hAnsi="Arial"/>
          <w:sz w:val="18"/>
          <w:szCs w:val="18"/>
          <w:color w:val="auto"/>
        </w:rPr>
        <w:t>imposed upon Landlord and Tenant shall extend to and bind their respective heirs, executors, administrators, successors and assigns.</w:t>
      </w:r>
    </w:p>
    <w:p>
      <w:pPr>
        <w:spacing w:after="0" w:line="15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b w:val="1"/>
          <w:bCs w:val="1"/>
          <w:color w:val="auto"/>
        </w:rPr>
        <w:t>20.3TIME OF ESSENCE</w:t>
      </w:r>
      <w:r>
        <w:rPr>
          <w:rFonts w:ascii="Arial" w:cs="Arial" w:eastAsia="Arial" w:hAnsi="Arial"/>
          <w:sz w:val="18"/>
          <w:szCs w:val="18"/>
          <w:color w:val="auto"/>
        </w:rPr>
        <w:t>. Time is of the essence with respect to the performance of every provision of this Lease in which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is a factor.</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20.4CONTROLLING LAW</w:t>
      </w:r>
      <w:r>
        <w:rPr>
          <w:rFonts w:ascii="Arial" w:cs="Arial" w:eastAsia="Arial" w:hAnsi="Arial"/>
          <w:sz w:val="18"/>
          <w:szCs w:val="18"/>
          <w:color w:val="auto"/>
        </w:rPr>
        <w:t>. This Lease shall be governed by and interpreted in accordance with the laws of the State of California.</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b w:val="1"/>
          <w:bCs w:val="1"/>
          <w:color w:val="auto"/>
        </w:rPr>
        <w:t>20.5SEVERABILITY</w:t>
      </w:r>
      <w:r>
        <w:rPr>
          <w:rFonts w:ascii="Arial" w:cs="Arial" w:eastAsia="Arial" w:hAnsi="Arial"/>
          <w:sz w:val="18"/>
          <w:szCs w:val="18"/>
          <w:color w:val="auto"/>
        </w:rPr>
        <w:t>. If any term or provision of this Lease, the deletion of which would not adversely affect the receipt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benefit by either party or the deletion of which is consented to by the party adversely affected, shall be held invalid or unenforceable to any extent, the remainder of this Lease shall not be affected and each term and provision of this Lease shall be valid and enforceable to the fullest extent permitted by law.</w:t>
      </w:r>
    </w:p>
    <w:p>
      <w:pPr>
        <w:spacing w:after="0" w:line="17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b w:val="1"/>
          <w:bCs w:val="1"/>
          <w:color w:val="auto"/>
        </w:rPr>
        <w:t>20.6WAIVER</w:t>
      </w:r>
      <w:r>
        <w:rPr>
          <w:rFonts w:ascii="Arial" w:cs="Arial" w:eastAsia="Arial" w:hAnsi="Arial"/>
          <w:sz w:val="18"/>
          <w:szCs w:val="18"/>
          <w:color w:val="auto"/>
        </w:rPr>
        <w:t>. One or more waivers by Landlord or Tenant of any breach of any term, covenant or condition contained in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a waiver of any subsequent breach of the same or any other term, covenant or condition. Consent to any act by one of the parties shall not be deemed to render unnecessary the obtaining of that party’s consent to any subsequent act. No breach of this Lease shall be deemed to have been waived unless the waiver is in a writing signed by the waiving party.</w:t>
      </w:r>
    </w:p>
    <w:p>
      <w:pPr>
        <w:spacing w:after="0" w:line="17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b w:val="1"/>
          <w:bCs w:val="1"/>
          <w:color w:val="auto"/>
        </w:rPr>
        <w:t>20.7INABILITY TO PERFORM</w:t>
      </w:r>
      <w:r>
        <w:rPr>
          <w:rFonts w:ascii="Arial" w:cs="Arial" w:eastAsia="Arial" w:hAnsi="Arial"/>
          <w:sz w:val="18"/>
          <w:szCs w:val="18"/>
          <w:color w:val="auto"/>
        </w:rPr>
        <w:t>. In the event that either party shall be delayed or hindered in or prevented from the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work or in performing any act required under this Lease by reason of any cause beyond the reasonable control of that party, then the performance of the work or the doing of the act shall be excused for the period of the delay and the time for performance shall be extended for a period equivalent to the period of the delay. The provisions of this Section 20.7 shall not operate to excuse Tenant from the prompt payment of Rent.</w:t>
      </w:r>
    </w:p>
    <w:p>
      <w:pPr>
        <w:spacing w:after="0" w:line="17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b w:val="1"/>
          <w:bCs w:val="1"/>
          <w:color w:val="auto"/>
        </w:rPr>
        <w:t>20.8ENTIRE AGREEMENT</w:t>
      </w:r>
      <w:r>
        <w:rPr>
          <w:rFonts w:ascii="Arial" w:cs="Arial" w:eastAsia="Arial" w:hAnsi="Arial"/>
          <w:sz w:val="18"/>
          <w:szCs w:val="18"/>
          <w:color w:val="auto"/>
        </w:rPr>
        <w:t>. This Lease constitutes the entire agreement between the parties and supersedes all 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understandings related to the Premises. This Lease may be modified only by a written agreement signed by Landlord and Tenant.</w:t>
      </w:r>
    </w:p>
    <w:p>
      <w:pPr>
        <w:spacing w:after="0" w:line="15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b w:val="1"/>
          <w:bCs w:val="1"/>
          <w:color w:val="auto"/>
        </w:rPr>
        <w:t>20.9QUIET ENJOYMENT</w:t>
      </w:r>
      <w:r>
        <w:rPr>
          <w:rFonts w:ascii="Arial" w:cs="Arial" w:eastAsia="Arial" w:hAnsi="Arial"/>
          <w:sz w:val="18"/>
          <w:szCs w:val="18"/>
          <w:color w:val="auto"/>
        </w:rPr>
        <w:t>. Upon the observance and performance of all the covenants, terms and conditions on Tenant’s part to be</w:t>
      </w:r>
      <w:r>
        <w:rPr>
          <w:rFonts w:ascii="Arial" w:cs="Arial" w:eastAsia="Arial" w:hAnsi="Arial"/>
          <w:sz w:val="18"/>
          <w:szCs w:val="18"/>
          <w:b w:val="1"/>
          <w:bCs w:val="1"/>
          <w:color w:val="auto"/>
        </w:rPr>
        <w:t xml:space="preserve"> </w:t>
      </w:r>
      <w:r>
        <w:rPr>
          <w:rFonts w:ascii="Arial" w:cs="Arial" w:eastAsia="Arial" w:hAnsi="Arial"/>
          <w:sz w:val="18"/>
          <w:szCs w:val="18"/>
          <w:color w:val="auto"/>
        </w:rPr>
        <w:t>observed and performed, and subject to the other provisions of this Lease, Tenant shall have the right of quiet enjoyment and use of the Premises for the Term without hindrance or interruption by Landlord or any other person claiming by or through Landlord.</w:t>
      </w:r>
    </w:p>
    <w:p>
      <w:pPr>
        <w:spacing w:after="0" w:line="1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b w:val="1"/>
          <w:bCs w:val="1"/>
          <w:color w:val="auto"/>
        </w:rPr>
        <w:t>20.10SURVIVAL</w:t>
      </w:r>
      <w:r>
        <w:rPr>
          <w:rFonts w:ascii="Arial" w:cs="Arial" w:eastAsia="Arial" w:hAnsi="Arial"/>
          <w:sz w:val="18"/>
          <w:szCs w:val="18"/>
          <w:color w:val="auto"/>
        </w:rPr>
        <w:t>. All covenants of Landlord or Tenant which reasonably would be intended to survive the expiration or sooner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this Lease, including without limitation any warranty or indemnity hereunder, shall so survive and continue to be binding upon and inure to the benefit of the respective parties and their successors and assigns.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21.EXECUTION</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b w:val="1"/>
          <w:bCs w:val="1"/>
          <w:color w:val="auto"/>
        </w:rPr>
        <w:t>21.1COUNTERPARTS; DIGITAL SIGNATURES</w:t>
      </w:r>
      <w:r>
        <w:rPr>
          <w:rFonts w:ascii="Arial" w:cs="Arial" w:eastAsia="Arial" w:hAnsi="Arial"/>
          <w:sz w:val="18"/>
          <w:szCs w:val="18"/>
          <w:color w:val="auto"/>
        </w:rPr>
        <w:t>. This Lease may be executed in one or more counterparts, each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original and all of which shall be one and the same agreement. The parties agree to accept a digital image (including but not limited to an image in the form of a PDF, JPEG, GIF file, or other e-signature) of this Lease, if applicable, reflecting the execution of one or both of the parties, as a true and correct original.</w:t>
      </w:r>
    </w:p>
    <w:p>
      <w:pPr>
        <w:spacing w:after="0" w:line="17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b w:val="1"/>
          <w:bCs w:val="1"/>
          <w:color w:val="auto"/>
        </w:rPr>
        <w:t>21.2CORPORATE AND PARTNERSHIP AUTHORITY</w:t>
      </w:r>
      <w:r>
        <w:rPr>
          <w:rFonts w:ascii="Arial" w:cs="Arial" w:eastAsia="Arial" w:hAnsi="Arial"/>
          <w:sz w:val="18"/>
          <w:szCs w:val="18"/>
          <w:color w:val="auto"/>
        </w:rPr>
        <w:t>. Tenant and each individual executing this Lease represents and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Landlord, and agrees, that such individual executing this Lease on behalf of Tenant is authorized to do so on behalf of Tenant.</w:t>
      </w:r>
    </w:p>
    <w:p>
      <w:pPr>
        <w:spacing w:after="0" w:line="15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b w:val="1"/>
          <w:bCs w:val="1"/>
          <w:color w:val="auto"/>
        </w:rPr>
        <w:t xml:space="preserve">21.3EXECUTION OF LEASE; NO OPTION OR OFFER </w:t>
      </w:r>
      <w:r>
        <w:rPr>
          <w:rFonts w:ascii="Arial" w:cs="Arial" w:eastAsia="Arial" w:hAnsi="Arial"/>
          <w:sz w:val="18"/>
          <w:szCs w:val="18"/>
          <w:color w:val="auto"/>
        </w:rPr>
        <w:t>. The submission of this Lease to Tenant shall be for examination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only, and shall not constitute an offer to or option for Tenant to lease the Premises. Execution of this Lease by Tenant and its return to Landlord shall not be binding upon Landlord, notwithstanding any time interval, until Landlord has in fact executed and delivered this Lease to Tenant, it being intended that this Lease shall only become effective upon execution by Landlord and delivery of a fully executed counterpart to Tenant.</w:t>
      </w:r>
    </w:p>
    <w:p>
      <w:pPr>
        <w:spacing w:after="0" w:line="176" w:lineRule="exact"/>
        <w:rPr>
          <w:sz w:val="20"/>
          <w:szCs w:val="20"/>
          <w:color w:val="auto"/>
        </w:rPr>
      </w:pPr>
    </w:p>
    <w:p>
      <w:pPr>
        <w:jc w:val="both"/>
        <w:ind w:firstLine="749"/>
        <w:spacing w:after="0"/>
        <w:rPr>
          <w:sz w:val="20"/>
          <w:szCs w:val="20"/>
          <w:color w:val="auto"/>
        </w:rPr>
      </w:pPr>
      <w:r>
        <w:rPr>
          <w:rFonts w:ascii="Arial" w:cs="Arial" w:eastAsia="Arial" w:hAnsi="Arial"/>
          <w:sz w:val="18"/>
          <w:szCs w:val="18"/>
          <w:b w:val="1"/>
          <w:bCs w:val="1"/>
          <w:color w:val="auto"/>
        </w:rPr>
        <w:t>21.4BROKER DISCLOSURE</w:t>
      </w:r>
      <w:r>
        <w:rPr>
          <w:rFonts w:ascii="Arial" w:cs="Arial" w:eastAsia="Arial" w:hAnsi="Arial"/>
          <w:sz w:val="18"/>
          <w:szCs w:val="18"/>
          <w:color w:val="auto"/>
        </w:rPr>
        <w:t>. By the execution of this Lease, each of Landlord and Tenant hereby acknowledge and confirm (a)</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of a copy of a Disclosure Regarding Real Estate Agency Relationship conforming to the requirements of California Civil Code 2079.16, and (b) the agency relationships specified in Item 10 of the Basic Lease Provisions, which acknowledgement and confirmation is expressly made for the benefit of Tenant’s Broker identified in Item 10 of the Basic Lease Provisions. If there is no Tenant’s Broker so identified in Item 10 of the Basic Lease Provisions, then such acknowledgement and confirmation is expressly made for the benefit of Landlord’s Broker. By the execution of this Lease, Landlord and Tenant are executing the confirmation of the agency relationships set forth in Item 10 of the Basic Lease Provisions.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22.MISCELLANEOUS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82" w:name="page83"/>
    <w:bookmarkEnd w:id="82"/>
    <w:p>
      <w:pPr>
        <w:jc w:val="both"/>
        <w:ind w:firstLine="749"/>
        <w:spacing w:after="0" w:line="247" w:lineRule="auto"/>
        <w:rPr>
          <w:sz w:val="20"/>
          <w:szCs w:val="20"/>
          <w:color w:val="auto"/>
        </w:rPr>
      </w:pPr>
      <w:r>
        <w:rPr>
          <w:rFonts w:ascii="Arial" w:cs="Arial" w:eastAsia="Arial" w:hAnsi="Arial"/>
          <w:sz w:val="18"/>
          <w:szCs w:val="18"/>
          <w:b w:val="1"/>
          <w:bCs w:val="1"/>
          <w:color w:val="auto"/>
        </w:rPr>
        <w:t>22.1NONDISCLOSURE OF LEASE TERMS</w:t>
      </w:r>
      <w:r>
        <w:rPr>
          <w:rFonts w:ascii="Arial" w:cs="Arial" w:eastAsia="Arial" w:hAnsi="Arial"/>
          <w:sz w:val="18"/>
          <w:szCs w:val="18"/>
          <w:color w:val="auto"/>
        </w:rPr>
        <w:t>. Except to the extent disclosure is required by law, Tenant shall keep the content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and any related documents confidential and shall not disclose such confidential information to any person or entity other than Tenant’s financial, legal and space-planning consultants, provided, however, that Tenant may disclose the terms to prospective subtenants or assignees under this Lease or pursuant to legal requirement.</w:t>
      </w:r>
    </w:p>
    <w:p>
      <w:pPr>
        <w:spacing w:after="0" w:line="174"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b w:val="1"/>
          <w:bCs w:val="1"/>
          <w:color w:val="auto"/>
        </w:rPr>
        <w:t>22.2TENANT’S FINANCIAL STATEMENTS</w:t>
      </w:r>
      <w:r>
        <w:rPr>
          <w:rFonts w:ascii="Arial" w:cs="Arial" w:eastAsia="Arial" w:hAnsi="Arial"/>
          <w:sz w:val="18"/>
          <w:szCs w:val="18"/>
          <w:color w:val="auto"/>
        </w:rPr>
        <w:t>. The application, financial statements and tax returns, if any, submitted and certified to</w:t>
      </w:r>
      <w:r>
        <w:rPr>
          <w:rFonts w:ascii="Arial" w:cs="Arial" w:eastAsia="Arial" w:hAnsi="Arial"/>
          <w:sz w:val="18"/>
          <w:szCs w:val="18"/>
          <w:b w:val="1"/>
          <w:bCs w:val="1"/>
          <w:color w:val="auto"/>
        </w:rPr>
        <w:t xml:space="preserve"> </w:t>
      </w:r>
      <w:r>
        <w:rPr>
          <w:rFonts w:ascii="Arial" w:cs="Arial" w:eastAsia="Arial" w:hAnsi="Arial"/>
          <w:sz w:val="18"/>
          <w:szCs w:val="18"/>
          <w:color w:val="auto"/>
        </w:rPr>
        <w:t>by Tenant as an accurate representation of its financial condition have been prepared, certified and submitted to Landlord as an inducement and consideration to Landlord to enter into this Lease. Tenant shall during the Term furnish Landlord with current annual financial statements accurately reflecting Tenant’s financial condition upon written request from Landlord within 10 days following Landlord’s request; provided, however, that so long as Tenant is a publicly traded corporation on a nationally recognized stock exchange, the foregoing obligation to deliver the statements shall be waived.</w:t>
      </w:r>
    </w:p>
    <w:p>
      <w:pPr>
        <w:spacing w:after="0" w:line="179"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b w:val="1"/>
          <w:bCs w:val="1"/>
          <w:color w:val="auto"/>
        </w:rPr>
        <w:t>22.3MORTGAGEE PROTECTION</w:t>
      </w:r>
      <w:r>
        <w:rPr>
          <w:rFonts w:ascii="Arial" w:cs="Arial" w:eastAsia="Arial" w:hAnsi="Arial"/>
          <w:sz w:val="18"/>
          <w:szCs w:val="18"/>
          <w:color w:val="auto"/>
        </w:rPr>
        <w:t>. No act or failure to act on the part of Landlord which would otherwise entitle Tenant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relieved of its obligations hereunder or to terminate this Lease shall result in such a release or termination unless (a) Tenant has given notice by registered or certified mail to any Mortgagee of a Mortgage covering the Building whose address has been furnished to Tenant and (b) such Mortgagee is afforded a reasonable opportunity to cure the default by Landlord. Tenant shall comply with any written directions by any Mortgagee to pay Rent due hereunder directly to such Mortgagee without determining whether a default exists under such Mortgagee’s Mortgage.</w:t>
      </w:r>
    </w:p>
    <w:p>
      <w:pPr>
        <w:spacing w:after="0" w:line="17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b w:val="1"/>
          <w:bCs w:val="1"/>
          <w:color w:val="auto"/>
        </w:rPr>
        <w:t>22.4SDN LIST</w:t>
      </w:r>
      <w:r>
        <w:rPr>
          <w:rFonts w:ascii="Arial" w:cs="Arial" w:eastAsia="Arial" w:hAnsi="Arial"/>
          <w:sz w:val="18"/>
          <w:szCs w:val="18"/>
          <w:color w:val="auto"/>
        </w:rPr>
        <w:t>. Tenant hereby represents and warrants that neither Tenant nor any officer, director, employee, partner, member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principal of Tenant (collectively, “</w:t>
      </w:r>
      <w:r>
        <w:rPr>
          <w:rFonts w:ascii="Arial" w:cs="Arial" w:eastAsia="Arial" w:hAnsi="Arial"/>
          <w:sz w:val="18"/>
          <w:szCs w:val="18"/>
          <w:b w:val="1"/>
          <w:bCs w:val="1"/>
          <w:color w:val="auto"/>
        </w:rPr>
        <w:t>Tenant Parties</w:t>
      </w:r>
      <w:r>
        <w:rPr>
          <w:rFonts w:ascii="Arial" w:cs="Arial" w:eastAsia="Arial" w:hAnsi="Arial"/>
          <w:sz w:val="18"/>
          <w:szCs w:val="18"/>
          <w:color w:val="auto"/>
        </w:rPr>
        <w:t>”) is listed as a Specially Designated National and Blocked Person (“</w:t>
      </w:r>
      <w:r>
        <w:rPr>
          <w:rFonts w:ascii="Arial" w:cs="Arial" w:eastAsia="Arial" w:hAnsi="Arial"/>
          <w:sz w:val="18"/>
          <w:szCs w:val="18"/>
          <w:b w:val="1"/>
          <w:bCs w:val="1"/>
          <w:color w:val="auto"/>
        </w:rPr>
        <w:t>SDN</w:t>
      </w:r>
      <w:r>
        <w:rPr>
          <w:rFonts w:ascii="Arial" w:cs="Arial" w:eastAsia="Arial" w:hAnsi="Arial"/>
          <w:sz w:val="18"/>
          <w:szCs w:val="18"/>
          <w:color w:val="auto"/>
        </w:rPr>
        <w:t>”) on the list of such persons and entities issued by the U.S. Treasury Office of Foreign Assets Control (OFAC). In the event Tenant or any Tenant Party is or becomes listed as an SDN, Tenant shall be deemed in breach of this Lease and Landlord shall have the right to terminate this Lease immediately upon written notice to Tenant.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WITNESS WHEREOF, the parties have executed this Lease as of the day and year first above written.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360" w:type="dxa"/>
            <w:vAlign w:val="bottom"/>
          </w:tcPr>
          <w:p>
            <w:pPr>
              <w:ind w:left="100"/>
              <w:spacing w:after="0"/>
              <w:rPr>
                <w:sz w:val="20"/>
                <w:szCs w:val="20"/>
                <w:color w:val="auto"/>
              </w:rPr>
            </w:pPr>
            <w:r>
              <w:rPr>
                <w:rFonts w:ascii="Arial" w:cs="Arial" w:eastAsia="Arial" w:hAnsi="Arial"/>
                <w:sz w:val="18"/>
                <w:szCs w:val="18"/>
                <w:b w:val="1"/>
                <w:bCs w:val="1"/>
                <w:color w:val="auto"/>
              </w:rPr>
              <w:t>LANDLORD:</w:t>
            </w:r>
          </w:p>
        </w:tc>
        <w:tc>
          <w:tcPr>
            <w:tcW w:w="2320" w:type="dxa"/>
            <w:vAlign w:val="bottom"/>
          </w:tcPr>
          <w:p>
            <w:pPr>
              <w:ind w:left="1360"/>
              <w:spacing w:after="0"/>
              <w:rPr>
                <w:sz w:val="20"/>
                <w:szCs w:val="20"/>
                <w:color w:val="auto"/>
              </w:rPr>
            </w:pPr>
            <w:r>
              <w:rPr>
                <w:rFonts w:ascii="Arial" w:cs="Arial" w:eastAsia="Arial" w:hAnsi="Arial"/>
                <w:sz w:val="18"/>
                <w:szCs w:val="18"/>
                <w:b w:val="1"/>
                <w:bCs w:val="1"/>
                <w:color w:val="auto"/>
              </w:rPr>
              <w:t>TENANT:</w:t>
            </w:r>
          </w:p>
        </w:tc>
        <w:tc>
          <w:tcPr>
            <w:tcW w:w="4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7"/>
        </w:trPr>
        <w:tc>
          <w:tcPr>
            <w:tcW w:w="4360" w:type="dxa"/>
            <w:vAlign w:val="bottom"/>
          </w:tcPr>
          <w:p>
            <w:pPr>
              <w:ind w:left="100"/>
              <w:spacing w:after="0"/>
              <w:rPr>
                <w:sz w:val="20"/>
                <w:szCs w:val="20"/>
                <w:color w:val="auto"/>
              </w:rPr>
            </w:pPr>
            <w:r>
              <w:rPr>
                <w:rFonts w:ascii="Arial" w:cs="Arial" w:eastAsia="Arial" w:hAnsi="Arial"/>
                <w:sz w:val="18"/>
                <w:szCs w:val="18"/>
                <w:color w:val="auto"/>
              </w:rPr>
              <w:t>URP X LLC,</w:t>
            </w:r>
          </w:p>
        </w:tc>
        <w:tc>
          <w:tcPr>
            <w:tcW w:w="6880" w:type="dxa"/>
            <w:vAlign w:val="bottom"/>
            <w:gridSpan w:val="2"/>
          </w:tcPr>
          <w:p>
            <w:pPr>
              <w:ind w:left="1360"/>
              <w:spacing w:after="0"/>
              <w:rPr>
                <w:sz w:val="20"/>
                <w:szCs w:val="20"/>
                <w:color w:val="auto"/>
              </w:rPr>
            </w:pPr>
            <w:r>
              <w:rPr>
                <w:rFonts w:ascii="Arial" w:cs="Arial" w:eastAsia="Arial" w:hAnsi="Arial"/>
                <w:sz w:val="18"/>
                <w:szCs w:val="18"/>
                <w:color w:val="auto"/>
              </w:rPr>
              <w:t>AVITA MEDICAL, INC.,</w:t>
            </w:r>
          </w:p>
        </w:tc>
        <w:tc>
          <w:tcPr>
            <w:tcW w:w="0" w:type="dxa"/>
            <w:vAlign w:val="bottom"/>
          </w:tcPr>
          <w:p>
            <w:pPr>
              <w:spacing w:after="0"/>
              <w:rPr>
                <w:sz w:val="1"/>
                <w:szCs w:val="1"/>
                <w:color w:val="auto"/>
              </w:rPr>
            </w:pPr>
          </w:p>
        </w:tc>
      </w:tr>
      <w:tr>
        <w:trPr>
          <w:trHeight w:val="229"/>
        </w:trPr>
        <w:tc>
          <w:tcPr>
            <w:tcW w:w="4360" w:type="dxa"/>
            <w:vAlign w:val="bottom"/>
          </w:tcPr>
          <w:p>
            <w:pPr>
              <w:ind w:left="100"/>
              <w:spacing w:after="0"/>
              <w:rPr>
                <w:sz w:val="20"/>
                <w:szCs w:val="20"/>
                <w:color w:val="auto"/>
              </w:rPr>
            </w:pPr>
            <w:r>
              <w:rPr>
                <w:rFonts w:ascii="Arial" w:cs="Arial" w:eastAsia="Arial" w:hAnsi="Arial"/>
                <w:sz w:val="18"/>
                <w:szCs w:val="18"/>
                <w:color w:val="auto"/>
              </w:rPr>
              <w:t>a Delaware limited liability company</w:t>
            </w:r>
          </w:p>
        </w:tc>
        <w:tc>
          <w:tcPr>
            <w:tcW w:w="6880" w:type="dxa"/>
            <w:vAlign w:val="bottom"/>
            <w:gridSpan w:val="2"/>
          </w:tcPr>
          <w:p>
            <w:pPr>
              <w:ind w:left="1360"/>
              <w:spacing w:after="0"/>
              <w:rPr>
                <w:sz w:val="20"/>
                <w:szCs w:val="20"/>
                <w:color w:val="auto"/>
              </w:rPr>
            </w:pPr>
            <w:r>
              <w:rPr>
                <w:rFonts w:ascii="Arial" w:cs="Arial" w:eastAsia="Arial" w:hAnsi="Arial"/>
                <w:sz w:val="18"/>
                <w:szCs w:val="18"/>
                <w:color w:val="auto"/>
              </w:rPr>
              <w:t>a California corporation</w:t>
            </w:r>
          </w:p>
        </w:tc>
        <w:tc>
          <w:tcPr>
            <w:tcW w:w="0" w:type="dxa"/>
            <w:vAlign w:val="bottom"/>
          </w:tcPr>
          <w:p>
            <w:pPr>
              <w:spacing w:after="0"/>
              <w:rPr>
                <w:sz w:val="1"/>
                <w:szCs w:val="1"/>
                <w:color w:val="auto"/>
              </w:rPr>
            </w:pPr>
          </w:p>
        </w:tc>
      </w:tr>
      <w:tr>
        <w:trPr>
          <w:trHeight w:val="1323"/>
        </w:trPr>
        <w:tc>
          <w:tcPr>
            <w:tcW w:w="4360" w:type="dxa"/>
            <w:vAlign w:val="bottom"/>
          </w:tcPr>
          <w:p>
            <w:pPr>
              <w:ind w:left="100"/>
              <w:spacing w:after="0"/>
              <w:rPr>
                <w:sz w:val="20"/>
                <w:szCs w:val="20"/>
                <w:color w:val="auto"/>
              </w:rPr>
            </w:pPr>
            <w:r>
              <w:rPr>
                <w:rFonts w:ascii="Arial" w:cs="Arial" w:eastAsia="Arial" w:hAnsi="Arial"/>
                <w:sz w:val="18"/>
                <w:szCs w:val="18"/>
                <w:color w:val="auto"/>
              </w:rPr>
              <w:t>By:</w:t>
            </w:r>
          </w:p>
        </w:tc>
        <w:tc>
          <w:tcPr>
            <w:tcW w:w="2320" w:type="dxa"/>
            <w:vAlign w:val="bottom"/>
            <w:vMerge w:val="restart"/>
          </w:tcPr>
          <w:p>
            <w:pPr>
              <w:ind w:left="136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36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4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4360" w:type="dxa"/>
            <w:vAlign w:val="bottom"/>
          </w:tcPr>
          <w:p>
            <w:pPr>
              <w:ind w:left="340"/>
              <w:spacing w:after="0"/>
              <w:rPr>
                <w:sz w:val="20"/>
                <w:szCs w:val="20"/>
                <w:color w:val="auto"/>
              </w:rPr>
            </w:pPr>
            <w:r>
              <w:rPr>
                <w:rFonts w:ascii="Arial" w:cs="Arial" w:eastAsia="Arial" w:hAnsi="Arial"/>
                <w:sz w:val="18"/>
                <w:szCs w:val="18"/>
                <w:color w:val="auto"/>
              </w:rPr>
              <w:t>Steven M. Case</w:t>
            </w:r>
          </w:p>
        </w:tc>
        <w:tc>
          <w:tcPr>
            <w:tcW w:w="23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340"/>
              <w:spacing w:after="0" w:line="202" w:lineRule="exact"/>
              <w:rPr>
                <w:sz w:val="20"/>
                <w:szCs w:val="20"/>
                <w:color w:val="auto"/>
              </w:rPr>
            </w:pPr>
            <w:r>
              <w:rPr>
                <w:rFonts w:ascii="Arial" w:cs="Arial" w:eastAsia="Arial" w:hAnsi="Arial"/>
                <w:sz w:val="18"/>
                <w:szCs w:val="18"/>
                <w:color w:val="auto"/>
              </w:rPr>
              <w:t>Executive Vice President</w:t>
            </w:r>
          </w:p>
        </w:tc>
        <w:tc>
          <w:tcPr>
            <w:tcW w:w="6880" w:type="dxa"/>
            <w:vAlign w:val="bottom"/>
            <w:gridSpan w:val="2"/>
            <w:vMerge w:val="restart"/>
          </w:tcPr>
          <w:p>
            <w:pPr>
              <w:ind w:left="1360"/>
              <w:spacing w:after="0"/>
              <w:rPr>
                <w:sz w:val="20"/>
                <w:szCs w:val="20"/>
                <w:color w:val="auto"/>
              </w:rPr>
            </w:pPr>
            <w:r>
              <w:rPr>
                <w:rFonts w:ascii="Arial" w:cs="Arial" w:eastAsia="Arial" w:hAnsi="Arial"/>
                <w:sz w:val="18"/>
                <w:szCs w:val="18"/>
                <w:color w:val="auto"/>
              </w:rPr>
              <w:t xml:space="preserve">Printed Name: Jim Corbett  </w:t>
            </w:r>
            <w:r>
              <w:rPr>
                <w:rFonts w:ascii="Arial" w:cs="Arial" w:eastAsia="Arial" w:hAnsi="Arial"/>
                <w:sz w:val="18"/>
                <w:szCs w:val="18"/>
                <w:color w:val="FFFFFF"/>
              </w:rPr>
              <w:t>Jim</w:t>
            </w:r>
          </w:p>
        </w:tc>
        <w:tc>
          <w:tcPr>
            <w:tcW w:w="0" w:type="dxa"/>
            <w:vAlign w:val="bottom"/>
          </w:tcPr>
          <w:p>
            <w:pPr>
              <w:spacing w:after="0"/>
              <w:rPr>
                <w:sz w:val="1"/>
                <w:szCs w:val="1"/>
                <w:color w:val="auto"/>
              </w:rPr>
            </w:pPr>
          </w:p>
        </w:tc>
      </w:tr>
      <w:tr>
        <w:trPr>
          <w:trHeight w:val="68"/>
        </w:trPr>
        <w:tc>
          <w:tcPr>
            <w:tcW w:w="4360" w:type="dxa"/>
            <w:vAlign w:val="bottom"/>
            <w:vMerge w:val="restart"/>
          </w:tcPr>
          <w:p>
            <w:pPr>
              <w:ind w:left="340"/>
              <w:spacing w:after="0"/>
              <w:rPr>
                <w:sz w:val="20"/>
                <w:szCs w:val="20"/>
                <w:color w:val="auto"/>
              </w:rPr>
            </w:pPr>
            <w:r>
              <w:rPr>
                <w:rFonts w:ascii="Arial" w:cs="Arial" w:eastAsia="Arial" w:hAnsi="Arial"/>
                <w:sz w:val="18"/>
                <w:szCs w:val="18"/>
                <w:color w:val="auto"/>
              </w:rPr>
              <w:t>Office Properties</w:t>
            </w:r>
          </w:p>
        </w:tc>
        <w:tc>
          <w:tcPr>
            <w:tcW w:w="6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360" w:type="dxa"/>
            <w:vAlign w:val="bottom"/>
            <w:vMerge w:val="continue"/>
          </w:tcPr>
          <w:p>
            <w:pPr>
              <w:spacing w:after="0"/>
              <w:rPr>
                <w:sz w:val="14"/>
                <w:szCs w:val="14"/>
                <w:color w:val="auto"/>
              </w:rPr>
            </w:pPr>
          </w:p>
        </w:tc>
        <w:tc>
          <w:tcPr>
            <w:tcW w:w="2320" w:type="dxa"/>
            <w:vAlign w:val="bottom"/>
            <w:vMerge w:val="restart"/>
          </w:tcPr>
          <w:p>
            <w:pPr>
              <w:ind w:left="1360"/>
              <w:spacing w:after="0"/>
              <w:rPr>
                <w:sz w:val="20"/>
                <w:szCs w:val="20"/>
                <w:color w:val="auto"/>
              </w:rPr>
            </w:pPr>
            <w:r>
              <w:rPr>
                <w:rFonts w:ascii="Arial" w:cs="Arial" w:eastAsia="Arial" w:hAnsi="Arial"/>
                <w:sz w:val="18"/>
                <w:szCs w:val="18"/>
                <w:color w:val="auto"/>
              </w:rPr>
              <w:t>Title: CEO</w:t>
            </w:r>
          </w:p>
        </w:tc>
        <w:tc>
          <w:tcPr>
            <w:tcW w:w="4560" w:type="dxa"/>
            <w:vAlign w:val="bottom"/>
            <w:vMerge w:val="restart"/>
          </w:tcPr>
          <w:p>
            <w:pPr>
              <w:ind w:left="160"/>
              <w:spacing w:after="0"/>
              <w:rPr>
                <w:sz w:val="20"/>
                <w:szCs w:val="20"/>
                <w:color w:val="auto"/>
              </w:rPr>
            </w:pPr>
            <w:r>
              <w:rPr>
                <w:rFonts w:ascii="Arial" w:cs="Arial" w:eastAsia="Arial" w:hAnsi="Arial"/>
                <w:sz w:val="18"/>
                <w:szCs w:val="18"/>
                <w:color w:val="FFFFFF"/>
              </w:rPr>
              <w:t>C</w:t>
            </w:r>
          </w:p>
        </w:tc>
        <w:tc>
          <w:tcPr>
            <w:tcW w:w="0" w:type="dxa"/>
            <w:vAlign w:val="bottom"/>
          </w:tcPr>
          <w:p>
            <w:pPr>
              <w:spacing w:after="0"/>
              <w:rPr>
                <w:sz w:val="1"/>
                <w:szCs w:val="1"/>
                <w:color w:val="auto"/>
              </w:rPr>
            </w:pPr>
          </w:p>
        </w:tc>
      </w:tr>
      <w:tr>
        <w:trPr>
          <w:trHeight w:val="68"/>
        </w:trPr>
        <w:tc>
          <w:tcPr>
            <w:tcW w:w="436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4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9"/>
        </w:trPr>
        <w:tc>
          <w:tcPr>
            <w:tcW w:w="4360" w:type="dxa"/>
            <w:vAlign w:val="bottom"/>
          </w:tcPr>
          <w:p>
            <w:pPr>
              <w:ind w:left="100"/>
              <w:spacing w:after="0"/>
              <w:rPr>
                <w:sz w:val="20"/>
                <w:szCs w:val="20"/>
                <w:color w:val="auto"/>
              </w:rPr>
            </w:pPr>
            <w:r>
              <w:rPr>
                <w:rFonts w:ascii="Arial" w:cs="Arial" w:eastAsia="Arial" w:hAnsi="Arial"/>
                <w:sz w:val="18"/>
                <w:szCs w:val="18"/>
                <w:color w:val="auto"/>
              </w:rPr>
              <w:t>By:</w:t>
            </w:r>
          </w:p>
        </w:tc>
        <w:tc>
          <w:tcPr>
            <w:tcW w:w="2320" w:type="dxa"/>
            <w:vAlign w:val="bottom"/>
            <w:vMerge w:val="restart"/>
          </w:tcPr>
          <w:p>
            <w:pPr>
              <w:ind w:left="136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3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4360" w:type="dxa"/>
            <w:vAlign w:val="bottom"/>
          </w:tcPr>
          <w:p>
            <w:pPr>
              <w:ind w:left="340"/>
              <w:spacing w:after="0"/>
              <w:rPr>
                <w:sz w:val="20"/>
                <w:szCs w:val="20"/>
                <w:color w:val="auto"/>
              </w:rPr>
            </w:pPr>
            <w:r>
              <w:rPr>
                <w:rFonts w:ascii="Arial" w:cs="Arial" w:eastAsia="Arial" w:hAnsi="Arial"/>
                <w:sz w:val="18"/>
                <w:szCs w:val="18"/>
                <w:color w:val="auto"/>
              </w:rPr>
              <w:t>Stacy Nishioka</w:t>
            </w:r>
          </w:p>
        </w:tc>
        <w:tc>
          <w:tcPr>
            <w:tcW w:w="23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340"/>
              <w:spacing w:after="0" w:line="202" w:lineRule="exact"/>
              <w:rPr>
                <w:sz w:val="20"/>
                <w:szCs w:val="20"/>
                <w:color w:val="auto"/>
              </w:rPr>
            </w:pPr>
            <w:r>
              <w:rPr>
                <w:rFonts w:ascii="Arial" w:cs="Arial" w:eastAsia="Arial" w:hAnsi="Arial"/>
                <w:sz w:val="18"/>
                <w:szCs w:val="18"/>
                <w:color w:val="auto"/>
              </w:rPr>
              <w:t>Regional Vice President, Operations</w:t>
            </w:r>
          </w:p>
        </w:tc>
        <w:tc>
          <w:tcPr>
            <w:tcW w:w="6880" w:type="dxa"/>
            <w:vAlign w:val="bottom"/>
            <w:gridSpan w:val="2"/>
            <w:vMerge w:val="restart"/>
          </w:tcPr>
          <w:p>
            <w:pPr>
              <w:ind w:left="1360"/>
              <w:spacing w:after="0"/>
              <w:rPr>
                <w:sz w:val="20"/>
                <w:szCs w:val="20"/>
                <w:color w:val="auto"/>
              </w:rPr>
            </w:pPr>
            <w:r>
              <w:rPr>
                <w:rFonts w:ascii="Arial" w:cs="Arial" w:eastAsia="Arial" w:hAnsi="Arial"/>
                <w:sz w:val="18"/>
                <w:szCs w:val="18"/>
                <w:color w:val="auto"/>
              </w:rPr>
              <w:t>Printed Name: Sean Ekins</w:t>
            </w:r>
          </w:p>
        </w:tc>
        <w:tc>
          <w:tcPr>
            <w:tcW w:w="0" w:type="dxa"/>
            <w:vAlign w:val="bottom"/>
          </w:tcPr>
          <w:p>
            <w:pPr>
              <w:spacing w:after="0"/>
              <w:rPr>
                <w:sz w:val="1"/>
                <w:szCs w:val="1"/>
                <w:color w:val="auto"/>
              </w:rPr>
            </w:pPr>
          </w:p>
        </w:tc>
      </w:tr>
      <w:tr>
        <w:trPr>
          <w:trHeight w:val="108"/>
        </w:trPr>
        <w:tc>
          <w:tcPr>
            <w:tcW w:w="4360" w:type="dxa"/>
            <w:vAlign w:val="bottom"/>
            <w:vMerge w:val="restart"/>
          </w:tcPr>
          <w:p>
            <w:pPr>
              <w:ind w:left="340"/>
              <w:spacing w:after="0"/>
              <w:rPr>
                <w:sz w:val="20"/>
                <w:szCs w:val="20"/>
                <w:color w:val="auto"/>
              </w:rPr>
            </w:pPr>
            <w:r>
              <w:rPr>
                <w:rFonts w:ascii="Arial" w:cs="Arial" w:eastAsia="Arial" w:hAnsi="Arial"/>
                <w:sz w:val="18"/>
                <w:szCs w:val="18"/>
                <w:color w:val="auto"/>
              </w:rPr>
              <w:t>Office Properties</w:t>
            </w:r>
          </w:p>
        </w:tc>
        <w:tc>
          <w:tcPr>
            <w:tcW w:w="6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360" w:type="dxa"/>
            <w:vAlign w:val="bottom"/>
            <w:vMerge w:val="continue"/>
          </w:tcPr>
          <w:p>
            <w:pPr>
              <w:spacing w:after="0"/>
              <w:rPr>
                <w:sz w:val="10"/>
                <w:szCs w:val="10"/>
                <w:color w:val="auto"/>
              </w:rPr>
            </w:pPr>
          </w:p>
        </w:tc>
        <w:tc>
          <w:tcPr>
            <w:tcW w:w="2320" w:type="dxa"/>
            <w:vAlign w:val="bottom"/>
            <w:vMerge w:val="restart"/>
          </w:tcPr>
          <w:p>
            <w:pPr>
              <w:ind w:left="1360"/>
              <w:spacing w:after="0"/>
              <w:rPr>
                <w:sz w:val="20"/>
                <w:szCs w:val="20"/>
                <w:color w:val="auto"/>
              </w:rPr>
            </w:pPr>
            <w:r>
              <w:rPr>
                <w:rFonts w:ascii="Arial" w:cs="Arial" w:eastAsia="Arial" w:hAnsi="Arial"/>
                <w:sz w:val="18"/>
                <w:szCs w:val="18"/>
                <w:color w:val="auto"/>
              </w:rPr>
              <w:t>Title: CFO</w:t>
            </w:r>
          </w:p>
        </w:tc>
        <w:tc>
          <w:tcPr>
            <w:tcW w:w="4560" w:type="dxa"/>
            <w:vAlign w:val="bottom"/>
            <w:vMerge w:val="restart"/>
          </w:tcPr>
          <w:p>
            <w:pPr>
              <w:ind w:left="160"/>
              <w:spacing w:after="0"/>
              <w:rPr>
                <w:sz w:val="20"/>
                <w:szCs w:val="20"/>
                <w:color w:val="auto"/>
              </w:rPr>
            </w:pPr>
            <w:r>
              <w:rPr>
                <w:rFonts w:ascii="Arial" w:cs="Arial" w:eastAsia="Arial" w:hAnsi="Arial"/>
                <w:sz w:val="18"/>
                <w:szCs w:val="18"/>
                <w:color w:val="FFFFFF"/>
              </w:rPr>
              <w:t>C</w:t>
            </w:r>
          </w:p>
        </w:tc>
        <w:tc>
          <w:tcPr>
            <w:tcW w:w="0" w:type="dxa"/>
            <w:vAlign w:val="bottom"/>
          </w:tcPr>
          <w:p>
            <w:pPr>
              <w:spacing w:after="0"/>
              <w:rPr>
                <w:sz w:val="1"/>
                <w:szCs w:val="1"/>
                <w:color w:val="auto"/>
              </w:rPr>
            </w:pPr>
          </w:p>
        </w:tc>
      </w:tr>
      <w:tr>
        <w:trPr>
          <w:trHeight w:val="108"/>
        </w:trPr>
        <w:tc>
          <w:tcPr>
            <w:tcW w:w="436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4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9"/>
        </w:trPr>
        <w:tc>
          <w:tcPr>
            <w:tcW w:w="4360" w:type="dxa"/>
            <w:vAlign w:val="bottom"/>
          </w:tcPr>
          <w:p>
            <w:pPr>
              <w:spacing w:after="0"/>
              <w:rPr>
                <w:sz w:val="24"/>
                <w:szCs w:val="24"/>
                <w:color w:val="auto"/>
              </w:rPr>
            </w:pPr>
          </w:p>
        </w:tc>
        <w:tc>
          <w:tcPr>
            <w:tcW w:w="2320" w:type="dxa"/>
            <w:vAlign w:val="bottom"/>
          </w:tcPr>
          <w:p>
            <w:pPr>
              <w:ind w:left="1120"/>
              <w:spacing w:after="0"/>
              <w:rPr>
                <w:sz w:val="20"/>
                <w:szCs w:val="20"/>
                <w:color w:val="auto"/>
              </w:rPr>
            </w:pPr>
            <w:r>
              <w:rPr>
                <w:rFonts w:ascii="Arial" w:cs="Arial" w:eastAsia="Arial" w:hAnsi="Arial"/>
                <w:sz w:val="18"/>
                <w:szCs w:val="18"/>
                <w:color w:val="auto"/>
              </w:rPr>
              <w:t>-11-</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3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-3668395</wp:posOffset>
            </wp:positionV>
            <wp:extent cx="1577340" cy="6686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1577340" cy="6686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-3668395</wp:posOffset>
            </wp:positionV>
            <wp:extent cx="1440180" cy="7112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1440180" cy="71120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-2399665</wp:posOffset>
            </wp:positionV>
            <wp:extent cx="1414780" cy="5918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1414780" cy="59182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-2399665</wp:posOffset>
            </wp:positionV>
            <wp:extent cx="1285875" cy="660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1285875" cy="660400"/>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148590</wp:posOffset>
            </wp:positionV>
            <wp:extent cx="4920615" cy="5060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49206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5151 California Avenue</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2nd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1420495</wp:posOffset>
            </wp:positionV>
            <wp:extent cx="5349240" cy="26149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534924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190500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w:t>
      </w:r>
    </w:p>
    <w:p>
      <w:pPr>
        <w:spacing w:after="0" w:line="200" w:lineRule="exact"/>
        <w:rPr>
          <w:sz w:val="20"/>
          <w:szCs w:val="20"/>
          <w:color w:val="auto"/>
        </w:rPr>
      </w:pPr>
    </w:p>
    <w:p>
      <w:pPr>
        <w:jc w:val="both"/>
        <w:ind w:firstLine="757"/>
        <w:spacing w:after="0" w:line="236" w:lineRule="auto"/>
        <w:tabs>
          <w:tab w:leader="none" w:pos="1219" w:val="left"/>
        </w:tabs>
        <w:numPr>
          <w:ilvl w:val="0"/>
          <w:numId w:val="61"/>
        </w:numPr>
        <w:rPr>
          <w:rFonts w:ascii="Arial" w:cs="Arial" w:eastAsia="Arial" w:hAnsi="Arial"/>
          <w:sz w:val="18"/>
          <w:szCs w:val="18"/>
          <w:color w:val="auto"/>
        </w:rPr>
      </w:pPr>
      <w:r>
        <w:rPr>
          <w:rFonts w:ascii="Arial" w:cs="Arial" w:eastAsia="Arial" w:hAnsi="Arial"/>
          <w:sz w:val="18"/>
          <w:szCs w:val="18"/>
          <w:color w:val="auto"/>
        </w:rPr>
        <w:t>From and after the Commencement Date, Tenant shall pay to Landlord, as additional rent, Tenant’s Share of all Operating Expenses, as defined in Section (f) below, incurred by Landlord in the operation of the Building and the Project. The term “</w:t>
      </w:r>
      <w:r>
        <w:rPr>
          <w:rFonts w:ascii="Arial" w:cs="Arial" w:eastAsia="Arial" w:hAnsi="Arial"/>
          <w:sz w:val="18"/>
          <w:szCs w:val="18"/>
          <w:b w:val="1"/>
          <w:bCs w:val="1"/>
          <w:color w:val="auto"/>
        </w:rPr>
        <w:t>Tenant’s Share</w:t>
      </w:r>
      <w:r>
        <w:rPr>
          <w:rFonts w:ascii="Arial" w:cs="Arial" w:eastAsia="Arial" w:hAnsi="Arial"/>
          <w:sz w:val="18"/>
          <w:szCs w:val="18"/>
          <w:color w:val="auto"/>
        </w:rPr>
        <w:t>” means that portion of any Operating Expenses determined by multiplying the cost of such item by a fraction, the numerator of which is the Floor Area of Premises and the denominator of which is the total rentable square footage, as determined from time to time by Landlord, of (i) the Building, for expenses determined by Landlord to benefit or relate substantially to the Building rather than the entire Project, and (ii) all or some of the buildings in the Project, for expenses determined by Landlord to benefit or relate substantially to all or some of the buildings in the Project rather than any specific building. Landlord reserves the right to allocate to the entire Project any Operating Expenses which may benefit or substantially relate to a particular building within the Project in order to maintain greater consistency of Operating Expenses among buildings within the Project. In the event that Landlord determines that the Premises or the Building incur a non-proportional benefit from any expense, or is the non-proportional cause of any such expense, Landlord may allocate a greater percentage of such Operating Expense to the Premises or the Building. In the event that any management and/or overhead fee payable or imposed by Landlord for the management of Tenant’s Premises is calculated as a percentage of the rent payable by Tenant and other tenants of Landlord, then the full amount of such management and/or overhead fee which is attributable to the rent paid by Tenant shall be additional rent payable by Tenant, in full, provided, however, that Landlord may elect to include such full amount as part of Tenant’s Share of Operating Expenses.</w:t>
      </w:r>
    </w:p>
    <w:p>
      <w:pPr>
        <w:spacing w:after="0" w:line="191" w:lineRule="exact"/>
        <w:rPr>
          <w:rFonts w:ascii="Arial" w:cs="Arial" w:eastAsia="Arial" w:hAnsi="Arial"/>
          <w:sz w:val="18"/>
          <w:szCs w:val="18"/>
          <w:color w:val="auto"/>
        </w:rPr>
      </w:pPr>
    </w:p>
    <w:p>
      <w:pPr>
        <w:jc w:val="both"/>
        <w:ind w:firstLine="757"/>
        <w:spacing w:after="0" w:line="239" w:lineRule="auto"/>
        <w:tabs>
          <w:tab w:leader="none" w:pos="1219"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Commencing prior to the start of the first full “</w:t>
      </w:r>
      <w:r>
        <w:rPr>
          <w:rFonts w:ascii="Arial" w:cs="Arial" w:eastAsia="Arial" w:hAnsi="Arial"/>
          <w:sz w:val="18"/>
          <w:szCs w:val="18"/>
          <w:b w:val="1"/>
          <w:bCs w:val="1"/>
          <w:color w:val="auto"/>
        </w:rPr>
        <w:t>Expense Recovery Period</w:t>
      </w:r>
      <w:r>
        <w:rPr>
          <w:rFonts w:ascii="Arial" w:cs="Arial" w:eastAsia="Arial" w:hAnsi="Arial"/>
          <w:sz w:val="18"/>
          <w:szCs w:val="18"/>
          <w:color w:val="auto"/>
        </w:rPr>
        <w:t>” of the Lease (as defined in Item 7 of the Basic Lease Provisions), and prior to the start of each full or partial Expense Recovery Period thereafter, Landlord shall give Tenant a written estimate of the amount of Tenant’s Share of Operating Expenses for the applicable Expense Recovery Period. Tenant shall pay the estimated amounts to Landlord in equal monthly installments, in advance, concurrently with payments of Basic Rent. If Landlord has not furnished its written estimate for any Expense Recovery Period by the time set forth above, Tenant shall continue to pay monthly the estimated Tenant’s Share of Operating Expenses in effect during the prior Expense Recovery Period; provided that when the new estimate is delivered to Tenant, Tenant shall, at the next monthly payment date, pay any accrued estimated Tenant’s Share of Operating Expenses based upon the new estimate. Landlord may from time to time change the Expense Recovery Period to reflect a calendar year or a new fiscal year of Landlord, as applicable, in which event Tenant’s Share of Operating Expenses shall be equitably prorated for any partial year.</w:t>
      </w:r>
    </w:p>
    <w:p>
      <w:pPr>
        <w:spacing w:after="0" w:line="193" w:lineRule="exact"/>
        <w:rPr>
          <w:rFonts w:ascii="Arial" w:cs="Arial" w:eastAsia="Arial" w:hAnsi="Arial"/>
          <w:sz w:val="18"/>
          <w:szCs w:val="18"/>
          <w:color w:val="auto"/>
        </w:rPr>
      </w:pPr>
    </w:p>
    <w:p>
      <w:pPr>
        <w:jc w:val="both"/>
        <w:ind w:firstLine="757"/>
        <w:spacing w:after="0" w:line="237" w:lineRule="auto"/>
        <w:tabs>
          <w:tab w:leader="none" w:pos="1259"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Within 180 days after the end of each Expense Recovery Period, Landlord shall furnish to Tenant a statement (a “</w:t>
      </w:r>
      <w:r>
        <w:rPr>
          <w:rFonts w:ascii="Arial" w:cs="Arial" w:eastAsia="Arial" w:hAnsi="Arial"/>
          <w:sz w:val="18"/>
          <w:szCs w:val="18"/>
          <w:b w:val="1"/>
          <w:bCs w:val="1"/>
          <w:color w:val="auto"/>
        </w:rPr>
        <w:t>Reconciliation Statement</w:t>
      </w:r>
      <w:r>
        <w:rPr>
          <w:rFonts w:ascii="Arial" w:cs="Arial" w:eastAsia="Arial" w:hAnsi="Arial"/>
          <w:sz w:val="18"/>
          <w:szCs w:val="18"/>
          <w:color w:val="auto"/>
        </w:rPr>
        <w:t xml:space="preserve">”) showing in reasonable detail the actual or prorated Tenant’s Share of Operating Expenses incurred by Landlord during such Expense Recovery Period, and the parties shall within 30 days thereafter make any payment or allowance necessary to adjust Tenant’s estimated payments of Tenant’s Share of Operating Expenses, if any, to the actual Tenant’s Share of Operating Expenses as shown by the Reconciliation Statement. Any delay or failure by Landlord in delivering any Reconciliation Statement shall not constitute a waiver of Landlord’s right to require Tenant to pay Tenant’s Share of Operating Expenses pursuant hereto. Any amount due Tenant shall be credited against installments next coming due under this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and any deficiency shall be paid by Tenant together with the next installment. Should Tenant fail to object in writing to Landlord’s determination of Tenant’s Share of Operating Expenses within 90 days following delivery of Landlord’s Reconciliation Statement or fail to provide written notice to Landlord of its intent to audit Operating Expenses as provided in subsection (j) of this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below within 90 days following delivery of Landlord’s Reconciliation Statement, Landlord’s determination of Tenant’s Share of Operating Expenses for the applicable Expense Recovery Period shall be conclusive and binding on Tenant for all purposes and any future claims by Tenant to the contrary shall be barred.</w:t>
      </w:r>
    </w:p>
    <w:p>
      <w:pPr>
        <w:spacing w:after="0" w:line="193" w:lineRule="exact"/>
        <w:rPr>
          <w:rFonts w:ascii="Arial" w:cs="Arial" w:eastAsia="Arial" w:hAnsi="Arial"/>
          <w:sz w:val="18"/>
          <w:szCs w:val="18"/>
          <w:color w:val="auto"/>
        </w:rPr>
      </w:pPr>
    </w:p>
    <w:p>
      <w:pPr>
        <w:jc w:val="both"/>
        <w:ind w:firstLine="757"/>
        <w:spacing w:after="0" w:line="239" w:lineRule="auto"/>
        <w:tabs>
          <w:tab w:leader="none" w:pos="12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Even though this Lease has terminated and the Tenant has vacated the Premises, when the final determination is made of Tenant’s Share of Operating Expenses for the Expense Recovery Period in which this Lease terminates, Tenant shall within 30 days of written notice pay the entire increase over the estimated Tenant’s Share of Operating Expenses already paid. Conversely, any overpayment by Tenant shall be rebated by Landlord to Tenant not later than 30 days after such final determination. However, in lieu thereof, Landlord may deliver a reasonable estimate of the anticipated reconciliation amount to Tenant prior to the Expiration Date of the Term, in which event the appropriate party shall fund the amount by the Expiration Date.</w:t>
      </w:r>
    </w:p>
    <w:p>
      <w:pPr>
        <w:spacing w:after="0" w:line="194" w:lineRule="exact"/>
        <w:rPr>
          <w:rFonts w:ascii="Arial" w:cs="Arial" w:eastAsia="Arial" w:hAnsi="Arial"/>
          <w:sz w:val="18"/>
          <w:szCs w:val="18"/>
          <w:color w:val="auto"/>
        </w:rPr>
      </w:pPr>
    </w:p>
    <w:p>
      <w:pPr>
        <w:jc w:val="both"/>
        <w:ind w:firstLine="757"/>
        <w:spacing w:after="0" w:line="239" w:lineRule="auto"/>
        <w:tabs>
          <w:tab w:leader="none" w:pos="12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at any time during any Expense Recovery Period, any one or more of the Operating Expenses are increased to a rate(s) or amount(s) in excess of the rate(s) or amount(s) used in calculating the estimated Tenant’s Share of Operating Expenses for the year, then the estimate of Tenant’s Share of Operating Expenses may be increased by written notice from Landlord for the month in which such rate(s) or amount(s) becomes effective and for all succeeding months by an amount equal to the estimated amount of Tenant’s Share of the increase. Landlord shall give Tenant written notice of the amount or estimated amount of the increase, the month in which the increase will become effective, Tenant’s Share thereof and the months for which the payments are due. Tenant shall pay the increase to Landlord as part of the Tenant’s monthly payments of estimated expenses as provided in paragraph (b) above, commencing with the month in which effective.</w:t>
      </w:r>
    </w:p>
    <w:p>
      <w:pPr>
        <w:spacing w:after="0" w:line="23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EXHIBIT B</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5" w:name="page86"/>
    <w:bookmarkEnd w:id="85"/>
    <w:p>
      <w:pPr>
        <w:ind w:firstLine="757"/>
        <w:spacing w:after="0" w:line="271" w:lineRule="auto"/>
        <w:tabs>
          <w:tab w:leader="none" w:pos="122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Operating Expenses</w:t>
      </w:r>
      <w:r>
        <w:rPr>
          <w:rFonts w:ascii="Arial" w:cs="Arial" w:eastAsia="Arial" w:hAnsi="Arial"/>
          <w:sz w:val="18"/>
          <w:szCs w:val="18"/>
          <w:color w:val="auto"/>
        </w:rPr>
        <w:t>” shall mean and include all Project Costs, as defined in Section (g) below, and Property Taxes, as defined in Section (h) below.</w:t>
      </w:r>
    </w:p>
    <w:p>
      <w:pPr>
        <w:spacing w:after="0" w:line="153" w:lineRule="exact"/>
        <w:rPr>
          <w:rFonts w:ascii="Arial" w:cs="Arial" w:eastAsia="Arial" w:hAnsi="Arial"/>
          <w:sz w:val="18"/>
          <w:szCs w:val="18"/>
          <w:color w:val="auto"/>
        </w:rPr>
      </w:pPr>
    </w:p>
    <w:p>
      <w:pPr>
        <w:jc w:val="both"/>
        <w:ind w:firstLine="757"/>
        <w:spacing w:after="0" w:line="236" w:lineRule="auto"/>
        <w:tabs>
          <w:tab w:leader="none" w:pos="121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Project Costs</w:t>
      </w:r>
      <w:r>
        <w:rPr>
          <w:rFonts w:ascii="Arial" w:cs="Arial" w:eastAsia="Arial" w:hAnsi="Arial"/>
          <w:sz w:val="18"/>
          <w:szCs w:val="18"/>
          <w:color w:val="auto"/>
        </w:rPr>
        <w:t xml:space="preserve">” shall mean all expenses of operation, management, repair, replacement and maintenance of the Building and the Project, including without limitation all Common Areas (as defined in Section 6.2 of the Lease), and shall include the following charges by way of illustration but not limitation: water and sewer charges; insurance premiums, deductibles, or reasonable premium equivalents or deductible equivalents should Landlord elect to self-insure any risk that Landlord is authorized to insure hereunder; license, permit, and inspection fees; light; power; window washing; trash pickup; janitorial services to any interior Common Areas; heating, ventilating and air conditioning; supplies; materials; equipment; tools; reasonable fees for consulting services; access control/security costs, inclusive of the reasonable cost of improvements made to enhance access control systems and procedures; establishment of reasonable reserves for replacement of the roof of the Building; costs incurred in connection with compliance with any laws or changes in laws applicable to the Building or the Project; the cost of any capital improvements or replacements (other than tenant improvements for specific tenants) to the extent of the amortized amount thereof over the useful life of such capital improvements or replacements (or, if such capital improvements or replacements are anticipated to achieve a cost savings as to the Operating Expenses, any shorter estimated period of time over which the cost of the capital improvements or replacements would be recovered from the estimated cost savings) calculated at a market cost of funds, all as determined by Landlord, for each year of useful life or shorter recovery period of such capital expenditure whether such capital expenditure occurs during or prior to the Term, provided that such capital expenditures shall be limited to (1) improvements which are reasonably intended to increase or enhance building security and/or safety (such as lighting, life/fire safety systems, etc.), (2) repairs or replacements of the Building structure, Building systems or Common Areas for functional (and not aesthetic) reasons, (3) improvements required to comply with any law or change in law becoming effective as to the Building after the Commencement Date; and/or (4) expenditures incurred as a cost or labor saving measure or to affect other economies in the operation or maintenance of the Building or the Common Areas ; costs associated with the maintenance of an air conditioning, heating and ventilation service agreement, and maintenance of any communications or networked data transmission equipment, conduit, cabling, wiring and related telecommunications facilitating automation and control systems, remote telecommunication or data transmission infrastructure within the Building and/or the Project, and any other maintenance, repair and replacement costs associated with such infrastructure; capital costs associated with a requirement related to demands on utilities by Project tenants, including without limitation the cost to obtain additional voice, data and modem connections; labor; reasonably allocated wages and salaries, fringe benefits, and payroll taxes for administrative and other personnel directly applicable to the Building and/or Project, including both Landlord’s personnel and outside personnel; any expense incurred pursuant to Sections 6.1, 6.2, and 7.2 and </w:t>
      </w:r>
      <w:r>
        <w:rPr>
          <w:rFonts w:ascii="Arial" w:cs="Arial" w:eastAsia="Arial" w:hAnsi="Arial"/>
          <w:sz w:val="18"/>
          <w:szCs w:val="18"/>
          <w:b w:val="1"/>
          <w:bCs w:val="1"/>
          <w:color w:val="auto"/>
        </w:rPr>
        <w:t>Exhibits C</w:t>
      </w:r>
      <w:r>
        <w:rPr>
          <w:rFonts w:ascii="Arial" w:cs="Arial" w:eastAsia="Arial" w:hAnsi="Arial"/>
          <w:sz w:val="18"/>
          <w:szCs w:val="18"/>
          <w:color w:val="auto"/>
        </w:rPr>
        <w:t xml:space="preserve"> and </w:t>
      </w:r>
      <w:r>
        <w:rPr>
          <w:rFonts w:ascii="Arial" w:cs="Arial" w:eastAsia="Arial" w:hAnsi="Arial"/>
          <w:sz w:val="18"/>
          <w:szCs w:val="18"/>
          <w:b w:val="1"/>
          <w:bCs w:val="1"/>
          <w:color w:val="auto"/>
        </w:rPr>
        <w:t>F</w:t>
      </w:r>
      <w:r>
        <w:rPr>
          <w:rFonts w:ascii="Arial" w:cs="Arial" w:eastAsia="Arial" w:hAnsi="Arial"/>
          <w:sz w:val="18"/>
          <w:szCs w:val="18"/>
          <w:color w:val="auto"/>
        </w:rPr>
        <w:t xml:space="preserve"> of the Lease; and reasonable overhead and/or management fees for the professional operation of the Project. It is understood and agreed that Project Costs may include competitive charges for direct services (including, without limitation, management and/or operations services) provided by any subsidiary, division or affiliate of Landlord.</w:t>
      </w:r>
    </w:p>
    <w:p>
      <w:pPr>
        <w:spacing w:after="0" w:line="187" w:lineRule="exact"/>
        <w:rPr>
          <w:rFonts w:ascii="Arial" w:cs="Arial" w:eastAsia="Arial" w:hAnsi="Arial"/>
          <w:sz w:val="18"/>
          <w:szCs w:val="18"/>
          <w:color w:val="auto"/>
        </w:rPr>
      </w:pPr>
    </w:p>
    <w:p>
      <w:pPr>
        <w:jc w:val="both"/>
        <w:ind w:firstLine="757"/>
        <w:spacing w:after="0" w:line="238" w:lineRule="auto"/>
        <w:tabs>
          <w:tab w:leader="none" w:pos="122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Property Taxes</w:t>
      </w:r>
      <w:r>
        <w:rPr>
          <w:rFonts w:ascii="Arial" w:cs="Arial" w:eastAsia="Arial" w:hAnsi="Arial"/>
          <w:sz w:val="18"/>
          <w:szCs w:val="18"/>
          <w:color w:val="auto"/>
        </w:rPr>
        <w:t>” shall include any form of federal, state, county or local government or municipal taxes, fees, charges or other impositions of every kind (whether general, special, ordinary or extraordinary) related to the ownership, leasing or operation of the Premises, Building or Project, including without limitation, the following: (i) all real estate taxes or personal property taxes levied against the Premises, the Building or Project, as such property taxes may be reassessed from time to time; and (ii) other taxes, charges and assessments which are levied with respect to this Lease or to the Building and/or the Project, and any improvements, fixtures and equipment and other property of Landlord located in the Building and/or the Project, (iii) all assessments and fees for public improvements, services, and facilities and impacts thereon, including without limitation arising out of any Community Facilities Districts, “Mello Roos” districts, similar assessment districts, and any traffic impact mitigation assessments or fees; (iv) any tax, surcharge or assessment which shall be levied in addition to or in lieu of real estate or personal property taxes, and (v) taxes based on the receipt of rent (including gross receipts or sales taxes applicable to the receipt of rent), and (vi) costs and expenses incurred in contesting the amount or validity of any Property Tax by appropriate proceedings. Notwithstanding the foregoing, general net income or franchise taxes imposed against Landlord shall be excluded.</w:t>
      </w:r>
    </w:p>
    <w:p>
      <w:pPr>
        <w:spacing w:after="0" w:line="195" w:lineRule="exact"/>
        <w:rPr>
          <w:rFonts w:ascii="Arial" w:cs="Arial" w:eastAsia="Arial" w:hAnsi="Arial"/>
          <w:sz w:val="18"/>
          <w:szCs w:val="18"/>
          <w:color w:val="auto"/>
        </w:rPr>
      </w:pPr>
    </w:p>
    <w:p>
      <w:pPr>
        <w:ind w:left="1220" w:hanging="463"/>
        <w:spacing w:after="0"/>
        <w:tabs>
          <w:tab w:leader="none" w:pos="1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Notwithstanding anything to the contrary in the definition of Operating Expenses, Operating Expenses shall not include the</w:t>
      </w:r>
    </w:p>
    <w:p>
      <w:pPr>
        <w:spacing w:after="0" w:line="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following:</w:t>
      </w:r>
    </w:p>
    <w:p>
      <w:pPr>
        <w:spacing w:after="0" w:line="199" w:lineRule="exact"/>
        <w:rPr>
          <w:rFonts w:ascii="Arial" w:cs="Arial" w:eastAsia="Arial" w:hAnsi="Arial"/>
          <w:sz w:val="18"/>
          <w:szCs w:val="18"/>
          <w:color w:val="auto"/>
        </w:rPr>
      </w:pPr>
    </w:p>
    <w:p>
      <w:pPr>
        <w:ind w:left="2000" w:hanging="495"/>
        <w:spacing w:after="0"/>
        <w:tabs>
          <w:tab w:leader="none" w:pos="2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ground lease rental;</w:t>
      </w:r>
    </w:p>
    <w:p>
      <w:pPr>
        <w:spacing w:after="0" w:line="211" w:lineRule="exact"/>
        <w:rPr>
          <w:rFonts w:ascii="Arial" w:cs="Arial" w:eastAsia="Arial" w:hAnsi="Arial"/>
          <w:sz w:val="18"/>
          <w:szCs w:val="18"/>
          <w:color w:val="auto"/>
        </w:rPr>
      </w:pPr>
    </w:p>
    <w:p>
      <w:pPr>
        <w:jc w:val="both"/>
        <w:ind w:firstLine="1505"/>
        <w:spacing w:after="0" w:line="247" w:lineRule="auto"/>
        <w:tabs>
          <w:tab w:leader="none" w:pos="2012"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Costs incurred by Landlord with respect to goods and services (including utilities sold and supplied to tenants and occupants of the Building) to the extent that Landlord is reimbursed for such costs other than through the Operating Expense pass-through provisions of such tenants’ lease;</w:t>
      </w:r>
    </w:p>
    <w:p>
      <w:pPr>
        <w:spacing w:after="0" w:line="184" w:lineRule="exact"/>
        <w:rPr>
          <w:rFonts w:ascii="Arial" w:cs="Arial" w:eastAsia="Arial" w:hAnsi="Arial"/>
          <w:sz w:val="18"/>
          <w:szCs w:val="18"/>
          <w:color w:val="auto"/>
        </w:rPr>
      </w:pPr>
    </w:p>
    <w:p>
      <w:pPr>
        <w:jc w:val="both"/>
        <w:ind w:firstLine="1505"/>
        <w:spacing w:after="0" w:line="247" w:lineRule="auto"/>
        <w:tabs>
          <w:tab w:leader="none" w:pos="2033"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Costs incurred by Landlord for repairs, replacements and/or restoration to or of the Building to the extent that Landlord is reimbursed by insurance or condemnation proceeds or by tenants (other than through Operating Expense pass-throughs), warrantors or other third persons;</w:t>
      </w:r>
    </w:p>
    <w:p>
      <w:pPr>
        <w:spacing w:after="0" w:line="184" w:lineRule="exact"/>
        <w:rPr>
          <w:rFonts w:ascii="Arial" w:cs="Arial" w:eastAsia="Arial" w:hAnsi="Arial"/>
          <w:sz w:val="18"/>
          <w:szCs w:val="18"/>
          <w:color w:val="auto"/>
        </w:rPr>
      </w:pPr>
    </w:p>
    <w:p>
      <w:pPr>
        <w:ind w:firstLine="1505"/>
        <w:spacing w:after="0" w:line="260" w:lineRule="auto"/>
        <w:tabs>
          <w:tab w:leader="none" w:pos="2077"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Costs, including permit, license and inspection costs, incurred with respect to the installation of tenant improvements made for other tenants in the Building or incurred in renovating or</w:t>
      </w:r>
    </w:p>
    <w:p>
      <w:pPr>
        <w:spacing w:after="0" w:line="2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EXHIBIT B</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otherwise improving, decorating, painting or redecorating vacant space for tenants or other occupants of the Building;</w:t>
      </w:r>
    </w:p>
    <w:p>
      <w:pPr>
        <w:spacing w:after="0" w:line="212" w:lineRule="exact"/>
        <w:rPr>
          <w:sz w:val="20"/>
          <w:szCs w:val="20"/>
          <w:color w:val="auto"/>
        </w:rPr>
      </w:pPr>
    </w:p>
    <w:p>
      <w:pPr>
        <w:ind w:left="2000" w:hanging="495"/>
        <w:spacing w:after="0"/>
        <w:tabs>
          <w:tab w:leader="none" w:pos="20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Costs arising from Landlord’s charitable or political contributions;</w:t>
      </w:r>
    </w:p>
    <w:p>
      <w:pPr>
        <w:spacing w:after="0" w:line="211" w:lineRule="exact"/>
        <w:rPr>
          <w:rFonts w:ascii="Arial" w:cs="Arial" w:eastAsia="Arial" w:hAnsi="Arial"/>
          <w:sz w:val="18"/>
          <w:szCs w:val="18"/>
          <w:color w:val="auto"/>
        </w:rPr>
      </w:pPr>
    </w:p>
    <w:p>
      <w:pPr>
        <w:jc w:val="both"/>
        <w:ind w:firstLine="1505"/>
        <w:spacing w:after="0" w:line="243" w:lineRule="auto"/>
        <w:tabs>
          <w:tab w:leader="none" w:pos="2014" w:val="left"/>
        </w:tabs>
        <w:numPr>
          <w:ilvl w:val="1"/>
          <w:numId w:val="63"/>
        </w:numPr>
        <w:rPr>
          <w:rFonts w:ascii="Arial" w:cs="Arial" w:eastAsia="Arial" w:hAnsi="Arial"/>
          <w:sz w:val="18"/>
          <w:szCs w:val="18"/>
          <w:color w:val="auto"/>
        </w:rPr>
      </w:pPr>
      <w:r>
        <w:rPr>
          <w:rFonts w:ascii="Arial" w:cs="Arial" w:eastAsia="Arial" w:hAnsi="Arial"/>
          <w:sz w:val="18"/>
          <w:szCs w:val="18"/>
          <w:color w:val="auto"/>
        </w:rPr>
        <w:t>Attorneys’ fees and other costs and expenses incurred in connection with negotiations or disputes with present or prospective tenants or other occupants of the Building, except those attorneys’ fees and other costs and expenses incurred in connection with negotiations, disputes or claims relating to items of Operating Expenses, enforcement of rules and regulations of the Building and such other matters relating to the maintenance of standards required of Landlord under this Lease;</w:t>
      </w:r>
    </w:p>
    <w:p>
      <w:pPr>
        <w:spacing w:after="0" w:line="187" w:lineRule="exact"/>
        <w:rPr>
          <w:rFonts w:ascii="Arial" w:cs="Arial" w:eastAsia="Arial" w:hAnsi="Arial"/>
          <w:sz w:val="18"/>
          <w:szCs w:val="18"/>
          <w:color w:val="auto"/>
        </w:rPr>
      </w:pPr>
    </w:p>
    <w:p>
      <w:pPr>
        <w:ind w:firstLine="1505"/>
        <w:spacing w:after="0" w:line="260" w:lineRule="auto"/>
        <w:tabs>
          <w:tab w:leader="none" w:pos="2007" w:val="left"/>
        </w:tabs>
        <w:numPr>
          <w:ilvl w:val="1"/>
          <w:numId w:val="63"/>
        </w:numPr>
        <w:rPr>
          <w:rFonts w:ascii="Arial" w:cs="Arial" w:eastAsia="Arial" w:hAnsi="Arial"/>
          <w:sz w:val="18"/>
          <w:szCs w:val="18"/>
          <w:color w:val="auto"/>
        </w:rPr>
      </w:pPr>
      <w:r>
        <w:rPr>
          <w:rFonts w:ascii="Arial" w:cs="Arial" w:eastAsia="Arial" w:hAnsi="Arial"/>
          <w:sz w:val="18"/>
          <w:szCs w:val="18"/>
          <w:color w:val="auto"/>
        </w:rPr>
        <w:t>Brokers commissions, finders’ fees, attorneys’ fees, entertainment and travel expenses and other costs incurred by Landlord in leasing or attempting to lease space in the Building;</w:t>
      </w:r>
    </w:p>
    <w:p>
      <w:pPr>
        <w:spacing w:after="0" w:line="172" w:lineRule="exact"/>
        <w:rPr>
          <w:rFonts w:ascii="Arial" w:cs="Arial" w:eastAsia="Arial" w:hAnsi="Arial"/>
          <w:sz w:val="18"/>
          <w:szCs w:val="18"/>
          <w:color w:val="auto"/>
        </w:rPr>
      </w:pPr>
    </w:p>
    <w:p>
      <w:pPr>
        <w:ind w:firstLine="1505"/>
        <w:spacing w:after="0" w:line="260" w:lineRule="auto"/>
        <w:tabs>
          <w:tab w:leader="none" w:pos="2033" w:val="left"/>
        </w:tabs>
        <w:numPr>
          <w:ilvl w:val="1"/>
          <w:numId w:val="63"/>
        </w:numPr>
        <w:rPr>
          <w:rFonts w:ascii="Arial" w:cs="Arial" w:eastAsia="Arial" w:hAnsi="Arial"/>
          <w:sz w:val="18"/>
          <w:szCs w:val="18"/>
          <w:color w:val="auto"/>
        </w:rPr>
      </w:pPr>
      <w:r>
        <w:rPr>
          <w:rFonts w:ascii="Arial" w:cs="Arial" w:eastAsia="Arial" w:hAnsi="Arial"/>
          <w:sz w:val="18"/>
          <w:szCs w:val="18"/>
          <w:color w:val="auto"/>
        </w:rPr>
        <w:t>Expenses in connection with services or other benefits which are not offered to Tenant or for which Tenant is charged for directly but which are provided to another tenant or occupant of the Building;</w:t>
      </w:r>
    </w:p>
    <w:p>
      <w:pPr>
        <w:spacing w:after="0" w:line="172" w:lineRule="exact"/>
        <w:rPr>
          <w:rFonts w:ascii="Arial" w:cs="Arial" w:eastAsia="Arial" w:hAnsi="Arial"/>
          <w:sz w:val="18"/>
          <w:szCs w:val="18"/>
          <w:color w:val="auto"/>
        </w:rPr>
      </w:pPr>
    </w:p>
    <w:p>
      <w:pPr>
        <w:ind w:left="2000" w:hanging="495"/>
        <w:spacing w:after="0"/>
        <w:tabs>
          <w:tab w:leader="none" w:pos="20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Costs incurred by Landlord due to the violation by Landlord of any law, code, regulation, or ordinance;</w:t>
      </w:r>
    </w:p>
    <w:p>
      <w:pPr>
        <w:spacing w:after="0" w:line="211" w:lineRule="exact"/>
        <w:rPr>
          <w:rFonts w:ascii="Arial" w:cs="Arial" w:eastAsia="Arial" w:hAnsi="Arial"/>
          <w:sz w:val="18"/>
          <w:szCs w:val="18"/>
          <w:color w:val="auto"/>
        </w:rPr>
      </w:pPr>
    </w:p>
    <w:p>
      <w:pPr>
        <w:jc w:val="both"/>
        <w:ind w:firstLine="1505"/>
        <w:spacing w:after="0" w:line="247" w:lineRule="auto"/>
        <w:tabs>
          <w:tab w:leader="none" w:pos="2008" w:val="left"/>
        </w:tabs>
        <w:numPr>
          <w:ilvl w:val="1"/>
          <w:numId w:val="63"/>
        </w:numPr>
        <w:rPr>
          <w:rFonts w:ascii="Arial" w:cs="Arial" w:eastAsia="Arial" w:hAnsi="Arial"/>
          <w:sz w:val="18"/>
          <w:szCs w:val="18"/>
          <w:color w:val="auto"/>
        </w:rPr>
      </w:pPr>
      <w:r>
        <w:rPr>
          <w:rFonts w:ascii="Arial" w:cs="Arial" w:eastAsia="Arial" w:hAnsi="Arial"/>
          <w:sz w:val="18"/>
          <w:szCs w:val="18"/>
          <w:color w:val="auto"/>
        </w:rPr>
        <w:t>Overhead and profit increments paid to subsidiaries or affiliates of Landlord for services provided to the Building to the extent the same exceeds the costs that would generally be charged for such services if rendered on a competitive basis (based upon a standard of similar office buildings in the general market area of the Premises) by unaffiliated third parties capable of providing such service;</w:t>
      </w:r>
    </w:p>
    <w:p>
      <w:pPr>
        <w:spacing w:after="0" w:line="184" w:lineRule="exact"/>
        <w:rPr>
          <w:rFonts w:ascii="Arial" w:cs="Arial" w:eastAsia="Arial" w:hAnsi="Arial"/>
          <w:sz w:val="18"/>
          <w:szCs w:val="18"/>
          <w:color w:val="auto"/>
        </w:rPr>
      </w:pPr>
    </w:p>
    <w:p>
      <w:pPr>
        <w:ind w:left="2000" w:hanging="495"/>
        <w:spacing w:after="0"/>
        <w:tabs>
          <w:tab w:leader="none" w:pos="20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Interest on debt or amortization on any mortgage or mortgages encumbering the Building;</w:t>
      </w:r>
    </w:p>
    <w:p>
      <w:pPr>
        <w:spacing w:after="0" w:line="211" w:lineRule="exact"/>
        <w:rPr>
          <w:rFonts w:ascii="Arial" w:cs="Arial" w:eastAsia="Arial" w:hAnsi="Arial"/>
          <w:sz w:val="18"/>
          <w:szCs w:val="18"/>
          <w:color w:val="auto"/>
        </w:rPr>
      </w:pPr>
    </w:p>
    <w:p>
      <w:pPr>
        <w:ind w:firstLine="1505"/>
        <w:spacing w:after="0" w:line="260" w:lineRule="auto"/>
        <w:tabs>
          <w:tab w:leader="none" w:pos="20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Landlord’s general corporate overhead, except as it relates to the specific management, operation, repair, replacement and maintenance of the Building or Project;</w:t>
      </w:r>
    </w:p>
    <w:p>
      <w:pPr>
        <w:spacing w:after="0" w:line="172" w:lineRule="exact"/>
        <w:rPr>
          <w:rFonts w:ascii="Arial" w:cs="Arial" w:eastAsia="Arial" w:hAnsi="Arial"/>
          <w:sz w:val="18"/>
          <w:szCs w:val="18"/>
          <w:color w:val="auto"/>
        </w:rPr>
      </w:pPr>
    </w:p>
    <w:p>
      <w:pPr>
        <w:ind w:left="2020" w:hanging="515"/>
        <w:spacing w:after="0"/>
        <w:tabs>
          <w:tab w:leader="none" w:pos="2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Costs of installing the initial landscaping and the initial sculpture, paintings and objects of art for the Building and</w:t>
      </w:r>
    </w:p>
    <w:p>
      <w:pPr>
        <w:spacing w:after="0" w:line="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Project;</w:t>
      </w:r>
    </w:p>
    <w:p>
      <w:pPr>
        <w:spacing w:after="0" w:line="199" w:lineRule="exact"/>
        <w:rPr>
          <w:rFonts w:ascii="Arial" w:cs="Arial" w:eastAsia="Arial" w:hAnsi="Arial"/>
          <w:sz w:val="18"/>
          <w:szCs w:val="18"/>
          <w:color w:val="auto"/>
        </w:rPr>
      </w:pPr>
    </w:p>
    <w:p>
      <w:pPr>
        <w:ind w:left="2000" w:hanging="495"/>
        <w:spacing w:after="0"/>
        <w:tabs>
          <w:tab w:leader="none" w:pos="20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Advertising expenditures;</w:t>
      </w:r>
    </w:p>
    <w:p>
      <w:pPr>
        <w:spacing w:after="0" w:line="211" w:lineRule="exact"/>
        <w:rPr>
          <w:rFonts w:ascii="Arial" w:cs="Arial" w:eastAsia="Arial" w:hAnsi="Arial"/>
          <w:sz w:val="18"/>
          <w:szCs w:val="18"/>
          <w:color w:val="auto"/>
        </w:rPr>
      </w:pPr>
    </w:p>
    <w:p>
      <w:pPr>
        <w:ind w:left="2000" w:hanging="495"/>
        <w:spacing w:after="0"/>
        <w:tabs>
          <w:tab w:leader="none" w:pos="20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bad debt loss, rent loss, or reserves for bad debts or rent loss;</w:t>
      </w:r>
    </w:p>
    <w:p>
      <w:pPr>
        <w:spacing w:after="0" w:line="211" w:lineRule="exact"/>
        <w:rPr>
          <w:rFonts w:ascii="Arial" w:cs="Arial" w:eastAsia="Arial" w:hAnsi="Arial"/>
          <w:sz w:val="18"/>
          <w:szCs w:val="18"/>
          <w:color w:val="auto"/>
        </w:rPr>
      </w:pPr>
    </w:p>
    <w:p>
      <w:pPr>
        <w:jc w:val="both"/>
        <w:ind w:firstLine="1505"/>
        <w:spacing w:after="0" w:line="239" w:lineRule="auto"/>
        <w:tabs>
          <w:tab w:leader="none" w:pos="2013"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Costs associated with the operation of the business of the partnership or entity which constitutes the Landlord, as the same are distinguished from the costs of the operation, management, repair, replacement and maintenance of the Project, including partnership accounting and legal matters, costs of defending any lawsuits with any mortgagee (except as the actions of Tenant may be in issue), costs of selling, syndicating, financing, mortgaging or hypothecating any of Landlord’s interest in the Project, and costs incurred in connection with any disputes between Landlord and its employees, between Landlord and Project management, or between Landlord and other tenants or occupants;</w:t>
      </w:r>
    </w:p>
    <w:p>
      <w:pPr>
        <w:spacing w:after="0" w:line="194" w:lineRule="exact"/>
        <w:rPr>
          <w:rFonts w:ascii="Arial" w:cs="Arial" w:eastAsia="Arial" w:hAnsi="Arial"/>
          <w:sz w:val="18"/>
          <w:szCs w:val="18"/>
          <w:color w:val="auto"/>
        </w:rPr>
      </w:pPr>
    </w:p>
    <w:p>
      <w:pPr>
        <w:jc w:val="both"/>
        <w:ind w:firstLine="1505"/>
        <w:spacing w:after="0" w:line="243" w:lineRule="auto"/>
        <w:tabs>
          <w:tab w:leader="none" w:pos="201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wages and benefits of any employee who does not devote substantially all of his or her employed time to the Project unless such wages and benefits are prorated to reflect time spent on operating and managing the Project vis-à-vis time spent on matters unrelated to operating and managing the Project; provided that in no event shall Operating Costs include wages and/or benefits attributable to personnel above the level of portfolio property manager or chief engineer;</w:t>
      </w:r>
    </w:p>
    <w:p>
      <w:pPr>
        <w:spacing w:after="0" w:line="187" w:lineRule="exact"/>
        <w:rPr>
          <w:rFonts w:ascii="Arial" w:cs="Arial" w:eastAsia="Arial" w:hAnsi="Arial"/>
          <w:sz w:val="18"/>
          <w:szCs w:val="18"/>
          <w:color w:val="auto"/>
        </w:rPr>
      </w:pPr>
    </w:p>
    <w:p>
      <w:pPr>
        <w:jc w:val="both"/>
        <w:ind w:firstLine="1505"/>
        <w:spacing w:after="0" w:line="243" w:lineRule="auto"/>
        <w:tabs>
          <w:tab w:leader="none" w:pos="2021"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Costs incurred by Landlord for improvements or replacements (including structural additions), repairs, equipment and tools which are of a “capital” nature and/or which are considered “capital” improvements or replacements under accounting principles as generally practiced in the real estate industry, except to the extent included in Project Costs pursuant to the definition in subsection (g) above or by other express terms of this Lease; and</w:t>
      </w:r>
    </w:p>
    <w:p>
      <w:pPr>
        <w:spacing w:after="0" w:line="187" w:lineRule="exact"/>
        <w:rPr>
          <w:rFonts w:ascii="Arial" w:cs="Arial" w:eastAsia="Arial" w:hAnsi="Arial"/>
          <w:sz w:val="18"/>
          <w:szCs w:val="18"/>
          <w:color w:val="auto"/>
        </w:rPr>
      </w:pPr>
    </w:p>
    <w:p>
      <w:pPr>
        <w:ind w:firstLine="1505"/>
        <w:spacing w:after="0" w:line="260" w:lineRule="auto"/>
        <w:tabs>
          <w:tab w:leader="none" w:pos="20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Legal fees and costs, settlements, judgments or awards paid or incurred because of disputes between Landlord and other tenants or prospective occupants or prospective tenants/occupants or providers of goods and services to the Project.</w:t>
      </w:r>
    </w:p>
    <w:p>
      <w:pPr>
        <w:spacing w:after="0" w:line="172" w:lineRule="exact"/>
        <w:rPr>
          <w:rFonts w:ascii="Arial" w:cs="Arial" w:eastAsia="Arial" w:hAnsi="Arial"/>
          <w:sz w:val="18"/>
          <w:szCs w:val="18"/>
          <w:color w:val="auto"/>
        </w:rPr>
      </w:pPr>
    </w:p>
    <w:p>
      <w:pPr>
        <w:jc w:val="both"/>
        <w:ind w:firstLine="757"/>
        <w:spacing w:after="0" w:line="238" w:lineRule="auto"/>
        <w:tabs>
          <w:tab w:leader="none" w:pos="12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Provided Tenant is not then in Default hereunder, Tenant shall have the right to cause a certified public accountant, engaged on a non-contingency fee basis, to audit Operating Expenses by inspecting Landlord’s general ledger of expenses not more than once during any Expense Recovery Period. However, to the extent that insurance premiums are determined by Landlord on the basis of an internal allocation of costs utilizing information Landlord in good faith deems proprietary, such expense component shall not be subject to audit so long as it does not exceed the amount per square foot typically imposed by landlords of other first class office projects in Orange County, California. Tenant shall give notice to Landlord of Tenant’s intent to audit within 90 days after Tenant’s receipt of Landlord’s expense statement which sets forth Landlord’s actual Operating Expenses. Such audit shall be conducted at a mutually agreeable time during normal business hours at the office of Landlord or its management agent where such accounts are</w:t>
      </w:r>
    </w:p>
    <w:p>
      <w:pPr>
        <w:spacing w:after="0" w:line="23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EXHIBIT B</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7" w:name="page88"/>
    <w:bookmarkEnd w:id="87"/>
    <w:p>
      <w:pPr>
        <w:jc w:val="both"/>
        <w:spacing w:after="0" w:line="237" w:lineRule="auto"/>
        <w:rPr>
          <w:sz w:val="20"/>
          <w:szCs w:val="20"/>
          <w:color w:val="auto"/>
        </w:rPr>
      </w:pPr>
      <w:r>
        <w:rPr>
          <w:rFonts w:ascii="Arial" w:cs="Arial" w:eastAsia="Arial" w:hAnsi="Arial"/>
          <w:sz w:val="18"/>
          <w:szCs w:val="18"/>
          <w:color w:val="auto"/>
        </w:rPr>
        <w:t>maintained. If Tenant’s audit determines that actual Operating Expenses have been overstated by more than 5%, then subject to Landlord’s right to review and/or contest the audit results, Landlord shall reimburse Tenant for the reasonable out-of-pocket costs of such audit. In the event of a dispute between Landlord and Tenant regarding such audit, either party may elect to submit the matter for binding arbitration with the Orange County, California office of JAMS pursuant to its Comprehensive Arbitration Rules and Procedures, unless the parties otherwise agree, and judgment on the arbitration award may be entered in any court having jurisdiction thereof. Tenant’s rent shall be appropriately adjusted to reflect any overstatement in Operating Expenses. All of the information obtained by Tenant and/or its auditor in connection with such audit, as well as any compromise, settlement, or adjustment reached between Landlord and Tenant as a result thereof, shall be held in strict confidence and, except as may be required pursuant to litigation, shall not be disclosed to any third party, directly or indirectly, by Tenant or its auditor or any of their officers, agents or employees. Landlord may require Tenant’s auditor to execute a separate confidentiality agreement affirming the foregoing as a condition precedent to any audit.</w:t>
      </w:r>
    </w:p>
    <w:p>
      <w:pPr>
        <w:spacing w:after="0" w:line="200" w:lineRule="exact"/>
        <w:rPr>
          <w:sz w:val="20"/>
          <w:szCs w:val="20"/>
          <w:color w:val="auto"/>
        </w:rPr>
      </w:pPr>
    </w:p>
    <w:p>
      <w:pPr>
        <w:spacing w:after="0" w:line="25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EXHIBIT B</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UTILITIES AND SERVICES</w:t>
      </w:r>
    </w:p>
    <w:p>
      <w:pPr>
        <w:spacing w:after="0" w:line="22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 xml:space="preserve">Tenant shall be responsible for and shall pay promptly, directly to the appropriate supplier, all charges for electricity metered to the Premises, telephone, telecommunications service, janitorial service, interior landscape maintenance and all other utilities, materials and services furnished directly to Tenant or the Premises or used by Tenant in, on or about the Premises during the Term, together with any taxes thereon. Landlord shall make a reasonable determination of Tenant’s proportionate share of the cost of water, gas, sewer, refuse pickup and any other utilities and services that are not separately metered to the Premises and services, and Tenant shall pay such amount to Landlord, as an item of additional rent, within 10 days after delivery of Landlord’s statement or invoice therefor. Alternatively, Landlord may elect to include such cost in the definition of Project Costs in which event Tenant shall pay Tenant’s proportionate share of such costs in the manner set forth in Section 4.2. Tenant shall also pay to Landlord as an item of additional rent, within 10 days after delivery of Landlord’s statement or invoice therefor, Landlord’s “standard charges” (as hereinafter defined) for “after hours” usage by Tenant of each HVAC unit servicing the Premises. If the HVAC unit(s) servicing the Premises also serve other leased premises in the Building, “ </w:t>
      </w:r>
      <w:r>
        <w:rPr>
          <w:rFonts w:ascii="Arial" w:cs="Arial" w:eastAsia="Arial" w:hAnsi="Arial"/>
          <w:sz w:val="18"/>
          <w:szCs w:val="18"/>
          <w:b w:val="1"/>
          <w:bCs w:val="1"/>
          <w:color w:val="auto"/>
        </w:rPr>
        <w:t>after hours</w:t>
      </w:r>
      <w:r>
        <w:rPr>
          <w:rFonts w:ascii="Arial" w:cs="Arial" w:eastAsia="Arial" w:hAnsi="Arial"/>
          <w:sz w:val="18"/>
          <w:szCs w:val="18"/>
          <w:color w:val="auto"/>
        </w:rPr>
        <w:t>” shall mean usage of said unit(s) before 6:00 A.M. or after 6:00 P.M. on Mondays through Fridays, before 9:00 A.M. or after 1:00 P.M. on Saturdays, and all day on Sundays and nationally-recognized holidays, subject to reasonable adjustment of said hours by Landlord. If the HVAC unit(s) serve only the Premises, “</w:t>
      </w:r>
      <w:r>
        <w:rPr>
          <w:rFonts w:ascii="Arial" w:cs="Arial" w:eastAsia="Arial" w:hAnsi="Arial"/>
          <w:sz w:val="18"/>
          <w:szCs w:val="18"/>
          <w:b w:val="1"/>
          <w:bCs w:val="1"/>
          <w:color w:val="auto"/>
        </w:rPr>
        <w:t>after hours</w:t>
      </w:r>
      <w:r>
        <w:rPr>
          <w:rFonts w:ascii="Arial" w:cs="Arial" w:eastAsia="Arial" w:hAnsi="Arial"/>
          <w:sz w:val="18"/>
          <w:szCs w:val="18"/>
          <w:color w:val="auto"/>
        </w:rPr>
        <w:t>” shall mean more than 66 hours of usage during any week during the Term. “After hours” usage shall be determined based upon the operation of the applicable HVAC unit during each of the foregoing periods on a “non-cumulative” basis (that is, without regard to Tenant’s usage or nonusage of other unit(s) serving the Premises, or of the applicable unit during other periods of the Term). As used herein, “</w:t>
      </w:r>
      <w:r>
        <w:rPr>
          <w:rFonts w:ascii="Arial" w:cs="Arial" w:eastAsia="Arial" w:hAnsi="Arial"/>
          <w:sz w:val="18"/>
          <w:szCs w:val="18"/>
          <w:b w:val="1"/>
          <w:bCs w:val="1"/>
          <w:color w:val="auto"/>
        </w:rPr>
        <w:t>standard charges</w:t>
      </w:r>
      <w:r>
        <w:rPr>
          <w:rFonts w:ascii="Arial" w:cs="Arial" w:eastAsia="Arial" w:hAnsi="Arial"/>
          <w:sz w:val="18"/>
          <w:szCs w:val="18"/>
          <w:color w:val="auto"/>
        </w:rPr>
        <w:t>” shall mean $25.25 for each hour of “after hours” use (inclusive of the applicable electricity charges paid to the utility provider).</w:t>
      </w:r>
    </w:p>
    <w:p>
      <w:pPr>
        <w:spacing w:after="0" w:line="200" w:lineRule="exact"/>
        <w:rPr>
          <w:sz w:val="20"/>
          <w:szCs w:val="20"/>
          <w:color w:val="auto"/>
        </w:rPr>
      </w:pPr>
    </w:p>
    <w:p>
      <w:pPr>
        <w:spacing w:after="0" w:line="25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EXHIBIT C</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TENANT’S INSURANCE</w:t>
      </w:r>
    </w:p>
    <w:p>
      <w:pPr>
        <w:spacing w:after="0" w:line="22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following requirements for Tenant’s insurance shall be in effect during the Term, and Tenant shall also cause any subtenant to comply with the requirements. Landlord reserves the right to adopt reasonable nondiscriminatory modifications and additions to these requirements.</w:t>
      </w:r>
    </w:p>
    <w:p>
      <w:pPr>
        <w:spacing w:after="0" w:line="184" w:lineRule="exact"/>
        <w:rPr>
          <w:sz w:val="20"/>
          <w:szCs w:val="20"/>
          <w:color w:val="auto"/>
        </w:rPr>
      </w:pPr>
    </w:p>
    <w:p>
      <w:pPr>
        <w:jc w:val="both"/>
        <w:ind w:firstLine="757"/>
        <w:spacing w:after="0" w:line="237" w:lineRule="auto"/>
        <w:tabs>
          <w:tab w:leader="none" w:pos="12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Tenant shall maintain, at its sole cost and expense, during the entire Term: (i) commercial general liability insurance with respect to the Premises and the operations of Tenant in, on or about the Premises, on a policy form that is at least as broad as Insurance Service Office (ISO) CGL 00 01 (if alcoholic beverages are sold on the Premises, liquor liability shall be explicitly covered), which policy(ies) shall be written on an “occurrence” basis and for not less than $2,000,000 combined single limit per occurrence for bodily injury, personal injury, death, and property damage liability; such policy shall include, but not be limited to bodily injury, personal injury, blanket contractual liability, products/completed operations, broad form property damage liability and independent contractor’s liability coverage; (ii) workers’ compensation insurance coverage as required by law, together with employers’ liability insurance coverage of at least $1,000,000 each employee, each accident and each disease; (iii) with respect to Alterations constructed by Tenant under this Lease, builder’s risk insurance, in an amount equal to the replacement cost of the work; and (iv) insurance against fire, vandalism, malicious mischief and such other additional perils as may be included in a standard “special form” policy, insuring all Alterations, trade fixtures, furnishings, equipment and items of personal property in the Premises, in an amount equal to not less than 90% of their replacement cost (with replacement cost endorsement), which policy shall also include business interruption coverage in an amount sufficient to cover 1 year of loss. In no event shall the limits of any policy be considered as limiting the liability of Tenant under this Lease.</w:t>
      </w:r>
    </w:p>
    <w:p>
      <w:pPr>
        <w:spacing w:after="0" w:line="181" w:lineRule="exact"/>
        <w:rPr>
          <w:rFonts w:ascii="Arial" w:cs="Arial" w:eastAsia="Arial" w:hAnsi="Arial"/>
          <w:sz w:val="18"/>
          <w:szCs w:val="18"/>
          <w:color w:val="auto"/>
        </w:rPr>
      </w:pPr>
    </w:p>
    <w:p>
      <w:pPr>
        <w:jc w:val="both"/>
        <w:ind w:firstLine="757"/>
        <w:spacing w:after="0" w:line="238" w:lineRule="auto"/>
        <w:tabs>
          <w:tab w:leader="none" w:pos="12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All policies of insurance required to be carried by Tenant pursuant to this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shall be written by insurance companies authorized to do business in the State of California and with a general policyholder rating of not less than “A-” and financial rating of not less than “VIII” in the most current Best’s Insurance Report. The deductible, self-insured retention or other retained limit under any policy carried by Tenant shall not exceed $25,000 unless approved in writing by Landlord, and Tenant shall be responsible for payment of such deductible, self-insured retention or retained limit with waiver of subrogation in favor of Landlord. Landlord may, without any obligation to do so, advance or pay any deductible, self-insured retention or retained limit due on any claim that may involve it or its officers, directors or employees. Any insurance required of Tenant may be furnished by Tenant under any blanket policy carried by it or under a separate policy. A certificate of insurance, certifying that the policy has been issued, provides the coverage required by this Exhibit and contains the required provisions, together with endorsements acceptable to Landlord evidencing the waiver of subrogation and additional insured provisions required below, shall be delivered to Landlord prior to the date Tenant is given the right of possession of the Premises. Proper evidence of the renewal of any insurance coverage shall also be delivered to Landlord not less than 30 days prior to the expiration of the coverage. In the event of a loss covered by any policy under which Landlord is an additional insured, Landlord shall be entitled to review a copy of such policy.</w:t>
      </w:r>
    </w:p>
    <w:p>
      <w:pPr>
        <w:spacing w:after="0" w:line="192" w:lineRule="exact"/>
        <w:rPr>
          <w:rFonts w:ascii="Arial" w:cs="Arial" w:eastAsia="Arial" w:hAnsi="Arial"/>
          <w:sz w:val="18"/>
          <w:szCs w:val="18"/>
          <w:color w:val="auto"/>
        </w:rPr>
      </w:pPr>
    </w:p>
    <w:p>
      <w:pPr>
        <w:jc w:val="both"/>
        <w:ind w:firstLine="757"/>
        <w:spacing w:after="0" w:line="239" w:lineRule="auto"/>
        <w:tabs>
          <w:tab w:leader="none" w:pos="125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Tenant’s commercial general liability insurance shall contain a provision that the policy(ies) shall be primary to and noncontributory with any insurance or self-insurance carried by Landlord, together with a provision including Landlord, The Irvine Company LLC, and all entities controlling, controlled by, or under common control with Landlord, together with their respective owners, shareholders, partners, members, divisions, officers, directors, employees, representatives and agents, and all of their respective successors and assigns as additional insureds. It shall not include any exclusions or limitations applicable to the Additional Insureds that are not applicable to Tenant nor an insured vs. insured exclusion.</w:t>
      </w:r>
    </w:p>
    <w:p>
      <w:pPr>
        <w:spacing w:after="0" w:line="194" w:lineRule="exact"/>
        <w:rPr>
          <w:rFonts w:ascii="Arial" w:cs="Arial" w:eastAsia="Arial" w:hAnsi="Arial"/>
          <w:sz w:val="18"/>
          <w:szCs w:val="18"/>
          <w:color w:val="auto"/>
        </w:rPr>
      </w:pPr>
    </w:p>
    <w:p>
      <w:pPr>
        <w:jc w:val="both"/>
        <w:ind w:firstLine="757"/>
        <w:spacing w:after="0" w:line="241" w:lineRule="auto"/>
        <w:tabs>
          <w:tab w:leader="none" w:pos="12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Tenant’s policies described in Subsections 1 (i), (ii), (iii) and (iv) above shall each contain a waiver by the insurer of any right to subrogation against Landlord and all entities controlling, controlled by, or under common control with Landlord, together with their respective owners, shareholders, partners, members, divisions, officers, directors, employees, representatives and agents, and all of their respective successors and assigns. Tenant also waives its right of recovery for any deductible, self-insured retention or retained limit under same policies enumerated above.</w:t>
      </w:r>
    </w:p>
    <w:p>
      <w:pPr>
        <w:spacing w:after="0" w:line="189" w:lineRule="exact"/>
        <w:rPr>
          <w:rFonts w:ascii="Arial" w:cs="Arial" w:eastAsia="Arial" w:hAnsi="Arial"/>
          <w:sz w:val="18"/>
          <w:szCs w:val="18"/>
          <w:color w:val="auto"/>
        </w:rPr>
      </w:pPr>
    </w:p>
    <w:p>
      <w:pPr>
        <w:jc w:val="both"/>
        <w:ind w:firstLine="757"/>
        <w:spacing w:after="0" w:line="247" w:lineRule="auto"/>
        <w:tabs>
          <w:tab w:leader="none" w:pos="120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of Tenant’s policies shall contain a provision that the insurer will not cancel or change the coverage provided by the policy without first giving Landlord 30 days’ prior written notice. Tenant shall also name Landlord as an additional insured on any excess or umbrella liability insurance policy(ies) carried by Tenant.</w:t>
      </w:r>
    </w:p>
    <w:p>
      <w:pPr>
        <w:spacing w:after="0" w:line="184" w:lineRule="exact"/>
        <w:rPr>
          <w:rFonts w:ascii="Arial" w:cs="Arial" w:eastAsia="Arial" w:hAnsi="Arial"/>
          <w:sz w:val="18"/>
          <w:szCs w:val="18"/>
          <w:color w:val="auto"/>
        </w:rPr>
      </w:pPr>
    </w:p>
    <w:p>
      <w:pPr>
        <w:ind w:firstLine="757"/>
        <w:spacing w:after="0" w:line="260" w:lineRule="auto"/>
        <w:tabs>
          <w:tab w:leader="none" w:pos="12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VENDORS AND CONTRACTORS INSURANCE. It Tenant hires any vendor or contractor to complete work on the Premises; Tenant shall cause such vendor or contractor to comply with the following insurance requirements:</w:t>
      </w:r>
    </w:p>
    <w:p>
      <w:pPr>
        <w:spacing w:after="0" w:line="172" w:lineRule="exact"/>
        <w:rPr>
          <w:rFonts w:ascii="Arial" w:cs="Arial" w:eastAsia="Arial" w:hAnsi="Arial"/>
          <w:sz w:val="18"/>
          <w:szCs w:val="18"/>
          <w:color w:val="auto"/>
        </w:rPr>
      </w:pPr>
    </w:p>
    <w:p>
      <w:pPr>
        <w:jc w:val="both"/>
        <w:ind w:left="760" w:firstLine="745"/>
        <w:spacing w:after="0" w:line="247" w:lineRule="auto"/>
        <w:tabs>
          <w:tab w:leader="none" w:pos="1987" w:val="left"/>
        </w:tabs>
        <w:numPr>
          <w:ilvl w:val="1"/>
          <w:numId w:val="65"/>
        </w:numPr>
        <w:rPr>
          <w:rFonts w:ascii="Arial" w:cs="Arial" w:eastAsia="Arial" w:hAnsi="Arial"/>
          <w:sz w:val="18"/>
          <w:szCs w:val="18"/>
          <w:color w:val="auto"/>
        </w:rPr>
      </w:pPr>
      <w:r>
        <w:rPr>
          <w:rFonts w:ascii="Arial" w:cs="Arial" w:eastAsia="Arial" w:hAnsi="Arial"/>
          <w:sz w:val="18"/>
          <w:szCs w:val="18"/>
          <w:color w:val="auto"/>
        </w:rPr>
        <w:t>Commercial general liability insurance with coverage limits of not less than $1,000,000 combined single limit for bodily injury, personal injury, death and property damage liability per occurrence or the current limit carried by vendor or contractor, whichever is greater,</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D</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0" w:name="page91"/>
    <w:bookmarkEnd w:id="90"/>
    <w:p>
      <w:pPr>
        <w:ind w:left="760" w:firstLine="745"/>
        <w:spacing w:after="0" w:line="260" w:lineRule="auto"/>
        <w:tabs>
          <w:tab w:leader="none" w:pos="19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Worker’s compensation coverage as required by Law, including employer’s liability coverage with a limit of not less than One Million Dollars ($1,000,000) each employee, each accident and each disease.</w:t>
      </w:r>
    </w:p>
    <w:p>
      <w:pPr>
        <w:spacing w:after="0" w:line="172" w:lineRule="exact"/>
        <w:rPr>
          <w:rFonts w:ascii="Arial" w:cs="Arial" w:eastAsia="Arial" w:hAnsi="Arial"/>
          <w:sz w:val="18"/>
          <w:szCs w:val="18"/>
          <w:color w:val="auto"/>
        </w:rPr>
      </w:pPr>
    </w:p>
    <w:p>
      <w:pPr>
        <w:jc w:val="both"/>
        <w:ind w:left="760" w:firstLine="745"/>
        <w:spacing w:after="0" w:line="243" w:lineRule="auto"/>
        <w:tabs>
          <w:tab w:leader="none" w:pos="19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Vendor or Contractor and its insurer(s) providing the insurance coverages described in this Section 6 Parts A, and B above, shall waive any and all rights of recovery against Landlord and all entities controlling, controlled by, or under common control with Landlord, together with their respective owners, shareholders, partners, members, divisions, officers, directors, employees, representatives and agents, and all of their respective successors.</w:t>
      </w:r>
    </w:p>
    <w:p>
      <w:pPr>
        <w:spacing w:after="0" w:line="187" w:lineRule="exact"/>
        <w:rPr>
          <w:rFonts w:ascii="Arial" w:cs="Arial" w:eastAsia="Arial" w:hAnsi="Arial"/>
          <w:sz w:val="18"/>
          <w:szCs w:val="18"/>
          <w:color w:val="auto"/>
        </w:rPr>
      </w:pPr>
    </w:p>
    <w:p>
      <w:pPr>
        <w:jc w:val="both"/>
        <w:ind w:left="760" w:firstLine="745"/>
        <w:spacing w:after="0" w:line="239" w:lineRule="auto"/>
        <w:tabs>
          <w:tab w:leader="none" w:pos="197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commercial general liability insurance policy required in Section 6 Part A, shall name Landlord and all entities controlling, controlled by, or under common control with Landlord, together with their respective owners, shareholders, partners, members, divisions, officers, directors, employees, representatives and agents, and all of their respective successors as additional insured for both operations and product completed operations coverage. Such coverage shall be primary and non-contributory to any insurance or self-insurance carried by Landlord and all entities controlling, controlled by, or under common control with Landlord.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color w:val="auto"/>
        </w:rPr>
        <w:t>NOTICE TO TENANT: IN ACCORDANCE WITH THE TERMS OF THIS LEASE, TENANT MUST PROVIDE EVIDENCE OF THE REQUIRED INSURANCE TO LANDLORD’S MANAGEMENT AGENT PRIOR TO BEING AFFORDED ACCESS TO THE PREMISES.</w:t>
      </w: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D</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u w:val="single" w:color="auto"/>
          <w:color w:val="auto"/>
        </w:rPr>
        <w:t>EXHIBIT E</w:t>
      </w: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RULES AND REGULATIONS</w:t>
      </w:r>
    </w:p>
    <w:p>
      <w:pPr>
        <w:spacing w:after="0" w:line="22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following Rules and Regulations shall be in effect at the Building. Landlord reserves the right to adopt reasonable nondiscriminatory modifications and additions at any time. In the case of any conflict between these regulations and the Lease, the Lease shall be controlling.</w:t>
      </w:r>
    </w:p>
    <w:p>
      <w:pPr>
        <w:spacing w:after="0" w:line="184" w:lineRule="exact"/>
        <w:rPr>
          <w:sz w:val="20"/>
          <w:szCs w:val="20"/>
          <w:color w:val="auto"/>
        </w:rPr>
      </w:pPr>
    </w:p>
    <w:p>
      <w:pPr>
        <w:jc w:val="both"/>
        <w:ind w:firstLine="757"/>
        <w:spacing w:after="0" w:line="243" w:lineRule="auto"/>
        <w:tabs>
          <w:tab w:leader="none" w:pos="120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sidewalks, halls, passages, elevators, stairways, and other common areas shall not be obstructed by Tenant or used by it for storage, for depositing items, or for any purpose other than for ingress to and egress from the Premises. Should Tenant have access to any balcony or patio area, Tenant shall not place any furniture other personal property in such area without the prior written approval of Landlord.</w:t>
      </w:r>
    </w:p>
    <w:p>
      <w:pPr>
        <w:spacing w:after="0" w:line="187" w:lineRule="exact"/>
        <w:rPr>
          <w:rFonts w:ascii="Arial" w:cs="Arial" w:eastAsia="Arial" w:hAnsi="Arial"/>
          <w:sz w:val="18"/>
          <w:szCs w:val="18"/>
          <w:color w:val="auto"/>
        </w:rPr>
      </w:pPr>
    </w:p>
    <w:p>
      <w:pPr>
        <w:ind w:firstLine="757"/>
        <w:spacing w:after="0" w:line="260" w:lineRule="auto"/>
        <w:tabs>
          <w:tab w:leader="none" w:pos="1231"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Neither Tenant nor any employee or contractor of Tenant shall go upon the roof of the Building without the prior written consent of Landlord.</w:t>
      </w:r>
    </w:p>
    <w:p>
      <w:pPr>
        <w:spacing w:after="0" w:line="172" w:lineRule="exact"/>
        <w:rPr>
          <w:rFonts w:ascii="Arial" w:cs="Arial" w:eastAsia="Arial" w:hAnsi="Arial"/>
          <w:sz w:val="18"/>
          <w:szCs w:val="18"/>
          <w:color w:val="auto"/>
        </w:rPr>
      </w:pPr>
    </w:p>
    <w:p>
      <w:pPr>
        <w:ind w:firstLine="757"/>
        <w:spacing w:after="0" w:line="260" w:lineRule="auto"/>
        <w:tabs>
          <w:tab w:leader="none" w:pos="120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Tenant shall, at its expense, be required to utilize the third party contractor designated by Landlord for the Building to provide any telephone wiring services from the minimum point of entry of the telephone cable in the Building to the Premises.</w:t>
      </w:r>
    </w:p>
    <w:p>
      <w:pPr>
        <w:spacing w:after="0" w:line="172" w:lineRule="exact"/>
        <w:rPr>
          <w:rFonts w:ascii="Arial" w:cs="Arial" w:eastAsia="Arial" w:hAnsi="Arial"/>
          <w:sz w:val="18"/>
          <w:szCs w:val="18"/>
          <w:color w:val="auto"/>
        </w:rPr>
      </w:pPr>
    </w:p>
    <w:p>
      <w:pPr>
        <w:ind w:left="1200" w:hanging="443"/>
        <w:spacing w:after="0"/>
        <w:tabs>
          <w:tab w:leader="none" w:pos="1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antenna or satellite dish shall be installed by Tenant without the prior written agreement of Landlord.</w:t>
      </w:r>
    </w:p>
    <w:p>
      <w:pPr>
        <w:spacing w:after="0" w:line="211" w:lineRule="exact"/>
        <w:rPr>
          <w:rFonts w:ascii="Arial" w:cs="Arial" w:eastAsia="Arial" w:hAnsi="Arial"/>
          <w:sz w:val="18"/>
          <w:szCs w:val="18"/>
          <w:color w:val="auto"/>
        </w:rPr>
      </w:pPr>
    </w:p>
    <w:p>
      <w:pPr>
        <w:jc w:val="both"/>
        <w:ind w:firstLine="757"/>
        <w:spacing w:after="0" w:line="239" w:lineRule="auto"/>
        <w:tabs>
          <w:tab w:leader="none" w:pos="12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sashes, sash doors, windows, glass lights, solar film and/or screen, and any lights or skylights that reflect or admit light into the halls or other places of the Building shall not be covered or obstructed. If Landlord, by a notice in writing to Tenant, shall object to any curtain, blind, tinting, shade or screen attached to, or hung in, or used in connection with, any window or door of the Premises, the use of that curtain, blind, tinting, shade or screen shall be immediately discontinued and removed by Tenant. Interior of the Premises visible from the exterior must be maintained in a visually professional manner and consistent with a first class office building. Tenant shall not place any unsightly items (as determined by Landlord in its reasonable discretion) along the exterior glass line of the Premises including, but not limited to, boxes, and electrical and data cords. No awnings shall be permitted on any part of the Premises.</w:t>
      </w:r>
    </w:p>
    <w:p>
      <w:pPr>
        <w:spacing w:after="0" w:line="190" w:lineRule="exact"/>
        <w:rPr>
          <w:rFonts w:ascii="Arial" w:cs="Arial" w:eastAsia="Arial" w:hAnsi="Arial"/>
          <w:sz w:val="18"/>
          <w:szCs w:val="18"/>
          <w:color w:val="auto"/>
        </w:rPr>
      </w:pPr>
    </w:p>
    <w:p>
      <w:pPr>
        <w:jc w:val="both"/>
        <w:ind w:firstLine="757"/>
        <w:spacing w:after="0" w:line="241" w:lineRule="auto"/>
        <w:tabs>
          <w:tab w:leader="none" w:pos="12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installation and location of any unusually heavy equipment in the Premises, including without limitation file storage units, safes and electronic data processing equipment, shall require the prior written approval of Landlord. The moving of large or heavy objects shall occur only between those hours as may be designated by, and only upon previous notice to, Landlord. No freight, furniture or bulky matter of any description shall be received into or moved out of the lobby of the Building or carried in any elevator other than the freight elevator (if available) designated by Landlord unless approved in writing by Landlord.</w:t>
      </w:r>
    </w:p>
    <w:p>
      <w:pPr>
        <w:spacing w:after="0" w:line="189" w:lineRule="exact"/>
        <w:rPr>
          <w:rFonts w:ascii="Arial" w:cs="Arial" w:eastAsia="Arial" w:hAnsi="Arial"/>
          <w:sz w:val="18"/>
          <w:szCs w:val="18"/>
          <w:color w:val="auto"/>
        </w:rPr>
      </w:pPr>
    </w:p>
    <w:p>
      <w:pPr>
        <w:ind w:firstLine="757"/>
        <w:spacing w:after="0" w:line="260" w:lineRule="auto"/>
        <w:tabs>
          <w:tab w:leader="none" w:pos="1212"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pipes or tubing used by Tenant to transmit water to an appliance or device in the Premises must be made of copper or stainless steel, and in no event shall plastic tubing be used for that purpose.</w:t>
      </w:r>
    </w:p>
    <w:p>
      <w:pPr>
        <w:spacing w:after="0" w:line="172" w:lineRule="exact"/>
        <w:rPr>
          <w:rFonts w:ascii="Arial" w:cs="Arial" w:eastAsia="Arial" w:hAnsi="Arial"/>
          <w:sz w:val="18"/>
          <w:szCs w:val="18"/>
          <w:color w:val="auto"/>
        </w:rPr>
      </w:pPr>
    </w:p>
    <w:p>
      <w:pPr>
        <w:jc w:val="both"/>
        <w:ind w:firstLine="757"/>
        <w:spacing w:after="0" w:line="247" w:lineRule="auto"/>
        <w:tabs>
          <w:tab w:leader="none" w:pos="12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Tenant shall not place any lock(s) on any door in the Premises or Building without Landlord’s prior written consent, which consent shall not be unreasonably withheld. Upon the termination of its tenancy, Tenant shall deliver to Landlord all the keys to offices, rooms and toilet rooms and all access cards which shall have been furnished to Tenant or which Tenant shall have had made.</w:t>
      </w:r>
    </w:p>
    <w:p>
      <w:pPr>
        <w:spacing w:after="0" w:line="184" w:lineRule="exact"/>
        <w:rPr>
          <w:rFonts w:ascii="Arial" w:cs="Arial" w:eastAsia="Arial" w:hAnsi="Arial"/>
          <w:sz w:val="18"/>
          <w:szCs w:val="18"/>
          <w:color w:val="auto"/>
        </w:rPr>
      </w:pPr>
    </w:p>
    <w:p>
      <w:pPr>
        <w:ind w:firstLine="757"/>
        <w:spacing w:after="0" w:line="260" w:lineRule="auto"/>
        <w:tabs>
          <w:tab w:leader="none" w:pos="121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Tenant shall not install equipment requiring electrical or air conditioning service in excess of that to be provided by Landlord under the Lease without prior written approval from Landlord.</w:t>
      </w:r>
    </w:p>
    <w:p>
      <w:pPr>
        <w:spacing w:after="0" w:line="172" w:lineRule="exact"/>
        <w:rPr>
          <w:rFonts w:ascii="Arial" w:cs="Arial" w:eastAsia="Arial" w:hAnsi="Arial"/>
          <w:sz w:val="18"/>
          <w:szCs w:val="18"/>
          <w:color w:val="auto"/>
        </w:rPr>
      </w:pPr>
    </w:p>
    <w:p>
      <w:pPr>
        <w:ind w:left="1200" w:hanging="443"/>
        <w:spacing w:after="0"/>
        <w:tabs>
          <w:tab w:leader="none" w:pos="1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Tenant shall not use space heaters within the Premises.</w:t>
      </w:r>
    </w:p>
    <w:p>
      <w:pPr>
        <w:spacing w:after="0" w:line="211" w:lineRule="exact"/>
        <w:rPr>
          <w:rFonts w:ascii="Arial" w:cs="Arial" w:eastAsia="Arial" w:hAnsi="Arial"/>
          <w:sz w:val="18"/>
          <w:szCs w:val="18"/>
          <w:color w:val="auto"/>
        </w:rPr>
      </w:pPr>
    </w:p>
    <w:p>
      <w:pPr>
        <w:jc w:val="both"/>
        <w:ind w:firstLine="757"/>
        <w:spacing w:after="0" w:line="247" w:lineRule="auto"/>
        <w:tabs>
          <w:tab w:leader="none" w:pos="121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Tenant shall not do or permit anything to be done in the Premises, or bring or keep anything in the Premises, which shall in any way increase the insurance on the Building, or on the property kept in the Building, or interfere with the rights of other tenants, or conflict with any government rule or regulation.</w:t>
      </w:r>
    </w:p>
    <w:p>
      <w:pPr>
        <w:spacing w:after="0" w:line="184" w:lineRule="exact"/>
        <w:rPr>
          <w:rFonts w:ascii="Arial" w:cs="Arial" w:eastAsia="Arial" w:hAnsi="Arial"/>
          <w:sz w:val="18"/>
          <w:szCs w:val="18"/>
          <w:color w:val="auto"/>
        </w:rPr>
      </w:pPr>
    </w:p>
    <w:p>
      <w:pPr>
        <w:ind w:left="1200" w:hanging="443"/>
        <w:spacing w:after="0"/>
        <w:tabs>
          <w:tab w:leader="none" w:pos="1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Tenant shall not use or keep any foul or noxious gas or substance in the Premises.</w:t>
      </w:r>
    </w:p>
    <w:p>
      <w:pPr>
        <w:spacing w:after="0" w:line="211" w:lineRule="exact"/>
        <w:rPr>
          <w:rFonts w:ascii="Arial" w:cs="Arial" w:eastAsia="Arial" w:hAnsi="Arial"/>
          <w:sz w:val="18"/>
          <w:szCs w:val="18"/>
          <w:color w:val="auto"/>
        </w:rPr>
      </w:pPr>
    </w:p>
    <w:p>
      <w:pPr>
        <w:jc w:val="both"/>
        <w:ind w:firstLine="757"/>
        <w:spacing w:after="0" w:line="247" w:lineRule="auto"/>
        <w:tabs>
          <w:tab w:leader="none" w:pos="12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Tenant shall not permit the Premises to be occupied or used in a manner offensive or objectionable to Landlord or other occupants of the Building by reason of noise, odors and/or vibrations, or interfere in any way with other tenants or those having business with other tenants.</w:t>
      </w:r>
    </w:p>
    <w:p>
      <w:pPr>
        <w:spacing w:after="0" w:line="184" w:lineRule="exact"/>
        <w:rPr>
          <w:rFonts w:ascii="Arial" w:cs="Arial" w:eastAsia="Arial" w:hAnsi="Arial"/>
          <w:sz w:val="18"/>
          <w:szCs w:val="18"/>
          <w:color w:val="auto"/>
        </w:rPr>
      </w:pPr>
    </w:p>
    <w:p>
      <w:pPr>
        <w:jc w:val="both"/>
        <w:ind w:firstLine="757"/>
        <w:spacing w:after="0" w:line="247" w:lineRule="auto"/>
        <w:tabs>
          <w:tab w:leader="none" w:pos="12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Tenant shall not permit any pets or animals in or about the Building. Bona fide service animals are permitted provided such service animals are pre-approved by Landlord, remain under the direct control of the individual they serve at all times, and do not disturb or threaten others.</w:t>
      </w:r>
    </w:p>
    <w:p>
      <w:pPr>
        <w:spacing w:after="0" w:line="184" w:lineRule="exact"/>
        <w:rPr>
          <w:rFonts w:ascii="Arial" w:cs="Arial" w:eastAsia="Arial" w:hAnsi="Arial"/>
          <w:sz w:val="18"/>
          <w:szCs w:val="18"/>
          <w:color w:val="auto"/>
        </w:rPr>
      </w:pPr>
    </w:p>
    <w:p>
      <w:pPr>
        <w:ind w:firstLine="757"/>
        <w:spacing w:after="0" w:line="260" w:lineRule="auto"/>
        <w:tabs>
          <w:tab w:leader="none" w:pos="1241"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Neither Tenant nor its employees, agents, contractors, invitees or licensees shall bring any firearm, whether loaded or unloaded, into the Project at any time.</w:t>
      </w:r>
    </w:p>
    <w:p>
      <w:pPr>
        <w:spacing w:after="0" w:line="172" w:lineRule="exact"/>
        <w:rPr>
          <w:rFonts w:ascii="Arial" w:cs="Arial" w:eastAsia="Arial" w:hAnsi="Arial"/>
          <w:sz w:val="18"/>
          <w:szCs w:val="18"/>
          <w:color w:val="auto"/>
        </w:rPr>
      </w:pPr>
    </w:p>
    <w:p>
      <w:pPr>
        <w:jc w:val="both"/>
        <w:ind w:firstLine="757"/>
        <w:spacing w:after="0" w:line="247" w:lineRule="auto"/>
        <w:tabs>
          <w:tab w:leader="none" w:pos="12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Smoking tobacco, including via personal vaporizers or other electronic cigarettes, anywhere within the Premises, Building or Project is strictly prohibited except that smoking tobacco may be permitted outside the Building and within the Project only in areas designated by Landlord. Smoking,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2" w:name="page93"/>
    <w:bookmarkEnd w:id="92"/>
    <w:p>
      <w:pPr>
        <w:spacing w:after="0" w:line="260" w:lineRule="auto"/>
        <w:rPr>
          <w:sz w:val="20"/>
          <w:szCs w:val="20"/>
          <w:color w:val="auto"/>
        </w:rPr>
      </w:pPr>
      <w:r>
        <w:rPr>
          <w:rFonts w:ascii="Arial" w:cs="Arial" w:eastAsia="Arial" w:hAnsi="Arial"/>
          <w:sz w:val="18"/>
          <w:szCs w:val="18"/>
          <w:color w:val="auto"/>
        </w:rPr>
        <w:t>vaping, distributing, growing or manufacturing marijuana or any marijuana derivative anywhere within the Premises, Building or Project is strictly prohibited.</w:t>
      </w:r>
    </w:p>
    <w:p>
      <w:pPr>
        <w:spacing w:after="0" w:line="173" w:lineRule="exact"/>
        <w:rPr>
          <w:sz w:val="20"/>
          <w:szCs w:val="20"/>
          <w:color w:val="auto"/>
        </w:rPr>
      </w:pPr>
    </w:p>
    <w:p>
      <w:pPr>
        <w:ind w:left="1200" w:hanging="443"/>
        <w:spacing w:after="0"/>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Tenant shall not install an aquarium of any size in the Premises unless otherwise approved by Landlord.</w:t>
      </w:r>
    </w:p>
    <w:p>
      <w:pPr>
        <w:spacing w:after="0" w:line="211" w:lineRule="exact"/>
        <w:rPr>
          <w:rFonts w:ascii="Arial" w:cs="Arial" w:eastAsia="Arial" w:hAnsi="Arial"/>
          <w:sz w:val="18"/>
          <w:szCs w:val="18"/>
          <w:color w:val="auto"/>
        </w:rPr>
      </w:pPr>
    </w:p>
    <w:p>
      <w:pPr>
        <w:jc w:val="both"/>
        <w:ind w:firstLine="757"/>
        <w:spacing w:after="0" w:line="247" w:lineRule="auto"/>
        <w:tabs>
          <w:tab w:leader="none" w:pos="1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Tenant shall not utilize any name selected by Landlord from time to time for the Building and/or the Project as any part of Tenant’s corporate or trade name. Landlord shall have the right to change the name, number or designation of the Building or Project without liability to Tenant. Tenant shall not use any picture of the Building in its advertising, stationery or in any other manner.</w:t>
      </w:r>
    </w:p>
    <w:p>
      <w:pPr>
        <w:spacing w:after="0" w:line="184" w:lineRule="exact"/>
        <w:rPr>
          <w:rFonts w:ascii="Arial" w:cs="Arial" w:eastAsia="Arial" w:hAnsi="Arial"/>
          <w:sz w:val="18"/>
          <w:szCs w:val="18"/>
          <w:color w:val="auto"/>
        </w:rPr>
      </w:pPr>
    </w:p>
    <w:p>
      <w:pPr>
        <w:ind w:firstLine="757"/>
        <w:spacing w:after="0" w:line="260" w:lineRule="auto"/>
        <w:tabs>
          <w:tab w:leader="none" w:pos="12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Tenant shall, upon request by Landlord, supply Landlord with the names and telephone numbers of personnel designated by Tenant to be contacted on an after-hours basis should circumstances warrant.</w:t>
      </w:r>
    </w:p>
    <w:p>
      <w:pPr>
        <w:spacing w:after="0" w:line="172" w:lineRule="exact"/>
        <w:rPr>
          <w:rFonts w:ascii="Arial" w:cs="Arial" w:eastAsia="Arial" w:hAnsi="Arial"/>
          <w:sz w:val="18"/>
          <w:szCs w:val="18"/>
          <w:color w:val="auto"/>
        </w:rPr>
      </w:pPr>
    </w:p>
    <w:p>
      <w:pPr>
        <w:ind w:firstLine="757"/>
        <w:spacing w:after="0" w:line="260" w:lineRule="auto"/>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Landlord may from time to time grant tenants individual and temporary variances from these Rules, provided that any variance does not have a material adverse effect on the use and enjoyment of the Premises by Tenant.</w:t>
      </w:r>
    </w:p>
    <w:p>
      <w:pPr>
        <w:spacing w:after="0" w:line="172" w:lineRule="exact"/>
        <w:rPr>
          <w:rFonts w:ascii="Arial" w:cs="Arial" w:eastAsia="Arial" w:hAnsi="Arial"/>
          <w:sz w:val="18"/>
          <w:szCs w:val="18"/>
          <w:color w:val="auto"/>
        </w:rPr>
      </w:pPr>
    </w:p>
    <w:p>
      <w:pPr>
        <w:ind w:firstLine="757"/>
        <w:spacing w:after="0" w:line="260" w:lineRule="auto"/>
        <w:tabs>
          <w:tab w:leader="none" w:pos="1203"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Fitness Center Rules</w:t>
      </w:r>
      <w:r>
        <w:rPr>
          <w:rFonts w:ascii="Arial" w:cs="Arial" w:eastAsia="Arial" w:hAnsi="Arial"/>
          <w:sz w:val="18"/>
          <w:szCs w:val="18"/>
          <w:color w:val="auto"/>
        </w:rPr>
        <w:t>. Tenant shall cause its employees (whether members or prospective members of the Fitness Center) to comply with the following Fitness Center rules and regulations (subject to change from time to time as Landlord may solely determine):</w:t>
      </w:r>
    </w:p>
    <w:p>
      <w:pPr>
        <w:spacing w:after="0" w:line="172" w:lineRule="exact"/>
        <w:rPr>
          <w:rFonts w:ascii="Arial" w:cs="Arial" w:eastAsia="Arial" w:hAnsi="Arial"/>
          <w:sz w:val="18"/>
          <w:szCs w:val="18"/>
          <w:color w:val="auto"/>
        </w:rPr>
      </w:pPr>
    </w:p>
    <w:p>
      <w:pPr>
        <w:ind w:firstLine="1505"/>
        <w:spacing w:after="0" w:line="260" w:lineRule="auto"/>
        <w:tabs>
          <w:tab w:leader="none" w:pos="2037" w:val="left"/>
        </w:tabs>
        <w:numPr>
          <w:ilvl w:val="1"/>
          <w:numId w:val="68"/>
        </w:numPr>
        <w:rPr>
          <w:rFonts w:ascii="Arial" w:cs="Arial" w:eastAsia="Arial" w:hAnsi="Arial"/>
          <w:sz w:val="18"/>
          <w:szCs w:val="18"/>
          <w:color w:val="auto"/>
        </w:rPr>
      </w:pPr>
      <w:r>
        <w:rPr>
          <w:rFonts w:ascii="Arial" w:cs="Arial" w:eastAsia="Arial" w:hAnsi="Arial"/>
          <w:sz w:val="18"/>
          <w:szCs w:val="18"/>
          <w:color w:val="auto"/>
        </w:rPr>
        <w:t>Membership in the Fitness Center is open to the tenants of Landlord or its affiliates only. No guests will be permitted to use the Fitness Center without the prior written approval of Landlord or Landlord’s representative.</w:t>
      </w:r>
    </w:p>
    <w:p>
      <w:pPr>
        <w:spacing w:after="0" w:line="172" w:lineRule="exact"/>
        <w:rPr>
          <w:rFonts w:ascii="Arial" w:cs="Arial" w:eastAsia="Arial" w:hAnsi="Arial"/>
          <w:sz w:val="18"/>
          <w:szCs w:val="18"/>
          <w:color w:val="auto"/>
        </w:rPr>
      </w:pPr>
    </w:p>
    <w:p>
      <w:pPr>
        <w:ind w:firstLine="1505"/>
        <w:spacing w:after="0" w:line="260" w:lineRule="auto"/>
        <w:tabs>
          <w:tab w:leader="none" w:pos="2007" w:val="left"/>
        </w:tabs>
        <w:numPr>
          <w:ilvl w:val="1"/>
          <w:numId w:val="68"/>
        </w:numPr>
        <w:rPr>
          <w:rFonts w:ascii="Arial" w:cs="Arial" w:eastAsia="Arial" w:hAnsi="Arial"/>
          <w:sz w:val="18"/>
          <w:szCs w:val="18"/>
          <w:color w:val="auto"/>
        </w:rPr>
      </w:pPr>
      <w:r>
        <w:rPr>
          <w:rFonts w:ascii="Arial" w:cs="Arial" w:eastAsia="Arial" w:hAnsi="Arial"/>
          <w:sz w:val="18"/>
          <w:szCs w:val="18"/>
          <w:color w:val="auto"/>
        </w:rPr>
        <w:t>Fitness Center users are not allowed to be in the Fitness Center other than the hours designated by Landlord from time to time. Landlord shall have the right to alter the hours of use of the Fitness Center, at Landlord’s sole discretion.</w:t>
      </w:r>
    </w:p>
    <w:p>
      <w:pPr>
        <w:spacing w:after="0" w:line="172" w:lineRule="exact"/>
        <w:rPr>
          <w:rFonts w:ascii="Arial" w:cs="Arial" w:eastAsia="Arial" w:hAnsi="Arial"/>
          <w:sz w:val="18"/>
          <w:szCs w:val="18"/>
          <w:color w:val="auto"/>
        </w:rPr>
      </w:pPr>
    </w:p>
    <w:p>
      <w:pPr>
        <w:ind w:firstLine="1505"/>
        <w:spacing w:after="0" w:line="260" w:lineRule="auto"/>
        <w:tabs>
          <w:tab w:leader="none" w:pos="200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Fitness Center users must execute Landlord’s Waiver of Liability prior to use of the Fitness Center and agree to all terms and conditions outlined therein.</w:t>
      </w:r>
    </w:p>
    <w:p>
      <w:pPr>
        <w:spacing w:after="0" w:line="172" w:lineRule="exact"/>
        <w:rPr>
          <w:rFonts w:ascii="Arial" w:cs="Arial" w:eastAsia="Arial" w:hAnsi="Arial"/>
          <w:sz w:val="18"/>
          <w:szCs w:val="18"/>
          <w:color w:val="auto"/>
        </w:rPr>
      </w:pPr>
    </w:p>
    <w:p>
      <w:pPr>
        <w:jc w:val="both"/>
        <w:ind w:firstLine="1505"/>
        <w:spacing w:after="0" w:line="247" w:lineRule="auto"/>
        <w:tabs>
          <w:tab w:leader="none" w:pos="2007"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Individual membership and guest keycards to the Fitness Center shall not be shared and shall only be used by the individual to whom such keycard was issued. Failure to abide by this rule may result in immediate termination of such Fitness Center user’s right to use the Fitness Center.</w:t>
      </w:r>
    </w:p>
    <w:p>
      <w:pPr>
        <w:spacing w:after="0" w:line="184" w:lineRule="exact"/>
        <w:rPr>
          <w:rFonts w:ascii="Arial" w:cs="Arial" w:eastAsia="Arial" w:hAnsi="Arial"/>
          <w:sz w:val="18"/>
          <w:szCs w:val="18"/>
          <w:color w:val="auto"/>
        </w:rPr>
      </w:pPr>
    </w:p>
    <w:p>
      <w:pPr>
        <w:jc w:val="both"/>
        <w:ind w:firstLine="1505"/>
        <w:spacing w:after="0" w:line="247" w:lineRule="auto"/>
        <w:tabs>
          <w:tab w:leader="none" w:pos="2012"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Fitness Center users and approved guests must have a pre-authorized keycard to enter the Fitness Center. A pre-authorized keycard shall not be issued to a prospective Fitness Center user until receipt by Landlord of Landlord’s initial fee, if any, for use of the Fitness Center by such Fitness Center user(s).</w:t>
      </w:r>
    </w:p>
    <w:p>
      <w:pPr>
        <w:spacing w:after="0" w:line="184" w:lineRule="exact"/>
        <w:rPr>
          <w:rFonts w:ascii="Arial" w:cs="Arial" w:eastAsia="Arial" w:hAnsi="Arial"/>
          <w:sz w:val="18"/>
          <w:szCs w:val="18"/>
          <w:color w:val="auto"/>
        </w:rPr>
      </w:pPr>
    </w:p>
    <w:p>
      <w:pPr>
        <w:ind w:firstLine="1505"/>
        <w:spacing w:after="0" w:line="260" w:lineRule="auto"/>
        <w:tabs>
          <w:tab w:leader="none" w:pos="2013" w:val="left"/>
        </w:tabs>
        <w:numPr>
          <w:ilvl w:val="1"/>
          <w:numId w:val="68"/>
        </w:numPr>
        <w:rPr>
          <w:rFonts w:ascii="Arial" w:cs="Arial" w:eastAsia="Arial" w:hAnsi="Arial"/>
          <w:sz w:val="18"/>
          <w:szCs w:val="18"/>
          <w:color w:val="auto"/>
        </w:rPr>
      </w:pPr>
      <w:r>
        <w:rPr>
          <w:rFonts w:ascii="Arial" w:cs="Arial" w:eastAsia="Arial" w:hAnsi="Arial"/>
          <w:sz w:val="18"/>
          <w:szCs w:val="18"/>
          <w:color w:val="auto"/>
        </w:rPr>
        <w:t>Use of the Fitness Center is a privilege and not a right. Failure to follow gym rules or to act inappropriately while using the facilities shall result in termination of Tenant’s Fitness Center privileges.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u w:val="single" w:color="auto"/>
          <w:color w:val="auto"/>
        </w:rPr>
        <w:t>EXHIBIT 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PARKING</w:t>
      </w:r>
    </w:p>
    <w:p>
      <w:pPr>
        <w:spacing w:after="0" w:line="22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18"/>
          <w:szCs w:val="18"/>
          <w:color w:val="auto"/>
        </w:rPr>
        <w:t>Tenant shall be entitled to the number of vehicle parking spaces set forth in Item 11 of the Basic Lease Provisions, which spaces shall be unreserved and unassigned and no charge to Tenant during the initial 60-month Term, on those portions of the Common Areas designated by Landlord for parking. Tenant shall not use more parking spaces than such number. All parking spaces shall be used only for parking of vehicles no larger than full size passenger automobiles, sport utility vehicles or pickup trucks. Tenant shall not permit or allow any vehicles that belong to or are controlled by Tenant or Tenant’s employees, suppliers, shippers, customers or invitees to be loaded, unloaded or parked in areas other than those designated by Landlord for such activities. If Tenant permits or allows any of the prohibited activities described above, then Landlord shall have the right, without notice, in addition to such other rights and remedies that Landlord may have, to remove or tow away the vehicle involved and charge the costs to Tenant. Parking within the Common Areas shall be limited to striped parking stalls, and no parking shall be permitted in any driveways, access ways or in any area which would prohibit or impede the free flow of traffic within the Common Areas. There shall be no parking of any vehicles for longer than a 48 hour period unless otherwise authorized by Landlord, and vehicles which have been abandoned or parked in violation of the terms hereof may be towed away at the owner’s expense. Nothing contained in this Lease shall be deemed to create liability upon Landlord for any damage to motor vehicles of visitors or employees, for any loss of property from within those motor vehicles, or for any injury to Tenant, its visitors or employees, unless ultimately determined to be caused by the sole negligence or willful misconduct of Landlord. Landlord shall have the right to establish, and from time to time amend, and to enforce against all users all reasonable rules and regulations (including the designation of areas for employee parking) that Landlord may deem necessary and advisable for the proper and efficient operation and maintenance of parking within the Common Areas. Landlord shall have the right to construct, maintain and operate lighting facilities within the parking areas; to change the area, level, location and arrangement of the parking areas and improvements therein; to restrict parking by tenants, their officers, agents and employees to employee parking areas; to enforce parking charges (by operation of meters or otherwise); and to do and perform such other acts in and to the parking areas and improvements therein as, in the use of good business judgment, Landlord shall determine to be advisable. Any person using the parking area shall observe all directional signs and arrows and any posted speed limits. In no event shall Tenant interfere with the use and enjoyment of the parking area by other tenants of the Project or their employees or invitees. Parking areas shall be used only for parking vehicles. Washing, waxing, cleaning or servicing of vehicles, or the storage of vehicles for longer than 48-hours, is prohibited unless otherwise authorized by Landlord. Tenant shall be liable for any damage to the parking areas caused by Tenant or Tenant’s employees, suppliers, shippers, customers or invitees, including without limitation damage from excess oil leakage. Tenant shall have no right to install any fixtures, equipment or personal property in the parking areas. Tenant shall not assign or sublet any of the vehicle parking spaces, either voluntarily or by operation of law, without the prior written consent of Landlord, except in connection with an authorized assignment of this Lease or subletting of the Premises.</w:t>
      </w:r>
    </w:p>
    <w:p>
      <w:pPr>
        <w:spacing w:after="0" w:line="200" w:lineRule="exact"/>
        <w:rPr>
          <w:sz w:val="20"/>
          <w:szCs w:val="20"/>
          <w:color w:val="auto"/>
        </w:rPr>
      </w:pPr>
    </w:p>
    <w:p>
      <w:pPr>
        <w:spacing w:after="0" w:line="2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F</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u w:val="single" w:color="auto"/>
          <w:color w:val="auto"/>
        </w:rPr>
        <w:t>EXHIBIT 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PROVISIONS</w:t>
      </w:r>
    </w:p>
    <w:p>
      <w:pPr>
        <w:spacing w:after="0" w:line="212" w:lineRule="exact"/>
        <w:rPr>
          <w:sz w:val="20"/>
          <w:szCs w:val="20"/>
          <w:color w:val="auto"/>
        </w:rPr>
      </w:pPr>
    </w:p>
    <w:p>
      <w:pPr>
        <w:jc w:val="both"/>
        <w:ind w:firstLine="757"/>
        <w:spacing w:after="0"/>
        <w:tabs>
          <w:tab w:leader="none" w:pos="1213"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RIGHT TO EXTEND</w:t>
      </w:r>
      <w:r>
        <w:rPr>
          <w:rFonts w:ascii="Arial" w:cs="Arial" w:eastAsia="Arial" w:hAnsi="Arial"/>
          <w:sz w:val="18"/>
          <w:szCs w:val="18"/>
          <w:color w:val="auto"/>
        </w:rPr>
        <w:t>. Provided that Tenant is not in Default under any provision of this Lease at the time of exercise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right granted herein, and provided further that Tenant is occupying the entire Premises and has not assigned or sublet any of its interest in this Lease (except in connection with a Permitted Transfer of this Lease to an Affiliate as described in Section 9.2 hereof), Tenant may extend the Term of this Lease for one period of 36 months. Tenant shall exercise its right to extend the Term by and only by delivering to Landlord, not less than 9 months nor more than 12 months prior to the expiration date of the Term, Tenant’s written notice of its irrevocable commitment to extend (the “</w:t>
      </w:r>
      <w:r>
        <w:rPr>
          <w:rFonts w:ascii="Arial" w:cs="Arial" w:eastAsia="Arial" w:hAnsi="Arial"/>
          <w:sz w:val="18"/>
          <w:szCs w:val="18"/>
          <w:b w:val="1"/>
          <w:bCs w:val="1"/>
          <w:color w:val="auto"/>
        </w:rPr>
        <w:t>Commitment Notice</w:t>
      </w:r>
      <w:r>
        <w:rPr>
          <w:rFonts w:ascii="Arial" w:cs="Arial" w:eastAsia="Arial" w:hAnsi="Arial"/>
          <w:sz w:val="18"/>
          <w:szCs w:val="18"/>
          <w:color w:val="auto"/>
        </w:rPr>
        <w:t>”). Should Tenant fail timely to deliver the Commitment Notice, then this extension right shall thereupon lapse and be of no further force or effect.</w:t>
      </w:r>
    </w:p>
    <w:p>
      <w:pPr>
        <w:spacing w:after="0" w:line="195" w:lineRule="exact"/>
        <w:rPr>
          <w:sz w:val="20"/>
          <w:szCs w:val="20"/>
          <w:color w:val="auto"/>
        </w:rPr>
      </w:pPr>
    </w:p>
    <w:p>
      <w:pPr>
        <w:jc w:val="both"/>
        <w:ind w:firstLine="1497"/>
        <w:spacing w:after="0" w:line="241" w:lineRule="auto"/>
        <w:rPr>
          <w:sz w:val="20"/>
          <w:szCs w:val="20"/>
          <w:color w:val="auto"/>
        </w:rPr>
      </w:pPr>
      <w:r>
        <w:rPr>
          <w:rFonts w:ascii="Arial" w:cs="Arial" w:eastAsia="Arial" w:hAnsi="Arial"/>
          <w:sz w:val="18"/>
          <w:szCs w:val="18"/>
          <w:color w:val="auto"/>
        </w:rPr>
        <w:t>The Basic Rent payable under the Lease during the extension of the Term shall be at the prevailing market rental rate (including periodic adjustments) for comparable and similarly improved office space being leased by Landlord in the Building or Project as of the commencement of the extension period (the “</w:t>
      </w:r>
      <w:r>
        <w:rPr>
          <w:rFonts w:ascii="Arial" w:cs="Arial" w:eastAsia="Arial" w:hAnsi="Arial"/>
          <w:sz w:val="18"/>
          <w:szCs w:val="18"/>
          <w:b w:val="1"/>
          <w:bCs w:val="1"/>
          <w:color w:val="auto"/>
        </w:rPr>
        <w:t>Prevailing Rate</w:t>
      </w:r>
      <w:r>
        <w:rPr>
          <w:rFonts w:ascii="Arial" w:cs="Arial" w:eastAsia="Arial" w:hAnsi="Arial"/>
          <w:sz w:val="18"/>
          <w:szCs w:val="18"/>
          <w:color w:val="auto"/>
        </w:rPr>
        <w:t>”). In the event that the parties are not able to agree on the Prevailing Rate within 120 days prior to the expiration date of the Term, then either party may elect, by written notice to the other party, to cause said rental, including subsequent adjustments, to be determined by appraisal as follows.</w:t>
      </w:r>
    </w:p>
    <w:p>
      <w:pPr>
        <w:spacing w:after="0" w:line="189"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18"/>
          <w:szCs w:val="18"/>
          <w:color w:val="auto"/>
        </w:rPr>
        <w:t>Within 10 days following receipt of such appraisal election, the parties shall attempt to agree on an appraiser to determine the Prevailing Rate. If the parties are unable to agree in that time, then each party shall designate an appraiser within 10 days thereafter. Should either party fail to so designate an appraiser within that time, then the appraiser designated by the other party shall determine the Prevailing Rate. Should each of the parties timely designate an appraiser, then the two appraisers so designated shall appoint a third appraiser who shall, acting alone, determine the fair market rental value of the Premises. Any appraiser designated hereunder shall have an M.A.I. certification or equivalent with not less than 5 years’ experience in the valuation of commercial office buildings in Orange County, California.</w:t>
      </w:r>
    </w:p>
    <w:p>
      <w:pPr>
        <w:spacing w:after="0" w:line="191" w:lineRule="exact"/>
        <w:rPr>
          <w:sz w:val="20"/>
          <w:szCs w:val="20"/>
          <w:color w:val="auto"/>
        </w:rPr>
      </w:pPr>
    </w:p>
    <w:p>
      <w:pPr>
        <w:jc w:val="both"/>
        <w:ind w:firstLine="1497"/>
        <w:spacing w:after="0" w:line="241" w:lineRule="auto"/>
        <w:rPr>
          <w:sz w:val="20"/>
          <w:szCs w:val="20"/>
          <w:color w:val="auto"/>
        </w:rPr>
      </w:pPr>
      <w:r>
        <w:rPr>
          <w:rFonts w:ascii="Arial" w:cs="Arial" w:eastAsia="Arial" w:hAnsi="Arial"/>
          <w:sz w:val="18"/>
          <w:szCs w:val="18"/>
          <w:color w:val="auto"/>
        </w:rPr>
        <w:t>Within 10 days following the selection of the appraiser, Landlord and Tenant shall each submit in writing to the appraiser its determination of the rental rate for the extension period (respectively, the “</w:t>
      </w:r>
      <w:r>
        <w:rPr>
          <w:rFonts w:ascii="Arial" w:cs="Arial" w:eastAsia="Arial" w:hAnsi="Arial"/>
          <w:sz w:val="18"/>
          <w:szCs w:val="18"/>
          <w:b w:val="1"/>
          <w:bCs w:val="1"/>
          <w:color w:val="auto"/>
        </w:rPr>
        <w:t>Landlord’s Determination</w:t>
      </w:r>
      <w:r>
        <w:rPr>
          <w:rFonts w:ascii="Arial" w:cs="Arial" w:eastAsia="Arial" w:hAnsi="Arial"/>
          <w:sz w:val="18"/>
          <w:szCs w:val="18"/>
          <w:color w:val="auto"/>
        </w:rPr>
        <w:t>” and the “</w:t>
      </w:r>
      <w:r>
        <w:rPr>
          <w:rFonts w:ascii="Arial" w:cs="Arial" w:eastAsia="Arial" w:hAnsi="Arial"/>
          <w:sz w:val="18"/>
          <w:szCs w:val="18"/>
          <w:b w:val="1"/>
          <w:bCs w:val="1"/>
          <w:color w:val="auto"/>
        </w:rPr>
        <w:t>Tenant’s</w:t>
      </w:r>
      <w:r>
        <w:rPr>
          <w:rFonts w:ascii="Arial" w:cs="Arial" w:eastAsia="Arial" w:hAnsi="Arial"/>
          <w:sz w:val="18"/>
          <w:szCs w:val="18"/>
          <w:color w:val="auto"/>
        </w:rPr>
        <w:t xml:space="preserve"> </w:t>
      </w:r>
      <w:r>
        <w:rPr>
          <w:rFonts w:ascii="Arial" w:cs="Arial" w:eastAsia="Arial" w:hAnsi="Arial"/>
          <w:sz w:val="18"/>
          <w:szCs w:val="18"/>
          <w:b w:val="1"/>
          <w:bCs w:val="1"/>
          <w:color w:val="auto"/>
        </w:rPr>
        <w:t>Determination</w:t>
      </w:r>
      <w:r>
        <w:rPr>
          <w:rFonts w:ascii="Arial" w:cs="Arial" w:eastAsia="Arial" w:hAnsi="Arial"/>
          <w:sz w:val="18"/>
          <w:szCs w:val="18"/>
          <w:color w:val="auto"/>
        </w:rPr>
        <w:t>”). Should either party fail timely to submit its rental determination, then the determination of the other party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conclusive and binding on the parties. The appraiser shall not disclose to either party the rental determination of the other party until the expiration of that 10-day period or, if sooner, the appraiser’s receipt of both the Landlord’s Determination and the Tenant’s Determination.</w:t>
      </w:r>
    </w:p>
    <w:p>
      <w:pPr>
        <w:spacing w:after="0" w:line="189" w:lineRule="exact"/>
        <w:rPr>
          <w:sz w:val="20"/>
          <w:szCs w:val="20"/>
          <w:color w:val="auto"/>
        </w:rPr>
      </w:pPr>
    </w:p>
    <w:p>
      <w:pPr>
        <w:jc w:val="both"/>
        <w:ind w:firstLine="1497"/>
        <w:spacing w:after="0" w:line="237" w:lineRule="auto"/>
        <w:rPr>
          <w:sz w:val="20"/>
          <w:szCs w:val="20"/>
          <w:color w:val="auto"/>
        </w:rPr>
      </w:pPr>
      <w:r>
        <w:rPr>
          <w:rFonts w:ascii="Arial" w:cs="Arial" w:eastAsia="Arial" w:hAnsi="Arial"/>
          <w:sz w:val="18"/>
          <w:szCs w:val="18"/>
          <w:color w:val="auto"/>
        </w:rPr>
        <w:t>Within 30 days following the selection of the appraiser and such appraiser’s receipt of the Landlord’s Determination and the Tenant’s Determination, the appraiser shall determine whether the rental rate determined by Landlord or by Tenant more accurately reflects Prevailing Rate for the Premises, as reasonably extrapolated to the commencement of the extension term. Accordingly, either the Landlord’s Determination or the Tenant’s Determination shall be selected by the appraiser as the fair market rental rate for the extension period. In determining such value, the appraiser shall first consider rental comparables for the Building and the Project, provided that if adequate comparables do not exist then the appraiser may consider transactions involving similarly improved space owned by Landlord or its affiliates in the vicinity with appropriate adjustments for differences in location and quality of project. In no event shall the appraiser attribute factors for brokerage commissions to reduce said fair market rental. At any time before the decision of the appraiser is rendered, either party may, by written notice to the other party, accept the rental terms submitted by the other party, in which event such terms shall be deemed adopted as the agreed fair market rental. The fees of the appraiser(s) shall be shared equally by both parties.</w:t>
      </w:r>
    </w:p>
    <w:p>
      <w:pPr>
        <w:spacing w:after="0" w:line="197" w:lineRule="exact"/>
        <w:rPr>
          <w:sz w:val="20"/>
          <w:szCs w:val="20"/>
          <w:color w:val="auto"/>
        </w:rPr>
      </w:pPr>
    </w:p>
    <w:p>
      <w:pPr>
        <w:jc w:val="both"/>
        <w:ind w:firstLine="1497"/>
        <w:spacing w:after="0" w:line="241" w:lineRule="auto"/>
        <w:rPr>
          <w:sz w:val="20"/>
          <w:szCs w:val="20"/>
          <w:color w:val="auto"/>
        </w:rPr>
      </w:pPr>
      <w:r>
        <w:rPr>
          <w:rFonts w:ascii="Arial" w:cs="Arial" w:eastAsia="Arial" w:hAnsi="Arial"/>
          <w:sz w:val="18"/>
          <w:szCs w:val="18"/>
          <w:color w:val="auto"/>
        </w:rPr>
        <w:t>Within 20 days after the determination of the Prevailing Rate, Landlord shall prepare a reasonably appropriate amendment to this Lease for the extension period and Tenant shall execute (or make reasonable comments thereto) and return same to Landlord within 10 days. Should the Prevailing Rate not be established by the commencement of the extension period, then Tenant shall continue paying rent at the rate in effect during the last month of the initial Term, and a lump sum adjustment shall be made promptly upon the determination of such new rental.</w:t>
      </w:r>
    </w:p>
    <w:p>
      <w:pPr>
        <w:spacing w:after="0" w:line="189"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18"/>
          <w:szCs w:val="18"/>
          <w:color w:val="auto"/>
        </w:rPr>
        <w:t>If Tenant fails to timely comply with any of the provisions of this paragraph, Tenant’s right to extend the Term may, at Landlord’s election and in addition to any other remedies that may be available to Landlord, be extinguished, in which event the Lease shall automatically terminate as of the initial expiration date of the Term. Any attempt to assign or transfer any right or interest created by this Section to other than an Affiliate shall be void from its inception. Tenant shall have no other right to extend the Term beyond the single 36-month extension created by this Section. Unless agreed to in a writing signed by Landlord and Tenant, any extension of the Term, whether created by an amendment to this Lease or by a holdover of the Premises by Tenant, or otherwise, shall be deemed a part of, and not in addition to, any duly exercised extension period permitted by this paragraph. Time is specifically made of the essence in this Section.</w:t>
      </w:r>
    </w:p>
    <w:p>
      <w:pPr>
        <w:spacing w:after="0" w:line="181" w:lineRule="exact"/>
        <w:rPr>
          <w:sz w:val="20"/>
          <w:szCs w:val="20"/>
          <w:color w:val="auto"/>
        </w:rPr>
      </w:pPr>
    </w:p>
    <w:p>
      <w:pPr>
        <w:jc w:val="both"/>
        <w:ind w:firstLine="757"/>
        <w:spacing w:after="0" w:line="253" w:lineRule="auto"/>
        <w:tabs>
          <w:tab w:leader="none" w:pos="1213"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OFFER</w:t>
      </w:r>
      <w:r>
        <w:rPr>
          <w:rFonts w:ascii="Arial" w:cs="Arial" w:eastAsia="Arial" w:hAnsi="Arial"/>
          <w:sz w:val="18"/>
          <w:szCs w:val="18"/>
          <w:color w:val="auto"/>
        </w:rPr>
        <w:t>. Provided Tenant is not then in Default hereunder, and provided further that Tenant is occupying</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entire Premises and has not assigned or sublet any of its interest in the Lease (except in connection with a Permitted Transfer of this Lease to an Affiliate as described in Section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5" w:name="page96"/>
    <w:bookmarkEnd w:id="95"/>
    <w:p>
      <w:pPr>
        <w:jc w:val="both"/>
        <w:spacing w:after="0" w:line="236" w:lineRule="auto"/>
        <w:rPr>
          <w:sz w:val="20"/>
          <w:szCs w:val="20"/>
          <w:color w:val="auto"/>
        </w:rPr>
      </w:pPr>
      <w:r>
        <w:rPr>
          <w:rFonts w:ascii="Arial" w:cs="Arial" w:eastAsia="Arial" w:hAnsi="Arial"/>
          <w:sz w:val="18"/>
          <w:szCs w:val="18"/>
          <w:color w:val="auto"/>
        </w:rPr>
        <w:t>9.2 hereof), Landlord hereby grants Tenant a one-time right (“</w:t>
      </w:r>
      <w:r>
        <w:rPr>
          <w:rFonts w:ascii="Arial" w:cs="Arial" w:eastAsia="Arial" w:hAnsi="Arial"/>
          <w:sz w:val="18"/>
          <w:szCs w:val="18"/>
          <w:b w:val="1"/>
          <w:bCs w:val="1"/>
          <w:color w:val="auto"/>
        </w:rPr>
        <w:t>First Right</w:t>
      </w:r>
      <w:r>
        <w:rPr>
          <w:rFonts w:ascii="Arial" w:cs="Arial" w:eastAsia="Arial" w:hAnsi="Arial"/>
          <w:sz w:val="18"/>
          <w:szCs w:val="18"/>
          <w:color w:val="auto"/>
        </w:rPr>
        <w:t xml:space="preserve">”) to lease, during the initial 60-month Term, either (i) approximately 4,286 rentable square feet of office space known as Suite No. 200 in the Building or (ii) approximately 2,598 rentable square feet of office space known as Suite No. 270 (each, the “ </w:t>
      </w:r>
      <w:r>
        <w:rPr>
          <w:rFonts w:ascii="Arial" w:cs="Arial" w:eastAsia="Arial" w:hAnsi="Arial"/>
          <w:sz w:val="18"/>
          <w:szCs w:val="18"/>
          <w:b w:val="1"/>
          <w:bCs w:val="1"/>
          <w:color w:val="auto"/>
        </w:rPr>
        <w:t>First Right Space</w:t>
      </w:r>
      <w:r>
        <w:rPr>
          <w:rFonts w:ascii="Arial" w:cs="Arial" w:eastAsia="Arial" w:hAnsi="Arial"/>
          <w:sz w:val="18"/>
          <w:szCs w:val="18"/>
          <w:color w:val="auto"/>
        </w:rPr>
        <w:t xml:space="preserve">”) and shown on </w:t>
      </w:r>
      <w:r>
        <w:rPr>
          <w:rFonts w:ascii="Arial" w:cs="Arial" w:eastAsia="Arial" w:hAnsi="Arial"/>
          <w:sz w:val="18"/>
          <w:szCs w:val="18"/>
          <w:b w:val="1"/>
          <w:bCs w:val="1"/>
          <w:color w:val="auto"/>
        </w:rPr>
        <w:t>Exhibit G-1</w:t>
      </w:r>
      <w:r>
        <w:rPr>
          <w:rFonts w:ascii="Arial" w:cs="Arial" w:eastAsia="Arial" w:hAnsi="Arial"/>
          <w:sz w:val="18"/>
          <w:szCs w:val="18"/>
          <w:color w:val="auto"/>
        </w:rPr>
        <w:t xml:space="preserve"> hereto in accordance with and subject to the provisions of this Section; provided that this First Right shall cease to be effective during the final 12 months of the Term unless and until Tenant exercises its extension option set forth in Section 1 of this </w:t>
      </w:r>
      <w:r>
        <w:rPr>
          <w:rFonts w:ascii="Arial" w:cs="Arial" w:eastAsia="Arial" w:hAnsi="Arial"/>
          <w:sz w:val="18"/>
          <w:szCs w:val="18"/>
          <w:b w:val="1"/>
          <w:bCs w:val="1"/>
          <w:color w:val="auto"/>
        </w:rPr>
        <w:t>Exhibit G</w:t>
      </w:r>
      <w:r>
        <w:rPr>
          <w:rFonts w:ascii="Arial" w:cs="Arial" w:eastAsia="Arial" w:hAnsi="Arial"/>
          <w:sz w:val="18"/>
          <w:szCs w:val="18"/>
          <w:color w:val="auto"/>
        </w:rPr>
        <w:t>. If, at any time after the Commencement Date and while this First Right is in effect, Landlord desires to lease the First Right Space, or any portion thereof, to any third party, Landlord shall give Tenant written notice of the basic economic terms including but not limited to the Basic Rent, term, operating expense base, security deposit, and tenant improvement allowance (collectively, the “</w:t>
      </w:r>
      <w:r>
        <w:rPr>
          <w:rFonts w:ascii="Arial" w:cs="Arial" w:eastAsia="Arial" w:hAnsi="Arial"/>
          <w:sz w:val="18"/>
          <w:szCs w:val="18"/>
          <w:b w:val="1"/>
          <w:bCs w:val="1"/>
          <w:color w:val="auto"/>
        </w:rPr>
        <w:t>Economic Terms</w:t>
      </w:r>
      <w:r>
        <w:rPr>
          <w:rFonts w:ascii="Arial" w:cs="Arial" w:eastAsia="Arial" w:hAnsi="Arial"/>
          <w:sz w:val="18"/>
          <w:szCs w:val="18"/>
          <w:color w:val="auto"/>
        </w:rPr>
        <w:t>”), upon which Landlord is willing to lease such particular First Right Space to Tenant or to a third party; provided that the Economic Terms shall exclude brokerage commissions and other Landlord payments that do not directly inure to the tenant’s benefit. It is understood that should Landlord intend to lease other office space in addition to the First Right Space as part of a single transaction, then Landlord’s notice shall so provide and all such space shall collectively be subject to the following provisions. Within 3 business days after receipt of Landlord’s notice, Tenant must give Landlord written notice pursuant to which Tenant shall elect to (i) lease all, but not less than all, of the space specified in Landlord’s notice (the “</w:t>
      </w:r>
      <w:r>
        <w:rPr>
          <w:rFonts w:ascii="Arial" w:cs="Arial" w:eastAsia="Arial" w:hAnsi="Arial"/>
          <w:sz w:val="18"/>
          <w:szCs w:val="18"/>
          <w:b w:val="1"/>
          <w:bCs w:val="1"/>
          <w:color w:val="auto"/>
        </w:rPr>
        <w:t>Designated Space</w:t>
      </w:r>
      <w:r>
        <w:rPr>
          <w:rFonts w:ascii="Arial" w:cs="Arial" w:eastAsia="Arial" w:hAnsi="Arial"/>
          <w:sz w:val="18"/>
          <w:szCs w:val="18"/>
          <w:color w:val="auto"/>
        </w:rPr>
        <w:t>”) upon such Economic Terms and the same non-Economic Terms as set forth in this Lease; (ii) refuse to lease the Designated Space, specifying that such refusal is not based upon the Economic Terms, but upon Tenant’s lack of need for the Designated Space, in which event Landlord may lease the Designated Space upon any terms it deems appropriate; or (iii) refuse to lease the Designated Space, specifying that such refusal is based upon said Economic Terms, in which event Tenant shall also specify revised Economic Terms upon which Tenant shall be willing to lease the Designated Space. In the event that Tenant does not so respond in writing to Landlord’s notice within said period, Tenant shall be deemed to have elected clause (ii) above. In the event Tenant gives Landlord notice pursuant to clause (iii) above, Landlord may elect to either (x) lease the Designated Space to Tenant upon such revised Economic Terms and the same other non-Economic Terms as set forth in this Lease, or (y) lease the Designated Space to any third party upon Economic Terms which are not materially more favorable to such party than those Economic Terms proposed by Tenant. Should Landlord so elect to lease the Designated Space to Tenant, then Landlord shall promptly prepare and deliver to Tenant an amendment to this Lease consistent with the foregoing, and Tenant shall execute (or make reasonable comments thereto) and return same to Landlord within 10 days. Tenant’s failure to timely return the amendment shall entitle Landlord to specifically enforce Tenant’s commitment to lease the Designated Space, to lease such space to a third party, and/or to pursue any other available legal remedy. Notwithstanding the foregoing, it is understood that Tenant’s First Right shall be subject to any extension or currently existing expansion rights previously granted by Landlord to any third party tenant in the Building, as well as to any such rights which may hereafter be granted by Landlord to any third party tenant occupying the First Right Space or any portion thereof, and Landlord shall in no event be obligated to initiate this First Right prior to leasing any portion of the First Right Space to the then-current occupant thereof. Tenant’s rights under this Section shall be personal to the original Tenant named in this Lease and may not be assigned or transferred (except in connection with a Permitted Transfer of this Lease to an Affiliate as described in Section 9.2 hereof). Any other attempted assignment or transfer shall be void and of no force or effect. Time is specifically made of the essence of this Section.</w:t>
      </w:r>
    </w:p>
    <w:p>
      <w:pPr>
        <w:spacing w:after="0" w:line="183" w:lineRule="exact"/>
        <w:rPr>
          <w:sz w:val="20"/>
          <w:szCs w:val="20"/>
          <w:color w:val="auto"/>
        </w:rPr>
      </w:pPr>
    </w:p>
    <w:p>
      <w:pPr>
        <w:jc w:val="both"/>
        <w:ind w:firstLine="757"/>
        <w:spacing w:after="0"/>
        <w:tabs>
          <w:tab w:leader="none" w:pos="1235"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FITNESS CENTER</w:t>
      </w:r>
      <w:r>
        <w:rPr>
          <w:rFonts w:ascii="Arial" w:cs="Arial" w:eastAsia="Arial" w:hAnsi="Arial"/>
          <w:sz w:val="18"/>
          <w:szCs w:val="18"/>
          <w:color w:val="auto"/>
        </w:rPr>
        <w:t>. Subject to the provisions of this Section, so long as Tenant retains the right of possession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and provided Tenant’s employees execute Landlord’s standard waiver of liability form and pay the applicable one time or monthly fee, if any, then Tenant’s employees (the “</w:t>
      </w:r>
      <w:r>
        <w:rPr>
          <w:rFonts w:ascii="Arial" w:cs="Arial" w:eastAsia="Arial" w:hAnsi="Arial"/>
          <w:sz w:val="18"/>
          <w:szCs w:val="18"/>
          <w:b w:val="1"/>
          <w:bCs w:val="1"/>
          <w:color w:val="auto"/>
        </w:rPr>
        <w:t>Fitness Center Users</w:t>
      </w:r>
      <w:r>
        <w:rPr>
          <w:rFonts w:ascii="Arial" w:cs="Arial" w:eastAsia="Arial" w:hAnsi="Arial"/>
          <w:sz w:val="18"/>
          <w:szCs w:val="18"/>
          <w:color w:val="auto"/>
        </w:rPr>
        <w:t>”) shall be entitled to use the fitness center and the shower facility located at the Project (collectively, the “</w:t>
      </w:r>
      <w:r>
        <w:rPr>
          <w:rFonts w:ascii="Arial" w:cs="Arial" w:eastAsia="Arial" w:hAnsi="Arial"/>
          <w:sz w:val="18"/>
          <w:szCs w:val="18"/>
          <w:b w:val="1"/>
          <w:bCs w:val="1"/>
          <w:color w:val="auto"/>
        </w:rPr>
        <w:t>Fitness Center</w:t>
      </w:r>
      <w:r>
        <w:rPr>
          <w:rFonts w:ascii="Arial" w:cs="Arial" w:eastAsia="Arial" w:hAnsi="Arial"/>
          <w:sz w:val="18"/>
          <w:szCs w:val="18"/>
          <w:color w:val="auto"/>
        </w:rPr>
        <w:t>”). No separate charges shall be assessed to Fitness Center Users for the use of the Fitness Center (with the exception of towel/laundry fees, if any) during the initial Term of this Lease, provided, however, that the costs of operating, maintaining and repairing the Fitness Center shall be included as part of Operating Expenses. The use of the Fitness Center shall be subject to the reasonable rules and regulations (including rules regarding hours of use) established from time to time by Landlord. Landlord and Tenant acknowledge that the use of the Fitness Center by the Fitness Center Users shall be at their own risk and that the terms and provisions of Section 10.2 of this Lease shall apply to Tenant and the Fitness Center User’s use of the Fitness Center. Tenant acknowledges that the provisions of this Section shall not be deemed to be a representation by Landlord that Landlord shall continuously maintain the Fitness Center (or any other fitness facility) throughout the Term of this Lease, and Landlord shall have the right, at Landlord’s sole discretion, to expand, contract, eliminate or otherwise modify the Fitness Center. No expansion, contraction, elimination or modification of the Fitness Center, and no termination of Tenant’s or the Fitness Center Users’ rights to the Fitness Center shall entitle Tenant to an abatement or reduction in Basic Rent constitute a constructive eviction, or result in an event of default by Landlord under this Lease. Landlord reserves the right to reasonably limit, restrain, or condition the use of the Fitness Center by tenants of the Building (including Tenant’s Fitness Center Users) if Landlord reasonably determines that their use of the Fitness Center has a disproportionate and/or inequitable impact on the ability of other tenants to use the Fitness Center. Tenant hereby voluntarily releases, discharges, waives and relinquishes any and all actions or causes of action for personal injury or property damage occurring to Tenant or its employees or agents arising as a result of the use of the Fitness Center, or any activities incidental thereto, wherever or however the same may occur, and further agrees that Tenant will not prosecute any claim for personal injury or property damage against Landlord or any of its officers, agents, servants or employees for any said causes of action. It is the intention of Tenant with respect to the Fitness Center to exempt and relieve Landlord from liability for personal injury or property damage caused by negligence. Tenant’s right to use the Fitness Center shall belong solely to Tenant and may not be transferred or assigned without Landlord’s prior written consent, which may be withheld by Landlord in Landlord’s sole discretion.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96" w:name="page97"/>
    <w:bookmarkEnd w:id="96"/>
    <w:p>
      <w:pPr>
        <w:jc w:val="both"/>
        <w:ind w:firstLine="757"/>
        <w:spacing w:after="0" w:line="238" w:lineRule="auto"/>
        <w:tabs>
          <w:tab w:leader="none" w:pos="1203"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CONFERENCE CENTER</w:t>
      </w:r>
      <w:r>
        <w:rPr>
          <w:rFonts w:ascii="Arial" w:cs="Arial" w:eastAsia="Arial" w:hAnsi="Arial"/>
          <w:sz w:val="18"/>
          <w:szCs w:val="18"/>
          <w:color w:val="auto"/>
        </w:rPr>
        <w:t>. Landlord currently provides a conference center (the “</w:t>
      </w:r>
      <w:r>
        <w:rPr>
          <w:rFonts w:ascii="Arial" w:cs="Arial" w:eastAsia="Arial" w:hAnsi="Arial"/>
          <w:sz w:val="18"/>
          <w:szCs w:val="18"/>
          <w:b w:val="1"/>
          <w:bCs w:val="1"/>
          <w:color w:val="auto"/>
        </w:rPr>
        <w:t>Conference Center</w:t>
      </w:r>
      <w:r>
        <w:rPr>
          <w:rFonts w:ascii="Arial" w:cs="Arial" w:eastAsia="Arial" w:hAnsi="Arial"/>
          <w:sz w:val="18"/>
          <w:szCs w:val="18"/>
          <w:color w:val="auto"/>
        </w:rPr>
        <w:t>”) in the Project capable</w:t>
      </w:r>
      <w:r>
        <w:rPr>
          <w:rFonts w:ascii="Arial" w:cs="Arial" w:eastAsia="Arial" w:hAnsi="Arial"/>
          <w:sz w:val="18"/>
          <w:szCs w:val="18"/>
          <w:b w:val="1"/>
          <w:bCs w:val="1"/>
          <w:color w:val="auto"/>
        </w:rPr>
        <w:t xml:space="preserve"> </w:t>
      </w:r>
      <w:r>
        <w:rPr>
          <w:rFonts w:ascii="Arial" w:cs="Arial" w:eastAsia="Arial" w:hAnsi="Arial"/>
          <w:sz w:val="18"/>
          <w:szCs w:val="18"/>
          <w:color w:val="auto"/>
        </w:rPr>
        <w:t>of accommodating groups of people for use by Project tenants (including Tenant) on a reserved basis. Tenant shall, subject to availability, have the use of the Conference Center subject to Landlord’s procedures and charges, if any. The use of the Conference Center shall be subject to the reasonable rules and regulations (including rules regarding hours of use and priorities for the tenants of the particular building in which a Conference Center is located, set up and clean up charges, etc.) established from time to time by Landlord for the Conference Center. Landlord and Tenant acknowledge that the terms and provisions of Section 10.2 of this Lease shall apply to Tenant’s use of the Conference Center. Further, Landlord shall have no liability whatsoever with respect to the existence, condition or availability of any Conference Center nor shall Landlord have any obligation whatsoever to enforce or make reservations thereof, and Tenant hereby expressly waives all claims against Landlord with respect to the same. No expansion, contraction, elimination, unavailability or modification of the Conference Center, and no termination of or interference with Tenant’s rights to the Conference Center, shall entitle Tenant to an abatement or reduction in rent or constitute a constructive eviction or an event of default by Landlord under this Lease.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u w:val="single" w:color="auto"/>
          <w:color w:val="auto"/>
        </w:rPr>
        <w:t>EXHIBIT X</w:t>
      </w:r>
    </w:p>
    <w:p>
      <w:pPr>
        <w:spacing w:after="0" w:line="212"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WORK LETTER</w:t>
      </w:r>
    </w:p>
    <w:p>
      <w:pPr>
        <w:spacing w:after="0" w:line="1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BUILD TO SUIT</w:t>
      </w:r>
    </w:p>
    <w:p>
      <w:pPr>
        <w:spacing w:after="0" w:line="19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Landlord, at Landlord’s expense, shall cause its contractor to construct the tenant improvements (the “</w:t>
      </w:r>
      <w:r>
        <w:rPr>
          <w:rFonts w:ascii="Arial" w:cs="Arial" w:eastAsia="Arial" w:hAnsi="Arial"/>
          <w:sz w:val="18"/>
          <w:szCs w:val="18"/>
          <w:b w:val="1"/>
          <w:bCs w:val="1"/>
          <w:color w:val="auto"/>
        </w:rPr>
        <w:t>Tenant Improvements</w:t>
      </w:r>
      <w:r>
        <w:rPr>
          <w:rFonts w:ascii="Arial" w:cs="Arial" w:eastAsia="Arial" w:hAnsi="Arial"/>
          <w:sz w:val="18"/>
          <w:szCs w:val="18"/>
          <w:color w:val="auto"/>
        </w:rPr>
        <w:t>”) for the Premises as shown in the space plan (the “</w:t>
      </w:r>
      <w:r>
        <w:rPr>
          <w:rFonts w:ascii="Arial" w:cs="Arial" w:eastAsia="Arial" w:hAnsi="Arial"/>
          <w:sz w:val="18"/>
          <w:szCs w:val="18"/>
          <w:b w:val="1"/>
          <w:bCs w:val="1"/>
          <w:color w:val="auto"/>
        </w:rPr>
        <w:t>Plan</w:t>
      </w:r>
      <w:r>
        <w:rPr>
          <w:rFonts w:ascii="Arial" w:cs="Arial" w:eastAsia="Arial" w:hAnsi="Arial"/>
          <w:sz w:val="18"/>
          <w:szCs w:val="18"/>
          <w:color w:val="auto"/>
        </w:rPr>
        <w:t>”) prepared by LPA and dated April 13, 2023, excluding all alternates. Any additional cost resulting from changes requested by Tenant shall be borne solely by Tenant and paid to Landlord prior to the commencement of construction. Unless otherwise specified in the Plan or hereafter agreed in writing by Landlord and Tenant, all materials and finishes utilized in constructing the Tenant Improvements shall be Landlord’s building standard. Should Landlord submit any additional plans, equipment specification sheets, or other matters to Tenant for approval or completion, Tenant shall respond in writing, as appropriate, within 5 business days unless a shorter period is provided herein. Tenant shall not unreasonably withhold its approval of any matter, and any disapproval shall be limited to items not previously approved by Tenant in the Plan or otherwise. Landlord shall not be responsible for the installation or removal costs associated with the accordion wall or server door to common area.</w:t>
      </w:r>
    </w:p>
    <w:p>
      <w:pPr>
        <w:spacing w:after="0" w:line="193"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In the event that Tenant requests in writing a revision in the Plan or in any other plans hereafter approved by Tenant, then provided such change request is acceptable to Landlord, Landlord shall advise Tenant by written change order of any additional cost such change would cause. Tenant shall approve or disapprove such change order in writing within 5 business days following its receipt. Tenant’s approval of a change order shall not be effective unless accompanied by payment in full of the additional cost of the tenant improvement work resulting from the change order. It is understood that Landlord shall have no obligation to interrupt or modify the tenant improvement work pending Tenant’s approval of a change order.</w:t>
      </w:r>
    </w:p>
    <w:p>
      <w:pPr>
        <w:spacing w:after="0" w:line="19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Notwithstanding any provision in the Lease to the contrary, if Tenant fails to comply with any of the time periods specified in this Work Letter, requests any changes to the work, fails to make timely payment of any sum due hereunder, furnishes inaccurate or erroneous specifications or other information, or otherwise delays in any manner the completion of the Tenant Improvements or the issuance of an occupancy certificate (any of the foregoing being referred to in this Lease as a “</w:t>
      </w:r>
      <w:r>
        <w:rPr>
          <w:rFonts w:ascii="Arial" w:cs="Arial" w:eastAsia="Arial" w:hAnsi="Arial"/>
          <w:sz w:val="18"/>
          <w:szCs w:val="18"/>
          <w:b w:val="1"/>
          <w:bCs w:val="1"/>
          <w:color w:val="auto"/>
        </w:rPr>
        <w:t>Tenant Delay</w:t>
      </w:r>
      <w:r>
        <w:rPr>
          <w:rFonts w:ascii="Arial" w:cs="Arial" w:eastAsia="Arial" w:hAnsi="Arial"/>
          <w:sz w:val="18"/>
          <w:szCs w:val="18"/>
          <w:color w:val="auto"/>
        </w:rPr>
        <w:t>”), then Tenant shall bear any resulting additional construction cost or other expenses and the Commencement Date shall be deemed to have occurred for all purposes, including Tenant’s obligation to pay Rent, as of the date Landlord reasonably determines that it would have been able to deliver the Premises to Tenant but for the collective Tenant Delays.</w:t>
      </w:r>
    </w:p>
    <w:p>
      <w:pPr>
        <w:spacing w:after="0" w:line="19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Landlord shall permit Tenant and its agents to enter the Premises not less than 15 and not more than 30 days prior to the Commencement Date of the Lease in order that Tenant may perform any work to be performed by Tenant hereunder through its own contractors, subject to Landlord’s prior written approval, and in a manner and upon terms and conditions and at times satisfactory to Landlord’s representative. The foregoing license to enter the Premises prior to the Commencement Date is, however, conditioned upon Tenant’s contractors and their subcontractors and employees working in harmony and not interfering with the work being performed by Landlord. If at any time that entry shall cause disharmony or interfere with the work being performed by Landlord, this license may be withdrawn by Landlord upon 24 hours written notice to Tenant. That license is further conditioned upon the compliance by Tenant’s contractors with all requirements imposed by Landlord on third party contractors, including without limitation the maintenance by Tenant and its contractors and subcontractors of workers’ compensation and public liability and property damage insurance in amounts and with companies and on forms satisfactory to Landlord, with certificates of such insurance being furnished to Landlord prior to proceeding with any such entry. The entry shall be deemed to be under all of the provisions of the Lease except as to the covenants to pay Rent unless Tenant commences business activities within the Premises. Landlord shall not be liable in any way for any injury, loss or damage which may occur to any such work being performed by Tenant, the same being solely at Tenant’s risk. In no event shall the failure of Tenant’s contractors to complete any work in the Premises extend the Commencement Date of this Lease.</w:t>
      </w:r>
    </w:p>
    <w:p>
      <w:pPr>
        <w:spacing w:after="0" w:line="20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Tenant hereby designates David Fencil, Email: dfencil@avitamedical.com, as its representative, agent and attorney-in-fact for the purpose of receiving notices, approving submittals and issuing requests for changes, and Landlord shall be entitled to rely upon authorizations and directives of such person(s) as if given by Tenant. Tenant may amend the designation of its construction representative(s) at any time upon delivery of written notice to Landlord.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u w:val="single" w:color="auto"/>
          <w:color w:val="auto"/>
        </w:rPr>
        <w:t>EXHIBIT 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UCI Research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148590</wp:posOffset>
            </wp:positionV>
            <wp:extent cx="5271770" cy="76727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5271770" cy="7672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STYLEREF zExhibitLabel</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MERGEFORMAT</w:t>
      </w:r>
    </w:p>
    <w:p>
      <w:pPr>
        <w:jc w:val="center"/>
        <w:ind w:right="19"/>
        <w:spacing w:after="0" w:line="234" w:lineRule="auto"/>
        <w:rPr>
          <w:sz w:val="20"/>
          <w:szCs w:val="20"/>
          <w:color w:val="auto"/>
        </w:rPr>
      </w:pPr>
      <w:r>
        <w:rPr>
          <w:rFonts w:ascii="Arial" w:cs="Arial" w:eastAsia="Arial" w:hAnsi="Arial"/>
          <w:sz w:val="18"/>
          <w:szCs w:val="18"/>
          <w:color w:val="auto"/>
        </w:rPr>
        <w:t>EXHIBIT 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190500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bookmarkStart w:id="99" w:name="page100"/>
    <w:bookmarkEnd w:id="9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ind w:left="10260"/>
        <w:spacing w:after="0"/>
        <w:rPr>
          <w:sz w:val="20"/>
          <w:szCs w:val="20"/>
          <w:color w:val="auto"/>
        </w:rPr>
      </w:pPr>
      <w:r>
        <w:rPr>
          <w:rFonts w:ascii="Arial" w:cs="Arial" w:eastAsia="Arial" w:hAnsi="Arial"/>
          <w:sz w:val="17"/>
          <w:szCs w:val="17"/>
          <w:b w:val="1"/>
          <w:bCs w:val="1"/>
          <w:u w:val="single" w:color="auto"/>
          <w:color w:val="auto"/>
        </w:rPr>
        <w:t>Exhibit 31.1</w:t>
      </w:r>
    </w:p>
    <w:p>
      <w:pPr>
        <w:spacing w:after="0" w:line="23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Corbett, certify that:</w:t>
      </w:r>
    </w:p>
    <w:p>
      <w:pPr>
        <w:spacing w:after="0" w:line="117" w:lineRule="exact"/>
        <w:rPr>
          <w:sz w:val="20"/>
          <w:szCs w:val="20"/>
          <w:color w:val="auto"/>
        </w:rPr>
      </w:pPr>
    </w:p>
    <w:p>
      <w:pPr>
        <w:ind w:left="520" w:hanging="512"/>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AVITA Medical,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660" w:right="520" w:hanging="514"/>
        <w:spacing w:after="0" w:line="263" w:lineRule="auto"/>
        <w:tabs>
          <w:tab w:leader="none" w:pos="1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660" w:right="100" w:hanging="514"/>
        <w:spacing w:after="0" w:line="263" w:lineRule="auto"/>
        <w:tabs>
          <w:tab w:leader="none" w:pos="1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660" w:right="180" w:hanging="514"/>
        <w:spacing w:after="0" w:line="263" w:lineRule="auto"/>
        <w:tabs>
          <w:tab w:leader="none" w:pos="1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60" w:hanging="514"/>
        <w:spacing w:after="0" w:line="263" w:lineRule="auto"/>
        <w:tabs>
          <w:tab w:leader="none" w:pos="1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660" w:right="160" w:hanging="514"/>
        <w:spacing w:after="0" w:line="342" w:lineRule="auto"/>
        <w:tabs>
          <w:tab w:leader="none" w:pos="16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660" w:right="440" w:hanging="514"/>
        <w:spacing w:after="0" w:line="277" w:lineRule="auto"/>
        <w:tabs>
          <w:tab w:leader="none" w:pos="1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5"/>
          <w:szCs w:val="15"/>
          <w:color w:val="auto"/>
        </w:rPr>
        <w:t>/s/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4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Corbett</w:t>
      </w:r>
    </w:p>
    <w:p>
      <w:pPr>
        <w:spacing w:after="0" w:line="36" w:lineRule="exact"/>
        <w:rPr>
          <w:sz w:val="20"/>
          <w:szCs w:val="20"/>
          <w:color w:val="auto"/>
        </w:rPr>
      </w:pPr>
    </w:p>
    <w:p>
      <w:pPr>
        <w:ind w:left="564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1" w:name="page102"/>
    <w:bookmarkEnd w:id="10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ind w:left="10260"/>
        <w:spacing w:after="0"/>
        <w:rPr>
          <w:sz w:val="20"/>
          <w:szCs w:val="20"/>
          <w:color w:val="auto"/>
        </w:rPr>
      </w:pPr>
      <w:r>
        <w:rPr>
          <w:rFonts w:ascii="Arial" w:cs="Arial" w:eastAsia="Arial" w:hAnsi="Arial"/>
          <w:sz w:val="17"/>
          <w:szCs w:val="17"/>
          <w:b w:val="1"/>
          <w:bCs w:val="1"/>
          <w:u w:val="single" w:color="auto"/>
          <w:color w:val="auto"/>
        </w:rPr>
        <w:t>Exhibit 31.2</w:t>
      </w:r>
    </w:p>
    <w:p>
      <w:pPr>
        <w:spacing w:after="0" w:line="23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Ekins, certify that:</w:t>
      </w:r>
    </w:p>
    <w:p>
      <w:pPr>
        <w:spacing w:after="0" w:line="117"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AVITA Medical,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660" w:right="560" w:hanging="514"/>
        <w:spacing w:after="0" w:line="263" w:lineRule="auto"/>
        <w:tabs>
          <w:tab w:leader="none" w:pos="1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660" w:right="140" w:hanging="514"/>
        <w:spacing w:after="0" w:line="263" w:lineRule="auto"/>
        <w:tabs>
          <w:tab w:leader="none" w:pos="1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660" w:right="180" w:hanging="514"/>
        <w:spacing w:after="0" w:line="263" w:lineRule="auto"/>
        <w:tabs>
          <w:tab w:leader="none" w:pos="1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60" w:hanging="514"/>
        <w:spacing w:after="0" w:line="263" w:lineRule="auto"/>
        <w:tabs>
          <w:tab w:leader="none" w:pos="1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660" w:right="160" w:hanging="514"/>
        <w:spacing w:after="0" w:line="342" w:lineRule="auto"/>
        <w:tabs>
          <w:tab w:leader="none" w:pos="16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660" w:right="440" w:hanging="514"/>
        <w:spacing w:after="0" w:line="277" w:lineRule="auto"/>
        <w:tabs>
          <w:tab w:leader="none" w:pos="1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5"/>
          <w:szCs w:val="15"/>
          <w:color w:val="auto"/>
        </w:rPr>
        <w:t>/s/ Sean Ekins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0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Sean Ekins</w:t>
            </w:r>
          </w:p>
        </w:tc>
      </w:tr>
      <w:tr>
        <w:trPr>
          <w:trHeight w:val="228"/>
        </w:trPr>
        <w:tc>
          <w:tcPr>
            <w:tcW w:w="56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5020" w:type="dxa"/>
            <w:vAlign w:val="bottom"/>
          </w:tcPr>
          <w:p>
            <w:pPr>
              <w:ind w:left="120"/>
              <w:spacing w:after="0"/>
              <w:rPr>
                <w:sz w:val="20"/>
                <w:szCs w:val="20"/>
                <w:color w:val="auto"/>
              </w:rPr>
            </w:pPr>
            <w:r>
              <w:rPr>
                <w:rFonts w:ascii="Arial" w:cs="Arial" w:eastAsia="Arial" w:hAnsi="Arial"/>
                <w:sz w:val="18"/>
                <w:szCs w:val="18"/>
                <w:color w:val="auto"/>
              </w:rPr>
              <w:t>Interim Chief Financial Offer</w:t>
            </w:r>
          </w:p>
        </w:tc>
      </w:tr>
      <w:tr>
        <w:trPr>
          <w:trHeight w:val="230"/>
        </w:trPr>
        <w:tc>
          <w:tcPr>
            <w:tcW w:w="5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r>
        <w:trPr>
          <w:trHeight w:val="587"/>
        </w:trPr>
        <w:tc>
          <w:tcPr>
            <w:tcW w:w="5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3" w:name="page104"/>
    <w:bookmarkEnd w:id="10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AVITA Medical, Inc. (the “Company”), does hereby certify, to such officer’s knowledge, that:</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Quarterly Report on Form 10-Q for the period ended March 31, 2023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Dated: May 11, 2023</w:t>
      </w:r>
      <w:r>
        <w:rPr>
          <w:sz w:val="20"/>
          <w:szCs w:val="20"/>
          <w:color w:val="auto"/>
        </w:rPr>
        <w:tab/>
      </w:r>
      <w:r>
        <w:rPr>
          <w:rFonts w:ascii="Arial" w:cs="Arial" w:eastAsia="Arial" w:hAnsi="Arial"/>
          <w:sz w:val="15"/>
          <w:szCs w:val="15"/>
          <w:color w:val="auto"/>
        </w:rPr>
        <w:t>/s/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23495</wp:posOffset>
            </wp:positionV>
            <wp:extent cx="354901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86"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Name:</w:t>
        <w:tab/>
        <w:t>James Corbett</w:t>
      </w:r>
    </w:p>
    <w:p>
      <w:pPr>
        <w:spacing w:after="0" w:line="36"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Dated: May 11, 2023</w:t>
      </w:r>
      <w:r>
        <w:rPr>
          <w:sz w:val="20"/>
          <w:szCs w:val="20"/>
          <w:color w:val="auto"/>
        </w:rPr>
        <w:tab/>
      </w:r>
      <w:r>
        <w:rPr>
          <w:rFonts w:ascii="Arial" w:cs="Arial" w:eastAsia="Arial" w:hAnsi="Arial"/>
          <w:sz w:val="15"/>
          <w:szCs w:val="15"/>
          <w:color w:val="auto"/>
        </w:rPr>
        <w:t>/s/ Sean Ekins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23495</wp:posOffset>
            </wp:positionV>
            <wp:extent cx="35490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7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Name:</w:t>
        <w:tab/>
        <w:t>Sean Ekins</w:t>
      </w:r>
    </w:p>
    <w:p>
      <w:pPr>
        <w:spacing w:after="0" w:line="36"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Interim Chief Financial Officer</w:t>
      </w:r>
    </w:p>
    <w:p>
      <w:pPr>
        <w:spacing w:after="0" w:line="3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p>
      <w:pPr>
        <w:spacing w:after="0" w:line="235" w:lineRule="exact"/>
        <w:rPr>
          <w:sz w:val="20"/>
          <w:szCs w:val="20"/>
          <w:color w:val="auto"/>
        </w:rPr>
      </w:pPr>
    </w:p>
    <w:p>
      <w:pPr>
        <w:jc w:val="both"/>
        <w:ind w:right="120"/>
        <w:spacing w:after="0" w:line="281" w:lineRule="auto"/>
        <w:rPr>
          <w:sz w:val="20"/>
          <w:szCs w:val="20"/>
          <w:color w:val="auto"/>
        </w:rPr>
      </w:pPr>
      <w:r>
        <w:rPr>
          <w:rFonts w:ascii="Arial" w:cs="Arial" w:eastAsia="Arial" w:hAnsi="Arial"/>
          <w:sz w:val="17"/>
          <w:szCs w:val="17"/>
          <w:b w:val="1"/>
          <w:bCs w:val="1"/>
          <w:color w:val="auto"/>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05" w:name="page106"/>
    <w:bookmarkEnd w:id="1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decimal"/>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o"/>
      <w:numFmt w:val="bullet"/>
      <w:start w:val="1"/>
    </w:lvl>
  </w:abstractNum>
  <w:abstractNum w:abstractNumId="6">
    <w:nsid w:val="580BD78F"/>
    <w:multiLevelType w:val="hybridMultilevel"/>
    <w:lvl w:ilvl="0">
      <w:lvlJc w:val="left"/>
      <w:lvlText w:val="%1."/>
      <w:numFmt w:val="decimal"/>
      <w:start w:val="15"/>
    </w:lvl>
    <w:lvl w:ilvl="1">
      <w:lvlJc w:val="left"/>
      <w:lvlText w:val="•"/>
      <w:numFmt w:val="bullet"/>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lvl w:ilvl="1">
      <w:lvlJc w:val="left"/>
      <w:lvlText w:val="%2"/>
      <w:numFmt w:val="decimal"/>
      <w:start w:val="104"/>
    </w:lvl>
  </w:abstractNum>
  <w:abstractNum w:abstractNumId="10">
    <w:nsid w:val="6A2342EC"/>
    <w:multiLevelType w:val="hybridMultilevel"/>
    <w:lvl w:ilvl="0">
      <w:lvlJc w:val="left"/>
      <w:lvlText w:val="%1."/>
      <w:numFmt w:val="upperLetter"/>
      <w:start w:val="9"/>
    </w:lvl>
  </w:abstractNum>
  <w:abstractNum w:abstractNumId="11">
    <w:nsid w:val="2A487CB0"/>
    <w:multiLevelType w:val="hybridMultilevel"/>
    <w:lvl w:ilvl="0">
      <w:lvlJc w:val="left"/>
      <w:lvlText w:val="%1."/>
      <w:numFmt w:val="upperLetter"/>
      <w:start w:val="35"/>
    </w:lvl>
  </w:abstractNum>
  <w:abstractNum w:abstractNumId="12">
    <w:nsid w:val="1D4ED43B"/>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13">
    <w:nsid w:val="725A06F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Roman"/>
      <w:start w:val="2"/>
    </w:lvl>
  </w:abstractNum>
  <w:abstractNum w:abstractNumId="14">
    <w:nsid w:val="2CD89A32"/>
    <w:multiLevelType w:val="hybridMultilevel"/>
    <w:lvl w:ilvl="0">
      <w:lvlJc w:val="left"/>
      <w:lvlText w:val="%1."/>
      <w:numFmt w:val="upperLetter"/>
      <w:start w:val="6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5">
    <w:nsid w:val="57E4CCAF"/>
    <w:multiLevelType w:val="hybridMultilevel"/>
    <w:lvl w:ilvl="0">
      <w:lvlJc w:val="left"/>
      <w:lvlText w:val="%1."/>
      <w:numFmt w:val="lowerLetter"/>
      <w:start w:val="1"/>
    </w:lvl>
  </w:abstractNum>
  <w:abstractNum w:abstractNumId="16">
    <w:nsid w:val="7A6D8D3C"/>
    <w:multiLevelType w:val="hybridMultilevel"/>
    <w:lvl w:ilvl="0">
      <w:lvlJc w:val="left"/>
      <w:lvlText w:val="%1."/>
      <w:numFmt w:val="lowerLetter"/>
      <w:start w:val="2"/>
    </w:lvl>
  </w:abstractNum>
  <w:abstractNum w:abstractNumId="17">
    <w:nsid w:val="4B588F54"/>
    <w:multiLevelType w:val="hybridMultilevel"/>
    <w:lvl w:ilvl="0">
      <w:lvlJc w:val="left"/>
      <w:lvlText w:val="%1."/>
      <w:numFmt w:val="lowerLetter"/>
      <w:start w:val="3"/>
    </w:lvl>
  </w:abstractNum>
  <w:abstractNum w:abstractNumId="18">
    <w:nsid w:val="542289EC"/>
    <w:multiLevelType w:val="hybridMultilevel"/>
    <w:lvl w:ilvl="0">
      <w:lvlJc w:val="left"/>
      <w:lvlText w:val="%1."/>
      <w:numFmt w:val="lowerLetter"/>
      <w:start w:val="4"/>
    </w:lvl>
  </w:abstractNum>
  <w:abstractNum w:abstractNumId="19">
    <w:nsid w:val="6DE91B18"/>
    <w:multiLevelType w:val="hybridMultilevel"/>
    <w:lvl w:ilvl="0">
      <w:lvlJc w:val="left"/>
      <w:lvlText w:val="%1."/>
      <w:numFmt w:val="lowerLetter"/>
      <w:start w:val="5"/>
    </w:lvl>
  </w:abstractNum>
  <w:abstractNum w:abstractNumId="20">
    <w:nsid w:val="38437FDB"/>
    <w:multiLevelType w:val="hybridMultilevel"/>
    <w:lvl w:ilvl="0">
      <w:lvlJc w:val="left"/>
      <w:lvlText w:val="%1."/>
      <w:numFmt w:val="upperLetter"/>
      <w:start w:val="22"/>
    </w:lvl>
  </w:abstractNum>
  <w:abstractNum w:abstractNumId="21">
    <w:nsid w:val="7644A45C"/>
    <w:multiLevelType w:val="hybridMultilevel"/>
    <w:lvl w:ilvl="0">
      <w:lvlJc w:val="left"/>
      <w:lvlText w:val="%1."/>
      <w:numFmt w:val="lowerLetter"/>
      <w:start w:val="1"/>
    </w:lvl>
    <w:lvl w:ilvl="1">
      <w:lvlJc w:val="left"/>
      <w:lvlText w:val="(%2)"/>
      <w:numFmt w:val="lowerRoman"/>
      <w:start w:val="1"/>
    </w:lvl>
  </w:abstractNum>
  <w:abstractNum w:abstractNumId="22">
    <w:nsid w:val="32FFF902"/>
    <w:multiLevelType w:val="hybridMultilevel"/>
    <w:lvl w:ilvl="0">
      <w:lvlJc w:val="left"/>
      <w:lvlText w:val="(%1)"/>
      <w:numFmt w:val="lowerRoman"/>
      <w:start w:val="3"/>
    </w:lvl>
  </w:abstractNum>
  <w:abstractNum w:abstractNumId="23">
    <w:nsid w:val="684A481A"/>
    <w:multiLevelType w:val="hybridMultilevel"/>
    <w:lvl w:ilvl="0">
      <w:lvlJc w:val="left"/>
      <w:lvlText w:val="%1"/>
      <w:numFmt w:val="lowerLetter"/>
      <w:start w:val="1"/>
    </w:lvl>
    <w:lvl w:ilvl="1">
      <w:lvlJc w:val="left"/>
      <w:lvlText w:val="(%2)"/>
      <w:numFmt w:val="lowerRoman"/>
      <w:start w:val="5"/>
    </w:lvl>
  </w:abstractNum>
  <w:abstractNum w:abstractNumId="24">
    <w:nsid w:val="579478FE"/>
    <w:multiLevelType w:val="hybridMultilevel"/>
    <w:lvl w:ilvl="0">
      <w:lvlJc w:val="left"/>
      <w:lvlText w:val="%1"/>
      <w:numFmt w:val="lowerLetter"/>
      <w:start w:val="1"/>
    </w:lvl>
    <w:lvl w:ilvl="1">
      <w:lvlJc w:val="left"/>
      <w:lvlText w:val="(%2)"/>
      <w:numFmt w:val="lowerRoman"/>
      <w:start w:val="1"/>
    </w:lvl>
  </w:abstractNum>
  <w:abstractNum w:abstractNumId="25">
    <w:nsid w:val="749ABB43"/>
    <w:multiLevelType w:val="hybridMultilevel"/>
    <w:lvl w:ilvl="0">
      <w:lvlJc w:val="left"/>
      <w:lvlText w:val="(%1)"/>
      <w:numFmt w:val="lowerRoman"/>
      <w:start w:val="2"/>
    </w:lvl>
  </w:abstractNum>
  <w:abstractNum w:abstractNumId="26">
    <w:nsid w:val="3DC240FB"/>
    <w:multiLevelType w:val="hybridMultilevel"/>
    <w:lvl w:ilvl="0">
      <w:lvlJc w:val="left"/>
      <w:lvlText w:val="%1."/>
      <w:numFmt w:val="lowerLetter"/>
      <w:start w:val="3"/>
    </w:lvl>
    <w:lvl w:ilvl="1">
      <w:lvlJc w:val="left"/>
      <w:lvlText w:val="(%2)"/>
      <w:numFmt w:val="lowerRoman"/>
      <w:start w:val="1"/>
    </w:lvl>
  </w:abstractNum>
  <w:abstractNum w:abstractNumId="27">
    <w:nsid w:val="1BA026FA"/>
    <w:multiLevelType w:val="hybridMultilevel"/>
    <w:lvl w:ilvl="0">
      <w:lvlJc w:val="left"/>
      <w:lvlText w:val="%1"/>
      <w:numFmt w:val="lowerLetter"/>
      <w:start w:val="1"/>
    </w:lvl>
    <w:lvl w:ilvl="1">
      <w:lvlJc w:val="left"/>
      <w:lvlText w:val="(%2)"/>
      <w:numFmt w:val="lowerRoman"/>
      <w:start w:val="2"/>
    </w:lvl>
  </w:abstractNum>
  <w:abstractNum w:abstractNumId="28">
    <w:nsid w:val="79A1DEAA"/>
    <w:multiLevelType w:val="hybridMultilevel"/>
    <w:lvl w:ilvl="0">
      <w:lvlJc w:val="left"/>
      <w:lvlText w:val="%1"/>
      <w:numFmt w:val="lowerLetter"/>
      <w:start w:val="1"/>
    </w:lvl>
    <w:lvl w:ilvl="1">
      <w:lvlJc w:val="left"/>
      <w:lvlText w:val="(%2)"/>
      <w:numFmt w:val="lowerRoman"/>
      <w:start w:val="1"/>
    </w:lvl>
  </w:abstractNum>
  <w:abstractNum w:abstractNumId="29">
    <w:nsid w:val="75C6C33A"/>
    <w:multiLevelType w:val="hybridMultilevel"/>
    <w:lvl w:ilvl="0">
      <w:lvlJc w:val="left"/>
      <w:lvlText w:val="(%1)"/>
      <w:numFmt w:val="lowerRoman"/>
      <w:start w:val="2"/>
    </w:lvl>
  </w:abstractNum>
  <w:abstractNum w:abstractNumId="30">
    <w:nsid w:val="12E685FB"/>
    <w:multiLevelType w:val="hybridMultilevel"/>
    <w:lvl w:ilvl="0">
      <w:lvlJc w:val="left"/>
      <w:lvlText w:val="%1."/>
      <w:numFmt w:val="lowerLetter"/>
      <w:start w:val="5"/>
    </w:lvl>
    <w:lvl w:ilvl="1">
      <w:lvlJc w:val="left"/>
      <w:lvlText w:val="(%2)"/>
      <w:numFmt w:val="lowerRoman"/>
      <w:start w:val="1"/>
    </w:lvl>
  </w:abstractNum>
  <w:abstractNum w:abstractNumId="31">
    <w:nsid w:val="70C6A529"/>
    <w:multiLevelType w:val="hybridMultilevel"/>
    <w:lvl w:ilvl="0">
      <w:lvlJc w:val="left"/>
      <w:lvlText w:val="(%1)"/>
      <w:numFmt w:val="lowerRoman"/>
      <w:start w:val="2"/>
    </w:lvl>
  </w:abstractNum>
  <w:abstractNum w:abstractNumId="32">
    <w:nsid w:val="520EEDD1"/>
    <w:multiLevelType w:val="hybridMultilevel"/>
    <w:lvl w:ilvl="0">
      <w:lvlJc w:val="left"/>
      <w:lvlText w:val="%1."/>
      <w:numFmt w:val="lowerLetter"/>
      <w:start w:val="6"/>
    </w:lvl>
    <w:lvl w:ilvl="1">
      <w:lvlJc w:val="left"/>
      <w:lvlText w:val="(%2)"/>
      <w:numFmt w:val="lowerRoman"/>
      <w:start w:val="1"/>
    </w:lvl>
  </w:abstractNum>
  <w:abstractNum w:abstractNumId="33">
    <w:nsid w:val="374A3FE6"/>
    <w:multiLevelType w:val="hybridMultilevel"/>
    <w:lvl w:ilvl="0">
      <w:lvlJc w:val="left"/>
      <w:lvlText w:val="%1."/>
      <w:numFmt w:val="lowerLetter"/>
      <w:start w:val="8"/>
    </w:lvl>
    <w:lvl w:ilvl="1">
      <w:lvlJc w:val="left"/>
      <w:lvlText w:val="(%2)"/>
      <w:numFmt w:val="lowerRoman"/>
      <w:start w:val="1"/>
    </w:lvl>
  </w:abstractNum>
  <w:abstractNum w:abstractNumId="34">
    <w:nsid w:val="4F4EF005"/>
    <w:multiLevelType w:val="hybridMultilevel"/>
    <w:lvl w:ilvl="0">
      <w:lvlJc w:val="left"/>
      <w:lvlText w:val="%1."/>
      <w:numFmt w:val="lowerRoman"/>
      <w:start w:val="1"/>
    </w:lvl>
  </w:abstractNum>
  <w:abstractNum w:abstractNumId="35">
    <w:nsid w:val="23F9C13C"/>
    <w:multiLevelType w:val="hybridMultilevel"/>
    <w:lvl w:ilvl="0">
      <w:lvlJc w:val="left"/>
      <w:lvlText w:val="%1."/>
      <w:numFmt w:val="lowerLetter"/>
      <w:start w:val="10"/>
    </w:lvl>
  </w:abstractNum>
  <w:abstractNum w:abstractNumId="36">
    <w:nsid w:val="649BB77C"/>
    <w:multiLevelType w:val="hybridMultilevel"/>
    <w:lvl w:ilvl="0">
      <w:lvlJc w:val="left"/>
      <w:lvlText w:val="(%1)"/>
      <w:numFmt w:val="lowerRoman"/>
      <w:start w:val="1"/>
    </w:lvl>
  </w:abstractNum>
  <w:abstractNum w:abstractNumId="37">
    <w:nsid w:val="275AC794"/>
    <w:multiLevelType w:val="hybridMultilevel"/>
    <w:lvl w:ilvl="0">
      <w:lvlJc w:val="left"/>
      <w:lvlText w:val="(%1)"/>
      <w:numFmt w:val="lowerLetter"/>
      <w:start w:val="1"/>
    </w:lvl>
    <w:lvl w:ilvl="1">
      <w:lvlJc w:val="left"/>
      <w:lvlText w:val="(%2)"/>
      <w:numFmt w:val="lowerLetter"/>
      <w:start w:val="3"/>
    </w:lvl>
  </w:abstractNum>
  <w:abstractNum w:abstractNumId="38">
    <w:nsid w:val="39386575"/>
    <w:multiLevelType w:val="hybridMultilevel"/>
    <w:lvl w:ilvl="0">
      <w:lvlJc w:val="left"/>
      <w:lvlText w:val="(%1)"/>
      <w:numFmt w:val="lowerLetter"/>
      <w:start w:val="1"/>
    </w:lvl>
  </w:abstractNum>
  <w:abstractNum w:abstractNumId="39">
    <w:nsid w:val="1CF10FD8"/>
    <w:multiLevelType w:val="hybridMultilevel"/>
    <w:lvl w:ilvl="0">
      <w:lvlJc w:val="left"/>
      <w:lvlText w:val="%1)"/>
      <w:numFmt w:val="lowerLetter"/>
      <w:start w:val="1"/>
    </w:lvl>
  </w:abstractNum>
  <w:abstractNum w:abstractNumId="40">
    <w:nsid w:val="180115BE"/>
    <w:multiLevelType w:val="hybridMultilevel"/>
    <w:lvl w:ilvl="0">
      <w:lvlJc w:val="left"/>
      <w:lvlText w:val="(%1)"/>
      <w:numFmt w:val="lowerRoman"/>
      <w:start w:val="3"/>
    </w:lvl>
  </w:abstractNum>
  <w:abstractNum w:abstractNumId="41">
    <w:nsid w:val="235BA861"/>
    <w:multiLevelType w:val="hybridMultilevel"/>
    <w:lvl w:ilvl="0">
      <w:lvlJc w:val="left"/>
      <w:lvlText w:val="(%1)"/>
      <w:numFmt w:val="lowerLetter"/>
      <w:start w:val="1"/>
    </w:lvl>
  </w:abstractNum>
  <w:abstractNum w:abstractNumId="42">
    <w:nsid w:val="47398C89"/>
    <w:multiLevelType w:val="hybridMultilevel"/>
    <w:lvl w:ilvl="0">
      <w:lvlJc w:val="left"/>
      <w:lvlText w:val="(%1)"/>
      <w:numFmt w:val="lowerRoman"/>
      <w:start w:val="1"/>
    </w:lvl>
  </w:abstractNum>
  <w:abstractNum w:abstractNumId="43">
    <w:nsid w:val="354FE9F9"/>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44">
    <w:nsid w:val="15B5AF5C"/>
    <w:multiLevelType w:val="hybridMultilevel"/>
    <w:lvl w:ilvl="0">
      <w:lvlJc w:val="left"/>
      <w:lvlText w:val="%1"/>
      <w:numFmt w:val="lowerLetter"/>
      <w:start w:val="1"/>
    </w:lvl>
    <w:lvl w:ilvl="1">
      <w:lvlJc w:val="left"/>
      <w:lvlText w:val="(%2)"/>
      <w:numFmt w:val="decimal"/>
      <w:start w:val="2"/>
    </w:lvl>
  </w:abstractNum>
  <w:abstractNum w:abstractNumId="45">
    <w:nsid w:val="741226BB"/>
    <w:multiLevelType w:val="hybridMultilevel"/>
    <w:lvl w:ilvl="0">
      <w:lvlJc w:val="left"/>
      <w:lvlText w:val="(%1)"/>
      <w:numFmt w:val="lowerLetter"/>
      <w:start w:val="2"/>
    </w:lvl>
    <w:lvl w:ilvl="1">
      <w:lvlJc w:val="left"/>
      <w:lvlText w:val="%2"/>
      <w:numFmt w:val="decimal"/>
      <w:start w:val="1"/>
    </w:lvl>
  </w:abstractNum>
  <w:abstractNum w:abstractNumId="46">
    <w:nsid w:val="D34B6A8"/>
    <w:multiLevelType w:val="hybridMultilevel"/>
    <w:lvl w:ilvl="0">
      <w:lvlJc w:val="left"/>
      <w:lvlText w:val="(%1)"/>
      <w:numFmt w:val="lowerRoman"/>
      <w:start w:val="1"/>
    </w:lvl>
  </w:abstractNum>
  <w:abstractNum w:abstractNumId="47">
    <w:nsid w:val="10233C99"/>
    <w:multiLevelType w:val="hybridMultilevel"/>
    <w:lvl w:ilvl="0">
      <w:lvlJc w:val="left"/>
      <w:lvlText w:val="(%1)"/>
      <w:numFmt w:val="lowerLetter"/>
      <w:start w:val="5"/>
    </w:lvl>
  </w:abstractNum>
  <w:abstractNum w:abstractNumId="48">
    <w:nsid w:val="3F6AB60F"/>
    <w:multiLevelType w:val="hybridMultilevel"/>
    <w:lvl w:ilvl="0">
      <w:lvlJc w:val="left"/>
      <w:lvlText w:val="(%1)"/>
      <w:numFmt w:val="lowerRoman"/>
      <w:start w:val="1"/>
    </w:lvl>
  </w:abstractNum>
  <w:abstractNum w:abstractNumId="49">
    <w:nsid w:val="61574095"/>
    <w:multiLevelType w:val="hybridMultilevel"/>
    <w:lvl w:ilvl="0">
      <w:lvlJc w:val="left"/>
      <w:lvlText w:val="(%1)"/>
      <w:numFmt w:val="lowerRoman"/>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1."/>
      <w:numFmt w:val="decimal"/>
      <w:start w:val="3"/>
    </w:lvl>
  </w:abstractNum>
  <w:abstractNum w:abstractNumId="52">
    <w:nsid w:val="579BE4F1"/>
    <w:multiLevelType w:val="hybridMultilevel"/>
    <w:lvl w:ilvl="0">
      <w:lvlJc w:val="left"/>
      <w:lvlText w:val="%1."/>
      <w:numFmt w:val="decimal"/>
      <w:start w:val="7"/>
    </w:lvl>
  </w:abstractNum>
  <w:abstractNum w:abstractNumId="53">
    <w:nsid w:val="310C50B3"/>
    <w:multiLevelType w:val="hybridMultilevel"/>
    <w:lvl w:ilvl="0">
      <w:lvlJc w:val="left"/>
      <w:lvlText w:val="%1."/>
      <w:numFmt w:val="decimal"/>
      <w:start w:val="9"/>
    </w:lvl>
  </w:abstractNum>
  <w:abstractNum w:abstractNumId="54">
    <w:nsid w:val="5FF87E05"/>
    <w:multiLevelType w:val="hybridMultilevel"/>
    <w:lvl w:ilvl="0">
      <w:lvlJc w:val="left"/>
      <w:lvlText w:val="%1."/>
      <w:numFmt w:val="decimal"/>
      <w:start w:val="12"/>
    </w:lvl>
  </w:abstractNum>
  <w:abstractNum w:abstractNumId="55">
    <w:nsid w:val="2F305DEF"/>
    <w:multiLevelType w:val="hybridMultilevel"/>
    <w:lvl w:ilvl="0">
      <w:lvlJc w:val="left"/>
      <w:lvlText w:val="(%1)"/>
      <w:numFmt w:val="lowerRoman"/>
      <w:start w:val="1"/>
    </w:lvl>
  </w:abstractNum>
  <w:abstractNum w:abstractNumId="56">
    <w:nsid w:val="25A70BF7"/>
    <w:multiLevelType w:val="hybridMultilevel"/>
    <w:lvl w:ilvl="0">
      <w:lvlJc w:val="left"/>
      <w:lvlText w:val="(%1)"/>
      <w:numFmt w:val="lowerLetter"/>
      <w:start w:val="2"/>
    </w:lvl>
  </w:abstractNum>
  <w:abstractNum w:abstractNumId="57">
    <w:nsid w:val="1DBABF00"/>
    <w:multiLevelType w:val="hybridMultilevel"/>
    <w:lvl w:ilvl="0">
      <w:lvlJc w:val="left"/>
      <w:lvlText w:val="(%1)"/>
      <w:numFmt w:val="lowerLetter"/>
      <w:start w:val="1"/>
    </w:lvl>
  </w:abstractNum>
  <w:abstractNum w:abstractNumId="58">
    <w:nsid w:val="4AD084E9"/>
    <w:multiLevelType w:val="hybridMultilevel"/>
    <w:lvl w:ilvl="0">
      <w:lvlJc w:val="left"/>
      <w:lvlText w:val="(%1)"/>
      <w:numFmt w:val="lowerLetter"/>
      <w:start w:val="3"/>
    </w:lvl>
  </w:abstractNum>
  <w:abstractNum w:abstractNumId="59">
    <w:nsid w:val="1F48EAA1"/>
    <w:multiLevelType w:val="hybridMultilevel"/>
    <w:lvl w:ilvl="0">
      <w:lvlJc w:val="left"/>
      <w:lvlText w:val="(%1)"/>
      <w:numFmt w:val="lowerLetter"/>
      <w:start w:val="1"/>
    </w:lvl>
  </w:abstractNum>
  <w:abstractNum w:abstractNumId="60">
    <w:nsid w:val="1381823A"/>
    <w:multiLevelType w:val="hybridMultilevel"/>
    <w:lvl w:ilvl="0">
      <w:lvlJc w:val="left"/>
      <w:lvlText w:val="(%1)"/>
      <w:numFmt w:val="lowerLetter"/>
      <w:start w:val="1"/>
    </w:lvl>
  </w:abstractNum>
  <w:abstractNum w:abstractNumId="61">
    <w:nsid w:val="5DB70AE5"/>
    <w:multiLevelType w:val="hybridMultilevel"/>
    <w:lvl w:ilvl="0">
      <w:lvlJc w:val="left"/>
      <w:lvlText w:val="(%1)"/>
      <w:numFmt w:val="lowerLetter"/>
      <w:start w:val="6"/>
    </w:lvl>
    <w:lvl w:ilvl="1">
      <w:lvlJc w:val="left"/>
      <w:lvlText w:val="(%2)"/>
      <w:numFmt w:val="decimal"/>
      <w:start w:val="1"/>
    </w:lvl>
  </w:abstractNum>
  <w:abstractNum w:abstractNumId="62">
    <w:nsid w:val="100F8FCA"/>
    <w:multiLevelType w:val="hybridMultilevel"/>
    <w:lvl w:ilvl="0">
      <w:lvlJc w:val="left"/>
      <w:lvlText w:val="%1"/>
      <w:numFmt w:val="lowerLetter"/>
      <w:start w:val="1"/>
    </w:lvl>
    <w:lvl w:ilvl="1">
      <w:lvlJc w:val="left"/>
      <w:lvlText w:val="(%2)"/>
      <w:numFmt w:val="decimal"/>
      <w:start w:val="5"/>
    </w:lvl>
  </w:abstractNum>
  <w:abstractNum w:abstractNumId="63">
    <w:nsid w:val="6590700B"/>
    <w:multiLevelType w:val="hybridMultilevel"/>
    <w:lvl w:ilvl="0">
      <w:lvlJc w:val="left"/>
      <w:lvlText w:val="(%1)"/>
      <w:numFmt w:val="lowerLetter"/>
      <w:start w:val="10"/>
    </w:lvl>
    <w:lvl w:ilvl="1">
      <w:lvlJc w:val="left"/>
      <w:lvlText w:val="%2"/>
      <w:numFmt w:val="decimal"/>
      <w:start w:val="1"/>
    </w:lvl>
  </w:abstractNum>
  <w:abstractNum w:abstractNumId="64">
    <w:nsid w:val="15014ACB"/>
    <w:multiLevelType w:val="hybridMultilevel"/>
    <w:lvl w:ilvl="0">
      <w:lvlJc w:val="left"/>
      <w:lvlText w:val="%1."/>
      <w:numFmt w:val="decimal"/>
      <w:start w:val="1"/>
    </w:lvl>
    <w:lvl w:ilvl="1">
      <w:lvlJc w:val="left"/>
      <w:lvlText w:val="%2."/>
      <w:numFmt w:val="upperLetter"/>
      <w:start w:val="1"/>
    </w:lvl>
  </w:abstractNum>
  <w:abstractNum w:abstractNumId="65">
    <w:nsid w:val="5F5E7FD0"/>
    <w:multiLevelType w:val="hybridMultilevel"/>
    <w:lvl w:ilvl="0">
      <w:lvlJc w:val="left"/>
      <w:lvlText w:val="%1."/>
      <w:numFmt w:val="upperLetter"/>
      <w:start w:val="2"/>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decimal"/>
      <w:start w:val="17"/>
    </w:lvl>
    <w:lvl w:ilvl="1">
      <w:lvlJc w:val="left"/>
      <w:lvlText w:val="(%2)"/>
      <w:numFmt w:val="lowerLetter"/>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decimal"/>
      <w:start w:val="2"/>
    </w:lvl>
  </w:abstractNum>
  <w:abstractNum w:abstractNumId="70">
    <w:nsid w:val="168E121F"/>
    <w:multiLevelType w:val="hybridMultilevel"/>
    <w:lvl w:ilvl="0">
      <w:lvlJc w:val="left"/>
      <w:lvlText w:val="%1."/>
      <w:numFmt w:val="decimal"/>
      <w:start w:val="3"/>
    </w:lvl>
  </w:abstractNum>
  <w:abstractNum w:abstractNumId="71">
    <w:nsid w:val="1EBA5D23"/>
    <w:multiLevelType w:val="hybridMultilevel"/>
    <w:lvl w:ilvl="0">
      <w:lvlJc w:val="left"/>
      <w:lvlText w:val="%1."/>
      <w:numFmt w:val="decimal"/>
      <w:start w:val="4"/>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jpeg"/><Relationship Id="rId227" Type="http://schemas.openxmlformats.org/officeDocument/2006/relationships/image" Target="media/image213.jpeg"/><Relationship Id="rId228" Type="http://schemas.openxmlformats.org/officeDocument/2006/relationships/image" Target="media/image214.jpeg"/><Relationship Id="rId229" Type="http://schemas.openxmlformats.org/officeDocument/2006/relationships/image" Target="media/image215.jpeg"/><Relationship Id="rId230" Type="http://schemas.openxmlformats.org/officeDocument/2006/relationships/image" Target="media/image216.jpeg"/><Relationship Id="rId231" Type="http://schemas.openxmlformats.org/officeDocument/2006/relationships/image" Target="media/image217.jpeg"/><Relationship Id="rId232" Type="http://schemas.openxmlformats.org/officeDocument/2006/relationships/image" Target="media/image218.jpeg"/><Relationship Id="rId233" Type="http://schemas.openxmlformats.org/officeDocument/2006/relationships/image" Target="media/image219.jpeg"/><Relationship Id="rId234" Type="http://schemas.openxmlformats.org/officeDocument/2006/relationships/image" Target="media/image220.jpe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jpeg"/><Relationship Id="rId241" Type="http://schemas.openxmlformats.org/officeDocument/2006/relationships/image" Target="media/image227.jpeg"/><Relationship Id="rId242" Type="http://schemas.openxmlformats.org/officeDocument/2006/relationships/image" Target="media/image228.jpeg"/><Relationship Id="rId243" Type="http://schemas.openxmlformats.org/officeDocument/2006/relationships/image" Target="media/image229.jpeg"/><Relationship Id="rId244" Type="http://schemas.openxmlformats.org/officeDocument/2006/relationships/image" Target="media/image230.jpeg"/><Relationship Id="rId245" Type="http://schemas.openxmlformats.org/officeDocument/2006/relationships/image" Target="media/image231.jpeg"/><Relationship Id="rId246" Type="http://schemas.openxmlformats.org/officeDocument/2006/relationships/image" Target="media/image232.jpeg"/><Relationship Id="rId247" Type="http://schemas.openxmlformats.org/officeDocument/2006/relationships/image" Target="media/image233.jpeg"/><Relationship Id="rId248" Type="http://schemas.openxmlformats.org/officeDocument/2006/relationships/image" Target="media/image234.jpeg"/><Relationship Id="rId249" Type="http://schemas.openxmlformats.org/officeDocument/2006/relationships/image" Target="media/image235.jpeg"/><Relationship Id="rId250" Type="http://schemas.openxmlformats.org/officeDocument/2006/relationships/image" Target="media/image236.jpeg"/><Relationship Id="rId251" Type="http://schemas.openxmlformats.org/officeDocument/2006/relationships/image" Target="media/image237.jpeg"/><Relationship Id="rId252" Type="http://schemas.openxmlformats.org/officeDocument/2006/relationships/image" Target="media/image238.jpeg"/><Relationship Id="rId253" Type="http://schemas.openxmlformats.org/officeDocument/2006/relationships/image" Target="media/image239.jpe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jpeg"/><Relationship Id="rId257" Type="http://schemas.openxmlformats.org/officeDocument/2006/relationships/image" Target="media/image243.jpeg"/><Relationship Id="rId258" Type="http://schemas.openxmlformats.org/officeDocument/2006/relationships/image" Target="media/image244.jpeg"/><Relationship Id="rId259" Type="http://schemas.openxmlformats.org/officeDocument/2006/relationships/image" Target="media/image245.jpeg"/><Relationship Id="rId260" Type="http://schemas.openxmlformats.org/officeDocument/2006/relationships/image" Target="media/image246.jpeg"/><Relationship Id="rId261" Type="http://schemas.openxmlformats.org/officeDocument/2006/relationships/image" Target="media/image247.jpeg"/><Relationship Id="rId262" Type="http://schemas.openxmlformats.org/officeDocument/2006/relationships/image" Target="media/image248.jpeg"/><Relationship Id="rId263" Type="http://schemas.openxmlformats.org/officeDocument/2006/relationships/image" Target="media/image249.jpeg"/><Relationship Id="rId264" Type="http://schemas.openxmlformats.org/officeDocument/2006/relationships/image" Target="media/image250.jpe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jpeg"/><Relationship Id="rId268" Type="http://schemas.openxmlformats.org/officeDocument/2006/relationships/image" Target="media/image254.jpeg"/><Relationship Id="rId269" Type="http://schemas.openxmlformats.org/officeDocument/2006/relationships/image" Target="media/image255.jpeg"/><Relationship Id="rId270" Type="http://schemas.openxmlformats.org/officeDocument/2006/relationships/image" Target="media/image256.jpeg"/><Relationship Id="rId271" Type="http://schemas.openxmlformats.org/officeDocument/2006/relationships/image" Target="media/image257.jpeg"/><Relationship Id="rId272" Type="http://schemas.openxmlformats.org/officeDocument/2006/relationships/image" Target="media/image258.jpeg"/><Relationship Id="rId273" Type="http://schemas.openxmlformats.org/officeDocument/2006/relationships/image" Target="media/image259.jpeg"/><Relationship Id="rId274" Type="http://schemas.openxmlformats.org/officeDocument/2006/relationships/image" Target="media/image260.jpeg"/><Relationship Id="rId275" Type="http://schemas.openxmlformats.org/officeDocument/2006/relationships/image" Target="media/image261.jpeg"/><Relationship Id="rId276" Type="http://schemas.openxmlformats.org/officeDocument/2006/relationships/image" Target="media/image262.jpe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jpe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jpeg"/><Relationship Id="rId341" Type="http://schemas.openxmlformats.org/officeDocument/2006/relationships/image" Target="media/image327.jpeg"/><Relationship Id="rId342" Type="http://schemas.openxmlformats.org/officeDocument/2006/relationships/image" Target="media/image328.jpeg"/><Relationship Id="rId343" Type="http://schemas.openxmlformats.org/officeDocument/2006/relationships/image" Target="media/image329.jpeg"/><Relationship Id="rId344" Type="http://schemas.openxmlformats.org/officeDocument/2006/relationships/image" Target="media/image330.jpeg"/><Relationship Id="rId345" Type="http://schemas.openxmlformats.org/officeDocument/2006/relationships/image" Target="media/image331.jpe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jpe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212" Type="http://schemas.openxmlformats.org/officeDocument/2006/relationships/hyperlink" Target="https://www.sec.gov/Archives/edgar/data/1762303/000119312520112315/d918609dex992.htm" TargetMode="External"/><Relationship Id="rId213" Type="http://schemas.openxmlformats.org/officeDocument/2006/relationships/hyperlink" Target="https://www.sec.gov/Archives/edgar/data/1762303/000119312520183429/d75062dex31.htm" TargetMode="External"/><Relationship Id="rId214" Type="http://schemas.openxmlformats.org/officeDocument/2006/relationships/hyperlink" Target="https://www.sec.gov/Archives/edgar/data/1762303/000156459022007617/rcel-ex32_14.htm" TargetMode="External"/><Relationship Id="rId215" Type="http://schemas.openxmlformats.org/officeDocument/2006/relationships/hyperlink" Target="https://www.sec.gov/Archives/edgar/data/1762303/000156459022007617/rcel-ex33_530.htm" TargetMode="External"/><Relationship Id="rId216" Type="http://schemas.openxmlformats.org/officeDocument/2006/relationships/hyperlink" Target="https://www.sec.gov/Archives/edgar/data/1762303/000119312523075191/d467079dex101.htm" TargetMode="External"/><Relationship Id="rId217" Type="http://schemas.openxmlformats.org/officeDocument/2006/relationships/hyperlink" Target="https://www.sec.gov/Archives/edgar/data/1762303/000156459022037402/rcel-ex101_505.htm" TargetMode="External"/><Relationship Id="rId218" Type="http://schemas.openxmlformats.org/officeDocument/2006/relationships/hyperlink" Target="https://www.sec.gov/Archives/edgar/data/1762303/000119312523076835/d80454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2023-05-11T15:51:24Z</dcterms:created>
  <dcterms:modified xsi:type="dcterms:W3CDTF">2023-05-11T15:51:24Z</dcterms:modified>
</cp:coreProperties>
</file>