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June 30,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8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1329055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428625</wp:posOffset>
            </wp:positionV>
            <wp:extent cx="153416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16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28159 Avenue Stanford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Valencia, CA 91355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838" w:orient="portrait"/>
          <w:cols w:equalWidth="0" w:num="1">
            <w:col w:w="11140"/>
          </w:cols>
          <w:pgMar w:left="320" w:top="230" w:right="439" w:bottom="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4"/>
                <w:szCs w:val="14"/>
                <w:color w:val="auto"/>
              </w:rPr>
            </w:pPr>
          </w:p>
        </w:tc>
        <w:tc>
          <w:tcPr>
            <w:tcW w:w="3480" w:type="dxa"/>
            <w:vAlign w:val="bottom"/>
            <w:gridSpan w:val="4"/>
          </w:tcPr>
          <w:p>
            <w:pPr>
              <w:ind w:left="1040"/>
              <w:spacing w:after="0"/>
              <w:rPr>
                <w:sz w:val="20"/>
                <w:szCs w:val="20"/>
                <w:color w:val="auto"/>
              </w:rPr>
            </w:pPr>
            <w:r>
              <w:rPr>
                <w:rFonts w:ascii="Arial" w:cs="Arial" w:eastAsia="Arial" w:hAnsi="Arial"/>
                <w:sz w:val="14"/>
                <w:szCs w:val="14"/>
                <w:b w:val="1"/>
                <w:bCs w:val="1"/>
                <w:color w:val="auto"/>
              </w:rPr>
              <w:t>Trading</w:t>
            </w:r>
          </w:p>
        </w:tc>
        <w:tc>
          <w:tcPr>
            <w:tcW w:w="320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480" w:type="dxa"/>
            <w:vAlign w:val="bottom"/>
            <w:gridSpan w:val="4"/>
          </w:tcPr>
          <w:p>
            <w:pPr>
              <w:ind w:left="1040"/>
              <w:spacing w:after="0"/>
              <w:rPr>
                <w:sz w:val="20"/>
                <w:szCs w:val="20"/>
                <w:color w:val="auto"/>
              </w:rPr>
            </w:pPr>
            <w:r>
              <w:rPr>
                <w:rFonts w:ascii="Arial" w:cs="Arial" w:eastAsia="Arial" w:hAnsi="Arial"/>
                <w:sz w:val="14"/>
                <w:szCs w:val="14"/>
                <w:b w:val="1"/>
                <w:bCs w:val="1"/>
                <w:color w:val="auto"/>
              </w:rPr>
              <w:t>Symbol</w:t>
            </w:r>
          </w:p>
        </w:tc>
        <w:tc>
          <w:tcPr>
            <w:tcW w:w="780" w:type="dxa"/>
            <w:vAlign w:val="bottom"/>
          </w:tcPr>
          <w:p>
            <w:pPr>
              <w:spacing w:after="0"/>
              <w:rPr>
                <w:sz w:val="16"/>
                <w:szCs w:val="16"/>
                <w:color w:val="auto"/>
              </w:rPr>
            </w:pPr>
          </w:p>
        </w:tc>
        <w:tc>
          <w:tcPr>
            <w:tcW w:w="2420" w:type="dxa"/>
            <w:vAlign w:val="bottom"/>
            <w:gridSpan w:val="2"/>
          </w:tcPr>
          <w:p>
            <w:pPr>
              <w:jc w:val="center"/>
              <w:ind w:right="103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3"/>
          </w:tcPr>
          <w:p>
            <w:pPr>
              <w:jc w:val="center"/>
              <w:ind w:right="25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395"/>
        </w:trPr>
        <w:tc>
          <w:tcPr>
            <w:tcW w:w="7820" w:type="dxa"/>
            <w:vAlign w:val="bottom"/>
            <w:gridSpan w:val="7"/>
          </w:tcPr>
          <w:p>
            <w:pPr>
              <w:jc w:val="center"/>
              <w:ind w:left="3094"/>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8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88"/>
              </w:rPr>
              <w:t>None</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40" w:type="dxa"/>
            <w:vAlign w:val="bottom"/>
            <w:gridSpan w:val="3"/>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40" w:type="dxa"/>
            <w:vAlign w:val="bottom"/>
            <w:gridSpan w:val="4"/>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7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60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17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type w:val="continuous"/>
        </w:sectPr>
      </w:pPr>
    </w:p>
    <w:bookmarkStart w:id="1" w:name="page2"/>
    <w:bookmarkEnd w:id="1"/>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was approximately $963,450,796 on December 31, 2019, using the closing price on that day of $45.5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$0.0001 par value common stock outstanding as of August 20, 2020 was 21,468,494.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54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EXPLANATORY NOTE</w:t>
              </w:r>
            </w:hyperlink>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II: Item 9.A – CONTROLS AND PROCEDURES</w:t>
              </w:r>
            </w:hyperlink>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20" w:type="dxa"/>
            <w:vAlign w:val="bottom"/>
          </w:tcPr>
          <w:p>
            <w:pPr>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Part IV: Item 15 - EXHIBITS, FINANCIAL STATEMENT SCHEDULES</w:t>
              </w:r>
            </w:hyperlink>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54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SIGNATURES</w:t>
              </w:r>
            </w:hyperlink>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5420" w:type="dxa"/>
            <w:vAlign w:val="bottom"/>
          </w:tcPr>
          <w:p>
            <w:pPr>
              <w:spacing w:after="0"/>
              <w:rPr>
                <w:sz w:val="24"/>
                <w:szCs w:val="24"/>
                <w:color w:val="auto"/>
              </w:rPr>
            </w:pPr>
          </w:p>
        </w:tc>
        <w:tc>
          <w:tcPr>
            <w:tcW w:w="5540" w:type="dxa"/>
            <w:vAlign w:val="bottom"/>
            <w:gridSpan w:val="2"/>
          </w:tcPr>
          <w:p>
            <w:pPr>
              <w:jc w:val="right"/>
              <w:ind w:right="5368"/>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This amended report on Form 10-K/A (the “Amendment Filing”) amends the annual report on Form 10-K of Avita Medical, Inc. (formerly Avita Therapeutics, Inc.) (the “Registrant”) for the year ended June 30, 2020 initially filed with the Securities and Exchange Commission on August 27, 2020 (the “Original Filing”) for the purpose of updating the disclosure in Item 9.A, Controls and Procedures. Management’s Annual Report on Internal Controls over Financial Reporting contained in Item 9.A of the Original Filing inadvertently omitted a statement on whether or not internal control over financial reporting was effective as of June 30, 2020. This Amendment Filing corrects such omission.</w:t>
      </w:r>
    </w:p>
    <w:p>
      <w:pPr>
        <w:spacing w:after="0" w:line="1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Amendment Filing also amends Item 15 of Part IV of the Form 10-K solely to include as exhibits the new certifications required by Rule 13a-14(a) under the Securities Exchange Act of 1934, as amended. Because no financial statements have been included in this Amendment Filing, paragraph 3 of the certifications have been omitted. We are not including the certifications under Section 906 of the Sarbanes-Oxley Act of 2002 as no financial statements are being filed with this Amendment Filing. Except as expressly stated, this Amendment does not reflect events occurring after the filing of the Original Filing or modify or update in any way any of the other items or disclosures contained in the Original Filing, including, without limitation, the consolidated financial statements and the related footnotes. Accordingly, this Amendment Filing should be read in conjunction with the Original Filing and the Registrant’s other filings with the SEC subsequent to the filing of the Original Filing.</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June 30, 2020. Based on this evaluation, our chief executive officer and chief financial officer concluded that our disclosure controls and procedures were effective as of June 30,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disclosure controls and procedures as of June 30, 2020,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June 30, 2020.</w:t>
      </w:r>
    </w:p>
    <w:p>
      <w:pPr>
        <w:spacing w:after="0" w:line="1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Remediation of Material Weakness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Throughout the year ended June 30, 2020, the Company undertook remediation measures related to the previously reported material weaknesses in internal control over financial reporting. We completed these remediation measures during the year ended June 30, 2020, including testing of the design and implementation of the related controls. Specifically, we implemented a more rigorous process to track and monitor our accumulated tax losses and we have hired an external income tax specialist to review our application of tax legislation across jurisdictions. Based on these procedures, we believe that the previously reported material weakness has been remediated.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than described above, there was no change in our internal control over financial reporting during the year ended June 30, 2020, that has materially affected, or is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Inherent Limitations on Disclosure Controls and Procedures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tcPr>
          <w:p>
            <w:pPr>
              <w:ind w:left="402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2"/>
          </w:tcPr>
          <w:p>
            <w:pPr>
              <w:ind w:left="540"/>
              <w:spacing w:after="0"/>
              <w:rPr>
                <w:sz w:val="20"/>
                <w:szCs w:val="20"/>
                <w:color w:val="auto"/>
              </w:rPr>
            </w:pPr>
            <w:r>
              <w:rPr>
                <w:rFonts w:ascii="Arial" w:cs="Arial" w:eastAsia="Arial" w:hAnsi="Arial"/>
                <w:sz w:val="14"/>
                <w:szCs w:val="14"/>
                <w:b w:val="1"/>
                <w:bCs w:val="1"/>
                <w:color w:val="auto"/>
              </w:rPr>
              <w:t>Exhibit</w:t>
            </w: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980" w:type="dxa"/>
            <w:vAlign w:val="bottom"/>
            <w:shd w:val="clear" w:color="auto" w:fill="000000"/>
          </w:tcPr>
          <w:p>
            <w:pPr>
              <w:spacing w:after="0"/>
              <w:rPr>
                <w:sz w:val="2"/>
                <w:szCs w:val="2"/>
                <w:color w:val="auto"/>
              </w:rPr>
            </w:pPr>
          </w:p>
        </w:tc>
      </w:tr>
      <w:tr>
        <w:trPr>
          <w:trHeight w:val="311"/>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gridSpan w:val="2"/>
          </w:tcPr>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Certification of CEO pursuant to Section 302 of The Sarbanes-Oxley Act of 2002</w:t>
              </w:r>
            </w:hyperlink>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gridSpan w:val="2"/>
          </w:tcPr>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Certification of CFO pursuant to Section 302 of The Sarbanes-Oxley Act of 2002</w:t>
              </w:r>
            </w:hyperlink>
          </w:p>
        </w:tc>
      </w:tr>
      <w:tr>
        <w:trPr>
          <w:trHeight w:val="364"/>
        </w:trPr>
        <w:tc>
          <w:tcPr>
            <w:tcW w:w="500" w:type="dxa"/>
            <w:vAlign w:val="bottom"/>
          </w:tcPr>
          <w:p>
            <w:pPr>
              <w:spacing w:after="0"/>
              <w:rPr>
                <w:sz w:val="24"/>
                <w:szCs w:val="24"/>
                <w:color w:val="auto"/>
              </w:rPr>
            </w:pPr>
          </w:p>
        </w:tc>
        <w:tc>
          <w:tcPr>
            <w:tcW w:w="10520" w:type="dxa"/>
            <w:vAlign w:val="bottom"/>
            <w:gridSpan w:val="2"/>
          </w:tcPr>
          <w:p>
            <w:pPr>
              <w:ind w:left="49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Sean Ekins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Sr. VP of Finance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(Interim Principal Financial and Accounting Officer)</w:t>
      </w:r>
    </w:p>
    <w:p>
      <w:pPr>
        <w:spacing w:after="0" w:line="22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6"/>
                <w:szCs w:val="16"/>
                <w:color w:val="auto"/>
              </w:rPr>
            </w:pPr>
          </w:p>
        </w:tc>
        <w:tc>
          <w:tcPr>
            <w:tcW w:w="4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9"/>
        </w:trPr>
        <w:tc>
          <w:tcPr>
            <w:tcW w:w="4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/s/ Dr. Michael Perry</w:t>
            </w:r>
          </w:p>
        </w:tc>
        <w:tc>
          <w:tcPr>
            <w:tcW w:w="10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20" w:type="dxa"/>
            <w:vAlign w:val="bottom"/>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3"/>
              </w:rPr>
              <w:t>Dr. Michael Perry</w:t>
            </w:r>
          </w:p>
        </w:tc>
        <w:tc>
          <w:tcPr>
            <w:tcW w:w="100" w:type="dxa"/>
            <w:vAlign w:val="bottom"/>
          </w:tcPr>
          <w:p>
            <w:pPr>
              <w:spacing w:after="0"/>
              <w:rPr>
                <w:sz w:val="19"/>
                <w:szCs w:val="19"/>
                <w:color w:val="auto"/>
              </w:rPr>
            </w:pPr>
          </w:p>
        </w:tc>
        <w:tc>
          <w:tcPr>
            <w:tcW w:w="4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Sean Ekins</w:t>
            </w:r>
          </w:p>
        </w:tc>
        <w:tc>
          <w:tcPr>
            <w:tcW w:w="10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Sr. VP of Finance</w:t>
            </w: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7"/>
              </w:rPr>
              <w:t>Sean Ekins</w:t>
            </w:r>
          </w:p>
        </w:tc>
        <w:tc>
          <w:tcPr>
            <w:tcW w:w="100" w:type="dxa"/>
            <w:vAlign w:val="bottom"/>
          </w:tcPr>
          <w:p>
            <w:pPr>
              <w:spacing w:after="0"/>
              <w:rPr>
                <w:sz w:val="19"/>
                <w:szCs w:val="19"/>
                <w:color w:val="auto"/>
              </w:rPr>
            </w:pPr>
          </w:p>
        </w:tc>
        <w:tc>
          <w:tcPr>
            <w:tcW w:w="4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(Interim Principal Financial and Accounting Officer)</w:t>
            </w: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 Panaccio</w:t>
            </w:r>
          </w:p>
        </w:tc>
        <w:tc>
          <w:tcPr>
            <w:tcW w:w="10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Lou Panaccio</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spacing w:after="0"/>
              <w:rPr>
                <w:sz w:val="24"/>
                <w:szCs w:val="24"/>
                <w:color w:val="auto"/>
              </w:rPr>
            </w:pP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0"/>
              </w:rPr>
              <w:t>Jeremy Curnock Cook</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Louis Drapeau</w:t>
            </w:r>
          </w:p>
        </w:tc>
        <w:tc>
          <w:tcPr>
            <w:tcW w:w="10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0"/>
              </w:rPr>
              <w:t>Louis Drapeau</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Suzanne Crowe</w:t>
            </w:r>
          </w:p>
        </w:tc>
        <w:tc>
          <w:tcPr>
            <w:tcW w:w="10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March 10, 2021</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8"/>
              </w:rPr>
              <w:t>Suzanne Crowe</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728"/>
        </w:trPr>
        <w:tc>
          <w:tcPr>
            <w:tcW w:w="4420" w:type="dxa"/>
            <w:vAlign w:val="bottom"/>
          </w:tcPr>
          <w:p>
            <w:pPr>
              <w:spacing w:after="0"/>
              <w:rPr>
                <w:sz w:val="24"/>
                <w:szCs w:val="24"/>
                <w:color w:val="auto"/>
              </w:rPr>
            </w:pPr>
          </w:p>
        </w:tc>
        <w:tc>
          <w:tcPr>
            <w:tcW w:w="4280" w:type="dxa"/>
            <w:vAlign w:val="bottom"/>
            <w:gridSpan w:val="2"/>
          </w:tcPr>
          <w:p>
            <w:pPr>
              <w:jc w:val="right"/>
              <w:ind w:right="307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Perry, certify that:</w:t>
      </w:r>
    </w:p>
    <w:p>
      <w:pPr>
        <w:spacing w:after="0" w:line="131"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Avita Medical,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sz w:val="20"/>
          <w:szCs w:val="20"/>
          <w:color w:val="auto"/>
        </w:rPr>
      </w:pPr>
    </w:p>
    <w:p>
      <w:pPr>
        <w:jc w:val="both"/>
        <w:ind w:left="960" w:right="500" w:hanging="532"/>
        <w:spacing w:after="0" w:line="29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jc w:val="both"/>
        <w:ind w:left="1420" w:right="540" w:hanging="439"/>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960" w:right="520" w:hanging="532"/>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6"/>
          <w:szCs w:val="16"/>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Perry</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Ekins, certify that:</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Avita Medical,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sz w:val="20"/>
          <w:szCs w:val="20"/>
          <w:color w:val="auto"/>
        </w:rPr>
      </w:pPr>
    </w:p>
    <w:p>
      <w:pPr>
        <w:jc w:val="both"/>
        <w:ind w:left="960" w:right="500" w:hanging="532"/>
        <w:spacing w:after="0" w:line="29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jc w:val="both"/>
        <w:ind w:left="1420" w:right="540" w:hanging="439"/>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0" w:right="200" w:hanging="439"/>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960" w:right="520" w:hanging="532"/>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March 10, 2021</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Sean Ekins</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Sr. VP of Finance</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(Interim 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2021-03-11T05:15:35Z</dcterms:created>
  <dcterms:modified xsi:type="dcterms:W3CDTF">2021-03-11T05:15:35Z</dcterms:modified>
</cp:coreProperties>
</file>