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6"/>
            <w:vMerge w:val="restart"/>
          </w:tcPr>
          <w:p>
            <w:pPr>
              <w:jc w:val="center"/>
              <w:ind w:right="37"/>
              <w:spacing w:after="0" w:line="143" w:lineRule="exact"/>
              <w:rPr>
                <w:sz w:val="20"/>
                <w:szCs w:val="20"/>
                <w:color w:val="auto"/>
              </w:rPr>
            </w:pPr>
            <w:r>
              <w:rPr>
                <w:rFonts w:ascii="Arial" w:cs="Arial" w:eastAsia="Arial" w:hAnsi="Arial"/>
                <w:sz w:val="13"/>
                <w:szCs w:val="13"/>
                <w:color w:val="auto"/>
              </w:rPr>
              <w:t>Washington, D.C. 20549</w:t>
            </w: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gridSpan w:val="6"/>
            <w:vMerge w:val="continue"/>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5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8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4"/>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80" w:type="dxa"/>
            <w:vAlign w:val="bottom"/>
            <w:gridSpan w:val="18"/>
            <w:vMerge w:val="restart"/>
          </w:tcPr>
          <w:p>
            <w:pPr>
              <w:jc w:val="center"/>
              <w:ind w:left="52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1"/>
                <w:szCs w:val="11"/>
                <w:color w:val="auto"/>
              </w:rPr>
            </w:pPr>
          </w:p>
        </w:tc>
        <w:tc>
          <w:tcPr>
            <w:tcW w:w="50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580" w:type="dxa"/>
            <w:vAlign w:val="bottom"/>
            <w:gridSpan w:val="18"/>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80" w:type="dxa"/>
            <w:vAlign w:val="bottom"/>
            <w:gridSpan w:val="18"/>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0"/>
          </w:tcPr>
          <w:p>
            <w:pPr>
              <w:jc w:val="center"/>
              <w:ind w:right="200"/>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w w:val="94"/>
              </w:rPr>
            </w:pPr>
            <w:hyperlink r:id="rId8">
              <w:r>
                <w:rPr>
                  <w:rFonts w:ascii="Arial" w:cs="Arial" w:eastAsia="Arial" w:hAnsi="Arial"/>
                  <w:sz w:val="21"/>
                  <w:szCs w:val="21"/>
                  <w:color w:val="0000EE"/>
                  <w:w w:val="94"/>
                </w:rPr>
                <w:t>Panaccio Lou</w:t>
              </w:r>
            </w:hyperlink>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40" w:type="dxa"/>
            <w:vAlign w:val="bottom"/>
            <w:vMerge w:val="restart"/>
          </w:tcPr>
          <w:p>
            <w:pPr>
              <w:ind w:left="18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7"/>
            <w:vMerge w:val="restart"/>
          </w:tcPr>
          <w:p>
            <w:pPr>
              <w:ind w:left="24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2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2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80"/>
              <w:spacing w:after="0"/>
              <w:rPr>
                <w:sz w:val="20"/>
                <w:szCs w:val="20"/>
                <w:color w:val="auto"/>
              </w:rPr>
            </w:pPr>
            <w:r>
              <w:rPr>
                <w:rFonts w:ascii="Arial" w:cs="Arial" w:eastAsia="Arial" w:hAnsi="Arial"/>
                <w:sz w:val="13"/>
                <w:szCs w:val="13"/>
                <w:color w:val="auto"/>
              </w:rPr>
              <w:t>(Middle)</w:t>
            </w:r>
          </w:p>
        </w:tc>
        <w:tc>
          <w:tcPr>
            <w:tcW w:w="1380" w:type="dxa"/>
            <w:vAlign w:val="bottom"/>
            <w:gridSpan w:val="8"/>
          </w:tcPr>
          <w:p>
            <w:pPr>
              <w:ind w:left="260"/>
              <w:spacing w:after="0"/>
              <w:rPr>
                <w:sz w:val="20"/>
                <w:szCs w:val="20"/>
                <w:color w:val="auto"/>
              </w:rPr>
            </w:pPr>
            <w:r>
              <w:rPr>
                <w:rFonts w:ascii="Arial" w:cs="Arial" w:eastAsia="Arial" w:hAnsi="Arial"/>
                <w:sz w:val="17"/>
                <w:szCs w:val="17"/>
                <w:color w:val="0000FF"/>
              </w:rPr>
              <w:t>06/06/2023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AVITA MEDICAL, INC.</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28159 AVENUE STANFORD, SUITE 220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9"/>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3" w:lineRule="exact"/>
              <w:rPr>
                <w:sz w:val="20"/>
                <w:szCs w:val="20"/>
                <w:color w:val="auto"/>
              </w:rPr>
            </w:pPr>
            <w:r>
              <w:rPr>
                <w:rFonts w:ascii="Arial" w:cs="Arial" w:eastAsia="Arial" w:hAnsi="Arial"/>
                <w:sz w:val="17"/>
                <w:szCs w:val="17"/>
                <w:color w:val="0000FF"/>
              </w:rPr>
              <w:t>VALENCIA</w:t>
            </w:r>
          </w:p>
        </w:tc>
        <w:tc>
          <w:tcPr>
            <w:tcW w:w="1160" w:type="dxa"/>
            <w:vAlign w:val="bottom"/>
            <w:gridSpan w:val="2"/>
            <w:vMerge w:val="restart"/>
          </w:tcPr>
          <w:p>
            <w:pPr>
              <w:spacing w:after="0" w:line="163" w:lineRule="exact"/>
              <w:rPr>
                <w:sz w:val="20"/>
                <w:szCs w:val="20"/>
                <w:color w:val="auto"/>
              </w:rPr>
            </w:pPr>
            <w:r>
              <w:rPr>
                <w:rFonts w:ascii="Arial" w:cs="Arial" w:eastAsia="Arial" w:hAnsi="Arial"/>
                <w:sz w:val="17"/>
                <w:szCs w:val="17"/>
                <w:color w:val="0000FF"/>
              </w:rPr>
              <w:t>CA</w:t>
            </w:r>
          </w:p>
        </w:tc>
        <w:tc>
          <w:tcPr>
            <w:tcW w:w="1160" w:type="dxa"/>
            <w:vAlign w:val="bottom"/>
            <w:vMerge w:val="restart"/>
          </w:tcPr>
          <w:p>
            <w:pPr>
              <w:ind w:left="80"/>
              <w:spacing w:after="0" w:line="163" w:lineRule="exact"/>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4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40" w:type="dxa"/>
            <w:vAlign w:val="bottom"/>
            <w:gridSpan w:val="11"/>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4"/>
                <w:szCs w:val="14"/>
                <w:color w:val="auto"/>
              </w:rPr>
            </w:pPr>
          </w:p>
        </w:tc>
        <w:tc>
          <w:tcPr>
            <w:tcW w:w="19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6"/>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7"/>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6"/>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840"/>
              <w:spacing w:after="0"/>
              <w:rPr>
                <w:sz w:val="20"/>
                <w:szCs w:val="20"/>
                <w:color w:val="auto"/>
              </w:rPr>
            </w:pPr>
            <w:r>
              <w:rPr>
                <w:rFonts w:ascii="Arial" w:cs="Arial" w:eastAsia="Arial" w:hAnsi="Arial"/>
                <w:sz w:val="17"/>
                <w:szCs w:val="17"/>
                <w:color w:val="0000FF"/>
              </w:rPr>
              <w:t>06/06/2023</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0"/>
              </w:rPr>
              <w:t>6,175</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jc w:val="center"/>
              <w:ind w:right="195"/>
              <w:spacing w:after="0"/>
              <w:rPr>
                <w:sz w:val="20"/>
                <w:szCs w:val="20"/>
                <w:color w:val="auto"/>
              </w:rPr>
            </w:pPr>
            <w:r>
              <w:rPr>
                <w:rFonts w:ascii="Arial" w:cs="Arial" w:eastAsia="Arial" w:hAnsi="Arial"/>
                <w:sz w:val="17"/>
                <w:szCs w:val="17"/>
                <w:color w:val="0000FF"/>
              </w:rPr>
              <w:t>37,206</w:t>
            </w:r>
            <w:r>
              <w:rPr>
                <w:rFonts w:ascii="Arial" w:cs="Arial" w:eastAsia="Arial" w:hAnsi="Arial"/>
                <w:sz w:val="21"/>
                <w:szCs w:val="21"/>
                <w:color w:val="008000"/>
                <w:vertAlign w:val="superscript"/>
              </w:rPr>
              <w:t>(3)(4)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0000FF"/>
              </w:rPr>
              <w:t>5,972</w:t>
            </w:r>
            <w:r>
              <w:rPr>
                <w:rFonts w:ascii="Arial" w:cs="Arial" w:eastAsia="Arial" w:hAnsi="Arial"/>
                <w:sz w:val="21"/>
                <w:szCs w:val="21"/>
                <w:color w:val="008000"/>
                <w:vertAlign w:val="superscript"/>
              </w:rPr>
              <w:t>(5)</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80" w:type="dxa"/>
            <w:vAlign w:val="bottom"/>
            <w:gridSpan w:val="18"/>
          </w:tcPr>
          <w:p>
            <w:pPr>
              <w:jc w:val="right"/>
              <w:ind w:right="14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4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8"/>
                <w:szCs w:val="18"/>
                <w:color w:val="auto"/>
              </w:rPr>
            </w:pPr>
          </w:p>
        </w:tc>
        <w:tc>
          <w:tcPr>
            <w:tcW w:w="600" w:type="dxa"/>
            <w:vAlign w:val="bottom"/>
          </w:tcPr>
          <w:p>
            <w:pPr>
              <w:ind w:left="60"/>
              <w:spacing w:after="0" w:line="217" w:lineRule="exact"/>
              <w:rPr>
                <w:sz w:val="20"/>
                <w:szCs w:val="20"/>
                <w:color w:val="auto"/>
              </w:rPr>
            </w:pPr>
            <w:r>
              <w:rPr>
                <w:rFonts w:ascii="Arial" w:cs="Arial" w:eastAsia="Arial" w:hAnsi="Arial"/>
                <w:sz w:val="13"/>
                <w:szCs w:val="13"/>
                <w:color w:val="0000FF"/>
              </w:rPr>
              <w:t>2,646</w:t>
            </w:r>
            <w:r>
              <w:rPr>
                <w:rFonts w:ascii="Arial" w:cs="Arial" w:eastAsia="Arial" w:hAnsi="Arial"/>
                <w:sz w:val="21"/>
                <w:szCs w:val="21"/>
                <w:color w:val="008000"/>
                <w:vertAlign w:val="superscript"/>
              </w:rPr>
              <w:t>(1)</w:t>
            </w:r>
          </w:p>
        </w:tc>
        <w:tc>
          <w:tcPr>
            <w:tcW w:w="28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Arial" w:cs="Arial" w:eastAsia="Arial" w:hAnsi="Arial"/>
                <w:sz w:val="11"/>
                <w:szCs w:val="11"/>
                <w:color w:val="008000"/>
              </w:rPr>
              <w:t>(7)</w:t>
            </w:r>
          </w:p>
        </w:tc>
        <w:tc>
          <w:tcPr>
            <w:tcW w:w="740" w:type="dxa"/>
            <w:vAlign w:val="bottom"/>
          </w:tcPr>
          <w:p>
            <w:pPr>
              <w:ind w:left="40"/>
              <w:spacing w:after="0"/>
              <w:rPr>
                <w:sz w:val="20"/>
                <w:szCs w:val="20"/>
                <w:color w:val="auto"/>
              </w:rPr>
            </w:pPr>
            <w:r>
              <w:rPr>
                <w:rFonts w:ascii="Arial" w:cs="Arial" w:eastAsia="Arial" w:hAnsi="Arial"/>
                <w:sz w:val="13"/>
                <w:szCs w:val="13"/>
                <w:color w:val="0000FF"/>
              </w:rPr>
              <w:t>06/06/2033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2,646</w:t>
            </w:r>
          </w:p>
        </w:tc>
        <w:tc>
          <w:tcPr>
            <w:tcW w:w="1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60" w:type="dxa"/>
            <w:vAlign w:val="bottom"/>
            <w:gridSpan w:val="3"/>
          </w:tcPr>
          <w:p>
            <w:pPr>
              <w:ind w:left="260"/>
              <w:spacing w:after="0"/>
              <w:rPr>
                <w:sz w:val="20"/>
                <w:szCs w:val="20"/>
                <w:color w:val="auto"/>
              </w:rPr>
            </w:pPr>
            <w:r>
              <w:rPr>
                <w:rFonts w:ascii="Arial" w:cs="Arial" w:eastAsia="Arial" w:hAnsi="Arial"/>
                <w:sz w:val="13"/>
                <w:szCs w:val="13"/>
                <w:color w:val="0000FF"/>
                <w:w w:val="85"/>
              </w:rPr>
              <w:t>2,646</w:t>
            </w: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ind w:left="100"/>
              <w:spacing w:after="0" w:line="79"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-5963285</wp:posOffset>
            </wp:positionV>
            <wp:extent cx="7045960" cy="6116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1163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60" w:firstLine="3"/>
        <w:spacing w:after="0" w:line="27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14" w:lineRule="exact"/>
        <w:rPr>
          <w:rFonts w:ascii="Arial" w:cs="Arial" w:eastAsia="Arial" w:hAnsi="Arial"/>
          <w:sz w:val="12"/>
          <w:szCs w:val="12"/>
          <w:color w:val="008000"/>
        </w:rPr>
      </w:pPr>
    </w:p>
    <w:p>
      <w:pPr>
        <w:ind w:left="40" w:right="1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70,460 of the Issuer's CDIs. The Reporting Person holds 70,460 CDIs, which translate into 14,092 of the shares of Common Stock set forth above.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29,860 CDIs, which translate into the 5,972 shares of Common Stock set forth above.</w:t>
      </w:r>
    </w:p>
    <w:p>
      <w:pPr>
        <w:spacing w:after="0" w:line="45" w:lineRule="exact"/>
        <w:rPr>
          <w:rFonts w:ascii="Arial" w:cs="Arial" w:eastAsia="Arial" w:hAnsi="Arial"/>
          <w:sz w:val="13"/>
          <w:szCs w:val="13"/>
          <w:color w:val="008000"/>
        </w:rPr>
      </w:pPr>
    </w:p>
    <w:p>
      <w:pPr>
        <w:ind w:left="40" w:right="360" w:firstLine="3"/>
        <w:spacing w:after="0" w:line="29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CDIs are held by The Panaccio Superannuation Fund (the "Fund"). The Reporting Person is a director of Tercus Pty Ltd, trustee of the Fund, and is a beneficiary of the Fund. The Reporting Person may be deemed to have shared voting and dispositive power over the CDIs held by the Fund but disclaims such beneficial ownership, except to the extent of his pecuniary interest therein.</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Donna Shiroma, by power</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16237" TargetMode="External"/><Relationship Id="rId9"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2023-06-08T15:49:19Z</dcterms:created>
  <dcterms:modified xsi:type="dcterms:W3CDTF">2023-06-08T15:49:19Z</dcterms:modified>
</cp:coreProperties>
</file>