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240030</wp:posOffset>
            </wp:positionV>
            <wp:extent cx="1585595"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559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902"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902" w:orient="portrait"/>
          <w:cols w:equalWidth="0" w:num="2">
            <w:col w:w="7300" w:space="720"/>
            <w:col w:w="3120"/>
          </w:cols>
          <w:pgMar w:left="320" w:top="230" w:right="439" w:bottom="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902" w:orient="portrait"/>
          <w:cols w:equalWidth="0" w:num="2">
            <w:col w:w="7180" w:space="720"/>
            <w:col w:w="3240"/>
          </w:cols>
          <w:pgMar w:left="320" w:top="230" w:right="439" w:bottom="0" w:gutter="0" w:footer="0" w:header="0"/>
          <w:type w:val="continuous"/>
        </w:sectPr>
      </w:pP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28159 Avenue Stanford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Suite 220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Valencia, CA 91355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(Address of principal executive offices and Zip Code)</w:t>
      </w:r>
    </w:p>
    <w:p>
      <w:pPr>
        <w:sectPr>
          <w:pgSz w:w="11900" w:h="16902" w:orient="portrait"/>
          <w:cols w:equalWidth="0" w:num="1">
            <w:col w:w="11140"/>
          </w:cols>
          <w:pgMar w:left="320" w:top="230" w:right="439" w:bottom="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902" w:orient="portrait"/>
          <w:cols w:equalWidth="0" w:num="1">
            <w:col w:w="11140"/>
          </w:cols>
          <w:pgMar w:left="320" w:top="230"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company” in Rule 12b-2 of the Exchange Act.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040"/>
              <w:spacing w:after="0"/>
              <w:rPr>
                <w:sz w:val="20"/>
                <w:szCs w:val="20"/>
                <w:color w:val="auto"/>
              </w:rPr>
            </w:pPr>
            <w:r>
              <w:rPr>
                <w:rFonts w:ascii="Arial" w:cs="Arial" w:eastAsia="Arial" w:hAnsi="Arial"/>
                <w:sz w:val="18"/>
                <w:szCs w:val="18"/>
                <w:color w:val="auto"/>
                <w:w w:val="98"/>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27"/>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82" w:lineRule="exact"/>
        <w:rPr>
          <w:sz w:val="20"/>
          <w:szCs w:val="20"/>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registrant’s $0.0001 par value common stock outstanding as of February 13, 2021 was 21,628,633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12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1160" w:type="dxa"/>
            <w:vAlign w:val="bottom"/>
          </w:tcPr>
          <w:p>
            <w:pPr>
              <w:spacing w:after="0"/>
              <w:rPr>
                <w:sz w:val="24"/>
                <w:szCs w:val="24"/>
                <w:color w:val="auto"/>
              </w:rPr>
            </w:pPr>
          </w:p>
        </w:tc>
        <w:tc>
          <w:tcPr>
            <w:tcW w:w="946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4"/>
                <w:szCs w:val="24"/>
                <w:color w:val="auto"/>
              </w:rPr>
            </w:pPr>
          </w:p>
        </w:tc>
      </w:tr>
      <w:tr>
        <w:trPr>
          <w:trHeight w:val="459"/>
        </w:trPr>
        <w:tc>
          <w:tcPr>
            <w:tcW w:w="10620" w:type="dxa"/>
            <w:vAlign w:val="bottom"/>
            <w:gridSpan w:val="2"/>
          </w:tcPr>
          <w:p>
            <w:pPr>
              <w:ind w:left="12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 – FINANCIAL INFORMATION</w:t>
              </w:r>
            </w:hyperlink>
          </w:p>
        </w:tc>
        <w:tc>
          <w:tcPr>
            <w:tcW w:w="460" w:type="dxa"/>
            <w:vAlign w:val="bottom"/>
          </w:tcPr>
          <w:p>
            <w:pPr>
              <w:spacing w:after="0"/>
              <w:rPr>
                <w:sz w:val="24"/>
                <w:szCs w:val="24"/>
                <w:color w:val="auto"/>
              </w:rPr>
            </w:pP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1.</w:t>
            </w:r>
          </w:p>
        </w:tc>
        <w:tc>
          <w:tcPr>
            <w:tcW w:w="946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 Looking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Sheets – December 31, 2020 (unaudited) and June 30, 2020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Operations for the three and six months ended December 31, 2020 (unaudited)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w w:val="92"/>
              </w:rPr>
            </w:pPr>
            <w:hyperlink w:anchor="page8">
              <w:r>
                <w:rPr>
                  <w:rFonts w:ascii="Arial" w:cs="Arial" w:eastAsia="Arial" w:hAnsi="Arial"/>
                  <w:sz w:val="18"/>
                  <w:szCs w:val="18"/>
                  <w:u w:val="single" w:color="auto"/>
                  <w:color w:val="0000EE"/>
                  <w:w w:val="92"/>
                </w:rPr>
                <w:t>Consolidated Statements of Comprehensive Loss for the three and six months ended December 31, 2020 (unaudited)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w w:val="93"/>
              </w:rPr>
            </w:pPr>
            <w:hyperlink w:anchor="page9">
              <w:r>
                <w:rPr>
                  <w:rFonts w:ascii="Arial" w:cs="Arial" w:eastAsia="Arial" w:hAnsi="Arial"/>
                  <w:sz w:val="18"/>
                  <w:szCs w:val="18"/>
                  <w:u w:val="single" w:color="auto"/>
                  <w:color w:val="0000EE"/>
                  <w:w w:val="93"/>
                </w:rPr>
                <w:t>Consolidated Statements of Stockholders’ Equity for the three and six months ended December 31, 2020 unaudited)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Consolidated Statements of Cash Flows for the six months ended December 31, 2020 (unaudited)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60" w:type="dxa"/>
            <w:vAlign w:val="bottom"/>
          </w:tcPr>
          <w:p>
            <w:pPr>
              <w:spacing w:after="0"/>
              <w:rPr>
                <w:sz w:val="24"/>
                <w:szCs w:val="24"/>
                <w:color w:val="auto"/>
              </w:rPr>
            </w:pPr>
          </w:p>
        </w:tc>
        <w:tc>
          <w:tcPr>
            <w:tcW w:w="9460" w:type="dxa"/>
            <w:vAlign w:val="bottom"/>
          </w:tcPr>
          <w:p>
            <w:pPr>
              <w:ind w:left="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2.</w:t>
            </w:r>
          </w:p>
        </w:tc>
        <w:tc>
          <w:tcPr>
            <w:tcW w:w="9460" w:type="dxa"/>
            <w:vAlign w:val="bottom"/>
          </w:tcPr>
          <w:p>
            <w:pPr>
              <w:ind w:left="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3.</w:t>
            </w:r>
          </w:p>
        </w:tc>
        <w:tc>
          <w:tcPr>
            <w:tcW w:w="9460" w:type="dxa"/>
            <w:vAlign w:val="bottom"/>
          </w:tcPr>
          <w:p>
            <w:pPr>
              <w:ind w:left="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4.</w:t>
            </w:r>
          </w:p>
        </w:tc>
        <w:tc>
          <w:tcPr>
            <w:tcW w:w="9460" w:type="dxa"/>
            <w:vAlign w:val="bottom"/>
          </w:tcPr>
          <w:p>
            <w:pPr>
              <w:ind w:left="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620" w:type="dxa"/>
            <w:vAlign w:val="bottom"/>
            <w:gridSpan w:val="2"/>
          </w:tcPr>
          <w:p>
            <w:pPr>
              <w:ind w:left="12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 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1.</w:t>
            </w:r>
          </w:p>
        </w:tc>
        <w:tc>
          <w:tcPr>
            <w:tcW w:w="9460" w:type="dxa"/>
            <w:vAlign w:val="bottom"/>
          </w:tcPr>
          <w:p>
            <w:pPr>
              <w:ind w:lef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w w:val="98"/>
              </w:rPr>
              <w:t>Item 1A.</w:t>
            </w:r>
          </w:p>
        </w:tc>
        <w:tc>
          <w:tcPr>
            <w:tcW w:w="9460" w:type="dxa"/>
            <w:vAlign w:val="bottom"/>
          </w:tcPr>
          <w:p>
            <w:pPr>
              <w:ind w:lef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2.</w:t>
            </w:r>
          </w:p>
        </w:tc>
        <w:tc>
          <w:tcPr>
            <w:tcW w:w="9460" w:type="dxa"/>
            <w:vAlign w:val="bottom"/>
          </w:tcPr>
          <w:p>
            <w:pPr>
              <w:ind w:lef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3.</w:t>
            </w:r>
          </w:p>
        </w:tc>
        <w:tc>
          <w:tcPr>
            <w:tcW w:w="9460" w:type="dxa"/>
            <w:vAlign w:val="bottom"/>
          </w:tcPr>
          <w:p>
            <w:pPr>
              <w:ind w:lef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Defaults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4.</w:t>
            </w:r>
          </w:p>
        </w:tc>
        <w:tc>
          <w:tcPr>
            <w:tcW w:w="9460" w:type="dxa"/>
            <w:vAlign w:val="bottom"/>
          </w:tcPr>
          <w:p>
            <w:pPr>
              <w:ind w:lef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5.</w:t>
            </w:r>
          </w:p>
        </w:tc>
        <w:tc>
          <w:tcPr>
            <w:tcW w:w="9460" w:type="dxa"/>
            <w:vAlign w:val="bottom"/>
          </w:tcPr>
          <w:p>
            <w:pPr>
              <w:ind w:lef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480"/>
              <w:spacing w:after="0"/>
              <w:rPr>
                <w:sz w:val="20"/>
                <w:szCs w:val="20"/>
                <w:color w:val="auto"/>
              </w:rPr>
            </w:pPr>
            <w:r>
              <w:rPr>
                <w:rFonts w:ascii="Arial" w:cs="Arial" w:eastAsia="Arial" w:hAnsi="Arial"/>
                <w:sz w:val="18"/>
                <w:szCs w:val="18"/>
                <w:color w:val="auto"/>
              </w:rPr>
              <w:t>Item 6.</w:t>
            </w:r>
          </w:p>
        </w:tc>
        <w:tc>
          <w:tcPr>
            <w:tcW w:w="9460" w:type="dxa"/>
            <w:vAlign w:val="bottom"/>
          </w:tcPr>
          <w:p>
            <w:pPr>
              <w:ind w:left="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620" w:type="dxa"/>
            <w:vAlign w:val="bottom"/>
            <w:gridSpan w:val="2"/>
          </w:tcPr>
          <w:p>
            <w:pPr>
              <w:ind w:left="4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300"/>
        <w:spacing w:after="0" w:line="282" w:lineRule="auto"/>
        <w:rPr>
          <w:sz w:val="20"/>
          <w:szCs w:val="20"/>
          <w:color w:val="auto"/>
        </w:rPr>
      </w:pPr>
      <w:r>
        <w:rPr>
          <w:rFonts w:ascii="Arial" w:cs="Arial" w:eastAsia="Arial" w:hAnsi="Arial"/>
          <w:sz w:val="18"/>
          <w:szCs w:val="18"/>
          <w:b w:val="1"/>
          <w:bCs w:val="1"/>
          <w:color w:val="auto"/>
        </w:rPr>
        <w:t>SPECIAL NOTE REGARDING FORWARD-LOOKING STATEMENTS FORWARD-LOOKING STATEMENT</w:t>
      </w:r>
    </w:p>
    <w:p>
      <w:pPr>
        <w:spacing w:after="0" w:line="5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results of operations and financial position, the anticipated impact of the novel coronavirus, or COVID-19, pandemic on our business, business strategy,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“plan,”“anticipate,” “could,” “intend,” “target,” “project,” “contemplate,” “believe,” “estimate,” “predict,” “potential”, or “continue” or the negative of these terms or other similar expressions.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Avita Medical, Inc.</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We have reviewed the accompanying consolidated balance sheet of Avita Medical, Inc., (a Delaware corporation) and subsidiaries (the “Company”) as of December 31, 2020, and the related consolidated statements of operations, comprehensive loss, shareholders’ equity, and cash flows for the three-month and six-month periods ended December 31, 2020 and 2019, and the related condensed notes (collectively referred to as the “interim financial statements”). Based on our reviews, we are not aware of any material modifications that should be made to the accompanying interim financial statements for them to be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review results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These interim financial statements are the responsibility of the Company’s management.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16,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7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June 30,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59,765</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73,639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BARDA receivables</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Prepaids and other current assets</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65,450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net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1,795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82,462</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Accrued wages and fringe benefits</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4,305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Contingencies (Note 10)</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w w:val="98"/>
              </w:rPr>
              <w:t>Common stock, $0.0001 par value per share, 200,000,000 shares authorized, 21,625,058 and 21,467,912</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shares issued and outstanding at December 31, 2020 and June 30, 2020, respectively</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Preferred stock, $0.0001 par value per share, 10,000,000 shares authorized, no shares issued or outstanding</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December 31, 2020 and June 30, 2020</w:t>
            </w:r>
          </w:p>
        </w:tc>
        <w:tc>
          <w:tcPr>
            <w:tcW w:w="30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262,086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259,165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(210,781)</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(194,913)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72,401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69,305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1"/>
              </w:rPr>
              <w:t>Three months ended December 31,</w:t>
            </w:r>
          </w:p>
        </w:tc>
        <w:tc>
          <w:tcPr>
            <w:tcW w:w="80" w:type="dxa"/>
            <w:vAlign w:val="bottom"/>
          </w:tcPr>
          <w:p>
            <w:pPr>
              <w:spacing w:after="0"/>
              <w:rPr>
                <w:sz w:val="14"/>
                <w:szCs w:val="14"/>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Six months ended December 31,</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BARDA income</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Sales and marketing expenses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3,972</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3,401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7,107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(10,592)</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(5,630)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(10,502)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(14,068)</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21,623,509</w:t>
            </w: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19,877,676</w:t>
            </w: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21,563,576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19,298,767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21,623,509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19,877,676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21,563,576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19,298,767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2 for information about a reclassification of share-based compensation expense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Three months ended December 31,</w:t>
            </w:r>
          </w:p>
        </w:tc>
        <w:tc>
          <w:tcPr>
            <w:tcW w:w="80" w:type="dxa"/>
            <w:vAlign w:val="bottom"/>
          </w:tcPr>
          <w:p>
            <w:pPr>
              <w:spacing w:after="0"/>
              <w:rPr>
                <w:sz w:val="14"/>
                <w:szCs w:val="14"/>
                <w:color w:val="auto"/>
              </w:rPr>
            </w:pPr>
          </w:p>
        </w:tc>
        <w:tc>
          <w:tcPr>
            <w:tcW w:w="2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0"/>
              </w:rPr>
              <w:t>Six months ended December 31,</w:t>
            </w:r>
          </w:p>
        </w:tc>
      </w:tr>
      <w:tr>
        <w:trPr>
          <w:trHeight w:val="142"/>
        </w:trPr>
        <w:tc>
          <w:tcPr>
            <w:tcW w:w="446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7"/>
        </w:trPr>
        <w:tc>
          <w:tcPr>
            <w:tcW w:w="4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(10,424)</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(15,725)</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(14,024)</w:t>
            </w:r>
          </w:p>
        </w:tc>
      </w:tr>
      <w:tr>
        <w:trPr>
          <w:trHeight w:val="20"/>
        </w:trPr>
        <w:tc>
          <w:tcPr>
            <w:tcW w:w="4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December 31, 2020</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1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21,623,287</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0"/>
                <w:szCs w:val="10"/>
                <w:b w:val="1"/>
                <w:bCs w:val="1"/>
                <w:color w:val="auto"/>
                <w:w w:val="71"/>
              </w:rPr>
              <w:t>3</w:t>
            </w:r>
          </w:p>
        </w:tc>
        <w:tc>
          <w:tcPr>
            <w:tcW w:w="3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262,431</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(205,140</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1,771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Translation gain</w:t>
            </w:r>
          </w:p>
        </w:tc>
        <w:tc>
          <w:tcPr>
            <w:tcW w:w="12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21,625,058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0"/>
                <w:szCs w:val="10"/>
                <w:b w:val="1"/>
                <w:bCs w:val="1"/>
                <w:color w:val="auto"/>
                <w:w w:val="71"/>
              </w:rPr>
              <w:t>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262,086</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(210,781</w:t>
            </w: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December 31, 2019</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1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18,728,849</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0"/>
                <w:szCs w:val="10"/>
                <w:b w:val="1"/>
                <w:bCs w:val="1"/>
                <w:color w:val="auto"/>
                <w:w w:val="71"/>
              </w:rPr>
              <w:t>3</w:t>
            </w:r>
          </w:p>
        </w:tc>
        <w:tc>
          <w:tcPr>
            <w:tcW w:w="3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166,252</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(156,449</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of common stock under direct placement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2,033,898</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81,702</w:t>
            </w:r>
          </w:p>
        </w:tc>
        <w:tc>
          <w:tcPr>
            <w:tcW w:w="3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81,702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Issuance costs associated with direct placement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(5,077)</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3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840" w:type="dxa"/>
            <w:vAlign w:val="bottom"/>
          </w:tcPr>
          <w:p>
            <w:pPr>
              <w:jc w:val="right"/>
              <w:spacing w:after="0"/>
              <w:rPr>
                <w:sz w:val="20"/>
                <w:szCs w:val="20"/>
                <w:color w:val="auto"/>
              </w:rPr>
            </w:pPr>
            <w:r>
              <w:rPr>
                <w:rFonts w:ascii="Arial" w:cs="Arial" w:eastAsia="Arial" w:hAnsi="Arial"/>
                <w:sz w:val="18"/>
                <w:szCs w:val="18"/>
                <w:color w:val="auto"/>
              </w:rPr>
              <w:t>361,111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Translation gain</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2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21,174,743</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ind w:left="220"/>
              <w:spacing w:after="0"/>
              <w:rPr>
                <w:sz w:val="20"/>
                <w:szCs w:val="20"/>
                <w:color w:val="auto"/>
              </w:rPr>
            </w:pPr>
            <w:r>
              <w:rPr>
                <w:rFonts w:ascii="Arial" w:cs="Arial" w:eastAsia="Arial" w:hAnsi="Arial"/>
                <w:sz w:val="10"/>
                <w:szCs w:val="10"/>
                <w:b w:val="1"/>
                <w:bCs w:val="1"/>
                <w:color w:val="auto"/>
                <w:w w:val="71"/>
              </w:rPr>
              <w:t>3</w:t>
            </w:r>
          </w:p>
        </w:tc>
        <w:tc>
          <w:tcPr>
            <w:tcW w:w="3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246,028</w:t>
            </w:r>
          </w:p>
        </w:tc>
        <w:tc>
          <w:tcPr>
            <w:tcW w:w="3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8,228</w:t>
            </w:r>
          </w:p>
        </w:tc>
        <w:tc>
          <w:tcPr>
            <w:tcW w:w="122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b w:val="1"/>
                <w:bCs w:val="1"/>
                <w:color w:val="auto"/>
                <w:w w:val="95"/>
              </w:rPr>
              <w:t>$ (166,951)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87,308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Six Months Ended December 31, 2020</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16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120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21,467,912</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
                <w:szCs w:val="1"/>
                <w:b w:val="1"/>
                <w:bCs w:val="1"/>
                <w:color w:val="auto"/>
                <w:w w:val="4294967288"/>
              </w:rPr>
              <w:t>3</w:t>
            </w:r>
          </w:p>
        </w:tc>
        <w:tc>
          <w:tcPr>
            <w:tcW w:w="3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259,165</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(194,913</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(15,868)</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151,837</w:t>
            </w:r>
          </w:p>
        </w:tc>
        <w:tc>
          <w:tcPr>
            <w:tcW w:w="16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2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5,309</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Translation gain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w w:val="86"/>
              </w:rPr>
              <w:t>143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21,625,058</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262,086</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8,289</w:t>
            </w:r>
          </w:p>
        </w:tc>
        <w:tc>
          <w:tcPr>
            <w:tcW w:w="122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b w:val="1"/>
                <w:bCs w:val="1"/>
                <w:color w:val="auto"/>
                <w:w w:val="95"/>
              </w:rPr>
              <w:t>$ (210,781)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59,597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Six Months Ended December 31, 2019</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16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18,712,996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165,473</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8,184</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(152,828</w:t>
            </w:r>
          </w:p>
        </w:tc>
        <w:tc>
          <w:tcPr>
            <w:tcW w:w="380" w:type="dxa"/>
            <w:vAlign w:val="bottom"/>
            <w:tcBorders>
              <w:top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(14,068)</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direct placement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2,033,898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81,702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Issuance costs associated with direct placement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(5,077)</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361,111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Issuance of common stock to director in lieu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right"/>
              <w:ind w:right="38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directors’ fees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15,853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Beginning balance adjustment related to the adoption</w:t>
            </w: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ASC 842</w:t>
            </w:r>
          </w:p>
        </w:tc>
        <w:tc>
          <w:tcPr>
            <w:tcW w:w="10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Translation gain</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21,174,743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246,028</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8,228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w w:val="93"/>
              </w:rPr>
              <w:t>(166,951)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87,308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Six Months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(15,868)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(14,068)</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Non-cash lease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Remeasurement and foreign currency transaction loss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doubtful accounts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Provision for write-down of inventories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Issuance of common stock to directors in lieu of directors’ fees</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BARDA receivables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Prepaids and other current assets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fringe benefits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(13,388)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plant and equipment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Cash paid for patent filing fees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direct placement of common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81,701</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Issuance cost associated with direct placement</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 of finance lease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provided/(used) in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76,840</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restricted cash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(13,874)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67,086</w:t>
            </w:r>
          </w:p>
        </w:tc>
        <w:tc>
          <w:tcPr>
            <w:tcW w:w="0" w:type="dxa"/>
            <w:vAlign w:val="bottom"/>
          </w:tcPr>
          <w:p>
            <w:pPr>
              <w:spacing w:after="0"/>
              <w:rPr>
                <w:sz w:val="1"/>
                <w:szCs w:val="1"/>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b w:val="1"/>
                <w:bCs w:val="1"/>
                <w:color w:val="auto"/>
              </w:rPr>
              <w:t>Cash and restricted cash at beginning of the period</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73,840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20,374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restricted cash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59,966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87,460</w:t>
            </w: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Plant and equipment purchases not yet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3" w:lineRule="exact"/>
        <w:rPr>
          <w:sz w:val="20"/>
          <w:szCs w:val="20"/>
          <w:color w:val="auto"/>
        </w:rPr>
      </w:pPr>
    </w:p>
    <w:p>
      <w:pPr>
        <w:ind w:left="120" w:right="60" w:firstLine="991"/>
        <w:spacing w:after="0" w:line="269" w:lineRule="auto"/>
        <w:rPr>
          <w:sz w:val="20"/>
          <w:szCs w:val="20"/>
          <w:color w:val="auto"/>
        </w:rPr>
      </w:pPr>
      <w:r>
        <w:rPr>
          <w:rFonts w:ascii="Arial" w:cs="Arial" w:eastAsia="Arial" w:hAnsi="Arial"/>
          <w:sz w:val="17"/>
          <w:szCs w:val="17"/>
          <w:color w:val="auto"/>
        </w:rPr>
        <w:t>The AVITA group of companies (comprising AVITA Medical, Inc. (“</w:t>
      </w:r>
      <w:r>
        <w:rPr>
          <w:rFonts w:ascii="Arial" w:cs="Arial" w:eastAsia="Arial" w:hAnsi="Arial"/>
          <w:sz w:val="17"/>
          <w:szCs w:val="17"/>
          <w:b w:val="1"/>
          <w:bCs w:val="1"/>
          <w:color w:val="auto"/>
        </w:rPr>
        <w:t>AVITA</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including AVITA Medical Pty Limited, previously known as AVITA Medical Limited, (“</w:t>
      </w:r>
      <w:r>
        <w:rPr>
          <w:rFonts w:ascii="Arial" w:cs="Arial" w:eastAsia="Arial" w:hAnsi="Arial"/>
          <w:sz w:val="17"/>
          <w:szCs w:val="17"/>
          <w:b w:val="1"/>
          <w:bCs w:val="1"/>
          <w:color w:val="auto"/>
        </w:rPr>
        <w:t>AVITA Medical</w:t>
      </w:r>
      <w:r>
        <w:rPr>
          <w:rFonts w:ascii="Arial" w:cs="Arial" w:eastAsia="Arial" w:hAnsi="Arial"/>
          <w:sz w:val="17"/>
          <w:szCs w:val="17"/>
          <w:color w:val="auto"/>
        </w:rPr>
        <w:t>”)) (collectively, “</w:t>
      </w:r>
      <w:r>
        <w:rPr>
          <w:rFonts w:ascii="Arial" w:cs="Arial" w:eastAsia="Arial" w:hAnsi="Arial"/>
          <w:sz w:val="17"/>
          <w:szCs w:val="17"/>
          <w:b w:val="1"/>
          <w:bCs w:val="1"/>
          <w:color w:val="auto"/>
        </w:rPr>
        <w:t>AVITA Group</w:t>
      </w:r>
      <w:r>
        <w:rPr>
          <w:rFonts w:ascii="Arial" w:cs="Arial" w:eastAsia="Arial" w:hAnsi="Arial"/>
          <w:sz w:val="17"/>
          <w:szCs w:val="17"/>
          <w:color w:val="auto"/>
        </w:rPr>
        <w:t>” or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is a commercial-stage regenerative tissue company focused on the treatment of burns, trauma and other acute injuries, together with skin defects like vitiligo. The Company’s lead product is the RECELL</w:t>
      </w:r>
      <w:r>
        <w:rPr>
          <w:rFonts w:ascii="Arial" w:cs="Arial" w:eastAsia="Arial" w:hAnsi="Arial"/>
          <w:sz w:val="14"/>
          <w:szCs w:val="14"/>
          <w:color w:val="auto"/>
        </w:rPr>
        <w:t>®</w:t>
      </w:r>
      <w:r>
        <w:rPr>
          <w:rFonts w:ascii="Arial" w:cs="Arial" w:eastAsia="Arial" w:hAnsi="Arial"/>
          <w:sz w:val="17"/>
          <w:szCs w:val="17"/>
          <w:color w:val="auto"/>
        </w:rPr>
        <w:t xml:space="preserve"> System, a device that enables healthcare professionals to produce a suspension of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sample of the patient’s own skin. In September 2018, the United States Food &amp; Drug Administration (“</w:t>
      </w:r>
      <w:r>
        <w:rPr>
          <w:rFonts w:ascii="Arial" w:cs="Arial" w:eastAsia="Arial" w:hAnsi="Arial"/>
          <w:sz w:val="17"/>
          <w:szCs w:val="17"/>
          <w:b w:val="1"/>
          <w:bCs w:val="1"/>
          <w:color w:val="auto"/>
        </w:rPr>
        <w:t>FDA</w:t>
      </w:r>
      <w:r>
        <w:rPr>
          <w:rFonts w:ascii="Arial" w:cs="Arial" w:eastAsia="Arial" w:hAnsi="Arial"/>
          <w:sz w:val="17"/>
          <w:szCs w:val="17"/>
          <w:color w:val="auto"/>
        </w:rPr>
        <w:t>”) granted premarket approval (“</w:t>
      </w:r>
      <w:r>
        <w:rPr>
          <w:rFonts w:ascii="Arial" w:cs="Arial" w:eastAsia="Arial" w:hAnsi="Arial"/>
          <w:sz w:val="17"/>
          <w:szCs w:val="17"/>
          <w:b w:val="1"/>
          <w:bCs w:val="1"/>
          <w:color w:val="auto"/>
        </w:rPr>
        <w:t>PMA</w:t>
      </w:r>
      <w:r>
        <w:rPr>
          <w:rFonts w:ascii="Arial" w:cs="Arial" w:eastAsia="Arial" w:hAnsi="Arial"/>
          <w:sz w:val="17"/>
          <w:szCs w:val="17"/>
          <w:color w:val="auto"/>
        </w:rPr>
        <w:t>”) to the RECELL System for use in the treatment of acute thermal burns in patients eighteen years and older. Following receipt of our PMA, we commenced commercializing the RECELL System in January 2019 in the United States. In addition, the FDA has granted the Company three Investigational Device Exemptions (“</w:t>
      </w:r>
      <w:r>
        <w:rPr>
          <w:rFonts w:ascii="Arial" w:cs="Arial" w:eastAsia="Arial" w:hAnsi="Arial"/>
          <w:sz w:val="17"/>
          <w:szCs w:val="17"/>
          <w:b w:val="1"/>
          <w:bCs w:val="1"/>
          <w:color w:val="auto"/>
        </w:rPr>
        <w:t>IDEs</w:t>
      </w:r>
      <w:r>
        <w:rPr>
          <w:rFonts w:ascii="Arial" w:cs="Arial" w:eastAsia="Arial" w:hAnsi="Arial"/>
          <w:sz w:val="17"/>
          <w:szCs w:val="17"/>
          <w:color w:val="auto"/>
        </w:rPr>
        <w:t>”) studies which have enabled the Company to initiate pivotal clinical investigational studies to seek expanded FDA (supplementary) PMA of the RECELL System for each of soft tissue reconstruction, pediatric scalds, and vitiligo. Enrollment of those clinical studies is ongoing and, if successful, those studies would enable the Company to commence commercializing the RECELL System in the United States in each of those indications.</w:t>
      </w:r>
    </w:p>
    <w:p>
      <w:pPr>
        <w:spacing w:after="0" w:line="18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Effective December 2, 2020 (United States time), AVITA Therapeutics, Inc., changed its corporate name to AVITA Medical, Inc. after successfully filing a Certificate of Amendment of Certificate of Incorporation with the Secretary of State of the State of Delaware. The Company’s change of name was registered with the Australian Securities and Investments Commission effective as from 6 January 2021. The Company’s common stock continues to trade on The NASDAQ Stock Exchange LLC (“NASDAQ”) under the symbol “RCEL” and its CHESS Depositary Interests (“CDIs”) continue to trade on the Australian Securities Exchange (“ASX”) under the ticker symbol, “AVH”.</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a pandemic. COVID-19 is having, and will likely continue to have, an adverse effect on the Company’s business, results of operations, financial condition, and cash flows, and its future impacts remain highly uncertain and unpredictable. The Company has considered the disruptions caused by COVID-19, including lower than forecasted sales, delays to the speed of enrollment in the Company’s clinical trials that may, if successful, support commercial approval and new revenues in additional markets, and macroeconomic factors, that may impact its estimates. The Company has assessed the potential impact of COVID-19 on certain accounting matters including, but not limited to, the allowance for doubtful accounts, inventory reserves and return reserves, as of December 31, 2020 and through the date of this report. During the three months and six months ended December 31, 2020, COVID-19 had minor effects on the Company’s operations and financial position and cash flows.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Redomiciliation</w:t>
      </w:r>
    </w:p>
    <w:p>
      <w:pPr>
        <w:spacing w:after="0" w:line="117"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On June 29, 2020, the Company, a newly formed Delaware corporation, acquired all of the issued share capital of AVITA Medical, a then public company incorporated under the laws of the Commonwealth of Australia and former parent company of the AVITA Group. The acquisition was completed pursuant to a scheme of arrangement under Australian law and was approved by the Federal Court of Australia on June 22, 2020, and by shareholders of AVITA Medical on June 15, 2020 (the “</w:t>
      </w:r>
      <w:r>
        <w:rPr>
          <w:rFonts w:ascii="Arial" w:cs="Arial" w:eastAsia="Arial" w:hAnsi="Arial"/>
          <w:sz w:val="16"/>
          <w:szCs w:val="16"/>
          <w:b w:val="1"/>
          <w:bCs w:val="1"/>
          <w:color w:val="auto"/>
        </w:rPr>
        <w:t>Redomiciliation</w:t>
      </w:r>
      <w:r>
        <w:rPr>
          <w:rFonts w:ascii="Arial" w:cs="Arial" w:eastAsia="Arial" w:hAnsi="Arial"/>
          <w:sz w:val="16"/>
          <w:szCs w:val="16"/>
          <w:color w:val="auto"/>
        </w:rPr>
        <w:t>”). Under the Redomiciliation, all of the issued and outstanding ordinary shares of AVITA Medical, including those ordinary shares held in the form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were exchanged for newly issued shares of common stock of the AVITA Medical, Inc. or CHESS Depositary Interests (“</w:t>
      </w:r>
      <w:r>
        <w:rPr>
          <w:rFonts w:ascii="Arial" w:cs="Arial" w:eastAsia="Arial" w:hAnsi="Arial"/>
          <w:sz w:val="16"/>
          <w:szCs w:val="16"/>
          <w:b w:val="1"/>
          <w:bCs w:val="1"/>
          <w:color w:val="auto"/>
        </w:rPr>
        <w:t>CDIs</w:t>
      </w:r>
      <w:r>
        <w:rPr>
          <w:rFonts w:ascii="Arial" w:cs="Arial" w:eastAsia="Arial" w:hAnsi="Arial"/>
          <w:sz w:val="16"/>
          <w:szCs w:val="16"/>
          <w:color w:val="auto"/>
        </w:rPr>
        <w:t xml:space="preserve">”). This exchange was conducted on the basis of one share of common stock of AVITA Medical, Inc. for every 100 ordinary shares of AVITA Medical, effecting an ‘implicit consolidation’ or ‘reverse split’. The holders of ordinary shares of AVITA Medical received one CDI for every 20 ordinary shares held in AVITA Medical, and the holders of AVITA Medical </w:t>
      </w:r>
      <w:r>
        <w:rPr>
          <w:rFonts w:ascii="Arial" w:cs="Arial" w:eastAsia="Arial" w:hAnsi="Arial"/>
          <w:sz w:val="16"/>
          <w:szCs w:val="16"/>
          <w:b w:val="1"/>
          <w:bCs w:val="1"/>
          <w:color w:val="auto"/>
        </w:rPr>
        <w:t xml:space="preserve">ADSs </w:t>
      </w:r>
      <w:r>
        <w:rPr>
          <w:rFonts w:ascii="Arial" w:cs="Arial" w:eastAsia="Arial" w:hAnsi="Arial"/>
          <w:sz w:val="16"/>
          <w:szCs w:val="16"/>
          <w:color w:val="auto"/>
        </w:rPr>
        <w:t>(each of which previously represented 20 ordinary shares in AVITA Medical) received one share of common stock in AVITA Medical, Inc. for</w:t>
      </w:r>
      <w:r>
        <w:rPr>
          <w:rFonts w:ascii="Arial" w:cs="Arial" w:eastAsia="Arial" w:hAnsi="Arial"/>
          <w:sz w:val="16"/>
          <w:szCs w:val="16"/>
          <w:b w:val="1"/>
          <w:bCs w:val="1"/>
          <w:color w:val="auto"/>
        </w:rPr>
        <w:t xml:space="preserve"> </w:t>
      </w:r>
      <w:r>
        <w:rPr>
          <w:rFonts w:ascii="Arial" w:cs="Arial" w:eastAsia="Arial" w:hAnsi="Arial"/>
          <w:sz w:val="16"/>
          <w:szCs w:val="16"/>
          <w:color w:val="auto"/>
        </w:rPr>
        <w:t>every five ADSs held. The common stock of AVITA Medical, Inc. began trading on The NASDAQ Stock Exchange LLC (“</w:t>
      </w:r>
      <w:r>
        <w:rPr>
          <w:rFonts w:ascii="Arial" w:cs="Arial" w:eastAsia="Arial" w:hAnsi="Arial"/>
          <w:sz w:val="16"/>
          <w:szCs w:val="16"/>
          <w:b w:val="1"/>
          <w:bCs w:val="1"/>
          <w:color w:val="auto"/>
        </w:rPr>
        <w:t>NASDAQ</w:t>
      </w:r>
      <w:r>
        <w:rPr>
          <w:rFonts w:ascii="Arial" w:cs="Arial" w:eastAsia="Arial" w:hAnsi="Arial"/>
          <w:sz w:val="16"/>
          <w:szCs w:val="16"/>
          <w:color w:val="auto"/>
        </w:rPr>
        <w:t>”) upon market open on July 1, 2020 under the same ticker code, “RCEL” as AVITA Medical’s ADSs were traded under prior to the Redomiciliation.</w:t>
      </w:r>
    </w:p>
    <w:p>
      <w:pPr>
        <w:spacing w:after="0" w:line="172"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As part of the exchange of shares under the Redomiciliation, a reverse split was also simultaneously implemented such that the number of shares of common stock on issue in AVITA Medical, Inc. (as set out in the consolidated financial statements) is less than the number of ordinary shares in AVITA Medical that was previously set out in the consolidated financial statements of AVITA Medical.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The Redomiciliation resulted in the domicile of the AVITA Group moving from Australia to the United States of America, with AVITA Medical, Inc. becoming the ultimate parent company of the AVITA Group. In addition, the existing listing of AVITA Medical ordinary shares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(as its primary listing) and AVITA Medical ADSs on NASDAQ (as its secondary listing) was inverted and replaced with a new listing of AVITA Medical, Inc. common stock on NASDAQ (as its primary listing) under the existing ticker symbol, “RCEL” and AVITA Medical, Inc. CDIs on the ASX (as its secondary listing) under the existing ticker symbol, AVH. Five CDIs traded on ASX are equivalent to one share of common stock traded on NASDAQ.</w:t>
      </w:r>
    </w:p>
    <w:p>
      <w:pPr>
        <w:spacing w:after="0" w:line="192"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As a result of the Redomiciliation, the reporting currency of the AVITA Group has changed from the Australian dollar to the U.S. dollar. In accordance with SEC regulation, S-X Rule 320 (e), the impact of the change in the reporting currency was included in a component of other comprehensive income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accompanying unaudited consolidated financial statements of the Company have been prepared in accordance with generally accepted accounting principles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for interim financial information and with the instructions to Form 10-Q and Article 10 of Regulation S-X of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June 30, 2020 filed with the SEC on August 27, 2020 (the “</w:t>
      </w:r>
      <w:r>
        <w:rPr>
          <w:rFonts w:ascii="Arial" w:cs="Arial" w:eastAsia="Arial" w:hAnsi="Arial"/>
          <w:sz w:val="17"/>
          <w:szCs w:val="17"/>
          <w:b w:val="1"/>
          <w:bCs w:val="1"/>
          <w:color w:val="auto"/>
        </w:rPr>
        <w:t>Annual Report</w:t>
      </w:r>
      <w:r>
        <w:rPr>
          <w:rFonts w:ascii="Arial" w:cs="Arial" w:eastAsia="Arial" w:hAnsi="Arial"/>
          <w:sz w:val="17"/>
          <w:szCs w:val="17"/>
          <w:color w:val="auto"/>
        </w:rPr>
        <w:t>”).</w:t>
      </w:r>
    </w:p>
    <w:p>
      <w:pPr>
        <w:spacing w:after="0" w:line="178"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as described in the annual report on Form 10-K that have had a material impact on the Company’s consolidated financial statements. See the summary of the Company’s significant accounting policies set forth in the notes to its consolidated financial statements included in the Annual Report.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jc w:val="both"/>
        <w:ind w:left="120" w:right="300" w:firstLine="991"/>
        <w:spacing w:after="0" w:line="263" w:lineRule="auto"/>
        <w:rPr>
          <w:sz w:val="20"/>
          <w:szCs w:val="20"/>
          <w:color w:val="auto"/>
        </w:rPr>
      </w:pPr>
      <w:r>
        <w:rPr>
          <w:rFonts w:ascii="Arial" w:cs="Arial" w:eastAsia="Arial" w:hAnsi="Arial"/>
          <w:sz w:val="18"/>
          <w:szCs w:val="18"/>
          <w:color w:val="auto"/>
        </w:rPr>
        <w:t>Certain amounts in the prior period Consolidated Statement of Operations have been reclassified to conform to the presentation of the current period financial statements. These reclassifications had no effect on the previously reported operating expense, loss before taxes, net loss and earnings per share.</w:t>
      </w:r>
    </w:p>
    <w:p>
      <w:pPr>
        <w:spacing w:after="0" w:line="184" w:lineRule="exact"/>
        <w:rPr>
          <w:sz w:val="20"/>
          <w:szCs w:val="20"/>
          <w:color w:val="auto"/>
        </w:rPr>
      </w:pPr>
    </w:p>
    <w:p>
      <w:pPr>
        <w:ind w:left="120" w:right="240" w:firstLine="991"/>
        <w:spacing w:after="0" w:line="279" w:lineRule="auto"/>
        <w:rPr>
          <w:sz w:val="20"/>
          <w:szCs w:val="20"/>
          <w:color w:val="auto"/>
        </w:rPr>
      </w:pPr>
      <w:r>
        <w:rPr>
          <w:rFonts w:ascii="Arial" w:cs="Arial" w:eastAsia="Arial" w:hAnsi="Arial"/>
          <w:sz w:val="17"/>
          <w:szCs w:val="17"/>
          <w:color w:val="auto"/>
        </w:rPr>
        <w:t>After the issuance of the consolidated financial statements for the year ended June 30, 2020, and the quarter ended September 30, 2020, the Company concluded that the presentation of share-based compensation should be reclassified to the functional expense line items consistent with cash compensation in accordance with SAB Topic 14. The Company has determined that such change in presentation of prior period amounts in the Statement of Operations is not material to the consolidated financial statements.</w:t>
      </w:r>
    </w:p>
    <w:p>
      <w:pPr>
        <w:spacing w:after="0" w:line="171" w:lineRule="exact"/>
        <w:rPr>
          <w:sz w:val="20"/>
          <w:szCs w:val="20"/>
          <w:color w:val="auto"/>
        </w:rPr>
      </w:pPr>
    </w:p>
    <w:p>
      <w:pPr>
        <w:ind w:left="120" w:right="120" w:firstLine="991"/>
        <w:spacing w:after="0" w:line="279" w:lineRule="auto"/>
        <w:rPr>
          <w:sz w:val="20"/>
          <w:szCs w:val="20"/>
          <w:color w:val="auto"/>
        </w:rPr>
      </w:pPr>
      <w:r>
        <w:rPr>
          <w:rFonts w:ascii="Arial" w:cs="Arial" w:eastAsia="Arial" w:hAnsi="Arial"/>
          <w:sz w:val="17"/>
          <w:szCs w:val="17"/>
          <w:color w:val="auto"/>
        </w:rPr>
        <w:t>The Company reclassified share-based compensation expense of $2.9 million for the three months ended December 31, 2019 to sales and marketing expense of $234,000, general and administrative expense of $2.5 million and research and development expenses of $120,000. For the six months ended December 31, 2019, the Company reclassified share-based compensation of $3.6 million to sales and marketing expense of $370,000, general and administrative expense of $2.9 million and research and development expenses of $305,000.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120" w:right="120" w:firstLine="991"/>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As a result of the Redomiciliation, the parent company of the AVITA Group changed from AVITA Medical to AVITA Medical, Inc. All intercompany transactions and balances have been eliminated on consolidation.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inventory, accounting for income taxes and share-based compensation and related disclosures. Estimates have been prepared on the basis of the current and available information. However, actual results could differ from estimated amounts.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left="120" w:right="120" w:firstLine="991"/>
        <w:spacing w:after="0" w:line="288" w:lineRule="auto"/>
        <w:rPr>
          <w:sz w:val="20"/>
          <w:szCs w:val="20"/>
          <w:color w:val="auto"/>
        </w:rPr>
      </w:pPr>
      <w:r>
        <w:rPr>
          <w:rFonts w:ascii="Arial" w:cs="Arial" w:eastAsia="Arial" w:hAnsi="Arial"/>
          <w:sz w:val="16"/>
          <w:szCs w:val="16"/>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$77,000 and $114,000 for the three and six months ended December 31, 2020, respectively. For the three and six months ended December 31, 2019 amounts were not significant. The Company’s non-operating subsidiaries that use the U.S. dollar as their functional currency remeasure monetary assets and liabilities at exchange rates in effect at the end of each period, nonmonetary assets and liabilities at historical rates. Gains and losses resulting from these remeasurements and foreign currency transactions are included in general and administrative expenses and were a gain of $21,000 and a loss of $115,000 for the three and six months ended December 31, 2020, respectively. For the three and six months ended December 31, 2019 amounts were not significant.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 xml:space="preserve">Revenues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Effective July 1, 2018, the Company adopted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using the modified retrospective method applicable to all contracts that were not completed at the date of initial application. This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outlined a comprehensive new revenue recognition model designed to depict the transfer of promised goods or services to customers in an amount that reflects the consideration to which the entity expects to be entitled in exchange for those goods or services. ASC 606 also required additional qualitative disclosures, refer to Note 12 – Revenues for further information. 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left="120" w:right="220" w:firstLine="99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trade and other receivables. As of December 31, 2020, and June 30, 2020, substantially all of the Company’s cash was deposited in accounts at financial institutions, and amounts exceed federally insured limits. Management believes that the Company is not exposed to significant credit risk due to the financial strength of the depository institutions in which its cash is held.</w:t>
      </w:r>
    </w:p>
    <w:p>
      <w:pPr>
        <w:spacing w:after="0" w:line="187"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As of December 31, 2020 and June 30, 2020, no single customer accounted for more than 10% of net accounts receivable. For the three months and six months ended December 31, 2020, no single customer accounted for more than 10% of total revenues. For the three months ended December 31, 2019, no single customer accounted for more than 10% of total revenues. For the six months ended December 31, 2019, one customer accounted for approximately 11% of total revenues.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Pursuant to a contractual agreement with American Express to maintain the business credit card, the Company must maintain restricted cash deposits which amounted to approximately $201,000 and $201,000 as of December 31, 2020 and June 30, 2020,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3" w:lineRule="exact"/>
        <w:rPr>
          <w:sz w:val="20"/>
          <w:szCs w:val="20"/>
          <w:color w:val="auto"/>
        </w:rPr>
      </w:pPr>
    </w:p>
    <w:p>
      <w:pPr>
        <w:ind w:left="120" w:right="100" w:firstLine="991"/>
        <w:spacing w:after="0" w:line="261" w:lineRule="auto"/>
        <w:rPr>
          <w:sz w:val="20"/>
          <w:szCs w:val="20"/>
          <w:color w:val="auto"/>
        </w:rPr>
      </w:pPr>
      <w:r>
        <w:rPr>
          <w:rFonts w:ascii="Arial" w:cs="Arial" w:eastAsia="Arial" w:hAnsi="Arial"/>
          <w:sz w:val="18"/>
          <w:szCs w:val="18"/>
          <w:color w:val="auto"/>
        </w:rPr>
        <w:t>The AVITA Group was awarded a Biomedical Advance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contract in September 2015. Under this arrangement BARDA supported the Company’s research and development for the Company’s product, including the ongoing U.S. clinical regulatory program targeted towards PMA, our compassionate use program, clinical and health economics research. The BARDA contract supports the Company’s ongoing Pediatric Scalds clinical trial.</w:t>
      </w:r>
    </w:p>
    <w:p>
      <w:pPr>
        <w:spacing w:after="0" w:line="184"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7"/>
          <w:szCs w:val="17"/>
          <w:color w:val="auto"/>
        </w:rPr>
        <w:t>Consideration received under the BARDA arrangement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 xml:space="preserve">The Company has concluded that grants under the BARDA relationship is not within the scope of ASC 606, as it does not meet the definition of a contract with a “customer.” The Company has further concluded that Subtopic 958-605, </w:t>
      </w:r>
      <w:r>
        <w:rPr>
          <w:rFonts w:ascii="Arial" w:cs="Arial" w:eastAsia="Arial" w:hAnsi="Arial"/>
          <w:sz w:val="18"/>
          <w:szCs w:val="18"/>
          <w:i w:val="1"/>
          <w:iCs w:val="1"/>
          <w:color w:val="auto"/>
        </w:rPr>
        <w:t>Not-for-Profit-Entities-Revenue Recognition</w:t>
      </w:r>
      <w:r>
        <w:rPr>
          <w:rFonts w:ascii="Arial" w:cs="Arial" w:eastAsia="Arial" w:hAnsi="Arial"/>
          <w:sz w:val="18"/>
          <w:szCs w:val="18"/>
          <w:color w:val="auto"/>
        </w:rPr>
        <w:t xml:space="preserve"> also does not apply, as the Company is a business entity and the payments are with governmental agencies or units. With respect to the BARDA arrangement, we considered the guidance in IAS 20, </w:t>
      </w:r>
      <w:r>
        <w:rPr>
          <w:rFonts w:ascii="Arial" w:cs="Arial" w:eastAsia="Arial" w:hAnsi="Arial"/>
          <w:sz w:val="18"/>
          <w:szCs w:val="18"/>
          <w:i w:val="1"/>
          <w:iCs w:val="1"/>
          <w:color w:val="auto"/>
        </w:rPr>
        <w:t>Accounting for Government Grants and Disclosure of Government Assistance,</w:t>
      </w:r>
      <w:r>
        <w:rPr>
          <w:rFonts w:ascii="Arial" w:cs="Arial" w:eastAsia="Arial" w:hAnsi="Arial"/>
          <w:sz w:val="18"/>
          <w:szCs w:val="18"/>
          <w:color w:val="auto"/>
        </w:rPr>
        <w:t xml:space="preserve"> by analogy. BARDA income and related receivables are recognized when there is reasonable assurance that the amount will be received, and all attaching conditions have been complied with. When the payment relates to an expense item, the amount received is recognized as income over the period when the expense was incurred.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Standards Update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240" w:firstLine="991"/>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or ASU 2019-12, which includes amendments to simplify the accounting for income taxes by removing certain exceptions to the general principles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or ASC</w:t>
      </w:r>
    </w:p>
    <w:p>
      <w:pPr>
        <w:jc w:val="both"/>
        <w:ind w:left="120" w:right="80" w:hanging="4"/>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is currently evaluating the potential impact that the adoption of ASU 2019-12 will have on its consolidated financial statements.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left="120" w:right="480" w:firstLine="991"/>
        <w:spacing w:after="0" w:line="277" w:lineRule="auto"/>
        <w:rPr>
          <w:sz w:val="20"/>
          <w:szCs w:val="20"/>
          <w:color w:val="auto"/>
        </w:rPr>
      </w:pPr>
      <w:r>
        <w:rPr>
          <w:rFonts w:ascii="Arial" w:cs="Arial" w:eastAsia="Arial" w:hAnsi="Arial"/>
          <w:sz w:val="18"/>
          <w:szCs w:val="18"/>
          <w:color w:val="auto"/>
        </w:rPr>
        <w:t xml:space="preserve">On July 1, 2019, the Company adopted Accounting Standards Codification No. 842, </w:t>
      </w:r>
      <w:r>
        <w:rPr>
          <w:rFonts w:ascii="Arial" w:cs="Arial" w:eastAsia="Arial" w:hAnsi="Arial"/>
          <w:sz w:val="18"/>
          <w:szCs w:val="18"/>
          <w:i w:val="1"/>
          <w:iCs w:val="1"/>
          <w:color w:val="auto"/>
        </w:rPr>
        <w:t>Leases</w:t>
      </w:r>
      <w:r>
        <w:rPr>
          <w:rFonts w:ascii="Arial" w:cs="Arial" w:eastAsia="Arial" w:hAnsi="Arial"/>
          <w:sz w:val="18"/>
          <w:szCs w:val="18"/>
          <w:color w:val="auto"/>
        </w:rPr>
        <w:t>, (“ASC 842”), which requires lessees to recognize operating leases on the balance sheet as a right-of-use asset (“ROU”) and lease liability.</w:t>
      </w:r>
    </w:p>
    <w:p>
      <w:pPr>
        <w:spacing w:after="0" w:line="170"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w:t>
      </w:r>
    </w:p>
    <w:p>
      <w:pPr>
        <w:spacing w:after="0" w:line="184"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The Company has operating leases for corporate office space, manufacturing and warehouse facility. The Company has finance leases for equipment and furniture. The Company’s leases have remaining lease terms of less than one year to five years, some of which include options to renew the lease. Approximately $2,000 and $11,000 in finance leases was included in Other current liabilities as of December 31, 2020 and June 30, 2020, respectively.</w:t>
      </w:r>
    </w:p>
    <w:p>
      <w:pPr>
        <w:spacing w:after="0" w:line="187"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During November 2020, the Company remeasured the lease liability for an office lease due to a change in the lease term. As a result of the remeasurement of the lease liability, there was a reduction of approximately $563,000 to the operating lease ROU assets and operating lease liabilities. There was no impact on earnings as a result of the modification. In addition to the modification for the office lease, the Company entered into a new lease in November 2020 for additional warehouse space. The new lease resulted in an increase of $236,000 to the operating lease ROU assets and operating lease liabilities.</w:t>
      </w:r>
    </w:p>
    <w:p>
      <w:pPr>
        <w:spacing w:after="0" w:line="188" w:lineRule="exact"/>
        <w:rPr>
          <w:sz w:val="20"/>
          <w:szCs w:val="20"/>
          <w:color w:val="auto"/>
        </w:rPr>
      </w:pPr>
    </w:p>
    <w:p>
      <w:pPr>
        <w:ind w:left="120" w:right="60" w:firstLine="991"/>
        <w:spacing w:after="0" w:line="288" w:lineRule="auto"/>
        <w:rPr>
          <w:sz w:val="20"/>
          <w:szCs w:val="20"/>
          <w:color w:val="auto"/>
        </w:rPr>
      </w:pPr>
      <w:r>
        <w:rPr>
          <w:rFonts w:ascii="Arial" w:cs="Arial" w:eastAsia="Arial" w:hAnsi="Arial"/>
          <w:sz w:val="16"/>
          <w:szCs w:val="16"/>
          <w:color w:val="auto"/>
        </w:rPr>
        <w:t>ROU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implicit rate, the Company used its incremental borrowing rate (“</w:t>
      </w:r>
      <w:r>
        <w:rPr>
          <w:rFonts w:ascii="Arial" w:cs="Arial" w:eastAsia="Arial" w:hAnsi="Arial"/>
          <w:sz w:val="16"/>
          <w:szCs w:val="16"/>
          <w:b w:val="1"/>
          <w:bCs w:val="1"/>
          <w:color w:val="auto"/>
        </w:rPr>
        <w:t>IBR</w:t>
      </w:r>
      <w:r>
        <w:rPr>
          <w:rFonts w:ascii="Arial" w:cs="Arial" w:eastAsia="Arial" w:hAnsi="Arial"/>
          <w:sz w:val="16"/>
          <w:szCs w:val="16"/>
          <w:color w:val="auto"/>
        </w:rPr>
        <w:t>”) based on the information available at commencement date or modification date in determining the discount rate used to present value lease payments. The Company used the IBR on July 1, 2019 for its operating leases that commenced on or prior to that date. For leases that were modified and entered into in the current period, the Company used the IBR in effect on the commencement date or modification date. In determining the IBR, the Company considered its credit rating and current market interest rates. The IBR used approximates the interest that the Company would be required to pay for a collateralized loan over a similar term. Additionally, the Company used the portfolio approach when applying the discount rate selected based on the dollar amount and term of the obligation. Certain leases for equipment and furniture contain bargain purchase options and are classified as finance leases. The Company’s leases typically do not include any residual value guarantees or asset retirement obligations.</w:t>
      </w:r>
    </w:p>
    <w:p>
      <w:pPr>
        <w:spacing w:after="0" w:line="168"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991"/>
        <w:spacing w:after="0" w:line="263" w:lineRule="auto"/>
        <w:rPr>
          <w:sz w:val="20"/>
          <w:szCs w:val="20"/>
          <w:color w:val="auto"/>
        </w:rPr>
      </w:pPr>
      <w:r>
        <w:rPr>
          <w:rFonts w:ascii="Arial" w:cs="Arial" w:eastAsia="Arial" w:hAnsi="Arial"/>
          <w:sz w:val="18"/>
          <w:szCs w:val="18"/>
          <w:color w:val="auto"/>
        </w:rPr>
        <w:t>Some leases require variable payments for common area maintenance, property taxes, parking, insurance, and other variable costs. The variable portion of lease payments is not included in operating lease ROU assets or operating lease liabilities. Variable lease costs are expensed when incurred.</w:t>
      </w:r>
    </w:p>
    <w:p>
      <w:pPr>
        <w:spacing w:after="0" w:line="18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The following table sets forth the Company’s operating lease expense which are included in general and administrative expenses in the consolidated statements of operations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40" w:type="dxa"/>
            <w:vAlign w:val="bottom"/>
            <w:gridSpan w:val="7"/>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30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5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Variable lease cost</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7"/>
        </w:trPr>
        <w:tc>
          <w:tcPr>
            <w:tcW w:w="3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21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196</w:t>
            </w:r>
          </w:p>
        </w:tc>
        <w:tc>
          <w:tcPr>
            <w:tcW w:w="5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r>
      <w:tr>
        <w:trPr>
          <w:trHeight w:val="20"/>
        </w:trPr>
        <w:tc>
          <w:tcPr>
            <w:tcW w:w="3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Supplemental cash flow information related to operating leases for the six months ended December 31, 2020 and 2019 was as follows (in thousands):</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4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50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88"/>
              </w:rPr>
              <w:t>Cash paid for amounts included in the measurement of lease liabilities:</w:t>
            </w: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Operating cash outflows from operating leases</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rPr>
              <w:t>352</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Supplemental balance sheet information, as of December 31, 2020 and June 30, 2020 related to operating leases was as follows (in thousands):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2020</w:t>
            </w:r>
          </w:p>
        </w:tc>
        <w:tc>
          <w:tcPr>
            <w:tcW w:w="4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June 30, 2020</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Reported as:</w:t>
            </w:r>
          </w:p>
        </w:tc>
        <w:tc>
          <w:tcPr>
            <w:tcW w:w="6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1,795</w:t>
            </w:r>
          </w:p>
        </w:tc>
        <w:tc>
          <w:tcPr>
            <w:tcW w:w="6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right-of-use assets</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short-term</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667</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1,239</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lease term (years)</w:t>
            </w:r>
          </w:p>
        </w:tc>
        <w:tc>
          <w:tcPr>
            <w:tcW w:w="60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3.05</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weighted average discount rate</w:t>
            </w:r>
          </w:p>
        </w:tc>
        <w:tc>
          <w:tcPr>
            <w:tcW w:w="6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6.62%</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maturities of the Company’s operating lease liabilities are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w w:val="96"/>
              </w:rPr>
              <w:t>Operating Leases</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there were no leases entered into that had not yet commenced.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32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inventory is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June 30, 2020</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Work in process inventory</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has reduced the carrying value of its inventories to reflect the net realizable value. Charges for estimated excess and obsolescence are recorded in cost of sales in the consolidated statements of operations. Inventory impairments recognized in cost of sales are a result of expired product and were $12,000 and $55,000 for the three months and six months ended December 31, 2020, respectively and $134,000 and $187,000 for the three and six months ended December 31, 2019,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intangible assets, net is as follows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520" w:type="dxa"/>
            <w:vAlign w:val="bottom"/>
            <w:vMerge w:val="restart"/>
          </w:tcPr>
          <w:p>
            <w:pPr>
              <w:jc w:val="center"/>
              <w:ind w:left="1177"/>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96"/>
              </w:rPr>
              <w:t>As of December 31, 2020</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As of June 30, 2020</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18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7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9"/>
                <w:szCs w:val="9"/>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9"/>
                <w:szCs w:val="9"/>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520" w:type="dxa"/>
            <w:vAlign w:val="bottom"/>
          </w:tcPr>
          <w:p>
            <w:pPr>
              <w:jc w:val="center"/>
              <w:ind w:left="1177"/>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4"/>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520" w:type="dxa"/>
            <w:vAlign w:val="bottom"/>
          </w:tcPr>
          <w:p>
            <w:pPr>
              <w:jc w:val="center"/>
              <w:ind w:left="1177"/>
              <w:spacing w:after="0"/>
              <w:rPr>
                <w:sz w:val="20"/>
                <w:szCs w:val="20"/>
                <w:color w:val="auto"/>
              </w:rPr>
            </w:pPr>
            <w:r>
              <w:rPr>
                <w:rFonts w:ascii="Arial" w:cs="Arial" w:eastAsia="Arial" w:hAnsi="Arial"/>
                <w:sz w:val="14"/>
                <w:szCs w:val="14"/>
                <w:b w:val="1"/>
                <w:bCs w:val="1"/>
                <w:color w:val="auto"/>
              </w:rPr>
              <w:t>Life</w:t>
            </w: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 1</w:t>
            </w:r>
          </w:p>
        </w:tc>
        <w:tc>
          <w:tcPr>
            <w:tcW w:w="2520" w:type="dxa"/>
            <w:vAlign w:val="bottom"/>
            <w:shd w:val="clear" w:color="auto" w:fill="CCEEFF"/>
          </w:tcPr>
          <w:p>
            <w:pPr>
              <w:jc w:val="center"/>
              <w:ind w:left="1237"/>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Patent 2</w:t>
            </w:r>
          </w:p>
        </w:tc>
        <w:tc>
          <w:tcPr>
            <w:tcW w:w="2520" w:type="dxa"/>
            <w:vAlign w:val="bottom"/>
          </w:tcPr>
          <w:p>
            <w:pPr>
              <w:jc w:val="center"/>
              <w:ind w:left="1217"/>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Patent 3</w:t>
            </w:r>
          </w:p>
        </w:tc>
        <w:tc>
          <w:tcPr>
            <w:tcW w:w="2520" w:type="dxa"/>
            <w:vAlign w:val="bottom"/>
            <w:shd w:val="clear" w:color="auto" w:fill="CCEEFF"/>
          </w:tcPr>
          <w:p>
            <w:pPr>
              <w:jc w:val="center"/>
              <w:ind w:left="1217"/>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Patent 5</w:t>
            </w:r>
          </w:p>
        </w:tc>
        <w:tc>
          <w:tcPr>
            <w:tcW w:w="2520" w:type="dxa"/>
            <w:vAlign w:val="bottom"/>
          </w:tcPr>
          <w:p>
            <w:pPr>
              <w:jc w:val="center"/>
              <w:ind w:left="1217"/>
              <w:spacing w:after="0"/>
              <w:rPr>
                <w:sz w:val="20"/>
                <w:szCs w:val="20"/>
                <w:color w:val="auto"/>
              </w:rPr>
            </w:pPr>
            <w:r>
              <w:rPr>
                <w:rFonts w:ascii="Arial" w:cs="Arial" w:eastAsia="Arial" w:hAnsi="Arial"/>
                <w:sz w:val="18"/>
                <w:szCs w:val="18"/>
                <w:color w:val="auto"/>
                <w:w w:val="89"/>
              </w:rPr>
              <w:t>20</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5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Indefinite</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During the three and six months ended December 31, 2020 and 2019, the Company did not identify any events or changes in circumstances that indicated the carrying value of its intangibles may not be recoverable. As such, there was no impairment of intangibles assets recognized for the three and six months ended December 31, 2020 and 2019. Amortization expense of intangibles included in the consolidated statements of operations was $26,000 and $49,000 for the three and six months ended December 31, 2020, respectively and $0 and $10,000 for the three and six months ended December 31, 2019, respectively.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expects the future amortization of amortizable intangible assets held at December 31, 2020 to be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w w:val="97"/>
              </w:rPr>
              <w:t>Estimated Amortization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72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2022</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2024</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2026 and thereafter</w:t>
            </w: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20" w:type="dxa"/>
            <w:vAlign w:val="bottom"/>
            <w:vMerge w:val="restart"/>
          </w:tcPr>
          <w:p>
            <w:pPr>
              <w:jc w:val="right"/>
              <w:ind w:right="2010"/>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Useful Lives</w:t>
            </w: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gridSpan w:val="4"/>
          </w:tcPr>
          <w:p>
            <w:pPr>
              <w:ind w:left="2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 years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Computer software</w:t>
            </w:r>
          </w:p>
        </w:tc>
        <w:tc>
          <w:tcPr>
            <w:tcW w:w="2800" w:type="dxa"/>
            <w:vAlign w:val="bottom"/>
          </w:tcPr>
          <w:p>
            <w:pPr>
              <w:ind w:left="600"/>
              <w:spacing w:after="0"/>
              <w:rPr>
                <w:sz w:val="20"/>
                <w:szCs w:val="20"/>
                <w:color w:val="auto"/>
              </w:rPr>
            </w:pPr>
            <w:r>
              <w:rPr>
                <w:rFonts w:ascii="Arial" w:cs="Arial" w:eastAsia="Arial" w:hAnsi="Arial"/>
                <w:sz w:val="18"/>
                <w:szCs w:val="18"/>
                <w:color w:val="auto"/>
              </w:rPr>
              <w:t>3 years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00" w:type="dxa"/>
            <w:vAlign w:val="bottom"/>
          </w:tcPr>
          <w:p>
            <w:pPr>
              <w:ind w:left="600"/>
              <w:spacing w:after="0"/>
              <w:rPr>
                <w:sz w:val="20"/>
                <w:szCs w:val="20"/>
                <w:color w:val="auto"/>
              </w:rPr>
            </w:pPr>
            <w:r>
              <w:rPr>
                <w:rFonts w:ascii="Arial" w:cs="Arial" w:eastAsia="Arial" w:hAnsi="Arial"/>
                <w:sz w:val="18"/>
                <w:szCs w:val="18"/>
                <w:color w:val="auto"/>
              </w:rPr>
              <w:t>7 years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 years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0" w:type="dxa"/>
            <w:vAlign w:val="bottom"/>
          </w:tcPr>
          <w:p>
            <w:pPr>
              <w:ind w:left="600"/>
              <w:spacing w:after="0"/>
              <w:rPr>
                <w:sz w:val="20"/>
                <w:szCs w:val="20"/>
                <w:color w:val="auto"/>
              </w:rPr>
            </w:pPr>
            <w:r>
              <w:rPr>
                <w:rFonts w:ascii="Arial" w:cs="Arial" w:eastAsia="Arial" w:hAnsi="Arial"/>
                <w:sz w:val="18"/>
                <w:szCs w:val="18"/>
                <w:color w:val="auto"/>
              </w:rPr>
              <w:t>Lesser of life or lease term</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RECELL Moulds</w:t>
            </w:r>
          </w:p>
        </w:tc>
        <w:tc>
          <w:tcPr>
            <w:tcW w:w="2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 years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Less: accumulated amortization and</w:t>
            </w:r>
          </w:p>
        </w:tc>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2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expense related to plant and equipment for the three months ended December 31, 2020 and 2019 was $135,000 and $88,000,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for the six months ended December 31, 2020 and 2019, was $324,000 and $154,000 respectively.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Prepaids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400" w:type="dxa"/>
            <w:vAlign w:val="bottom"/>
            <w:gridSpan w:val="4"/>
          </w:tcPr>
          <w:p>
            <w:pPr>
              <w:ind w:left="130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40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Lease deposits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Contract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7"/>
        </w:trPr>
        <w:tc>
          <w:tcPr>
            <w:tcW w:w="4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prepaids and other current assets</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r>
      <w:tr>
        <w:trPr>
          <w:trHeight w:val="20"/>
        </w:trPr>
        <w:tc>
          <w:tcPr>
            <w:tcW w:w="4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primarily consist of prepaid benefits and insurance. For information regarding contract assets refer to Note 12.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Reporting Segment and Geographic Information</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Long-lived assets were primarily located in the United States as of December 31, 2020 and June 30, 2020 with an insignificant amount located in Australia and the United Kingdom. Revenue by region for the three and six months ended December 31, 2020 and 2019 were as follows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2"/>
              </w:rPr>
              <w:t>Three Months Ended December 31,</w:t>
            </w:r>
          </w:p>
        </w:tc>
        <w:tc>
          <w:tcPr>
            <w:tcW w:w="10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Six Months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United States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5,020</w:t>
            </w:r>
          </w:p>
        </w:tc>
        <w:tc>
          <w:tcPr>
            <w:tcW w:w="4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9,990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6,229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10,163</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4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Contingencies</w:t>
      </w:r>
    </w:p>
    <w:p>
      <w:pPr>
        <w:spacing w:after="0" w:line="121"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December 31, 2020 and June 30, 2020, the Company did not have any outstanding or threatened litigation that would have a material impact to the financial statements.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and Preferred Stock</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Scheme</w:t>
      </w:r>
      <w:r>
        <w:rPr>
          <w:rFonts w:ascii="Arial" w:cs="Arial" w:eastAsia="Arial" w:hAnsi="Arial"/>
          <w:sz w:val="18"/>
          <w:szCs w:val="18"/>
          <w:color w:val="auto"/>
        </w:rPr>
        <w:t>”). The Scheme was approved by shareholders on June 15, 2020 and approved by the Federal Court of Australia on June 22, 2020.</w:t>
      </w:r>
    </w:p>
    <w:p>
      <w:pPr>
        <w:spacing w:after="0" w:line="184" w:lineRule="exact"/>
        <w:rPr>
          <w:sz w:val="20"/>
          <w:szCs w:val="20"/>
          <w:color w:val="auto"/>
        </w:rPr>
      </w:pPr>
    </w:p>
    <w:p>
      <w:pPr>
        <w:ind w:left="120" w:right="140" w:firstLine="991"/>
        <w:spacing w:after="0" w:line="296" w:lineRule="auto"/>
        <w:rPr>
          <w:sz w:val="20"/>
          <w:szCs w:val="20"/>
          <w:color w:val="auto"/>
        </w:rPr>
      </w:pPr>
      <w:r>
        <w:rPr>
          <w:rFonts w:ascii="Arial" w:cs="Arial" w:eastAsia="Arial" w:hAnsi="Arial"/>
          <w:sz w:val="16"/>
          <w:szCs w:val="16"/>
          <w:color w:val="auto"/>
        </w:rPr>
        <w:t>Pursuant to the Scheme, all ordinary shares in AVITA Medical, the former parent company of the AVITA Group, were exchanged for shares of common stock in AVITA Medical, Inc., which at the time was named AVITA Therapeutics, Inc. As a result, AVITA Medical, Inc. became the sole shareholder of AVITA Medical and the new parent company of the AVITA Group. In conjunction with the Scheme, an implicit reverse split on a 1 for 100 basis was implemented whereby shareholders of AVITA Medical received one share of common stock in AVITA Medical, Inc. for every 100 ordinary shares held in AVITA Medical. AVITA Therapeutics, Inc. changed its name to AVITA Medical, Inc. in December 2020.</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Scheme, eligible shareholders in AVITA Medical received consideration in the form of:</w:t>
      </w:r>
    </w:p>
    <w:p>
      <w:pPr>
        <w:spacing w:after="0" w:line="131" w:lineRule="exact"/>
        <w:rPr>
          <w:sz w:val="20"/>
          <w:szCs w:val="20"/>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five CDIs in AVITA Medical, Inc. for every 100 ordinary shares in AVITA Medical that were held by them; or</w:t>
      </w:r>
    </w:p>
    <w:p>
      <w:pPr>
        <w:spacing w:after="0" w:line="126" w:lineRule="exact"/>
        <w:rPr>
          <w:rFonts w:ascii="Arial" w:cs="Arial" w:eastAsia="Arial" w:hAnsi="Arial"/>
          <w:sz w:val="18"/>
          <w:szCs w:val="18"/>
          <w:color w:val="auto"/>
        </w:rPr>
      </w:pPr>
    </w:p>
    <w:p>
      <w:pPr>
        <w:ind w:left="1540" w:hanging="33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share of common stock in AVITA Medical, Inc.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The Company’s CDIs are quoted on the ASX under AVITA Medical’s existing ASX ticker code, “AVH”. The Company’s shares of common stock are quoted on NASDAQ under AVITA Medical’s existing NASDAQ ticker code, “RCEL”. One share of common stock on NASDAQ is equivalent to five CDIs on the ASX.</w:t>
      </w:r>
    </w:p>
    <w:p>
      <w:pPr>
        <w:spacing w:after="0" w:line="18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As a result of the ‘implicit consolidation’ that occurred under the Scheme, the number of shares of common stock on issue in the Company (as set out in the consolidated financial statements) is less than the number of ordinary shares in AVITA Medical that was previously set out in the consolidated financial statements of AVITA Medical. All common share amounts included in the consolidated financial statements have been retroactively reduced by a factor of one hundred and all per share amounts have been increased by a factor or one hundred, with the exception of the Company’s common stock par value.</w:t>
      </w:r>
    </w:p>
    <w:p>
      <w:pPr>
        <w:spacing w:after="0" w:line="188"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December 31, 2020, and June 30, 2020, 21,625,058 and 21,467,912 shares of common stock, respectively, were issued and outstanding and no shares of preferred stock were outstanding.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Revenues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The Company’s revenue consists of sale of the RECELL System to hospitals or other treatment centers (“customers”), predominately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ind w:left="120" w:right="240" w:firstLine="991"/>
        <w:spacing w:after="0" w:line="311" w:lineRule="auto"/>
        <w:rPr>
          <w:sz w:val="20"/>
          <w:szCs w:val="20"/>
          <w:color w:val="auto"/>
        </w:rPr>
      </w:pPr>
      <w:r>
        <w:rPr>
          <w:rFonts w:ascii="Arial" w:cs="Arial" w:eastAsia="Arial" w:hAnsi="Arial"/>
          <w:sz w:val="16"/>
          <w:szCs w:val="16"/>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w:t>
      </w:r>
    </w:p>
    <w:p>
      <w:pPr>
        <w:spacing w:after="0" w:line="149"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December 31, 2020, and June 30, 2020, the Company had $125,000 and $0 in contract assets, respectively.</w:t>
      </w:r>
    </w:p>
    <w:p>
      <w:pPr>
        <w:spacing w:after="0" w:line="184" w:lineRule="exact"/>
        <w:rPr>
          <w:sz w:val="20"/>
          <w:szCs w:val="20"/>
          <w:color w:val="auto"/>
        </w:rPr>
      </w:pPr>
    </w:p>
    <w:p>
      <w:pPr>
        <w:ind w:left="120" w:right="60" w:firstLine="991"/>
        <w:spacing w:after="0" w:line="311" w:lineRule="auto"/>
        <w:rPr>
          <w:sz w:val="20"/>
          <w:szCs w:val="20"/>
          <w:color w:val="auto"/>
        </w:rPr>
      </w:pPr>
      <w:r>
        <w:rPr>
          <w:rFonts w:ascii="Arial" w:cs="Arial" w:eastAsia="Arial" w:hAnsi="Arial"/>
          <w:sz w:val="16"/>
          <w:szCs w:val="16"/>
          <w:color w:val="auto"/>
        </w:rPr>
        <w:t>Contract liabilities are recorded when the Company receives payment prior to satisfying its obligation to transfer goods to a customer. The Company had $596,000 and $435,000 of contract liabilities as of December 31, 2020 and June 30, 2020, respectively. For the three months ended December 31, 2020 and 2019, revenue recognized from amounts included in the beginning balance of contract liabilities was not significant.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$9.6 million as of December 31, 2020. The majority of which relates to our July 13, 2020 contract with BARDA for the purchase, delivery and storage of RECELL Systems under the Strategic National Stockpile (“SNS”) for a period of three years for use in a mass casualty or other emergency situation.</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Payment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117" w:lineRule="exact"/>
        <w:rPr>
          <w:sz w:val="20"/>
          <w:szCs w:val="20"/>
          <w:color w:val="auto"/>
        </w:rPr>
      </w:pPr>
    </w:p>
    <w:p>
      <w:pPr>
        <w:ind w:left="120" w:right="80" w:firstLine="991"/>
        <w:spacing w:after="0" w:line="293" w:lineRule="auto"/>
        <w:rPr>
          <w:sz w:val="20"/>
          <w:szCs w:val="20"/>
          <w:color w:val="auto"/>
        </w:rPr>
      </w:pPr>
      <w:r>
        <w:rPr>
          <w:rFonts w:ascii="Arial" w:cs="Arial" w:eastAsia="Arial" w:hAnsi="Arial"/>
          <w:sz w:val="16"/>
          <w:szCs w:val="16"/>
          <w:color w:val="auto"/>
        </w:rPr>
        <w:t>In November 2014, our former parent company, AVITA Medical, adopted the Employee Share Plan and the Incentive Option Plan (collectively, the “2016 Plans”). The 2016 Plans previously authorized the issuance of stock options or other share-based instruments representing up to 7.5% of outstanding capital of AVITA Medical. Any increase in the maximum number of shares issuable under the 2016 Plans was subject to shareholder approval or to an increase in the total number of ordinary shares outstanding. Upon Redomiciliation, the 2016 Plans were terminated with respect to future grants and accordingly, there are no more shares available to be issued under the 2016 Plans. In addition, upon Redomiciliation, the Company had an implicit 100-1 reverse stock split and all share information presented below has been presented on a reverse split stock basis.</w:t>
      </w:r>
    </w:p>
    <w:p>
      <w:pPr>
        <w:spacing w:after="0" w:line="164" w:lineRule="exact"/>
        <w:rPr>
          <w:sz w:val="20"/>
          <w:szCs w:val="20"/>
          <w:color w:val="auto"/>
        </w:rPr>
      </w:pPr>
    </w:p>
    <w:p>
      <w:pPr>
        <w:jc w:val="both"/>
        <w:ind w:left="120" w:firstLine="991"/>
        <w:spacing w:after="0" w:line="342" w:lineRule="auto"/>
        <w:rPr>
          <w:sz w:val="20"/>
          <w:szCs w:val="20"/>
          <w:color w:val="auto"/>
        </w:rPr>
      </w:pPr>
      <w:r>
        <w:rPr>
          <w:rFonts w:ascii="Arial" w:cs="Arial" w:eastAsia="Arial" w:hAnsi="Arial"/>
          <w:sz w:val="16"/>
          <w:szCs w:val="16"/>
          <w:color w:val="auto"/>
        </w:rPr>
        <w:t>During November 2020, the Company, pursuant to Rule 416 under the Securities Act of 1933, filed a registration statement on form S-8 to register a total of 1,750,000 shares of common stock which may be issued pursuant to the terms of the Avita Medical, Inc. 2020 Omnibus Incentive Plan.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11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Share-based payment transactions are recognized as compensation cost based on the fair value of the instrument on the date of grant. For shares granted under the 2020 Omnibus Incentive Plan, the Company uses the Black Scholes option valuation model to estimate the grant date fair value of employee stock options. For the shares granted under the 2016 Plan the Company used the Binomial valuation model to estimate the grant date fair value of the stock options.</w:t>
      </w:r>
    </w:p>
    <w:p>
      <w:pPr>
        <w:spacing w:after="0" w:line="187" w:lineRule="exact"/>
        <w:rPr>
          <w:sz w:val="20"/>
          <w:szCs w:val="20"/>
          <w:color w:val="auto"/>
        </w:rPr>
      </w:pPr>
    </w:p>
    <w:p>
      <w:pPr>
        <w:ind w:left="120" w:right="20" w:firstLine="991"/>
        <w:spacing w:after="0" w:line="301" w:lineRule="auto"/>
        <w:rPr>
          <w:sz w:val="20"/>
          <w:szCs w:val="20"/>
          <w:color w:val="auto"/>
        </w:rPr>
      </w:pPr>
      <w:r>
        <w:rPr>
          <w:rFonts w:ascii="Arial" w:cs="Arial" w:eastAsia="Arial" w:hAnsi="Arial"/>
          <w:sz w:val="16"/>
          <w:szCs w:val="16"/>
          <w:color w:val="auto"/>
        </w:rPr>
        <w:t>During the three months ended December 31, 2020 the Company recorded a net reduction of $346,000 to share-based compensation expense. For the six months ended December 31, 2020, the Company recorded $2.9 million in compensation expense. For the three and six months ended December 31, 2019, the Company recorded $2.9 million and $3.5 million, respectively. No income tax benefit was recognized in the consolidated statements of comprehensive loss for share-based payment arrangements for the three and six months ended December 31, 2020 and 2019.</w:t>
      </w:r>
    </w:p>
    <w:p>
      <w:pPr>
        <w:spacing w:after="0" w:line="157" w:lineRule="exact"/>
        <w:rPr>
          <w:sz w:val="20"/>
          <w:szCs w:val="20"/>
          <w:color w:val="auto"/>
        </w:rPr>
      </w:pPr>
    </w:p>
    <w:p>
      <w:pPr>
        <w:ind w:left="120" w:right="800" w:firstLine="991"/>
        <w:spacing w:after="0" w:line="277" w:lineRule="auto"/>
        <w:rPr>
          <w:sz w:val="20"/>
          <w:szCs w:val="20"/>
          <w:color w:val="auto"/>
        </w:rPr>
      </w:pPr>
      <w:r>
        <w:rPr>
          <w:rFonts w:ascii="Arial" w:cs="Arial" w:eastAsia="Arial" w:hAnsi="Arial"/>
          <w:sz w:val="18"/>
          <w:szCs w:val="18"/>
          <w:color w:val="auto"/>
        </w:rPr>
        <w:t>The Company has included share-based compensation expense as part of operating expenses in the accompanying Consolidated Statements of Operations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000" w:type="dxa"/>
            <w:vAlign w:val="bottom"/>
          </w:tcPr>
          <w:p>
            <w:pPr>
              <w:spacing w:after="0"/>
              <w:rPr>
                <w:sz w:val="14"/>
                <w:szCs w:val="14"/>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0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(774)</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2,549</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1,992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2,900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4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A summary of stock option activity under the employees share option plan arrangement as of December 31, 2020 and changes during the period then ended is presented below:</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780" w:type="dxa"/>
            <w:vAlign w:val="bottom"/>
            <w:gridSpan w:val="3"/>
          </w:tcPr>
          <w:p>
            <w:pPr>
              <w:jc w:val="center"/>
              <w:ind w:left="1455"/>
              <w:spacing w:after="0"/>
              <w:rPr>
                <w:sz w:val="20"/>
                <w:szCs w:val="20"/>
                <w:color w:val="auto"/>
              </w:rPr>
            </w:pPr>
            <w:r>
              <w:rPr>
                <w:rFonts w:ascii="Arial" w:cs="Arial" w:eastAsia="Arial" w:hAnsi="Arial"/>
                <w:sz w:val="14"/>
                <w:szCs w:val="14"/>
                <w:b w:val="1"/>
                <w:bCs w:val="1"/>
                <w:color w:val="auto"/>
                <w:w w:val="94"/>
              </w:rPr>
              <w:t>Service Only</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Performance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Based Stock</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904,353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356,171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1,260,524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Exercised</w:t>
            </w:r>
          </w:p>
        </w:tc>
        <w:tc>
          <w:tcPr>
            <w:tcW w:w="2780" w:type="dxa"/>
            <w:vAlign w:val="bottom"/>
            <w:gridSpan w:val="3"/>
          </w:tcPr>
          <w:p>
            <w:pPr>
              <w:jc w:val="right"/>
              <w:ind w:right="160"/>
              <w:spacing w:after="0"/>
              <w:rPr>
                <w:sz w:val="20"/>
                <w:szCs w:val="20"/>
                <w:color w:val="auto"/>
              </w:rPr>
            </w:pPr>
            <w:r>
              <w:rPr>
                <w:rFonts w:ascii="Arial" w:cs="Arial" w:eastAsia="Arial" w:hAnsi="Arial"/>
                <w:sz w:val="18"/>
                <w:szCs w:val="18"/>
                <w:color w:val="auto"/>
              </w:rPr>
              <w:t>(5,309)</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(3,565)</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(74,878)</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(22,500)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7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333,669</w:t>
            </w:r>
          </w:p>
        </w:tc>
        <w:tc>
          <w:tcPr>
            <w:tcW w:w="3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1,154,270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2020</w:t>
            </w: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384,256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298,897</w:t>
            </w:r>
          </w:p>
        </w:tc>
        <w:tc>
          <w:tcPr>
            <w:tcW w:w="3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jc w:val="both"/>
        <w:ind w:left="120" w:right="360" w:firstLine="440"/>
        <w:spacing w:after="0" w:line="303" w:lineRule="auto"/>
        <w:rPr>
          <w:sz w:val="20"/>
          <w:szCs w:val="20"/>
          <w:color w:val="auto"/>
        </w:rPr>
      </w:pPr>
      <w:r>
        <w:rPr>
          <w:rFonts w:ascii="Arial" w:cs="Arial" w:eastAsia="Arial" w:hAnsi="Arial"/>
          <w:sz w:val="16"/>
          <w:szCs w:val="16"/>
          <w:color w:val="auto"/>
        </w:rPr>
        <w:t>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are granted to executives as part of their long-term incentive compensation. RSU awards are approved by the Compensation Committee as determined necessary. The RSU awards have a contractual term of 10 years and vest in accordance with the tenure or performance conditions as determined by the Compensation Committee. The grant date fair value is determined based on the price of the Company stock on the ASX on the date of grant. RSUs primarily consist of awards to the Chief Executive Officer and other executives.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 summary of the Company’s unvested shares activity as of and for the six months ended December 31, 2020, is presented below:</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Service Condition</w:t>
            </w:r>
          </w:p>
        </w:tc>
        <w:tc>
          <w:tcPr>
            <w:tcW w:w="54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Performance</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Total RSU</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RSU</w:t>
            </w:r>
          </w:p>
        </w:tc>
        <w:tc>
          <w:tcPr>
            <w:tcW w:w="2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Conditions RSU</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at June 30, 2020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244,346</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(151,837)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(151,837)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(45,002)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at December 31, 2020</w:t>
            </w:r>
          </w:p>
        </w:tc>
        <w:tc>
          <w:tcPr>
            <w:tcW w:w="82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95,013</w:t>
            </w:r>
          </w:p>
        </w:tc>
        <w:tc>
          <w:tcPr>
            <w:tcW w:w="54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52,507</w:t>
            </w: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At June 30, 2020, the Company and its subsidiaries had net operating loss carryforwards for U.S. federal, state, United Kingdom, and Australian income tax purposes of $88.5 million, $57.5 million, $29.8 million, and $34.1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in various years through 2038. The remaining loss carryforwards have no expiration.</w:t>
      </w:r>
    </w:p>
    <w:p>
      <w:pPr>
        <w:spacing w:after="0" w:line="188"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full valuation allowance against all its net deferred tax assets. The deferred tax assets are primarily net operating loss carryforwards for which management has determined it is more likely than not that the deferred tax assets will not be realized.</w:t>
      </w:r>
    </w:p>
    <w:p>
      <w:pPr>
        <w:spacing w:after="0" w:line="165"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w:t>
      </w:r>
    </w:p>
    <w:p>
      <w:pPr>
        <w:spacing w:after="0" w:line="2" w:lineRule="exact"/>
        <w:rPr>
          <w:sz w:val="20"/>
          <w:szCs w:val="20"/>
          <w:color w:val="auto"/>
        </w:rPr>
      </w:pPr>
    </w:p>
    <w:p>
      <w:pPr>
        <w:ind w:left="120"/>
        <w:spacing w:after="0" w:line="323" w:lineRule="auto"/>
        <w:rPr>
          <w:sz w:val="20"/>
          <w:szCs w:val="20"/>
          <w:color w:val="auto"/>
        </w:rPr>
      </w:pPr>
      <w:r>
        <w:rPr>
          <w:rFonts w:ascii="Arial" w:cs="Arial" w:eastAsia="Arial" w:hAnsi="Arial"/>
          <w:sz w:val="16"/>
          <w:szCs w:val="16"/>
          <w:color w:val="auto"/>
        </w:rPr>
        <w:t>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identified any uncertain tax positions as of December 31, 2020 or June 30, 2020.</w:t>
      </w:r>
    </w:p>
    <w:p>
      <w:pPr>
        <w:spacing w:after="0" w:line="22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On March 27, 2020, the Coronavirus Aid, Relief, and Economic Security Act (“CARES Act”) was enacted in the United States.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does not anticipate the associated impacts, if any, will have a material effect on its financial position.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2"/>
              </w:rPr>
              <w:t>Three months ended December 31,</w:t>
            </w:r>
          </w:p>
        </w:tc>
        <w:tc>
          <w:tcPr>
            <w:tcW w:w="214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Six months ended December 31,</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60" w:type="dxa"/>
            <w:vAlign w:val="bottom"/>
            <w:tcBorders>
              <w:top w:val="single" w:sz="8" w:color="auto"/>
              <w:bottom w:val="single" w:sz="8" w:color="auto"/>
            </w:tcBorders>
            <w:gridSpan w:val="7"/>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(in thousands, except per share data)</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Weighted-average common shares - outstanding, basic</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21,624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19,878</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21,564</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 outstanding, diluted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19,878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21,564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Net loss per common share, basic</w:t>
            </w:r>
          </w:p>
        </w:tc>
        <w:tc>
          <w:tcPr>
            <w:tcW w:w="9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diluted</w:t>
            </w:r>
          </w:p>
        </w:tc>
        <w:tc>
          <w:tcPr>
            <w:tcW w:w="11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991"/>
        <w:spacing w:after="0" w:line="275" w:lineRule="auto"/>
        <w:rPr>
          <w:sz w:val="20"/>
          <w:szCs w:val="20"/>
          <w:color w:val="auto"/>
        </w:rPr>
      </w:pPr>
      <w:r>
        <w:rPr>
          <w:rFonts w:ascii="Arial" w:cs="Arial" w:eastAsia="Arial" w:hAnsi="Arial"/>
          <w:sz w:val="17"/>
          <w:szCs w:val="17"/>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and six months ended December 31, 2020 and 2019, diluted net loss per common share is the same as the basic net loss per share for those periods.</w:t>
      </w:r>
    </w:p>
    <w:p>
      <w:pPr>
        <w:spacing w:after="0" w:line="176" w:lineRule="exact"/>
        <w:rPr>
          <w:sz w:val="20"/>
          <w:szCs w:val="20"/>
          <w:color w:val="auto"/>
        </w:rPr>
      </w:pPr>
    </w:p>
    <w:p>
      <w:pPr>
        <w:ind w:left="120" w:right="500" w:firstLine="991"/>
        <w:spacing w:after="0" w:line="308" w:lineRule="auto"/>
        <w:rPr>
          <w:sz w:val="20"/>
          <w:szCs w:val="20"/>
          <w:color w:val="auto"/>
        </w:rPr>
      </w:pPr>
      <w:r>
        <w:rPr>
          <w:rFonts w:ascii="Arial" w:cs="Arial" w:eastAsia="Arial" w:hAnsi="Arial"/>
          <w:sz w:val="17"/>
          <w:szCs w:val="17"/>
          <w:color w:val="auto"/>
        </w:rPr>
        <w:t>The loss per share incorporates the impact of the reverse stock split that was effectuated in conjunction with the Redomicilation. In accordance with ASC 260, the impact of the reverse stock split was retrospectively applied for all periods presented.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Retirement Plans</w:t>
      </w:r>
    </w:p>
    <w:p>
      <w:pPr>
        <w:spacing w:after="0" w:line="11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 xml:space="preserve">The Company offers a 401(k)-retirement savings plan (the </w:t>
      </w:r>
      <w:r>
        <w:rPr>
          <w:rFonts w:ascii="Arial" w:cs="Arial" w:eastAsia="Arial" w:hAnsi="Arial"/>
          <w:sz w:val="18"/>
          <w:szCs w:val="18"/>
          <w:b w:val="1"/>
          <w:bCs w:val="1"/>
          <w:color w:val="auto"/>
        </w:rPr>
        <w:t>“401(k) Plan”</w:t>
      </w:r>
      <w:r>
        <w:rPr>
          <w:rFonts w:ascii="Arial" w:cs="Arial" w:eastAsia="Arial" w:hAnsi="Arial"/>
          <w:sz w:val="18"/>
          <w:szCs w:val="18"/>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$145,000 and $138,000 in the three months ended December 31, 2020 and 2019, respectively and $310,000 and $293,000 for the six months ended December 31, 2020 and 2019, respectively.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120" w:right="120" w:firstLine="991"/>
        <w:spacing w:after="0" w:line="308" w:lineRule="auto"/>
        <w:rPr>
          <w:sz w:val="20"/>
          <w:szCs w:val="20"/>
          <w:color w:val="auto"/>
        </w:rPr>
      </w:pPr>
      <w:r>
        <w:rPr>
          <w:rFonts w:ascii="Arial" w:cs="Arial" w:eastAsia="Arial" w:hAnsi="Arial"/>
          <w:sz w:val="17"/>
          <w:szCs w:val="17"/>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120" w:right="640" w:firstLine="991"/>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254"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286" w:lineRule="exact"/>
        <w:rPr>
          <w:sz w:val="20"/>
          <w:szCs w:val="20"/>
          <w:color w:val="auto"/>
        </w:rPr>
      </w:pPr>
    </w:p>
    <w:p>
      <w:pPr>
        <w:ind w:left="120" w:right="560" w:firstLine="991"/>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278" w:lineRule="exact"/>
        <w:rPr>
          <w:sz w:val="20"/>
          <w:szCs w:val="20"/>
          <w:color w:val="auto"/>
        </w:rPr>
      </w:pPr>
    </w:p>
    <w:p>
      <w:pPr>
        <w:ind w:left="120" w:right="160" w:firstLine="991"/>
        <w:spacing w:after="0" w:line="279" w:lineRule="auto"/>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left="120" w:right="40" w:firstLine="991"/>
        <w:spacing w:after="0" w:line="256" w:lineRule="auto"/>
        <w:rPr>
          <w:sz w:val="20"/>
          <w:szCs w:val="20"/>
          <w:color w:val="auto"/>
        </w:rPr>
      </w:pPr>
      <w:r>
        <w:rPr>
          <w:rFonts w:ascii="Arial" w:cs="Arial" w:eastAsia="Arial" w:hAnsi="Arial"/>
          <w:sz w:val="18"/>
          <w:szCs w:val="18"/>
          <w:color w:val="auto"/>
        </w:rPr>
        <w:t>The AVITA group of companies (comprising AVITA Medical, Inc. (“</w:t>
      </w:r>
      <w:r>
        <w:rPr>
          <w:rFonts w:ascii="Arial" w:cs="Arial" w:eastAsia="Arial" w:hAnsi="Arial"/>
          <w:sz w:val="18"/>
          <w:szCs w:val="18"/>
          <w:b w:val="1"/>
          <w:bCs w:val="1"/>
          <w:color w:val="auto"/>
        </w:rPr>
        <w:t>AVITA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and its subsidiaries, including AVITA Medical Pty Limited (“</w:t>
      </w:r>
      <w:r>
        <w:rPr>
          <w:rFonts w:ascii="Arial" w:cs="Arial" w:eastAsia="Arial" w:hAnsi="Arial"/>
          <w:sz w:val="18"/>
          <w:szCs w:val="18"/>
          <w:b w:val="1"/>
          <w:bCs w:val="1"/>
          <w:color w:val="auto"/>
        </w:rPr>
        <w:t>AVITA Medical</w:t>
      </w:r>
      <w:r>
        <w:rPr>
          <w:rFonts w:ascii="Arial" w:cs="Arial" w:eastAsia="Arial" w:hAnsi="Arial"/>
          <w:sz w:val="18"/>
          <w:szCs w:val="18"/>
          <w:color w:val="auto"/>
        </w:rPr>
        <w:t>”)) (collectively, “</w:t>
      </w:r>
      <w:r>
        <w:rPr>
          <w:rFonts w:ascii="Arial" w:cs="Arial" w:eastAsia="Arial" w:hAnsi="Arial"/>
          <w:sz w:val="18"/>
          <w:szCs w:val="18"/>
          <w:b w:val="1"/>
          <w:bCs w:val="1"/>
          <w:color w:val="auto"/>
        </w:rPr>
        <w:t>AVITA Group</w:t>
      </w:r>
      <w:r>
        <w:rPr>
          <w:rFonts w:ascii="Arial" w:cs="Arial" w:eastAsia="Arial" w:hAnsi="Arial"/>
          <w:sz w:val="18"/>
          <w:szCs w:val="18"/>
          <w:color w:val="auto"/>
        </w:rPr>
        <w:t>” or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our</w:t>
      </w:r>
      <w:r>
        <w:rPr>
          <w:rFonts w:ascii="Arial" w:cs="Arial" w:eastAsia="Arial" w:hAnsi="Arial"/>
          <w:sz w:val="18"/>
          <w:szCs w:val="18"/>
          <w:color w:val="auto"/>
        </w:rPr>
        <w:t>”) is a regenerative medicine group with a technology platform positioned to address unmet medical needs in burn injuries, trauma and other acute injuries, together with skin defects like vitiligo. Our patented and proprietary platform technology provides innovative treatment solutions derived from the regenerative properties of a patient’s own skin. Our medical device works by preparing Spray-On Skin</w:t>
      </w:r>
      <w:r>
        <w:rPr>
          <w:rFonts w:ascii="Arial" w:cs="Arial" w:eastAsia="Arial" w:hAnsi="Arial"/>
          <w:sz w:val="15"/>
          <w:szCs w:val="15"/>
          <w:color w:val="auto"/>
        </w:rPr>
        <w:t>™</w:t>
      </w:r>
      <w:r>
        <w:rPr>
          <w:rFonts w:ascii="Arial" w:cs="Arial" w:eastAsia="Arial" w:hAnsi="Arial"/>
          <w:sz w:val="18"/>
          <w:szCs w:val="18"/>
          <w:color w:val="auto"/>
        </w:rPr>
        <w:t xml:space="preserve"> Cells, an autologous cellular suspension comprised of the patient’s skin cells, which is then sprayed on the patient in order to regenerate natural healthy epidermis.</w:t>
      </w:r>
    </w:p>
    <w:p>
      <w:pPr>
        <w:spacing w:after="0" w:line="18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Our first United States (“</w:t>
      </w:r>
      <w:r>
        <w:rPr>
          <w:rFonts w:ascii="Arial" w:cs="Arial" w:eastAsia="Arial" w:hAnsi="Arial"/>
          <w:sz w:val="18"/>
          <w:szCs w:val="18"/>
          <w:b w:val="1"/>
          <w:bCs w:val="1"/>
          <w:color w:val="auto"/>
        </w:rPr>
        <w:t>U.S.</w:t>
      </w:r>
      <w:r>
        <w:rPr>
          <w:rFonts w:ascii="Arial" w:cs="Arial" w:eastAsia="Arial" w:hAnsi="Arial"/>
          <w:sz w:val="18"/>
          <w:szCs w:val="18"/>
          <w:color w:val="auto"/>
        </w:rPr>
        <w:t>”) product, the RECELL</w:t>
      </w:r>
      <w:r>
        <w:rPr>
          <w:rFonts w:ascii="Arial" w:cs="Arial" w:eastAsia="Arial" w:hAnsi="Arial"/>
          <w:sz w:val="15"/>
          <w:szCs w:val="15"/>
          <w:color w:val="auto"/>
        </w:rPr>
        <w:t>®</w:t>
      </w:r>
      <w:r>
        <w:rPr>
          <w:rFonts w:ascii="Arial" w:cs="Arial" w:eastAsia="Arial" w:hAnsi="Arial"/>
          <w:sz w:val="18"/>
          <w:szCs w:val="18"/>
          <w:color w:val="auto"/>
        </w:rPr>
        <w:t xml:space="preserve"> System, was approved by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8"/>
          <w:szCs w:val="18"/>
          <w:b w:val="1"/>
          <w:bCs w:val="1"/>
          <w:color w:val="auto"/>
        </w:rPr>
        <w:t>PMA</w:t>
      </w:r>
      <w:r>
        <w:rPr>
          <w:rFonts w:ascii="Arial" w:cs="Arial" w:eastAsia="Arial" w:hAnsi="Arial"/>
          <w:sz w:val="18"/>
          <w:szCs w:val="18"/>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84" w:lineRule="exact"/>
        <w:rPr>
          <w:sz w:val="20"/>
          <w:szCs w:val="20"/>
          <w:color w:val="auto"/>
        </w:rPr>
      </w:pPr>
    </w:p>
    <w:p>
      <w:pPr>
        <w:ind w:left="120" w:right="140" w:firstLine="991"/>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66" w:lineRule="exact"/>
        <w:rPr>
          <w:sz w:val="20"/>
          <w:szCs w:val="20"/>
          <w:color w:val="auto"/>
        </w:rPr>
      </w:pPr>
    </w:p>
    <w:p>
      <w:pPr>
        <w:ind w:left="120" w:right="20" w:firstLine="991"/>
        <w:spacing w:after="0" w:line="261"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 registered in Australia cleared for use in the treatment of burns, acute wounds, scars and repigmentation (vitiligo). In Europe, the RECELL System received CE-mark approval for the treatment of burns, chronic wounds, scars and vitiligo. Presently, we are not actively marketing the RECELL System internationally and therefore do not derive meaningful revenue from the RECELL System in these markets.</w:t>
      </w:r>
    </w:p>
    <w:p>
      <w:pPr>
        <w:spacing w:after="0" w:line="184" w:lineRule="exact"/>
        <w:rPr>
          <w:sz w:val="20"/>
          <w:szCs w:val="20"/>
          <w:color w:val="auto"/>
        </w:rPr>
      </w:pPr>
    </w:p>
    <w:p>
      <w:pPr>
        <w:ind w:left="120" w:right="200" w:firstLine="991"/>
        <w:spacing w:after="0" w:line="296" w:lineRule="auto"/>
        <w:rPr>
          <w:sz w:val="20"/>
          <w:szCs w:val="20"/>
          <w:color w:val="auto"/>
        </w:rPr>
      </w:pPr>
      <w:r>
        <w:rPr>
          <w:rFonts w:ascii="Arial" w:cs="Arial" w:eastAsia="Arial" w:hAnsi="Arial"/>
          <w:sz w:val="16"/>
          <w:szCs w:val="16"/>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or with the Australian Securities Exchange (“</w:t>
      </w:r>
      <w:r>
        <w:rPr>
          <w:rFonts w:ascii="Arial" w:cs="Arial" w:eastAsia="Arial" w:hAnsi="Arial"/>
          <w:sz w:val="16"/>
          <w:szCs w:val="16"/>
          <w:b w:val="1"/>
          <w:bCs w:val="1"/>
          <w:color w:val="auto"/>
        </w:rPr>
        <w:t>ASX</w:t>
      </w:r>
      <w:r>
        <w:rPr>
          <w:rFonts w:ascii="Arial" w:cs="Arial" w:eastAsia="Arial" w:hAnsi="Arial"/>
          <w:sz w:val="16"/>
          <w:szCs w:val="16"/>
          <w:color w:val="auto"/>
        </w:rPr>
        <w:t>”).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AVITA Therapeutics, Inc. (now AVITA Medical, Inc), a Delaware corporation, was originally formed in April 2020. The former parent company of the AVITA Group, AVITA Medical Pty Limited (“AVITA Medical”) was formed under the laws of the Commonwealth of Australia in December of 1992 and has operated as AVITA Medical since 2008. AVITA Medical’s ordinary shares originally began trading in Australia on the ASX on August 9, 1993. AVITA Medical’s ordinary shares, in the form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began trading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on October 1, 2019 under the ticker symbol “RCEL”.</w:t>
      </w:r>
    </w:p>
    <w:p>
      <w:pPr>
        <w:spacing w:after="0" w:line="188" w:lineRule="exact"/>
        <w:rPr>
          <w:sz w:val="20"/>
          <w:szCs w:val="20"/>
          <w:color w:val="auto"/>
        </w:rPr>
      </w:pPr>
    </w:p>
    <w:p>
      <w:pPr>
        <w:ind w:left="120" w:right="100" w:firstLine="991"/>
        <w:spacing w:after="0" w:line="269" w:lineRule="auto"/>
        <w:rPr>
          <w:sz w:val="20"/>
          <w:szCs w:val="20"/>
          <w:color w:val="auto"/>
        </w:rPr>
      </w:pPr>
      <w:r>
        <w:rPr>
          <w:rFonts w:ascii="Arial" w:cs="Arial" w:eastAsia="Arial" w:hAnsi="Arial"/>
          <w:sz w:val="17"/>
          <w:szCs w:val="17"/>
          <w:color w:val="auto"/>
        </w:rPr>
        <w:t>On June 29, 2020, a statutory scheme of arrangement was implemented under Australian law to change the domicile of the AVITA Group from Australia to the U.S. Under the scheme of arrangement, AVITA Therapeutics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As a result, the existing listing of AVITA Medical Ltd. on the ASX (as its primary listing) and on NASDAQ (as its secondary listing) was inverted and replaced with a new listing of AVITA Therapeutics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 On December 2, 2020, AVITA Therapeutics, Inc., changed its corporate name to AVITA Medical, Inc. after filing a Certificate of Amendment to its Certificate of Incorporation with the Secretary of State of the State of Delaware. The Company’s change of name was registered with the Australian Securities and Investments Commission effective as from 6 January 2021. The Company’s common stock continues to trade on NASDAQ under the symbol “RCEL” and the Company’s CDIs continue to trade on the ASX under the ticker symbol “AVH”.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Business Update and Risks Associated with COVID-19</w:t>
      </w:r>
    </w:p>
    <w:p>
      <w:pPr>
        <w:spacing w:after="0" w:line="121"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The global COVID-19 pandemic presents significant risks to us and may have far reaching impacts on our business, operations, and financial results and condition, directly and indirectly, including, without limitation, impacts on: the health of our management and employees; manufacturing, distribution, marketing and sales operations; research and development activities, including clinical activities; and customer and patient behaviors.</w:t>
      </w:r>
    </w:p>
    <w:p>
      <w:pPr>
        <w:spacing w:after="0" w:line="18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Beginning in March 2020, the COVID-19 pandemic began impacting our operations and financial results. For example, on March 19, 2020, the Executive Department of the State of California issued Executive Order N-33-20, ordering all individuals in the State of California to stay at home or at their place of residence except as needed to maintain continuity of operations of federal critical infrastructure sectors. Our primary operations are located in Santa Clarita and Ventura, California. We have taken a variety of steps to address the impact of the COVID-19 pandemic, while attempting to minimize business disruption. Essential staff in manufacturing and limited support functions have continued to work from our locations following appropriate hygiene and social distancing protocols.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To reduce the risk to our employees and their families from potential exposure to COVID-19, all other staff have been required to work from home (excluding our field force). We have restricted non-essential travel to protect the health and safety of our employees and customers.</w:t>
      </w:r>
    </w:p>
    <w:p>
      <w:pPr>
        <w:spacing w:after="0" w:line="146"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Moreover, beginning in March 2020, access to hospitals and other customer sites was restricted to essential personnel, which has negatively impacted our ability to promote the use of the RECELL System with physicians, and to enroll our clinical studies. In addition, some hospitals and other burn centers suspended the treatment of burn patients or re-distributed those patients to other treatment facilities and, together with a general reduction in broader economic activity (e.g., reduced travel, reduced mobility, suspension of certain business operations, etc.), this resulted in a reduction in the volume of burn procedures using the RECELL System in the immediate period following the implementation of those protective measures. In addition, more recently we have experienced periodic enrollment cessation due to COVID-19 as well as having individuals excluded because they have contracted COVID-19.</w:t>
      </w:r>
    </w:p>
    <w:p>
      <w:pPr>
        <w:spacing w:after="0" w:line="195"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Approximately 50% of the Company’s revenues come from twenty accounts with physicians and hospitals. These accounts as well are susceptible to the effects of COVID-19 and COVID-19 restrictions. To the extent that COVID-19 or other factors cause such physicians or hospitals to be unable to treat patients or delay the treatment of patients using the RECELL System in a particular quarter, or make patients unavailable because of COVID-19, our revenues could be negatively effected.</w:t>
      </w:r>
    </w:p>
    <w:p>
      <w:pPr>
        <w:spacing w:after="0" w:line="187" w:lineRule="exact"/>
        <w:rPr>
          <w:sz w:val="20"/>
          <w:szCs w:val="20"/>
          <w:color w:val="auto"/>
        </w:rPr>
      </w:pPr>
    </w:p>
    <w:p>
      <w:pPr>
        <w:ind w:left="120" w:right="80" w:firstLine="991"/>
        <w:spacing w:after="0" w:line="271" w:lineRule="auto"/>
        <w:rPr>
          <w:sz w:val="20"/>
          <w:szCs w:val="20"/>
          <w:color w:val="auto"/>
        </w:rPr>
      </w:pPr>
      <w:r>
        <w:rPr>
          <w:rFonts w:ascii="Arial" w:cs="Arial" w:eastAsia="Arial" w:hAnsi="Arial"/>
          <w:sz w:val="17"/>
          <w:szCs w:val="17"/>
          <w:color w:val="auto"/>
        </w:rPr>
        <w:t>We are continuing to monitor the impact of the COVID-19 pandemic on our employees and customers and on the markets in which we operate and will take further actions that we consider prudent to address the COVID-19 pandemic, including reducing spending, while ensuring that we can support our customers and continue to develop our products. The ultimate extent of the impact of the COVID-19 pandemic on us remains highly uncertain and will depend on future developments and factors that continue to evolve. These factors, among others include the widespread vaccination of populations, especially in the U.S. and improvements in treatments and therapeutics for those with COVID-19, which are outside of our control, and could exist for an extended period of time even after the pandemic might end. Quarantines, shelter-in-place and similar government orders have also impacted and may continue to impact, our third-party manufacturers and suppliers, and could in turn adversely impact the availability or cost of materials, which could disrupt our supply chain.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for the three months ended December 31, 2020 compared to the three months ended December 31,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4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BARDA income</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(372)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7,107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(3,706)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1,049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10,362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13,391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(3,029)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(5,631)</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(10,592)</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4,961</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income/(expense)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(5,630)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(10,502)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tax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(5,641)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(10,502)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991"/>
        <w:spacing w:after="0" w:line="296" w:lineRule="auto"/>
        <w:rPr>
          <w:sz w:val="20"/>
          <w:szCs w:val="20"/>
          <w:color w:val="auto"/>
        </w:rPr>
      </w:pPr>
      <w:r>
        <w:rPr>
          <w:rFonts w:ascii="Arial" w:cs="Arial" w:eastAsia="Arial" w:hAnsi="Arial"/>
          <w:sz w:val="16"/>
          <w:szCs w:val="16"/>
          <w:color w:val="auto"/>
        </w:rPr>
        <w:t>Revenue of the RECELL System totaled $5.1 million for the three months ended December 31, 2020, an increase of $1.8 million or 57% over the $3.3 million reported for the three months ended December 31, 2019. Consistent with the prior year, the current quarter increase in sales occurred in the United States as a result of the September 2018 FDA approval and commencement of the U.S. national market launch of the RECELL System in January 2019. Gross margin for the three months ended December 31, 2020 was 84% compared to 74% for the same period in 2019, driven largely by the extension of the product’s shelf-life along with lower shipping costs and increased production at our Ventura facility.</w:t>
      </w:r>
    </w:p>
    <w:p>
      <w:pPr>
        <w:spacing w:after="0" w:line="157" w:lineRule="exact"/>
        <w:rPr>
          <w:sz w:val="20"/>
          <w:szCs w:val="20"/>
          <w:color w:val="auto"/>
        </w:rPr>
      </w:pPr>
    </w:p>
    <w:p>
      <w:pPr>
        <w:ind w:left="120" w:right="80" w:firstLine="991"/>
        <w:spacing w:after="0" w:line="258" w:lineRule="auto"/>
        <w:rPr>
          <w:sz w:val="20"/>
          <w:szCs w:val="20"/>
          <w:color w:val="auto"/>
        </w:rPr>
      </w:pPr>
      <w:r>
        <w:rPr>
          <w:rFonts w:ascii="Arial" w:cs="Arial" w:eastAsia="Arial" w:hAnsi="Arial"/>
          <w:sz w:val="18"/>
          <w:szCs w:val="18"/>
          <w:color w:val="auto"/>
        </w:rPr>
        <w:t>BARDA income consisted of funding from the Biomedical Advanced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under the Assistant Secretary for Preparedness and Response, within the U.S. Department of Health and Human Services, under ongoing USG Contract No. HHSO100201500028C. Under the BARDA grant, income of $449,000 was recognized during the three months ended December 31, 2020 compared to income of $386,000 for the three months ended December 31, 2019. BARDA income increased as a result of associated pivotal trials for treatment of pediatric scald injuries.</w:t>
      </w:r>
    </w:p>
    <w:p>
      <w:pPr>
        <w:sectPr>
          <w:pgSz w:w="11900" w:h="16838" w:orient="portrait"/>
          <w:cols w:equalWidth="0" w:num="1">
            <w:col w:w="11100"/>
          </w:cols>
          <w:pgMar w:left="320" w:top="459" w:right="479" w:bottom="1440" w:gutter="0" w:footer="0" w:header="0"/>
        </w:sectPr>
      </w:pP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9" w:right="4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color w:val="auto"/>
        </w:rPr>
        <w:t>Operating costs for the three months ended December 31, 2020 totaled $10.4 million, a $3.0 million or 23% decrease as compared to the $13.4 million incurred during the three months ended December 31, 2019. Sales and marketing expenses for the three months ended December 31, 2020 totaled $3.6 million a decrease of $372,000 or 9% as compared to the $4.0 million for the three months ended December 31, 2019. The decrease in sales and marketing expenses is primarily due to lower travel expenses and conferences due to COVID-19 related to travel restrictions and higher costs incurred in the prior year associated with the product launch. General and administrative expenses totaled $3.4 million for the three months ended December 31, 2020, a decrease of $3.7 million or 52% as compared to the $7.1 million recognized during the three months ended December 31, 2019. The decrease was primarily related to a decrease in travel expenses due to COVID-19 travel restrictions , a decrease in legal costs and a decrease to share-based compensation due to the reversal of previously recognized expense for unvested awards related to the resignation of an executive officer in the current quarter. Research and development expenses for the three months ended December 31, 2020 totaled $3.4 million, an increase of $1.0 million or 45% over the $2.3 million recognized during the three months ended December 31, 2019. The increase was primarily attributed to ramping up clinical trials for treatment of vitiligo and pediatric scald injuries and other research and development costs associated with furthering the Company’s pipeline.</w:t>
      </w:r>
    </w:p>
    <w:p>
      <w:pPr>
        <w:spacing w:after="0" w:line="172"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Net loss for the three months ended December 31, 2020 was $5.6 million, a decrease of $4.9 million or 46% compared to the loss of $10.5 million recognized during the three months ended December 31, 2019. The decrease in net loss was driven by the lower operating costs described above, partially offset by the higher revenue during the three months ended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for the six months ended December 31, 2020 compared to the six months ended December 31,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4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 Change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$ 10,163</w:t>
            </w:r>
          </w:p>
        </w:tc>
        <w:tc>
          <w:tcPr>
            <w:tcW w:w="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4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$ 3,654</w:t>
            </w:r>
          </w:p>
        </w:tc>
        <w:tc>
          <w:tcPr>
            <w:tcW w:w="46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sales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1,465</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5,044</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3,369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BARDA income</w:t>
            </w: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1,045</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2,437</w:t>
            </w:r>
          </w:p>
        </w:tc>
        <w:tc>
          <w:tcPr>
            <w:tcW w:w="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(1,392)</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7,071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10,529</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6,735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4,131</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2,604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21,731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(15,845)</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(14,250)</w:t>
            </w:r>
          </w:p>
        </w:tc>
        <w:tc>
          <w:tcPr>
            <w:tcW w:w="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(1,595)</w:t>
            </w:r>
          </w:p>
        </w:tc>
        <w:tc>
          <w:tcPr>
            <w:tcW w:w="4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income/(expense)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202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(194)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(14,068)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(15,868)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(14,068)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 (1,800)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Revenue of the RECELL System totaled $10.2 million for the six months ended December 31, 2020, an increase of $3.7 million or 56% over the $6.5 million reported for the six months ended December 31, 2019. Consistent with the prior year, the increase in sales occurred in the United States as a result of the September 2018 FDA approval and commencement of the U.S. national market launch of the RECELL System in January 2019. Gross margin for the six months ended December 31, 2020 was 83% compared to 77% for the same period in 2019, driven largely by the extension of the product’s shelf-life along with lower shipping costs and increased production at our Ventura facility.</w:t>
      </w:r>
    </w:p>
    <w:p>
      <w:pPr>
        <w:spacing w:after="0" w:line="176" w:lineRule="exact"/>
        <w:rPr>
          <w:sz w:val="20"/>
          <w:szCs w:val="20"/>
          <w:color w:val="auto"/>
        </w:rPr>
      </w:pPr>
    </w:p>
    <w:p>
      <w:pPr>
        <w:ind w:left="120" w:right="40" w:firstLine="991"/>
        <w:spacing w:after="0" w:line="273" w:lineRule="auto"/>
        <w:rPr>
          <w:sz w:val="20"/>
          <w:szCs w:val="20"/>
          <w:color w:val="auto"/>
        </w:rPr>
      </w:pPr>
      <w:r>
        <w:rPr>
          <w:rFonts w:ascii="Arial" w:cs="Arial" w:eastAsia="Arial" w:hAnsi="Arial"/>
          <w:sz w:val="17"/>
          <w:szCs w:val="17"/>
          <w:color w:val="auto"/>
        </w:rPr>
        <w:t>BARDA income consisted of funding from the Biomedical Advanced Research and Development Authority (“BARDA”), under the Assistant Secretary for Preparedness and Response, within the U.S. Department of Health and Human Services, under ongoing USG Contract No. HHSO100201500028C. Under the BARDA grant, income of $1.0 million was recognized during the six months ended December 31, 2020 compared to income of $2.4 million for the six months ended December 31, 2019. BARDA arrangement declined as a result of wind-down of certain activities associated with supporting the U.S. FDA approval of the RECELL System as well as the compassionate use and continued access programs and was partially offset by associated pivotal trials for treatment of pediatric scald injuries.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91" w:lineRule="auto"/>
        <w:rPr>
          <w:sz w:val="20"/>
          <w:szCs w:val="20"/>
          <w:color w:val="auto"/>
        </w:rPr>
      </w:pPr>
      <w:r>
        <w:rPr>
          <w:rFonts w:ascii="Arial" w:cs="Arial" w:eastAsia="Arial" w:hAnsi="Arial"/>
          <w:sz w:val="16"/>
          <w:szCs w:val="16"/>
          <w:color w:val="auto"/>
        </w:rPr>
        <w:t>Operating costs for the six months ended December 31, 2020 totaled $25.3 million, a $3.6 million or 16% increase over the $21.7 million incurred during the six months ended December 31, 2019. Sales and marketing expenses for the six months ended December 31, 2020 totaled</w:t>
      </w:r>
    </w:p>
    <w:p>
      <w:pPr>
        <w:ind w:left="120"/>
        <w:spacing w:after="0" w:line="286" w:lineRule="auto"/>
        <w:rPr>
          <w:sz w:val="20"/>
          <w:szCs w:val="20"/>
          <w:color w:val="auto"/>
        </w:rPr>
      </w:pPr>
      <w:r>
        <w:rPr>
          <w:rFonts w:ascii="Arial" w:cs="Arial" w:eastAsia="Arial" w:hAnsi="Arial"/>
          <w:sz w:val="16"/>
          <w:szCs w:val="16"/>
          <w:color w:val="auto"/>
        </w:rPr>
        <w:t>$6.9 million a decrease of $206,000 or 3% as compared to the $7.1 million for the six months ended December 31, 2019. The decrease in sales and marketing expenses is primarily due to lower travel and conferences expenses due to COVID-19 related to travel restrictions and higher costs incurred in the prior year associated with the product launch. General and administrative expenses totaled $11.7 million for the six months ended December 31, 2020, an increase of $1.2 million or 11% over the $10.5 million recognized during the six months ended December 31, 2019. The increase was driven by the Company’s status as a cross listed entity on NASDAQ and the ASX, one-time professional service costs with an executive employee, partially offset by lower travel expenses due to COVID-19 restrictions, a decrease in legal costs and a decrease to share-based compensation due to the reversal of previously recognized expense for unvested awards related to the resignation of an executive officer in the current quarter. Research and development expenses for the six months ended December 31, 2020 totaled $6.7 million, an increase of $2.6 million or 63% over the $4.1 million recognized during the six months ended December 31, 2019. The increase was primarily attributed to ramping up clinical trials for treatment of vitiligo and pediatric scald injuries and other research and development costs associated with furthering the Company’s pipeline.</w:t>
      </w:r>
    </w:p>
    <w:p>
      <w:pPr>
        <w:spacing w:after="0" w:line="169"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Net loss for the six months ended December 31, 2020 was $15.9 million, an increase of $1.8 million or 13% over the $14.1 million recognized during the six months ended December 31, 2019. The increase in net loss was driven by the higher operating costs described above, partially offset by the higher revenue during the six months ended December 31, 2020. As a result of the U.S. national launch of the RECELL System in January 2019, and the expansion of research and development including multiple pivotal clinical studies seeking premarket approval from the FDA, operating expenses are expected to increase in future periods. These expenses are expected to be partially offset by increased commercial sales of the RECELL System.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We expect to utilize cash reserves until U.S. sales of our products reach a level sufficient to fund ongoing operations for at least the next twelve months.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Six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operations</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$(13,388)</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(9,534)</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gridSpan w:val="3"/>
          </w:tcPr>
          <w:p>
            <w:pPr>
              <w:jc w:val="right"/>
              <w:ind w:right="280"/>
              <w:spacing w:after="0"/>
              <w:rPr>
                <w:sz w:val="20"/>
                <w:szCs w:val="20"/>
                <w:color w:val="auto"/>
              </w:rPr>
            </w:pPr>
            <w:r>
              <w:rPr>
                <w:rFonts w:ascii="Arial" w:cs="Arial" w:eastAsia="Arial" w:hAnsi="Arial"/>
                <w:sz w:val="18"/>
                <w:szCs w:val="18"/>
                <w:color w:val="auto"/>
              </w:rPr>
              <w:t>(635)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provided/(used) in financing activities</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2220" w:type="dxa"/>
            <w:vAlign w:val="bottom"/>
            <w:gridSpan w:val="3"/>
          </w:tcPr>
          <w:p>
            <w:pPr>
              <w:jc w:val="right"/>
              <w:ind w:right="340"/>
              <w:spacing w:after="0"/>
              <w:rPr>
                <w:sz w:val="20"/>
                <w:szCs w:val="20"/>
                <w:color w:val="auto"/>
              </w:rPr>
            </w:pPr>
            <w:r>
              <w:rPr>
                <w:rFonts w:ascii="Arial" w:cs="Arial" w:eastAsia="Arial" w:hAnsi="Arial"/>
                <w:sz w:val="18"/>
                <w:szCs w:val="18"/>
                <w:color w:val="auto"/>
              </w:rPr>
              <w:t>158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restricted cash</w:t>
            </w:r>
          </w:p>
        </w:tc>
        <w:tc>
          <w:tcPr>
            <w:tcW w:w="2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(13,874)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67,086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Cash and restricted cash at beginning of the period</w:t>
            </w:r>
          </w:p>
        </w:tc>
        <w:tc>
          <w:tcPr>
            <w:tcW w:w="2220" w:type="dxa"/>
            <w:vAlign w:val="bottom"/>
            <w:gridSpan w:val="3"/>
          </w:tcPr>
          <w:p>
            <w:pPr>
              <w:jc w:val="right"/>
              <w:ind w:right="340"/>
              <w:spacing w:after="0"/>
              <w:rPr>
                <w:sz w:val="20"/>
                <w:szCs w:val="20"/>
                <w:color w:val="auto"/>
              </w:rPr>
            </w:pPr>
            <w:r>
              <w:rPr>
                <w:rFonts w:ascii="Arial" w:cs="Arial" w:eastAsia="Arial" w:hAnsi="Arial"/>
                <w:sz w:val="18"/>
                <w:szCs w:val="18"/>
                <w:color w:val="auto"/>
              </w:rPr>
              <w:t>73,840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end the period</w:t>
            </w:r>
          </w:p>
        </w:tc>
        <w:tc>
          <w:tcPr>
            <w:tcW w:w="2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59,966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87,460</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Six Months Ended December 31, 2020, and 2019.</w:t>
      </w:r>
    </w:p>
    <w:p>
      <w:pPr>
        <w:spacing w:after="0" w:line="117" w:lineRule="exact"/>
        <w:rPr>
          <w:sz w:val="20"/>
          <w:szCs w:val="20"/>
          <w:color w:val="auto"/>
        </w:rPr>
      </w:pPr>
    </w:p>
    <w:p>
      <w:pPr>
        <w:ind w:left="120" w:right="380" w:firstLine="991"/>
        <w:spacing w:after="0" w:line="263" w:lineRule="auto"/>
        <w:rPr>
          <w:sz w:val="20"/>
          <w:szCs w:val="20"/>
          <w:color w:val="auto"/>
        </w:rPr>
      </w:pPr>
      <w:r>
        <w:rPr>
          <w:rFonts w:ascii="Arial" w:cs="Arial" w:eastAsia="Arial" w:hAnsi="Arial"/>
          <w:sz w:val="18"/>
          <w:szCs w:val="18"/>
          <w:color w:val="auto"/>
        </w:rPr>
        <w:t>Net cash used in operating activities was $13.4 million and $9.5 million during the six months ended December 31, 2020 and 2019, respectively. The increase was primarily due to higher operating costs associated with the expansion of research and development activities, and the status of being a cross listed entity on NASDAQ.</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Net cash used in investing activities was $635,000 and $246,000 during the six months ended December 31, 2020 and 2019,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flows used for investing activities was primarily attributable to payments for the purchase of a property and equipment.</w:t>
      </w:r>
    </w:p>
    <w:p>
      <w:pPr>
        <w:spacing w:after="0" w:line="211" w:lineRule="exact"/>
        <w:rPr>
          <w:sz w:val="20"/>
          <w:szCs w:val="20"/>
          <w:color w:val="auto"/>
        </w:rPr>
      </w:pPr>
    </w:p>
    <w:p>
      <w:pPr>
        <w:ind w:left="120" w:right="400" w:firstLine="991"/>
        <w:spacing w:after="0" w:line="342" w:lineRule="auto"/>
        <w:rPr>
          <w:sz w:val="20"/>
          <w:szCs w:val="20"/>
          <w:color w:val="auto"/>
        </w:rPr>
      </w:pPr>
      <w:r>
        <w:rPr>
          <w:rFonts w:ascii="Arial" w:cs="Arial" w:eastAsia="Arial" w:hAnsi="Arial"/>
          <w:sz w:val="16"/>
          <w:szCs w:val="16"/>
          <w:color w:val="auto"/>
        </w:rPr>
        <w:t>Net cash provided by (used by) financing activities was $(9,000) and $76,840 for the six months ended December 31, 2020 and 2019, respectively, and related to principal repayment of a finance lease in the current year and proceeds from the private placement in the prior year.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ind w:left="120" w:right="40" w:firstLine="991"/>
        <w:spacing w:after="0" w:line="259" w:lineRule="auto"/>
        <w:rPr>
          <w:sz w:val="20"/>
          <w:szCs w:val="20"/>
          <w:color w:val="auto"/>
        </w:rPr>
      </w:pPr>
      <w:r>
        <w:rPr>
          <w:rFonts w:ascii="Arial" w:cs="Arial" w:eastAsia="Arial" w:hAnsi="Arial"/>
          <w:sz w:val="18"/>
          <w:szCs w:val="18"/>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87"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For the three months ended December 31, 2020, there were no dividends paid and we have no plans to commence the payment of dividends. We have no committed plans to issue further shares on the market but will continue to assess market conditions and the Company’s cash flow requirements to ensure the Company is appropriately funded in order to pursue its various opportunities. There is no significant external borrowing at the reporting date. Neither the Company nor any of the subsidiaries are subject to externally imposed capital requirement.</w:t>
      </w:r>
    </w:p>
    <w:p>
      <w:pPr>
        <w:spacing w:after="0" w:line="171"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Based on the foregoing, we believe that our existing and future resources and revenues generated from operations and current level of expenses from operations to be sufficient to satisfy our working capital requirements for at least the next 12 months.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jc w:val="both"/>
        <w:ind w:left="120" w:right="160" w:firstLine="991"/>
        <w:spacing w:after="0" w:line="263" w:lineRule="auto"/>
        <w:rPr>
          <w:sz w:val="20"/>
          <w:szCs w:val="20"/>
          <w:color w:val="auto"/>
        </w:rPr>
      </w:pPr>
      <w:r>
        <w:rPr>
          <w:rFonts w:ascii="Arial" w:cs="Arial" w:eastAsia="Arial" w:hAnsi="Arial"/>
          <w:sz w:val="18"/>
          <w:szCs w:val="18"/>
          <w:color w:val="auto"/>
        </w:rPr>
        <w:t>Our contractual obligations consist of operating leases as described in Footnote 4. During November 2020, the Company remeasured the lease liability for an office lease due to a change in the lease term. In addition to the modification for the office lease, the Company entered into a new lease in November 2020 for additional warehouse space.</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We maintain cash in three financial institutions. Management believes that such financial institutions are financially sound and, accordingly, minimal credit risk exists. We perform periodic evaluations of the relative credit standing of these institutions.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December 31, 2020, our Chief Executive Officer and our Chief Financial Officer concluded that our disclosure controls and procedures, as defined in Securities Exchange Act Rule 13a-15(e) and 15d-15(e), were effective.</w:t>
      </w:r>
    </w:p>
    <w:p>
      <w:pPr>
        <w:spacing w:after="0" w:line="187" w:lineRule="exact"/>
        <w:rPr>
          <w:sz w:val="20"/>
          <w:szCs w:val="20"/>
          <w:color w:val="auto"/>
        </w:rPr>
      </w:pPr>
    </w:p>
    <w:p>
      <w:pPr>
        <w:ind w:left="120" w:right="140" w:firstLine="991"/>
        <w:spacing w:after="0" w:line="257" w:lineRule="auto"/>
        <w:rPr>
          <w:sz w:val="20"/>
          <w:szCs w:val="20"/>
          <w:color w:val="auto"/>
        </w:rPr>
      </w:pPr>
      <w:r>
        <w:rPr>
          <w:rFonts w:ascii="Arial" w:cs="Arial" w:eastAsia="Arial" w:hAnsi="Arial"/>
          <w:sz w:val="18"/>
          <w:szCs w:val="18"/>
          <w:color w:val="auto"/>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Securities and Exchange Commission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There was no change in our internal controls over financial reporting (as defined in Rules 13a-15(f) and 15d-15(f) under the Exchange Act) during the second quarter of fiscal year 2021 covered by this Quarterly Report on Form 10-Q that have materially affected, or are reasonably likely to materially affect, our internal controls over financial reporting. We have not experienced any material impact to our internal controls over financial reporting despite the fact that many of our employees are working remotely due to the COVID-19 pandemic. We are continually monitoring and assessing the impact of the COVID-19 situation on our internal controls to minimize any undesirable effect on control design and operating effectiveness.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Refer to “COVID-19 Business Update and Risks Associated with COVID-19” in Part 1 above.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139"/>
          </w:cols>
          <w:pgMar w:left="32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following exhibits are filed as part of the Quarterly Report on Form 10-Q:</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20" w:type="dxa"/>
            <w:vAlign w:val="bottom"/>
            <w:gridSpan w:val="3"/>
          </w:tcPr>
          <w:p>
            <w:pPr>
              <w:ind w:left="100"/>
              <w:spacing w:after="0"/>
              <w:rPr>
                <w:sz w:val="20"/>
                <w:szCs w:val="20"/>
                <w:color w:val="auto"/>
              </w:rPr>
            </w:pPr>
            <w:r>
              <w:rPr>
                <w:rFonts w:ascii="Arial" w:cs="Arial" w:eastAsia="Arial" w:hAnsi="Arial"/>
                <w:sz w:val="14"/>
                <w:szCs w:val="14"/>
                <w:color w:val="auto"/>
              </w:rPr>
              <w:t>Exhibit</w:t>
            </w:r>
          </w:p>
        </w:tc>
        <w:tc>
          <w:tcPr>
            <w:tcW w:w="68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67"/>
        </w:trPr>
        <w:tc>
          <w:tcPr>
            <w:tcW w:w="20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No.</w:t>
            </w:r>
          </w:p>
        </w:tc>
        <w:tc>
          <w:tcPr>
            <w:tcW w:w="60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3320" w:type="dxa"/>
            <w:vAlign w:val="bottom"/>
          </w:tcPr>
          <w:p>
            <w:pPr>
              <w:spacing w:after="0"/>
              <w:rPr>
                <w:sz w:val="14"/>
                <w:szCs w:val="14"/>
                <w:color w:val="auto"/>
              </w:rPr>
            </w:pPr>
          </w:p>
        </w:tc>
      </w:tr>
      <w:tr>
        <w:trPr>
          <w:trHeight w:val="318"/>
        </w:trPr>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w w:val="93"/>
              </w:rPr>
              <w:t>3.1*</w:t>
            </w:r>
          </w:p>
        </w:tc>
        <w:tc>
          <w:tcPr>
            <w:tcW w:w="600" w:type="dxa"/>
            <w:vAlign w:val="bottom"/>
          </w:tcPr>
          <w:p>
            <w:pPr>
              <w:spacing w:after="0"/>
              <w:rPr>
                <w:sz w:val="24"/>
                <w:szCs w:val="24"/>
                <w:color w:val="auto"/>
              </w:rPr>
            </w:pPr>
          </w:p>
        </w:tc>
        <w:tc>
          <w:tcPr>
            <w:tcW w:w="4000" w:type="dxa"/>
            <w:vAlign w:val="bottom"/>
            <w:gridSpan w:val="2"/>
          </w:tcPr>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Amendment to Certificate of Incorporation</w:t>
              </w:r>
            </w:hyperlink>
          </w:p>
        </w:tc>
      </w:tr>
      <w:tr>
        <w:trPr>
          <w:trHeight w:val="324"/>
        </w:trPr>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w w:val="85"/>
              </w:rPr>
              <w:t>31.1</w:t>
            </w:r>
          </w:p>
        </w:tc>
        <w:tc>
          <w:tcPr>
            <w:tcW w:w="600" w:type="dxa"/>
            <w:vAlign w:val="bottom"/>
          </w:tcPr>
          <w:p>
            <w:pPr>
              <w:spacing w:after="0"/>
              <w:rPr>
                <w:sz w:val="24"/>
                <w:szCs w:val="24"/>
                <w:color w:val="auto"/>
              </w:rPr>
            </w:pPr>
          </w:p>
        </w:tc>
        <w:tc>
          <w:tcPr>
            <w:tcW w:w="4000" w:type="dxa"/>
            <w:vAlign w:val="bottom"/>
            <w:gridSpan w:val="2"/>
          </w:tcPr>
          <w:p>
            <w:pPr>
              <w:spacing w:after="0"/>
              <w:rPr>
                <w:rFonts w:ascii="Arial" w:cs="Arial" w:eastAsia="Arial" w:hAnsi="Arial"/>
                <w:sz w:val="18"/>
                <w:szCs w:val="18"/>
                <w:u w:val="single" w:color="auto"/>
                <w:color w:val="0000EE"/>
                <w:w w:val="92"/>
              </w:rPr>
            </w:pPr>
            <w:hyperlink w:anchor="page32">
              <w:r>
                <w:rPr>
                  <w:rFonts w:ascii="Arial" w:cs="Arial" w:eastAsia="Arial" w:hAnsi="Arial"/>
                  <w:sz w:val="18"/>
                  <w:szCs w:val="18"/>
                  <w:u w:val="single" w:color="auto"/>
                  <w:color w:val="0000EE"/>
                  <w:w w:val="92"/>
                </w:rPr>
                <w:t>Rule 13a-14(a) Certification of Chief Executive Officer</w:t>
              </w:r>
            </w:hyperlink>
          </w:p>
        </w:tc>
      </w:tr>
      <w:tr>
        <w:trPr>
          <w:trHeight w:val="324"/>
        </w:trPr>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w w:val="85"/>
              </w:rPr>
              <w:t>31.2</w:t>
            </w:r>
          </w:p>
        </w:tc>
        <w:tc>
          <w:tcPr>
            <w:tcW w:w="600" w:type="dxa"/>
            <w:vAlign w:val="bottom"/>
          </w:tcPr>
          <w:p>
            <w:pPr>
              <w:spacing w:after="0"/>
              <w:rPr>
                <w:sz w:val="24"/>
                <w:szCs w:val="24"/>
                <w:color w:val="auto"/>
              </w:rPr>
            </w:pPr>
          </w:p>
        </w:tc>
        <w:tc>
          <w:tcPr>
            <w:tcW w:w="4000" w:type="dxa"/>
            <w:vAlign w:val="bottom"/>
            <w:gridSpan w:val="2"/>
          </w:tcPr>
          <w:p>
            <w:pPr>
              <w:spacing w:after="0"/>
              <w:rPr>
                <w:rFonts w:ascii="Arial" w:cs="Arial" w:eastAsia="Arial" w:hAnsi="Arial"/>
                <w:sz w:val="18"/>
                <w:szCs w:val="18"/>
                <w:u w:val="single" w:color="auto"/>
                <w:color w:val="0000EE"/>
                <w:w w:val="94"/>
              </w:rPr>
            </w:pPr>
            <w:hyperlink w:anchor="page33">
              <w:r>
                <w:rPr>
                  <w:rFonts w:ascii="Arial" w:cs="Arial" w:eastAsia="Arial" w:hAnsi="Arial"/>
                  <w:sz w:val="18"/>
                  <w:szCs w:val="18"/>
                  <w:u w:val="single" w:color="auto"/>
                  <w:color w:val="0000EE"/>
                  <w:w w:val="94"/>
                </w:rPr>
                <w:t>Rule 13a-14(a) Certification of Chief Financial Officer</w:t>
              </w:r>
            </w:hyperlink>
          </w:p>
        </w:tc>
      </w:tr>
    </w:tbl>
    <w:p>
      <w:pPr>
        <w:spacing w:after="0" w:line="94" w:lineRule="exact"/>
        <w:rPr>
          <w:sz w:val="20"/>
          <w:szCs w:val="20"/>
          <w:color w:val="auto"/>
        </w:rPr>
      </w:pPr>
    </w:p>
    <w:p>
      <w:pPr>
        <w:ind w:left="1220" w:hanging="1014"/>
        <w:spacing w:after="0"/>
        <w:tabs>
          <w:tab w:leader="none" w:pos="1220" w:val="left"/>
        </w:tabs>
        <w:numPr>
          <w:ilvl w:val="0"/>
          <w:numId w:val="6"/>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18 U.S.C. Section 1350 Certifications</w:t>
        </w:r>
      </w:hyperlink>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22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22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29" w:lineRule="exact"/>
        <w:rPr>
          <w:sz w:val="20"/>
          <w:szCs w:val="20"/>
          <w:color w:val="auto"/>
        </w:rPr>
      </w:pPr>
    </w:p>
    <w:p>
      <w:pPr>
        <w:ind w:left="5540" w:right="2979" w:hanging="5424"/>
        <w:spacing w:after="0" w:line="449" w:lineRule="auto"/>
        <w:tabs>
          <w:tab w:leader="none" w:pos="33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to Form 8-K of the Registrant filed December 2, 2020 29</w:t>
      </w:r>
    </w:p>
    <w:p>
      <w:pPr>
        <w:sectPr>
          <w:pgSz w:w="11900" w:h="16838" w:orient="portrait"/>
          <w:cols w:equalWidth="0" w:num="1">
            <w:col w:w="10139"/>
          </w:cols>
          <w:pgMar w:left="32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20"/>
        <w:spacing w:after="0"/>
        <w:tabs>
          <w:tab w:leader="none" w:pos="740" w:val="left"/>
          <w:tab w:leader="none" w:pos="6060" w:val="left"/>
        </w:tabs>
        <w:rPr>
          <w:sz w:val="20"/>
          <w:szCs w:val="20"/>
          <w:color w:val="auto"/>
        </w:rPr>
      </w:pPr>
      <w:r>
        <w:rPr>
          <w:rFonts w:ascii="Arial" w:cs="Arial" w:eastAsia="Arial" w:hAnsi="Arial"/>
          <w:sz w:val="18"/>
          <w:szCs w:val="18"/>
          <w:color w:val="auto"/>
        </w:rPr>
        <w:t>Date:</w:t>
        <w:tab/>
        <w:t>February 16, 2021</w:t>
      </w:r>
      <w:r>
        <w:rPr>
          <w:sz w:val="20"/>
          <w:szCs w:val="20"/>
          <w:color w:val="auto"/>
        </w:rPr>
        <w:tab/>
      </w:r>
      <w:r>
        <w:rPr>
          <w:rFonts w:ascii="Arial" w:cs="Arial" w:eastAsia="Arial" w:hAnsi="Arial"/>
          <w:sz w:val="18"/>
          <w:szCs w:val="18"/>
          <w:color w:val="auto"/>
        </w:rPr>
        <w:t>AVITA MEDICAL, INC.</w:t>
      </w:r>
    </w:p>
    <w:p>
      <w:pPr>
        <w:spacing w:after="0" w:line="239"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2931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29317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Sean Ekins</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Sr. VP of Finance</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(Interim Principal Financial and Accounting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20"/>
          </w:cols>
          <w:pgMar w:left="320" w:top="459" w:right="7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Dr. Michael Perry, certify that:</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4" w:right="54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4" w:right="20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4" w:right="20" w:hanging="439"/>
        <w:spacing w:after="0" w:line="263"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1424" w:right="180" w:hanging="439"/>
        <w:spacing w:after="0" w:line="342" w:lineRule="auto"/>
        <w:tabs>
          <w:tab w:leader="none" w:pos="142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4" w:right="460" w:hanging="439"/>
        <w:spacing w:after="0" w:line="277"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6"/>
          <w:szCs w:val="16"/>
          <w:color w:val="auto"/>
        </w:rPr>
        <w:t>/s/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Michael Perry</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ind w:left="1764"/>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Sean Ekins,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jc w:val="both"/>
        <w:ind w:left="1424" w:right="58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424" w:right="12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4" w:right="20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4" w:right="20" w:hanging="439"/>
        <w:spacing w:after="0" w:line="263"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1424" w:right="180" w:hanging="439"/>
        <w:spacing w:after="0" w:line="342" w:lineRule="auto"/>
        <w:tabs>
          <w:tab w:leader="none" w:pos="142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4" w:right="460" w:hanging="439"/>
        <w:spacing w:after="0" w:line="277"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504" w:val="left"/>
        </w:tabs>
        <w:rPr>
          <w:sz w:val="20"/>
          <w:szCs w:val="20"/>
          <w:color w:val="auto"/>
        </w:rPr>
      </w:pPr>
      <w:r>
        <w:rPr>
          <w:rFonts w:ascii="Arial" w:cs="Arial" w:eastAsia="Arial" w:hAnsi="Arial"/>
          <w:sz w:val="18"/>
          <w:szCs w:val="18"/>
          <w:color w:val="auto"/>
        </w:rPr>
        <w:t>Date: February 16, 2021</w:t>
      </w:r>
      <w:r>
        <w:rPr>
          <w:sz w:val="20"/>
          <w:szCs w:val="20"/>
          <w:color w:val="auto"/>
        </w:rPr>
        <w:tab/>
      </w:r>
      <w:r>
        <w:rPr>
          <w:rFonts w:ascii="Arial" w:cs="Arial" w:eastAsia="Arial" w:hAnsi="Arial"/>
          <w:sz w:val="15"/>
          <w:szCs w:val="15"/>
          <w:color w:val="auto"/>
        </w:rPr>
        <w:t>/s/ 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14605</wp:posOffset>
            </wp:positionV>
            <wp:extent cx="3488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Sean Ekins</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Sr. VP of Finance</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(Interim Principal Financial and Accounting Officer)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Quarterly Report on Form 10-Q for the period ended December 31, 2020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Perry</w:t>
            </w:r>
          </w:p>
        </w:tc>
      </w:tr>
      <w:tr>
        <w:trPr>
          <w:trHeight w:val="209"/>
        </w:trPr>
        <w:tc>
          <w:tcPr>
            <w:tcW w:w="56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Name: Dr. Michael Perry</w:t>
            </w:r>
          </w:p>
        </w:tc>
      </w:tr>
      <w:tr>
        <w:trPr>
          <w:trHeight w:val="216"/>
        </w:trPr>
        <w:tc>
          <w:tcPr>
            <w:tcW w:w="56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620" w:type="dxa"/>
            <w:vAlign w:val="bottom"/>
          </w:tcPr>
          <w:p>
            <w:pPr>
              <w:spacing w:after="0"/>
              <w:rPr>
                <w:sz w:val="20"/>
                <w:szCs w:val="20"/>
                <w:color w:val="auto"/>
              </w:rPr>
            </w:pPr>
          </w:p>
        </w:tc>
        <w:tc>
          <w:tcPr>
            <w:tcW w:w="5400" w:type="dxa"/>
            <w:vAlign w:val="bottom"/>
          </w:tcPr>
          <w:p>
            <w:pPr>
              <w:ind w:left="54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Ekins</w:t>
            </w:r>
          </w:p>
        </w:tc>
      </w:tr>
      <w:tr>
        <w:trPr>
          <w:trHeight w:val="209"/>
        </w:trPr>
        <w:tc>
          <w:tcPr>
            <w:tcW w:w="56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Name: Sean Ekins</w:t>
            </w:r>
          </w:p>
        </w:tc>
      </w:tr>
      <w:tr>
        <w:trPr>
          <w:trHeight w:val="216"/>
        </w:trPr>
        <w:tc>
          <w:tcPr>
            <w:tcW w:w="56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Title:  Sr. VP of Finance</w:t>
            </w:r>
          </w:p>
        </w:tc>
      </w:tr>
      <w:tr>
        <w:trPr>
          <w:trHeight w:val="230"/>
        </w:trPr>
        <w:tc>
          <w:tcPr>
            <w:tcW w:w="5620" w:type="dxa"/>
            <w:vAlign w:val="bottom"/>
          </w:tcPr>
          <w:p>
            <w:pPr>
              <w:spacing w:after="0"/>
              <w:rPr>
                <w:sz w:val="20"/>
                <w:szCs w:val="20"/>
                <w:color w:val="auto"/>
              </w:rPr>
            </w:pPr>
          </w:p>
        </w:tc>
        <w:tc>
          <w:tcPr>
            <w:tcW w:w="5400" w:type="dxa"/>
            <w:vAlign w:val="bottom"/>
          </w:tcPr>
          <w:p>
            <w:pPr>
              <w:ind w:left="540"/>
              <w:spacing w:after="0"/>
              <w:rPr>
                <w:sz w:val="20"/>
                <w:szCs w:val="20"/>
                <w:color w:val="auto"/>
              </w:rPr>
            </w:pPr>
            <w:r>
              <w:rPr>
                <w:rFonts w:ascii="Arial" w:cs="Arial" w:eastAsia="Arial" w:hAnsi="Arial"/>
                <w:sz w:val="18"/>
                <w:szCs w:val="18"/>
                <w:color w:val="auto"/>
              </w:rPr>
              <w:t>(Interim Principal Financial and Accounting Officer)</w:t>
            </w:r>
          </w:p>
        </w:tc>
      </w:tr>
    </w:tbl>
    <w:p>
      <w:pPr>
        <w:spacing w:after="0" w:line="198"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740"/>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48" Type="http://schemas.openxmlformats.org/officeDocument/2006/relationships/hyperlink" Target="http://www.sec.gov/Archives/edgar/data/1762303/000119312520308333/d6091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2021-02-16T16:23:44Z</dcterms:created>
  <dcterms:modified xsi:type="dcterms:W3CDTF">2021-02-16T16:23:44Z</dcterms:modified>
</cp:coreProperties>
</file>