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On May 30, 2024, AVITA Medical, Inc. (“the Company”) issued a press release announcing that it has received U.S. Food and Drug Administration (FDA) approval for its premarket approval (PMA) supplement for the RECELL GO™ System. A copy of the press release is attached hereto as Exhibit 99.1.</w:t>
      </w:r>
    </w:p>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(d) Exhibits.</w:t>
            </w:r>
          </w:p>
        </w:tc>
        <w:tc>
          <w:tcPr>
            <w:tcW w:w="9820" w:type="dxa"/>
            <w:vAlign w:val="bottom"/>
          </w:tcPr>
          <w:p>
            <w:pPr>
              <w:spacing w:after="0"/>
              <w:rPr>
                <w:sz w:val="20"/>
                <w:szCs w:val="20"/>
                <w:color w:val="auto"/>
              </w:rPr>
            </w:pPr>
          </w:p>
        </w:tc>
      </w:tr>
      <w:tr>
        <w:trPr>
          <w:trHeight w:val="427"/>
        </w:trPr>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AVITA Medical Announces FDA Approval of RECELL GO</w:t>
            </w: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14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Donna Shiroma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AVITA Medical Announces FDA Approval of RECELL GO</w:t>
      </w:r>
    </w:p>
    <w:p>
      <w:pPr>
        <w:spacing w:after="0" w:line="307" w:lineRule="exact"/>
        <w:rPr>
          <w:sz w:val="20"/>
          <w:szCs w:val="20"/>
          <w:color w:val="auto"/>
        </w:rPr>
      </w:pPr>
    </w:p>
    <w:p>
      <w:pPr>
        <w:ind w:right="80"/>
        <w:spacing w:after="0" w:line="224" w:lineRule="auto"/>
        <w:rPr>
          <w:sz w:val="20"/>
          <w:szCs w:val="20"/>
          <w:color w:val="auto"/>
        </w:rPr>
      </w:pPr>
      <w:r>
        <w:rPr>
          <w:rFonts w:ascii="Arial" w:cs="Arial" w:eastAsia="Arial" w:hAnsi="Arial"/>
          <w:sz w:val="20"/>
          <w:szCs w:val="20"/>
          <w:b w:val="1"/>
          <w:bCs w:val="1"/>
          <w:color w:val="auto"/>
        </w:rPr>
        <w:t xml:space="preserve">VALENCIA, Calif., May 30, 2024 (GLOBE NEWSWIRE) </w:t>
      </w:r>
      <w:r>
        <w:rPr>
          <w:rFonts w:ascii="Arial" w:cs="Arial" w:eastAsia="Arial" w:hAnsi="Arial"/>
          <w:sz w:val="20"/>
          <w:szCs w:val="20"/>
          <w:color w:val="auto"/>
        </w:rPr>
        <w:t>— AVITA Medical, Inc. (NASDAQ: RCEL, ASX: AVH), a commercial-stage regenerative medicine company focused on first-in-class devices for wound care management and skin restoration, today announced that the U.S. Food and Drug Administration (FDA) has approved its premarket approval (PMA) supplement for the RECELL GO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System, its next-generation autologous cell harvesting device that harnesses the regenerative properties of a patient’s own skin to treat thermal burn wounds and full-thickness skin defects.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When choosing RECELL, clinicians and patients can realize several significant advantages over traditional skin grafting:</w:t>
      </w:r>
    </w:p>
    <w:p>
      <w:pPr>
        <w:spacing w:after="0" w:line="20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3B4852"/>
        </w:rPr>
      </w:pPr>
      <w:r>
        <w:rPr>
          <w:rFonts w:ascii="Arial" w:cs="Arial" w:eastAsia="Arial" w:hAnsi="Arial"/>
          <w:sz w:val="20"/>
          <w:szCs w:val="20"/>
          <w:color w:val="auto"/>
        </w:rPr>
        <w:t>Improved healing is achieved using significantly less donor skin</w:t>
      </w:r>
      <w:r>
        <w:rPr>
          <w:rFonts w:ascii="Arial" w:cs="Arial" w:eastAsia="Arial" w:hAnsi="Arial"/>
          <w:sz w:val="24"/>
          <w:szCs w:val="24"/>
          <w:color w:val="auto"/>
          <w:vertAlign w:val="superscript"/>
        </w:rPr>
        <w:t>1</w:t>
      </w:r>
    </w:p>
    <w:p>
      <w:pPr>
        <w:ind w:left="760" w:hanging="378"/>
        <w:spacing w:after="0" w:line="211" w:lineRule="auto"/>
        <w:tabs>
          <w:tab w:leader="none" w:pos="760" w:val="left"/>
        </w:tabs>
        <w:numPr>
          <w:ilvl w:val="0"/>
          <w:numId w:val="2"/>
        </w:numPr>
        <w:rPr>
          <w:rFonts w:ascii="Times New Roman" w:cs="Times New Roman" w:eastAsia="Times New Roman" w:hAnsi="Times New Roman"/>
          <w:sz w:val="20"/>
          <w:szCs w:val="20"/>
          <w:color w:val="3B4852"/>
        </w:rPr>
      </w:pPr>
      <w:r>
        <w:rPr>
          <w:rFonts w:ascii="Arial" w:cs="Arial" w:eastAsia="Arial" w:hAnsi="Arial"/>
          <w:sz w:val="20"/>
          <w:szCs w:val="20"/>
          <w:color w:val="auto"/>
        </w:rPr>
        <w:t>Pain is reduced, closure is faster, and the aesthetic appearance at the RECELL-harvested donor site is improved</w:t>
      </w:r>
      <w:r>
        <w:rPr>
          <w:rFonts w:ascii="Arial" w:cs="Arial" w:eastAsia="Arial" w:hAnsi="Arial"/>
          <w:sz w:val="24"/>
          <w:szCs w:val="24"/>
          <w:color w:val="auto"/>
          <w:vertAlign w:val="superscript"/>
        </w:rPr>
        <w:t>2</w:t>
      </w:r>
    </w:p>
    <w:p>
      <w:pPr>
        <w:ind w:left="760" w:hanging="378"/>
        <w:spacing w:after="0" w:line="201" w:lineRule="auto"/>
        <w:tabs>
          <w:tab w:leader="none" w:pos="760" w:val="left"/>
        </w:tabs>
        <w:numPr>
          <w:ilvl w:val="0"/>
          <w:numId w:val="2"/>
        </w:numPr>
        <w:rPr>
          <w:rFonts w:ascii="Times New Roman" w:cs="Times New Roman" w:eastAsia="Times New Roman" w:hAnsi="Times New Roman"/>
          <w:sz w:val="20"/>
          <w:szCs w:val="20"/>
          <w:color w:val="3B4852"/>
        </w:rPr>
      </w:pPr>
      <w:r>
        <w:rPr>
          <w:rFonts w:ascii="Arial" w:cs="Arial" w:eastAsia="Arial" w:hAnsi="Arial"/>
          <w:sz w:val="20"/>
          <w:szCs w:val="20"/>
          <w:color w:val="auto"/>
        </w:rPr>
        <w:t>Fewer procedures are required for definitive closure</w:t>
      </w:r>
      <w:r>
        <w:rPr>
          <w:rFonts w:ascii="Arial" w:cs="Arial" w:eastAsia="Arial" w:hAnsi="Arial"/>
          <w:sz w:val="24"/>
          <w:szCs w:val="24"/>
          <w:color w:val="auto"/>
          <w:vertAlign w:val="superscript"/>
        </w:rPr>
        <w:t>3</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3B4852"/>
        </w:rPr>
      </w:pPr>
      <w:r>
        <w:rPr>
          <w:rFonts w:ascii="Arial" w:cs="Arial" w:eastAsia="Arial" w:hAnsi="Arial"/>
          <w:sz w:val="20"/>
          <w:szCs w:val="20"/>
          <w:color w:val="auto"/>
        </w:rPr>
        <w:t>There's a reduction in the length of stay for burns covering less than 50% Total Body Surface Area (TBSA)</w:t>
      </w:r>
      <w:r>
        <w:rPr>
          <w:rFonts w:ascii="Arial" w:cs="Arial" w:eastAsia="Arial" w:hAnsi="Arial"/>
          <w:sz w:val="24"/>
          <w:szCs w:val="24"/>
          <w:color w:val="auto"/>
          <w:vertAlign w:val="superscript"/>
        </w:rPr>
        <w:t>2,3,4</w:t>
      </w:r>
    </w:p>
    <w:p>
      <w:pPr>
        <w:spacing w:after="0" w:line="174" w:lineRule="exact"/>
        <w:rPr>
          <w:sz w:val="20"/>
          <w:szCs w:val="20"/>
          <w:color w:val="auto"/>
        </w:rPr>
      </w:pPr>
    </w:p>
    <w:p>
      <w:pPr>
        <w:ind w:right="140"/>
        <w:spacing w:after="0" w:line="209" w:lineRule="auto"/>
        <w:rPr>
          <w:sz w:val="20"/>
          <w:szCs w:val="20"/>
          <w:color w:val="auto"/>
        </w:rPr>
      </w:pPr>
      <w:r>
        <w:rPr>
          <w:rFonts w:ascii="Arial" w:cs="Arial" w:eastAsia="Arial" w:hAnsi="Arial"/>
          <w:sz w:val="20"/>
          <w:szCs w:val="20"/>
          <w:color w:val="auto"/>
        </w:rPr>
        <w:t>RECELL GO introduces enhanced features that streamline the preparation of Spray-On Skin</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Cells. This next-generation device significantly reduces the training burden on medical staff, improves workflow efficiency in the operating room, and controls the RECELL Enzyme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incubation time to ensure optimal cell yield and viability. These advancements simplify the user interface, enabling medical teams to provide quality care readily and consistently to their patients.</w:t>
      </w:r>
    </w:p>
    <w:p>
      <w:pPr>
        <w:spacing w:after="0" w:line="175"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"FDA approval of RECELL GO marks a paradigm shift in the treatment of partial-thickness and full-thickness wounds,” said Jim Corbett, Chief Executive Officer of AVITA Medical. “By streamlining processes and enhancing operational efficiency with the use of RECELL GO, clinicians can now treat a greater number of patients and more broadly experience the proven benefits of RECELL technology. We believe that this transformative shift will empower more clinicians to achieve optimal outcomes for their patients, driving greater adoption, and fundamentally redefining wound care management. It's GO time for a new era in wound care."</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the United States, the Company will launch RECELL GO in its top burn treatment centers in June, and other existing accounts will be converted to RECELL GO throughout the year. New accounts will receive RECELL GO with their first order, eliminating the need for conversion.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supplement follows the original PMA of RECELL Autologous Cell Harvesting Device and subsequent PMA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1072515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6800215</wp:posOffset>
            </wp:positionH>
            <wp:positionV relativeFrom="page">
              <wp:posOffset>500380</wp:posOffset>
            </wp:positionV>
            <wp:extent cx="51435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AVITA Medical, Inc.</w:t>
      </w:r>
    </w:p>
    <w:p>
      <w:pPr>
        <w:spacing w:after="0" w:line="11" w:lineRule="exact"/>
        <w:rPr>
          <w:sz w:val="20"/>
          <w:szCs w:val="20"/>
          <w:color w:val="auto"/>
        </w:rPr>
      </w:pPr>
    </w:p>
    <w:p>
      <w:pPr>
        <w:ind w:right="60"/>
        <w:spacing w:after="0" w:line="213" w:lineRule="auto"/>
        <w:rPr>
          <w:sz w:val="20"/>
          <w:szCs w:val="20"/>
          <w:color w:val="auto"/>
        </w:rPr>
      </w:pPr>
      <w:r>
        <w:rPr>
          <w:rFonts w:ascii="Arial" w:cs="Arial" w:eastAsia="Arial" w:hAnsi="Arial"/>
          <w:sz w:val="20"/>
          <w:szCs w:val="20"/>
          <w:color w:val="auto"/>
        </w:rPr>
        <w:t>AVITA Medical</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commercial-stage regenerative medicine company transforming the standard of care in wound care management and skin restoration with innovative devices. At the forefront of our platform is the RECELL</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System, approved by the U.S.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Arial" w:cs="Arial" w:eastAsia="Arial" w:hAnsi="Arial"/>
          <w:sz w:val="26"/>
          <w:szCs w:val="26"/>
          <w:color w:val="auto"/>
          <w:vertAlign w:val="superscript"/>
        </w:rPr>
        <w:t>®</w:t>
      </w:r>
      <w:r>
        <w:rPr>
          <w:rFonts w:ascii="Arial" w:cs="Arial" w:eastAsia="Arial" w:hAnsi="Arial"/>
          <w:sz w:val="20"/>
          <w:szCs w:val="20"/>
          <w:color w:val="auto"/>
        </w:rPr>
        <w:t>, a biosynthetic wound matrix, in the United States.</w:t>
      </w:r>
    </w:p>
    <w:p>
      <w:pPr>
        <w:spacing w:after="0" w:line="85" w:lineRule="exact"/>
        <w:rPr>
          <w:sz w:val="20"/>
          <w:szCs w:val="20"/>
          <w:color w:val="auto"/>
        </w:rPr>
      </w:pPr>
    </w:p>
    <w:p>
      <w:pPr>
        <w:jc w:val="both"/>
        <w:ind w:right="520"/>
        <w:spacing w:after="0" w:line="241" w:lineRule="auto"/>
        <w:rPr>
          <w:sz w:val="20"/>
          <w:szCs w:val="20"/>
          <w:color w:val="auto"/>
        </w:rPr>
      </w:pPr>
      <w:r>
        <w:rPr>
          <w:rFonts w:ascii="Arial" w:cs="Arial" w:eastAsia="Arial" w:hAnsi="Arial"/>
          <w:sz w:val="20"/>
          <w:szCs w:val="20"/>
          <w:color w:val="auto"/>
        </w:rPr>
        <w:t>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 www.avitamedical.com.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i w:val="1"/>
          <w:iCs w:val="1"/>
          <w:color w:val="auto"/>
        </w:rPr>
        <w:t>Statements in this announcement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 this announcement include but are not limited to statements concerning our product development activities, regulatory approval of our products, the potential for future growth of our business, and our ability to achieve financial goals. These statements are made as of the date of this announcement,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Jessica Ekeberg</w:t>
      </w:r>
    </w:p>
    <w:p>
      <w:pPr>
        <w:spacing w:after="0" w:line="226" w:lineRule="auto"/>
        <w:rPr>
          <w:sz w:val="20"/>
          <w:szCs w:val="20"/>
          <w:color w:val="auto"/>
        </w:rPr>
      </w:pPr>
      <w:r>
        <w:rPr>
          <w:rFonts w:ascii="Arial" w:cs="Arial" w:eastAsia="Arial" w:hAnsi="Arial"/>
          <w:sz w:val="20"/>
          <w:szCs w:val="20"/>
          <w:color w:val="auto"/>
        </w:rPr>
        <w:t>Phone +1-661-904-9269</w:t>
      </w:r>
    </w:p>
    <w:p>
      <w:pPr>
        <w:spacing w:after="0" w:line="225" w:lineRule="auto"/>
        <w:rPr>
          <w:sz w:val="20"/>
          <w:szCs w:val="20"/>
          <w:color w:val="auto"/>
        </w:rPr>
      </w:pPr>
      <w:r>
        <w:rPr>
          <w:rFonts w:ascii="Arial" w:cs="Arial" w:eastAsia="Arial" w:hAnsi="Arial"/>
          <w:sz w:val="20"/>
          <w:szCs w:val="20"/>
          <w:color w:val="auto"/>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media@avitamedical.com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by the Chief Financial Officer of AVITA Medical,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References</w:t>
      </w:r>
    </w:p>
    <w:p>
      <w:pPr>
        <w:spacing w:after="0" w:line="93"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Instructions for Use. RECELL® Autologous Cell Harvesting Device.</w:t>
      </w:r>
    </w:p>
    <w:p>
      <w:pPr>
        <w:spacing w:after="0" w:line="101" w:lineRule="exact"/>
        <w:rPr>
          <w:rFonts w:ascii="Arial" w:cs="Arial" w:eastAsia="Arial" w:hAnsi="Arial"/>
          <w:sz w:val="17"/>
          <w:szCs w:val="17"/>
          <w:color w:val="auto"/>
        </w:rPr>
      </w:pPr>
    </w:p>
    <w:p>
      <w:pPr>
        <w:ind w:left="1020" w:right="60" w:hanging="503"/>
        <w:spacing w:after="0" w:line="267"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Holmes JH, Molnar JA, Carter JE, et al. A comparative study of the RECELL® device and autologous split-thickness meshed skin graft in the treatment of acute burn injuries. </w:t>
      </w:r>
      <w:r>
        <w:rPr>
          <w:rFonts w:ascii="Arial" w:cs="Arial" w:eastAsia="Arial" w:hAnsi="Arial"/>
          <w:sz w:val="17"/>
          <w:szCs w:val="17"/>
          <w:i w:val="1"/>
          <w:iCs w:val="1"/>
          <w:color w:val="auto"/>
        </w:rPr>
        <w:t>J Burn Care Res.</w:t>
      </w:r>
      <w:r>
        <w:rPr>
          <w:rFonts w:ascii="Arial" w:cs="Arial" w:eastAsia="Arial" w:hAnsi="Arial"/>
          <w:sz w:val="17"/>
          <w:szCs w:val="17"/>
          <w:color w:val="auto"/>
        </w:rPr>
        <w:t xml:space="preserve"> 2018;39(5):694-702.</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6800215</wp:posOffset>
            </wp:positionH>
            <wp:positionV relativeFrom="page">
              <wp:posOffset>500380</wp:posOffset>
            </wp:positionV>
            <wp:extent cx="51435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395" w:lineRule="exact"/>
        <w:rPr>
          <w:sz w:val="20"/>
          <w:szCs w:val="20"/>
          <w:color w:val="auto"/>
        </w:rPr>
      </w:pPr>
    </w:p>
    <w:p>
      <w:pPr>
        <w:ind w:left="503" w:right="320" w:hanging="503"/>
        <w:spacing w:after="0" w:line="267"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Kowal S, Kruger E, Bilir P, et al. Cost effectiveness of the use of autologous cell harvesting device compared to standard of care for treatment of severe burns in the United States. </w:t>
      </w:r>
      <w:r>
        <w:rPr>
          <w:rFonts w:ascii="Arial" w:cs="Arial" w:eastAsia="Arial" w:hAnsi="Arial"/>
          <w:sz w:val="17"/>
          <w:szCs w:val="17"/>
          <w:i w:val="1"/>
          <w:iCs w:val="1"/>
          <w:color w:val="auto"/>
        </w:rPr>
        <w:t>Adv Ther.</w:t>
      </w:r>
      <w:r>
        <w:rPr>
          <w:rFonts w:ascii="Arial" w:cs="Arial" w:eastAsia="Arial" w:hAnsi="Arial"/>
          <w:sz w:val="17"/>
          <w:szCs w:val="17"/>
          <w:color w:val="auto"/>
        </w:rPr>
        <w:t xml:space="preserve"> Published online May 7, 2019. doi:10.1007/s12325-019-00961-2.</w:t>
      </w:r>
    </w:p>
    <w:p>
      <w:pPr>
        <w:spacing w:after="0" w:line="67" w:lineRule="exact"/>
        <w:rPr>
          <w:rFonts w:ascii="Arial" w:cs="Arial" w:eastAsia="Arial" w:hAnsi="Arial"/>
          <w:sz w:val="17"/>
          <w:szCs w:val="17"/>
          <w:color w:val="auto"/>
        </w:rPr>
      </w:pPr>
    </w:p>
    <w:p>
      <w:pPr>
        <w:ind w:left="503" w:right="100" w:hanging="503"/>
        <w:spacing w:after="0" w:line="234"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Holmes JH, Molnar JA, Carter JE, et al. A comparative study of the RECELL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device and autologous split-thickness meshed skin graft in the treatment of acute burn injuries. </w:t>
      </w:r>
      <w:r>
        <w:rPr>
          <w:rFonts w:ascii="Arial" w:cs="Arial" w:eastAsia="Arial" w:hAnsi="Arial"/>
          <w:sz w:val="17"/>
          <w:szCs w:val="17"/>
          <w:i w:val="1"/>
          <w:iCs w:val="1"/>
          <w:color w:val="auto"/>
        </w:rPr>
        <w:t>J Burn Care Res</w:t>
      </w:r>
      <w:r>
        <w:rPr>
          <w:rFonts w:ascii="Arial" w:cs="Arial" w:eastAsia="Arial" w:hAnsi="Arial"/>
          <w:sz w:val="17"/>
          <w:szCs w:val="17"/>
          <w:color w:val="auto"/>
        </w:rPr>
        <w:t>. 2018;39(5):694-702.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2024-05-30T16:10:13Z</dcterms:created>
  <dcterms:modified xsi:type="dcterms:W3CDTF">2024-05-30T16:10:13Z</dcterms:modified>
</cp:coreProperties>
</file>