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428625</wp:posOffset>
            </wp:positionV>
            <wp:extent cx="164592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AVITA MEDICAL,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28159 Avenue Stanford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Valencia, CA 91355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140"/>
          </w:cols>
          <w:pgMar w:left="320" w:top="230" w:right="439" w:bottom="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$0.0001 par value common stock outstanding as of May 3, 2021 was 24,842,883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4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60" w:type="dxa"/>
            <w:vAlign w:val="bottom"/>
            <w:gridSpan w:val="9"/>
          </w:tcPr>
          <w:p>
            <w:pPr>
              <w:ind w:left="2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726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auto"/>
              </w:rPr>
              <w:t>Consolidated Financial Statements</w:t>
            </w:r>
          </w:p>
        </w:tc>
        <w:tc>
          <w:tcPr>
            <w:tcW w:w="54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 March 31, 2021 (unaudited)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for the three and nine months ended March 31, 2021 and 2020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00" w:type="dxa"/>
            <w:vAlign w:val="bottom"/>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Comprehensive Loss for the three and nine months ended March 31, 2021 and 2020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 for the three and nine months ended March 31, 2021 and 2020 (unaudited)</w:t>
              </w:r>
            </w:hyperlink>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Consolidated Statements of Cash Flows for the nine months ended March 31, 2021 and 2020 (unaudited)</w:t>
              </w:r>
            </w:hyperlink>
          </w:p>
        </w:tc>
        <w:tc>
          <w:tcPr>
            <w:tcW w:w="170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Consolidated Financial Statements</w:t>
              </w:r>
            </w:hyperlink>
          </w:p>
        </w:tc>
        <w:tc>
          <w:tcPr>
            <w:tcW w:w="61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496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0" w:type="dxa"/>
            <w:vAlign w:val="bottom"/>
          </w:tcPr>
          <w:p>
            <w:pPr>
              <w:spacing w:after="0"/>
              <w:rPr>
                <w:sz w:val="24"/>
                <w:szCs w:val="24"/>
                <w:color w:val="auto"/>
              </w:rPr>
            </w:pPr>
          </w:p>
        </w:tc>
        <w:tc>
          <w:tcPr>
            <w:tcW w:w="1042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280" w:type="dxa"/>
            <w:vAlign w:val="bottom"/>
            <w:tcBorders>
              <w:top w:val="single" w:sz="8" w:color="0000EE"/>
            </w:tcBorders>
          </w:tcPr>
          <w:p>
            <w:pPr>
              <w:spacing w:after="0"/>
              <w:rPr>
                <w:sz w:val="24"/>
                <w:szCs w:val="24"/>
                <w:color w:val="auto"/>
              </w:rPr>
            </w:pPr>
          </w:p>
        </w:tc>
        <w:tc>
          <w:tcPr>
            <w:tcW w:w="770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49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700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Other Information</w:t>
              </w:r>
            </w:hyperlink>
          </w:p>
        </w:tc>
        <w:tc>
          <w:tcPr>
            <w:tcW w:w="800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720" w:type="dxa"/>
            <w:vAlign w:val="bottom"/>
            <w:gridSpan w:val="1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0000EE"/>
            </w:tcBorders>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Signatures</w:t>
              </w:r>
            </w:hyperlink>
          </w:p>
        </w:tc>
        <w:tc>
          <w:tcPr>
            <w:tcW w:w="930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00"/>
        <w:spacing w:after="0" w:line="377"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results of operations and financial position, the anticipated impact of the novel coronavirus, or COVID-19, pandemic on our business, business strategy,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Cash</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114,879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73,639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123,711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128,087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(Note 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per share, 200,000,000 shares authorized, 24,842,883 and 21,467,912 shares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March 31, 2021 and June 30, 2020, respectively</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7"/>
              </w:rPr>
              <w:t>Preferred stock, $0.0001 par value per share, 10,000,000 shares authorized, no shares issued or outstanding at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March 31, 2021 and June 30, 2020</w:t>
            </w:r>
          </w:p>
        </w:tc>
        <w:tc>
          <w:tcPr>
            <w:tcW w:w="2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327,447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8,271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(194,913)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128,087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Nine months ended March 31,</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BARDA income</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(41,388)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Operating loss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Diluted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22,734,335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21,215,246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21,948,132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19,932,947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22,734,335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21,215,246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21,948,132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19,932,947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2 for information about a reclassification of share-based compensation expense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Three months ended</w:t>
            </w: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$(5,997)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$(15,048)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(29,116)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24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r>
      <w:tr>
        <w:trPr>
          <w:trHeight w:val="27"/>
        </w:trPr>
        <w:tc>
          <w:tcPr>
            <w:tcW w:w="5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(6,015)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(15,202)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(21,740)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(29,226)</w:t>
            </w:r>
          </w:p>
        </w:tc>
      </w:tr>
      <w:tr>
        <w:trPr>
          <w:trHeight w:val="20"/>
        </w:trPr>
        <w:tc>
          <w:tcPr>
            <w:tcW w:w="5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7"/>
              </w:rPr>
              <w:t>Three Months Ended March 31, 2021</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Paid-in-Capital</w:t>
            </w: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9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21,625,058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w w:val="71"/>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262,086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8,289</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(210,781</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3,214,250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69,106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(5,109)</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24,842,883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b w:val="1"/>
                <w:bCs w:val="1"/>
                <w:color w:val="auto"/>
                <w:w w:val="71"/>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327,447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(216,778</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21,174,743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right w:val="single" w:sz="8" w:color="CCEEFF"/>
            </w:tcBorders>
            <w:shd w:val="clear" w:color="auto" w:fill="CCEEFF"/>
          </w:tcPr>
          <w:p>
            <w:pPr>
              <w:ind w:left="320"/>
              <w:spacing w:after="0"/>
              <w:rPr>
                <w:sz w:val="20"/>
                <w:szCs w:val="20"/>
                <w:color w:val="auto"/>
              </w:rPr>
            </w:pPr>
            <w:r>
              <w:rPr>
                <w:rFonts w:ascii="Arial" w:cs="Arial" w:eastAsia="Arial" w:hAnsi="Arial"/>
                <w:sz w:val="10"/>
                <w:szCs w:val="10"/>
                <w:b w:val="1"/>
                <w:bCs w:val="1"/>
                <w:color w:val="auto"/>
                <w:w w:val="71"/>
              </w:rPr>
              <w:t>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246,028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8,228</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(166,951</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137,009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12,190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Translation loss</w:t>
            </w:r>
          </w:p>
        </w:tc>
        <w:tc>
          <w:tcPr>
            <w:tcW w:w="2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21,323,942</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3</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255,145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8,074</w:t>
            </w:r>
          </w:p>
        </w:tc>
        <w:tc>
          <w:tcPr>
            <w:tcW w:w="12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 (181,999)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81,223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9"/>
              </w:rPr>
              <w:t>Nine Months Ended March 31, 2021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21,467,912</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259,165</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(194,913</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3,214,250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69,106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(5,109)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151,837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Translation gain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5"/>
                <w:szCs w:val="15"/>
                <w:color w:val="auto"/>
                <w:w w:val="71"/>
              </w:rPr>
              <w:t>125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24,842,883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3</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327,447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8,271</w:t>
            </w:r>
          </w:p>
        </w:tc>
        <w:tc>
          <w:tcPr>
            <w:tcW w:w="13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 (216,778)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118,943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8"/>
              </w:rPr>
              <w:t>Nine Months Ended March 31, 2020</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Paid-in-Capital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18,712,996</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5"/>
                <w:szCs w:val="15"/>
                <w:b w:val="1"/>
                <w:bCs w:val="1"/>
                <w:color w:val="auto"/>
                <w:w w:val="71"/>
              </w:rPr>
              <w:t>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165,473</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8,184</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(152,828</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(29,116)</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2,033,898</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81,702</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498,120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63,075</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Issuance of common stock to director in lieu of</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800" w:type="dxa"/>
            <w:vAlign w:val="bottom"/>
          </w:tcPr>
          <w:p>
            <w:pPr>
              <w:jc w:val="right"/>
              <w:spacing w:after="0"/>
              <w:rPr>
                <w:sz w:val="20"/>
                <w:szCs w:val="20"/>
                <w:color w:val="auto"/>
              </w:rPr>
            </w:pPr>
            <w:r>
              <w:rPr>
                <w:rFonts w:ascii="Arial" w:cs="Arial" w:eastAsia="Arial" w:hAnsi="Arial"/>
                <w:sz w:val="18"/>
                <w:szCs w:val="18"/>
                <w:color w:val="auto"/>
              </w:rPr>
              <w:t>15,853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42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Beginning balance adjustment related to the adoption</w:t>
            </w: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ASC 842</w:t>
            </w: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Translation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2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21,323,942</w:t>
            </w: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255,145</w:t>
            </w:r>
          </w:p>
        </w:tc>
        <w:tc>
          <w:tcPr>
            <w:tcW w:w="3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8,074</w:t>
            </w:r>
          </w:p>
        </w:tc>
        <w:tc>
          <w:tcPr>
            <w:tcW w:w="28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 (181,999)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81,223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Nine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4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(21,865)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(29,116)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12,623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Non-cash lease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on fixed asset disposal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Remeasurement and foreign currency transaction loss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related charges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BARDA deferred costs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cost amortization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Provision (benefit) for doubtful accounts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directors in lieu of directors’ fees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BARDA receivables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Inventory</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fringe benefits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cash used in operations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(16,829)</w:t>
            </w: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paid for plant and equipment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patent filing fees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Proceeds from direct placement of common stock</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81,702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Issuance cost associated with direct placement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Principal repayment of finance lease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76,905</w:t>
            </w: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increase in cash and restricted cash</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59,387</w:t>
            </w: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at beginning of the period</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20,374</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restricted cash end of the period</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115,080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79,761</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Plant and equipment purchases not yet paid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bl>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AVITA group of companies (comprising AVITA Medical, Inc. (“</w:t>
      </w:r>
      <w:r>
        <w:rPr>
          <w:rFonts w:ascii="Arial" w:cs="Arial" w:eastAsia="Arial" w:hAnsi="Arial"/>
          <w:sz w:val="17"/>
          <w:szCs w:val="17"/>
          <w:b w:val="1"/>
          <w:bCs w:val="1"/>
          <w:color w:val="auto"/>
        </w:rPr>
        <w:t>AVITA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AVITA Medical Pty Limited, previously known as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our</w:t>
      </w:r>
      <w:r>
        <w:rPr>
          <w:rFonts w:ascii="Arial" w:cs="Arial" w:eastAsia="Arial" w:hAnsi="Arial"/>
          <w:sz w:val="16"/>
          <w:szCs w:val="16"/>
          <w:color w:val="auto"/>
        </w:rPr>
        <w:t>”) is a commercial-stage regenerative tissue company focused on the treatment of burns, trauma and other acute injuries, together with skin defects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like vitiligo. The Company’s lead product is the RECELL</w:t>
      </w:r>
      <w:r>
        <w:rPr>
          <w:rFonts w:ascii="Arial" w:cs="Arial" w:eastAsia="Arial" w:hAnsi="Arial"/>
          <w:sz w:val="13"/>
          <w:szCs w:val="13"/>
          <w:color w:val="auto"/>
        </w:rPr>
        <w:t>®</w:t>
      </w:r>
      <w:r>
        <w:rPr>
          <w:rFonts w:ascii="Arial" w:cs="Arial" w:eastAsia="Arial" w:hAnsi="Arial"/>
          <w:sz w:val="16"/>
          <w:szCs w:val="16"/>
          <w:color w:val="auto"/>
        </w:rPr>
        <w:t xml:space="preserve"> System, a device that enables healthcare professionals to produce a suspension of Spray-On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Skin</w:t>
      </w:r>
      <w:r>
        <w:rPr>
          <w:rFonts w:ascii="Arial" w:cs="Arial" w:eastAsia="Arial" w:hAnsi="Arial"/>
          <w:sz w:val="14"/>
          <w:szCs w:val="14"/>
          <w:color w:val="auto"/>
        </w:rPr>
        <w:t>™</w:t>
      </w:r>
      <w:r>
        <w:rPr>
          <w:rFonts w:ascii="Arial" w:cs="Arial" w:eastAsia="Arial" w:hAnsi="Arial"/>
          <w:sz w:val="17"/>
          <w:szCs w:val="17"/>
          <w:color w:val="auto"/>
        </w:rPr>
        <w:t xml:space="preserve"> Cells using a small sample of the patient’s own skin. In September 2018, 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premarket approval (“</w:t>
      </w:r>
      <w:r>
        <w:rPr>
          <w:rFonts w:ascii="Arial" w:cs="Arial" w:eastAsia="Arial" w:hAnsi="Arial"/>
          <w:sz w:val="16"/>
          <w:szCs w:val="16"/>
          <w:b w:val="1"/>
          <w:bCs w:val="1"/>
          <w:color w:val="auto"/>
        </w:rPr>
        <w:t>PMA</w:t>
      </w:r>
      <w:r>
        <w:rPr>
          <w:rFonts w:ascii="Arial" w:cs="Arial" w:eastAsia="Arial" w:hAnsi="Arial"/>
          <w:sz w:val="16"/>
          <w:szCs w:val="16"/>
          <w:color w:val="auto"/>
        </w:rPr>
        <w:t>”) to the RECELL System for use in the treatment of acute thermal burns in patients eighteen years and older. Following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receipt of our PMA, we commenced commercializing the RECELL System in January 2019 in the United States. In addition, the FDA has granted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three Investigational Device Exemptions (“</w:t>
      </w:r>
      <w:r>
        <w:rPr>
          <w:rFonts w:ascii="Arial" w:cs="Arial" w:eastAsia="Arial" w:hAnsi="Arial"/>
          <w:sz w:val="16"/>
          <w:szCs w:val="16"/>
          <w:b w:val="1"/>
          <w:bCs w:val="1"/>
          <w:color w:val="auto"/>
        </w:rPr>
        <w:t>IDEs</w:t>
      </w:r>
      <w:r>
        <w:rPr>
          <w:rFonts w:ascii="Arial" w:cs="Arial" w:eastAsia="Arial" w:hAnsi="Arial"/>
          <w:sz w:val="16"/>
          <w:szCs w:val="16"/>
          <w:color w:val="auto"/>
        </w:rPr>
        <w:t>”) studies which have enabled the Company to initiate pivotal clinical investigational studies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seek expanded FDA (supplementary) PMA of the RECELL System for each of soft tissue reconstruction, pediatric scalds, and vitiligo. Enrollment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those clinical studies is ongoing and, if successful, those studies would enable the Company to commence commercializing the RECELL System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United States in each of those indications.</w:t>
      </w:r>
    </w:p>
    <w:p>
      <w:pPr>
        <w:spacing w:after="0" w:line="207"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In March 2020, the World Health Organization declared the outbreak of a novel strain of the coronavirus (“</w:t>
      </w:r>
      <w:r>
        <w:rPr>
          <w:rFonts w:ascii="Arial" w:cs="Arial" w:eastAsia="Arial" w:hAnsi="Arial"/>
          <w:sz w:val="17"/>
          <w:szCs w:val="17"/>
          <w:b w:val="1"/>
          <w:bCs w:val="1"/>
          <w:color w:val="auto"/>
        </w:rPr>
        <w:t>COVID-19</w:t>
      </w:r>
      <w:r>
        <w:rPr>
          <w:rFonts w:ascii="Arial" w:cs="Arial" w:eastAsia="Arial" w:hAnsi="Arial"/>
          <w:sz w:val="17"/>
          <w:szCs w:val="17"/>
          <w:color w:val="auto"/>
        </w:rPr>
        <w:t>”) a pandemic. COVID-19 is having, and will likely continue to have, an adverse effect on the Company’s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and impairment considerations for long-lived assets and intangibles, as of March 31, 2021 and through the date of this report. During the three months and nine months ended March 31, 2021, COVID-19 had minor effects on the Company’s operations and financial position and cash flows.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120" w:right="40" w:firstLine="991"/>
        <w:spacing w:after="0" w:line="291" w:lineRule="auto"/>
        <w:rPr>
          <w:sz w:val="20"/>
          <w:szCs w:val="20"/>
          <w:color w:val="auto"/>
        </w:rPr>
      </w:pPr>
      <w:r>
        <w:rPr>
          <w:rFonts w:ascii="Arial" w:cs="Arial" w:eastAsia="Arial" w:hAnsi="Arial"/>
          <w:sz w:val="16"/>
          <w:szCs w:val="16"/>
          <w:color w:val="auto"/>
        </w:rPr>
        <w:t>In July 2020, Biomedical Advanced Research and Development Authority (“BARDA”) initiated the procurement of the RECELL system valued at $7.6 million as part of the U.S. Department of Health and Human Services emergency response preparedness. As part of the contract the Company will deliver 5,614 RECELL system units to BARDA. Units procured by BARDA as part of the emergency response preparedness are maintained and stored by the Company under a vendor-managed inventory arrangement (“VMI”) during the term of the contract. In addition to procurement of the product, BARDA has expanded its awarded contract to provide supplemental funding of $1.6 million to support the emergency deployment of the RECELL system for use in mass casualty or other emergency situations. In February 2021, BARDA accepted the first delivery of the RECELL system. As of March 31, 2021 a total of 3,020 RECELL system units have been delivered and accepted by BARDA.</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Effective December 2, 2020 (United States time), AVITA Therapeutics, Inc., changed its corporate name to AVITA Medical, Inc. after successfully filing a Certificate of Amendment of Certificate of Incorporation with the Secretary of State of Delaware. The Company’s change of name was registered with the Australian Securities and Investments Commission effective as from January 6, 2021. The Company’s common stock continues to trade on The NASDAQ Stock Exchange LLC (“NASDAQ”) under the symbol “RCEL” and its CHESS Depositary Interests (“CDIs”) continue to trade on the Australian Securities Exchange (“ASX”) under the ticker symbol, “AVH”.</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Redomiciliation</w:t>
      </w:r>
    </w:p>
    <w:p>
      <w:pPr>
        <w:spacing w:after="0" w:line="117" w:lineRule="exact"/>
        <w:rPr>
          <w:sz w:val="20"/>
          <w:szCs w:val="20"/>
          <w:color w:val="auto"/>
        </w:rPr>
      </w:pPr>
    </w:p>
    <w:p>
      <w:pPr>
        <w:ind w:left="120" w:firstLine="1432"/>
        <w:spacing w:after="0" w:line="287" w:lineRule="auto"/>
        <w:rPr>
          <w:sz w:val="20"/>
          <w:szCs w:val="20"/>
          <w:color w:val="auto"/>
        </w:rPr>
      </w:pPr>
      <w:r>
        <w:rPr>
          <w:rFonts w:ascii="Arial" w:cs="Arial" w:eastAsia="Arial" w:hAnsi="Arial"/>
          <w:sz w:val="16"/>
          <w:szCs w:val="16"/>
          <w:color w:val="auto"/>
        </w:rPr>
        <w:t>On June 29, 2020, the Company, a newly formed Delaware corporation, acquired all of the issued share capital of AVITA Medical, a then public company incorporated under the laws of the Commonwealth of Australia and former parent company of the AVITA Group. The acquisition was completed pursuant to a scheme of arrangement under Australian law and was approved by the Federal Court of Australia on June 22, 2020, and by shareholders of AVITA Medical on June 15, 2020 (the “</w:t>
      </w:r>
      <w:r>
        <w:rPr>
          <w:rFonts w:ascii="Arial" w:cs="Arial" w:eastAsia="Arial" w:hAnsi="Arial"/>
          <w:sz w:val="16"/>
          <w:szCs w:val="16"/>
          <w:b w:val="1"/>
          <w:bCs w:val="1"/>
          <w:color w:val="auto"/>
        </w:rPr>
        <w:t>Redomiciliation</w:t>
      </w:r>
      <w:r>
        <w:rPr>
          <w:rFonts w:ascii="Arial" w:cs="Arial" w:eastAsia="Arial" w:hAnsi="Arial"/>
          <w:sz w:val="16"/>
          <w:szCs w:val="16"/>
          <w:color w:val="auto"/>
        </w:rPr>
        <w:t>”). Under the Redomiciliation, all of the issued and outstanding ordinary shares of AVITA Medical, including those ordinary shares held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were exchanged for newly issued shares of common stock of the AVITA Medical, Inc. or CHESS Depositary Interests (“</w:t>
      </w:r>
      <w:r>
        <w:rPr>
          <w:rFonts w:ascii="Arial" w:cs="Arial" w:eastAsia="Arial" w:hAnsi="Arial"/>
          <w:sz w:val="16"/>
          <w:szCs w:val="16"/>
          <w:b w:val="1"/>
          <w:bCs w:val="1"/>
          <w:color w:val="auto"/>
        </w:rPr>
        <w:t>CDIs</w:t>
      </w:r>
      <w:r>
        <w:rPr>
          <w:rFonts w:ascii="Arial" w:cs="Arial" w:eastAsia="Arial" w:hAnsi="Arial"/>
          <w:sz w:val="16"/>
          <w:szCs w:val="16"/>
          <w:color w:val="auto"/>
        </w:rPr>
        <w:t xml:space="preserve">”). This exchange was conducted on the basis of one share of common stock of AVITA Medical, Inc. for every 100 ordinary shares of AVITA Medical, effecting an ‘implicit consolidation’ or ‘reverse split’. The holders of ordinary shares of AVITA Medical received one CDI for every 20 ordinary shares held in AVITA Medical, and the holders of AVITA Medical </w:t>
      </w:r>
      <w:r>
        <w:rPr>
          <w:rFonts w:ascii="Arial" w:cs="Arial" w:eastAsia="Arial" w:hAnsi="Arial"/>
          <w:sz w:val="16"/>
          <w:szCs w:val="16"/>
          <w:b w:val="1"/>
          <w:bCs w:val="1"/>
          <w:color w:val="auto"/>
        </w:rPr>
        <w:t xml:space="preserve">ADSs </w:t>
      </w:r>
      <w:r>
        <w:rPr>
          <w:rFonts w:ascii="Arial" w:cs="Arial" w:eastAsia="Arial" w:hAnsi="Arial"/>
          <w:sz w:val="16"/>
          <w:szCs w:val="16"/>
          <w:color w:val="auto"/>
        </w:rPr>
        <w:t>(each of which previously represented 20 ordinary shares in AVITA Medical) received one share of common stock in AVITA Medical, Inc. for</w:t>
      </w:r>
      <w:r>
        <w:rPr>
          <w:rFonts w:ascii="Arial" w:cs="Arial" w:eastAsia="Arial" w:hAnsi="Arial"/>
          <w:sz w:val="16"/>
          <w:szCs w:val="16"/>
          <w:b w:val="1"/>
          <w:bCs w:val="1"/>
          <w:color w:val="auto"/>
        </w:rPr>
        <w:t xml:space="preserve"> </w:t>
      </w:r>
      <w:r>
        <w:rPr>
          <w:rFonts w:ascii="Arial" w:cs="Arial" w:eastAsia="Arial" w:hAnsi="Arial"/>
          <w:sz w:val="16"/>
          <w:szCs w:val="16"/>
          <w:color w:val="auto"/>
        </w:rPr>
        <w:t>every five ADSs held. The common stock of AVITA Medical, Inc. began trading on The NASDAQ Stock Exchange LLC (“</w:t>
      </w:r>
      <w:r>
        <w:rPr>
          <w:rFonts w:ascii="Arial" w:cs="Arial" w:eastAsia="Arial" w:hAnsi="Arial"/>
          <w:sz w:val="16"/>
          <w:szCs w:val="16"/>
          <w:b w:val="1"/>
          <w:bCs w:val="1"/>
          <w:color w:val="auto"/>
        </w:rPr>
        <w:t>NASDAQ</w:t>
      </w:r>
      <w:r>
        <w:rPr>
          <w:rFonts w:ascii="Arial" w:cs="Arial" w:eastAsia="Arial" w:hAnsi="Arial"/>
          <w:sz w:val="16"/>
          <w:szCs w:val="16"/>
          <w:color w:val="auto"/>
        </w:rPr>
        <w:t>”) upon market open on July 1, 2020 under the same ticker code, “RCEL” as AVITA Medical’s ADSs were traded under prior to the Redomiciliation.</w:t>
      </w:r>
    </w:p>
    <w:p>
      <w:pPr>
        <w:sectPr>
          <w:pgSz w:w="11900" w:h="16838" w:orient="portrait"/>
          <w:cols w:equalWidth="0" w:num="1">
            <w:col w:w="11100"/>
          </w:cols>
          <w:pgMar w:left="320" w:top="459" w:right="479" w:bottom="1440" w:gutter="0" w:footer="0" w:header="0"/>
        </w:sectPr>
      </w:pP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00"/>
          </w:cols>
          <w:pgMar w:left="32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1432"/>
        <w:spacing w:after="0" w:line="286" w:lineRule="auto"/>
        <w:rPr>
          <w:sz w:val="20"/>
          <w:szCs w:val="20"/>
          <w:color w:val="auto"/>
        </w:rPr>
      </w:pPr>
      <w:r>
        <w:rPr>
          <w:rFonts w:ascii="Arial" w:cs="Arial" w:eastAsia="Arial" w:hAnsi="Arial"/>
          <w:sz w:val="17"/>
          <w:szCs w:val="17"/>
          <w:color w:val="auto"/>
        </w:rPr>
        <w:t>As part of the exchange of shares under the Redomiciliation, a reverse split was also simultaneously implemented such that the number of shares of common stock on issue in AVITA Medical, Inc. (as set out in the consolidated financial statements) is less than the number of ordinary shares in AVITA Medical that was previously set out in the consolidated financial statements of AVITA Medical.</w:t>
      </w:r>
    </w:p>
    <w:p>
      <w:pPr>
        <w:spacing w:after="0" w:line="165" w:lineRule="exact"/>
        <w:rPr>
          <w:sz w:val="20"/>
          <w:szCs w:val="20"/>
          <w:color w:val="auto"/>
        </w:rPr>
      </w:pPr>
    </w:p>
    <w:p>
      <w:pPr>
        <w:ind w:left="120" w:right="40" w:firstLine="1432"/>
        <w:spacing w:after="0" w:line="255" w:lineRule="auto"/>
        <w:rPr>
          <w:sz w:val="20"/>
          <w:szCs w:val="20"/>
          <w:color w:val="auto"/>
        </w:rPr>
      </w:pPr>
      <w:r>
        <w:rPr>
          <w:rFonts w:ascii="Arial" w:cs="Arial" w:eastAsia="Arial" w:hAnsi="Arial"/>
          <w:sz w:val="18"/>
          <w:szCs w:val="18"/>
          <w:color w:val="auto"/>
        </w:rPr>
        <w:t>The Redomiciliation resulted in the domicile of the AVITA Group moving from Australia to the United States of America, with AVITA Medical, Inc. becoming the ultimate parent company of the AVITA Group. In addition, the existing listing of AVITA Medical ordinary shares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(as its primary listing) and AVITA Medical ADSs on NASDAQ (as its secondary listing) was inverted and replaced with a new listing of AVITA Medical, Inc. common stock on NASDAQ (as its primary listing) under the existing ticker symbol, “RCEL” and AVITA Medical, Inc. CDIs on the ASX (as its secondary listing) under the existing ticker symbol, AVH. Five CDIs traded on ASX are equivalent to one share of common stock traded on NASDAQ.</w:t>
      </w:r>
    </w:p>
    <w:p>
      <w:pPr>
        <w:spacing w:after="0" w:line="192" w:lineRule="exact"/>
        <w:rPr>
          <w:sz w:val="20"/>
          <w:szCs w:val="20"/>
          <w:color w:val="auto"/>
        </w:rPr>
      </w:pPr>
    </w:p>
    <w:p>
      <w:pPr>
        <w:jc w:val="both"/>
        <w:ind w:left="120" w:right="220" w:firstLine="1432"/>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80" w:firstLine="1432"/>
        <w:spacing w:after="0" w:line="273"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for interim financial information and with the instructions to Form 10-Q and Article 10 of Regulation S-X of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June 30, 2020 filed with the SEC on August 27, 2020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178" w:lineRule="exact"/>
        <w:rPr>
          <w:sz w:val="20"/>
          <w:szCs w:val="20"/>
          <w:color w:val="auto"/>
        </w:rPr>
      </w:pPr>
    </w:p>
    <w:p>
      <w:pPr>
        <w:ind w:left="120" w:right="20" w:firstLine="1432"/>
        <w:spacing w:after="0" w:line="259" w:lineRule="auto"/>
        <w:rPr>
          <w:sz w:val="20"/>
          <w:szCs w:val="20"/>
          <w:color w:val="auto"/>
        </w:rPr>
      </w:pPr>
      <w:r>
        <w:rPr>
          <w:rFonts w:ascii="Arial" w:cs="Arial" w:eastAsia="Arial" w:hAnsi="Arial"/>
          <w:sz w:val="18"/>
          <w:szCs w:val="18"/>
          <w:color w:val="auto"/>
        </w:rPr>
        <w:t>There have been no changes to the Company’s significant accounting policies as described in the annual report on Form 10-K that have had a material impact on the Company’s consolidated financial statements, except for the revenue recognition for the BARDA contract for the option to procure the RECELL system as described below. See the summary of the Company’s significant accounting policies set forth in the notes to its consolidated financial statements included in the Annual Report.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120" w:right="20" w:firstLine="1432"/>
        <w:spacing w:after="0" w:line="263" w:lineRule="auto"/>
        <w:rPr>
          <w:sz w:val="20"/>
          <w:szCs w:val="20"/>
          <w:color w:val="auto"/>
        </w:rPr>
      </w:pPr>
      <w:r>
        <w:rPr>
          <w:rFonts w:ascii="Arial" w:cs="Arial" w:eastAsia="Arial" w:hAnsi="Arial"/>
          <w:sz w:val="18"/>
          <w:szCs w:val="18"/>
          <w:color w:val="auto"/>
        </w:rPr>
        <w:t>Certain amounts in the prior period Consolidated Statement of Operations have been reclassified to conform to the presentation of the current period financial statements. These reclassifications had no effect on the previously reported operating expense, loss before taxes, net loss and earnings per share.</w:t>
      </w:r>
    </w:p>
    <w:p>
      <w:pPr>
        <w:spacing w:after="0" w:line="184" w:lineRule="exact"/>
        <w:rPr>
          <w:sz w:val="20"/>
          <w:szCs w:val="20"/>
          <w:color w:val="auto"/>
        </w:rPr>
      </w:pPr>
    </w:p>
    <w:p>
      <w:pPr>
        <w:ind w:left="120" w:firstLine="1432"/>
        <w:spacing w:after="0" w:line="259" w:lineRule="auto"/>
        <w:rPr>
          <w:sz w:val="20"/>
          <w:szCs w:val="20"/>
          <w:color w:val="auto"/>
        </w:rPr>
      </w:pPr>
      <w:r>
        <w:rPr>
          <w:rFonts w:ascii="Arial" w:cs="Arial" w:eastAsia="Arial" w:hAnsi="Arial"/>
          <w:sz w:val="18"/>
          <w:szCs w:val="18"/>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 such change in presentation of prior period amounts in the Statement of Operations is not material to the consolidated financial statements.</w:t>
      </w:r>
    </w:p>
    <w:p>
      <w:pPr>
        <w:spacing w:after="0" w:line="187" w:lineRule="exact"/>
        <w:rPr>
          <w:sz w:val="20"/>
          <w:szCs w:val="20"/>
          <w:color w:val="auto"/>
        </w:rPr>
      </w:pPr>
    </w:p>
    <w:p>
      <w:pPr>
        <w:ind w:left="120" w:right="140" w:firstLine="1432"/>
        <w:spacing w:after="0" w:line="279" w:lineRule="auto"/>
        <w:rPr>
          <w:sz w:val="20"/>
          <w:szCs w:val="20"/>
          <w:color w:val="auto"/>
        </w:rPr>
      </w:pPr>
      <w:r>
        <w:rPr>
          <w:rFonts w:ascii="Arial" w:cs="Arial" w:eastAsia="Arial" w:hAnsi="Arial"/>
          <w:sz w:val="17"/>
          <w:szCs w:val="17"/>
          <w:color w:val="auto"/>
        </w:rPr>
        <w:t>The Company reclassified share-based compensation expense of $9.0 million for the three months ended March 31, 2020 to sales and marketing expense of $213,000, general and administrative expense of $8.6 million and research and development expenses of $193,000. For the nine months ended March 31, 2020, the Company reclassified share-based compensation of $12.6 million to sales and marketing expense of $584,000, general and administrative expense of $11.5 million and research and development expenses of $497,000.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120" w:firstLine="1432"/>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As a result of the Redomiciliation, the parent company of the AVITA Group changed from AVITA Medical to AVITA Medical, Inc. All intercompany transactions and balances have been eliminated 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40" w:firstLine="1432"/>
        <w:spacing w:after="0" w:line="301"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inventory, accounting for income taxes and share-based compensation and related disclosures. Estimates have been prepared on the basis of the current and available information. However, actual results could differ from estimated amounts.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left="120" w:firstLine="1432"/>
        <w:spacing w:after="0" w:line="269" w:lineRule="auto"/>
        <w:rPr>
          <w:sz w:val="20"/>
          <w:szCs w:val="20"/>
          <w:color w:val="auto"/>
        </w:rPr>
      </w:pPr>
      <w:r>
        <w:rPr>
          <w:rFonts w:ascii="Arial" w:cs="Arial" w:eastAsia="Arial" w:hAnsi="Arial"/>
          <w:sz w:val="17"/>
          <w:szCs w:val="17"/>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gain of $8,000 and a loss of $106,000 for the three and nine months ended March 31, 2021, respectively. For the three and nine months ended March 31, 2020 amounts were not significant. The Company’s non-operating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During the three and nine months ended March 31, 2021, the Company recorded losses of $16,000 and $131,000, respectively. During the three and nine months ended March 31, 2020, the amounts were not significant.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firstLine="1432"/>
        <w:spacing w:after="0" w:line="257" w:lineRule="auto"/>
        <w:rPr>
          <w:sz w:val="20"/>
          <w:szCs w:val="20"/>
          <w:color w:val="auto"/>
        </w:rPr>
      </w:pPr>
      <w:r>
        <w:rPr>
          <w:rFonts w:ascii="Arial" w:cs="Arial" w:eastAsia="Arial" w:hAnsi="Arial"/>
          <w:sz w:val="18"/>
          <w:szCs w:val="18"/>
          <w:color w:val="auto"/>
        </w:rPr>
        <w:t xml:space="preserve">Effective July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applicable to all contracts that were not completed at the date of initial application. This update outlined a comprehensive new revenue recognition model designed to depict the transfer of promised goods or services to customers in an amount that reflects the consideration to which the entity expects to be entitled in exchange for those goods or services. The standard also required additional qualitative disclosures, refer to Note 12 – Revenues for further information.</w:t>
      </w:r>
    </w:p>
    <w:p>
      <w:pPr>
        <w:spacing w:after="0" w:line="188" w:lineRule="exact"/>
        <w:rPr>
          <w:sz w:val="20"/>
          <w:szCs w:val="20"/>
          <w:color w:val="auto"/>
        </w:rPr>
      </w:pPr>
    </w:p>
    <w:p>
      <w:pPr>
        <w:ind w:left="120" w:firstLine="1432"/>
        <w:spacing w:after="0" w:line="255" w:lineRule="auto"/>
        <w:rPr>
          <w:sz w:val="20"/>
          <w:szCs w:val="20"/>
          <w:color w:val="auto"/>
        </w:rPr>
      </w:pPr>
      <w:r>
        <w:rPr>
          <w:rFonts w:ascii="Arial" w:cs="Arial" w:eastAsia="Arial" w:hAnsi="Arial"/>
          <w:sz w:val="18"/>
          <w:szCs w:val="18"/>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92" w:lineRule="exact"/>
        <w:rPr>
          <w:sz w:val="20"/>
          <w:szCs w:val="20"/>
          <w:color w:val="auto"/>
        </w:rPr>
      </w:pPr>
    </w:p>
    <w:p>
      <w:pPr>
        <w:ind w:left="120" w:right="100" w:firstLine="1432"/>
        <w:spacing w:after="0" w:line="271" w:lineRule="auto"/>
        <w:rPr>
          <w:sz w:val="20"/>
          <w:szCs w:val="20"/>
          <w:color w:val="auto"/>
        </w:rPr>
      </w:pPr>
      <w:r>
        <w:rPr>
          <w:rFonts w:ascii="Arial" w:cs="Arial" w:eastAsia="Arial" w:hAnsi="Arial"/>
          <w:sz w:val="17"/>
          <w:szCs w:val="17"/>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78" w:lineRule="exact"/>
        <w:rPr>
          <w:sz w:val="20"/>
          <w:szCs w:val="20"/>
          <w:color w:val="auto"/>
        </w:rPr>
      </w:pPr>
    </w:p>
    <w:p>
      <w:pPr>
        <w:ind w:left="120" w:right="260" w:firstLine="1432"/>
        <w:spacing w:after="0" w:line="273" w:lineRule="auto"/>
        <w:rPr>
          <w:sz w:val="20"/>
          <w:szCs w:val="20"/>
          <w:color w:val="auto"/>
        </w:rPr>
      </w:pPr>
      <w:r>
        <w:rPr>
          <w:rFonts w:ascii="Arial" w:cs="Arial" w:eastAsia="Arial" w:hAnsi="Arial"/>
          <w:sz w:val="17"/>
          <w:szCs w:val="17"/>
          <w:color w:val="auto"/>
        </w:rPr>
        <w:t>For revenues related to the BARDA contract,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ectPr>
          <w:pgSz w:w="11900" w:h="16838" w:orient="portrait"/>
          <w:cols w:equalWidth="0" w:num="1">
            <w:col w:w="11100"/>
          </w:cols>
          <w:pgMar w:left="320" w:top="459" w:right="47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00"/>
          </w:cols>
          <w:pgMar w:left="32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32"/>
        <w:spacing w:after="0" w:line="254" w:lineRule="auto"/>
        <w:rPr>
          <w:sz w:val="20"/>
          <w:szCs w:val="20"/>
          <w:color w:val="auto"/>
        </w:rPr>
      </w:pPr>
      <w:r>
        <w:rPr>
          <w:rFonts w:ascii="Arial" w:cs="Arial" w:eastAsia="Arial" w:hAnsi="Arial"/>
          <w:sz w:val="18"/>
          <w:szCs w:val="18"/>
          <w:color w:val="auto"/>
        </w:rPr>
        <w:t>The total transaction price of the parts of the BARDA contract was determined to be $9.2 million. The transaction price was allocated on a stand-alone selling price basis as follows: $7.6 million to the procurement of the RECELL product, which will be classified as revenues when recognized in the consolidated statement of operations and $1.6 million to the emergency deployment services which will be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left="120" w:right="60" w:firstLine="1432"/>
        <w:spacing w:after="0" w:line="285" w:lineRule="auto"/>
        <w:rPr>
          <w:sz w:val="20"/>
          <w:szCs w:val="20"/>
          <w:color w:val="auto"/>
        </w:rPr>
      </w:pPr>
      <w:r>
        <w:rPr>
          <w:rFonts w:ascii="Arial" w:cs="Arial" w:eastAsia="Arial" w:hAnsi="Arial"/>
          <w:sz w:val="16"/>
          <w:szCs w:val="16"/>
          <w:color w:val="auto"/>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Arial" w:cs="Arial" w:eastAsia="Arial" w:hAnsi="Arial"/>
          <w:sz w:val="16"/>
          <w:szCs w:val="16"/>
          <w:i w:val="1"/>
          <w:iCs w:val="1"/>
          <w:color w:val="auto"/>
        </w:rPr>
        <w:t>Securities and Exchange Commission (SEC) Interpretation, Commission Guidance regarding Accounting for Sale of Vaccines and BioTerror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Countermeasures to the Federal Government for Placement into the Pediatric Vaccine Stockpile or the Strategic National Stockpile (SNS). </w:t>
      </w:r>
      <w:r>
        <w:rPr>
          <w:rFonts w:ascii="Arial" w:cs="Arial" w:eastAsia="Arial" w:hAnsi="Arial"/>
          <w:sz w:val="16"/>
          <w:szCs w:val="16"/>
          <w:color w:val="auto"/>
        </w:rPr>
        <w:t>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revenue is recognized when product is placed in the BARDA vendor-managed inventory as control of the product has been transferred to the customer at the time of delivery to the VMI. RECELL units that have been delivered to the BARDA have a product replacement obligation at no cost to BARDA due to product’s limited shelf-life. The estimated cost of the expired inventory over the term of the contract is accrued on a per unit basis at the time of delivery. The liability is released upon replacement of the product along with a corresponding reduction to inventory. The Company has estimated deferred cost of approximately $198,000 as of March 31, 2021 for the rotation of the product. Such amounts are recorded in other current liabilities and other long-term liabilities in the amounts of $179,000 and $19,000, respectively. The emergency preparedness services performance obligation is satisfied over time. Revenue for the emergency deployment will be recognized on a straight-line basis during the term of the contract as services are consumed over time. Services recognized over the three and nine months ended March 31, 2021 are $58,000 and are included in sales within the consolidated statement of operations. Contract costs to fulfil the performance obligation are incremental and expected to be recovered are capitalized and amortized on a straight-line basis over the term of the contract. As of March 31, 2021 and June 30, 2020 contract costs of $488,000 and $0 are included in other long-term assets,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right="220" w:firstLine="1432"/>
        <w:spacing w:after="0" w:line="275"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 The Company had $999,000 and $435,000 of contract liabilities as of March 31, 2021 and June 30, 2020, respectively.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left="120" w:firstLine="1432"/>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trade receivables, BARDA receivables and other receivables. As of March 31, 2021, and June 30, 2020, substantially all of the Company’s cash was deposited in accounts at financial institutions, and amounts exceed federally insured limits. Management believes that the Company is not exposed to significant credit risk due to the financial strength of the depository institutions in which its cash is held.</w:t>
      </w:r>
    </w:p>
    <w:p>
      <w:pPr>
        <w:spacing w:after="0" w:line="187" w:lineRule="exact"/>
        <w:rPr>
          <w:sz w:val="20"/>
          <w:szCs w:val="20"/>
          <w:color w:val="auto"/>
        </w:rPr>
      </w:pPr>
    </w:p>
    <w:p>
      <w:pPr>
        <w:ind w:left="120" w:right="160" w:firstLine="1432"/>
        <w:spacing w:after="0" w:line="263" w:lineRule="auto"/>
        <w:rPr>
          <w:sz w:val="20"/>
          <w:szCs w:val="20"/>
          <w:color w:val="auto"/>
        </w:rPr>
      </w:pPr>
      <w:r>
        <w:rPr>
          <w:rFonts w:ascii="Arial" w:cs="Arial" w:eastAsia="Arial" w:hAnsi="Arial"/>
          <w:sz w:val="18"/>
          <w:szCs w:val="18"/>
          <w:color w:val="auto"/>
        </w:rPr>
        <w:t>As of March 31, 2021 and June 30, 2020, no single commercial customer accounted for more than 10% of net accounts receivable. BARDA receivables for the procurement of the RECELL system and emergency preparedness accounted for approximately 85% of BARDA receivables. See table below for breakdown of BARDA receivables.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BARDA procurement and emergency preparedness services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BARDA expense reimbursements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w w:val="99"/>
              </w:rPr>
              <w:t>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9"/>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1432"/>
        <w:spacing w:after="0" w:line="257" w:lineRule="auto"/>
        <w:rPr>
          <w:sz w:val="20"/>
          <w:szCs w:val="20"/>
          <w:color w:val="auto"/>
        </w:rPr>
      </w:pPr>
      <w:r>
        <w:rPr>
          <w:rFonts w:ascii="Arial" w:cs="Arial" w:eastAsia="Arial" w:hAnsi="Arial"/>
          <w:sz w:val="18"/>
          <w:szCs w:val="18"/>
          <w:color w:val="auto"/>
        </w:rPr>
        <w:t>For the three months and nine months ended March 31, 2021, no single commercial customer accounted for more than 10% of total revenues. For the three months ended March 31, 2020, one customer accounted for approximately 10% of total revenues. For the nine months ended March 31, 2020, one customer accounted for approximately 12% of total revenues. Revenues from the BARDA contract accounted for approximately 47% and approximately 22% of total revenues for the three and nine months ended March 31, 2021, respectively. Prior to the current quarter BARDA had not yet procured the RECELL product.</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560" w:firstLine="1432"/>
        <w:spacing w:after="0" w:line="342" w:lineRule="auto"/>
        <w:rPr>
          <w:sz w:val="20"/>
          <w:szCs w:val="20"/>
          <w:color w:val="auto"/>
        </w:rPr>
      </w:pPr>
      <w:r>
        <w:rPr>
          <w:rFonts w:ascii="Arial" w:cs="Arial" w:eastAsia="Arial" w:hAnsi="Arial"/>
          <w:sz w:val="16"/>
          <w:szCs w:val="16"/>
          <w:color w:val="auto"/>
        </w:rPr>
        <w:t>Pursuant to a contractual agreement with American Express to maintain the business credit card, the Company must maintain restricted cash deposits which amounted to approximately $201,000 and $201,000 as of March 31, 2021 and June 30, 2020,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ind w:left="120" w:right="220" w:firstLine="1432"/>
        <w:spacing w:after="0" w:line="261" w:lineRule="auto"/>
        <w:rPr>
          <w:sz w:val="20"/>
          <w:szCs w:val="20"/>
          <w:color w:val="auto"/>
        </w:rPr>
      </w:pPr>
      <w:r>
        <w:rPr>
          <w:rFonts w:ascii="Arial" w:cs="Arial" w:eastAsia="Arial" w:hAnsi="Arial"/>
          <w:sz w:val="18"/>
          <w:szCs w:val="18"/>
          <w:color w:val="auto"/>
        </w:rPr>
        <w:t>The AVITA Group was awarded a Biomedical Advance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contract in September 2015. Under this arrangement BARDA supported the Company’s research and development for the Company’s product, including the ongoing U.S. clinical regulatory program targeted towards PMA, our compassionate use program, clinical and health economics research. The BARDA contract supports the Company’s ongoing Pediatric Scalds clinical trial.</w:t>
      </w:r>
    </w:p>
    <w:p>
      <w:pPr>
        <w:spacing w:after="0" w:line="184" w:lineRule="exact"/>
        <w:rPr>
          <w:sz w:val="20"/>
          <w:szCs w:val="20"/>
          <w:color w:val="auto"/>
        </w:rPr>
      </w:pPr>
    </w:p>
    <w:p>
      <w:pPr>
        <w:ind w:left="120" w:right="160" w:firstLine="1432"/>
        <w:spacing w:after="0" w:line="311" w:lineRule="auto"/>
        <w:rPr>
          <w:sz w:val="20"/>
          <w:szCs w:val="20"/>
          <w:color w:val="auto"/>
        </w:rPr>
      </w:pPr>
      <w:r>
        <w:rPr>
          <w:rFonts w:ascii="Arial" w:cs="Arial" w:eastAsia="Arial" w:hAnsi="Arial"/>
          <w:sz w:val="16"/>
          <w:szCs w:val="16"/>
          <w:color w:val="auto"/>
        </w:rPr>
        <w:t>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49" w:lineRule="exact"/>
        <w:rPr>
          <w:sz w:val="20"/>
          <w:szCs w:val="20"/>
          <w:color w:val="auto"/>
        </w:rPr>
      </w:pPr>
    </w:p>
    <w:p>
      <w:pPr>
        <w:ind w:left="120" w:firstLine="1432"/>
        <w:spacing w:after="0" w:line="293" w:lineRule="auto"/>
        <w:rPr>
          <w:sz w:val="20"/>
          <w:szCs w:val="20"/>
          <w:color w:val="auto"/>
        </w:rPr>
      </w:pPr>
      <w:r>
        <w:rPr>
          <w:rFonts w:ascii="Arial" w:cs="Arial" w:eastAsia="Arial" w:hAnsi="Arial"/>
          <w:sz w:val="16"/>
          <w:szCs w:val="16"/>
          <w:color w:val="auto"/>
        </w:rPr>
        <w:t xml:space="preserve">The Company has concluded that grants under the BARDA relationship is not within the scope of ASC 606, as it does not meet the definition of a contract with a “customer.” The Company has further concluded that Subtopic 958-605, </w:t>
      </w:r>
      <w:r>
        <w:rPr>
          <w:rFonts w:ascii="Arial" w:cs="Arial" w:eastAsia="Arial" w:hAnsi="Arial"/>
          <w:sz w:val="16"/>
          <w:szCs w:val="16"/>
          <w:i w:val="1"/>
          <w:iCs w:val="1"/>
          <w:color w:val="auto"/>
        </w:rPr>
        <w:t>Not-for-Profit-Entities-Revenue Recognition</w:t>
      </w:r>
      <w:r>
        <w:rPr>
          <w:rFonts w:ascii="Arial" w:cs="Arial" w:eastAsia="Arial" w:hAnsi="Arial"/>
          <w:sz w:val="16"/>
          <w:szCs w:val="16"/>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0" w:firstLine="1432"/>
        <w:spacing w:after="0" w:line="293" w:lineRule="auto"/>
        <w:rPr>
          <w:sz w:val="20"/>
          <w:szCs w:val="20"/>
          <w:color w:val="auto"/>
        </w:rPr>
      </w:pPr>
      <w:r>
        <w:rPr>
          <w:rFonts w:ascii="Arial" w:cs="Arial" w:eastAsia="Arial" w:hAnsi="Arial"/>
          <w:sz w:val="16"/>
          <w:szCs w:val="16"/>
          <w:color w:val="auto"/>
        </w:rPr>
        <w:t xml:space="preserve">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The Black-Scholes option price model and Monte Carlo Simulation were used to estimate the fair value of the time-based and performance-based options, respectively. Under ASU 2016-09, ASU 2016-09, </w:t>
      </w:r>
      <w:r>
        <w:rPr>
          <w:rFonts w:ascii="Arial" w:cs="Arial" w:eastAsia="Arial" w:hAnsi="Arial"/>
          <w:sz w:val="16"/>
          <w:szCs w:val="16"/>
          <w:i w:val="1"/>
          <w:iCs w:val="1"/>
          <w:color w:val="auto"/>
        </w:rPr>
        <w:t>Compensation – Stock Compensation (“ASC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Company elected to account for forfeitures as they occur.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40" w:firstLine="1432"/>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or ASU 2019-12, which includes amendments to simplify the accounting for income taxes by removing certain exceptions to the general principles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or ASC</w:t>
      </w:r>
    </w:p>
    <w:p>
      <w:pPr>
        <w:jc w:val="both"/>
        <w:ind w:left="120" w:right="100" w:hanging="4"/>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120" w:right="60" w:firstLine="1432"/>
        <w:spacing w:after="0" w:line="277" w:lineRule="auto"/>
        <w:rPr>
          <w:sz w:val="20"/>
          <w:szCs w:val="20"/>
          <w:color w:val="auto"/>
        </w:rPr>
      </w:pPr>
      <w:r>
        <w:rPr>
          <w:rFonts w:ascii="Arial" w:cs="Arial" w:eastAsia="Arial" w:hAnsi="Arial"/>
          <w:sz w:val="18"/>
          <w:szCs w:val="18"/>
          <w:color w:val="auto"/>
        </w:rPr>
        <w:t xml:space="preserve">On July 1, 2019, the Company adopted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(“ASC 842”), which requires lessees to recognize operating leases on the balance sheet as a right-of-use asset (“ROU”) and lease liability.</w:t>
      </w:r>
    </w:p>
    <w:p>
      <w:pPr>
        <w:spacing w:after="0" w:line="170" w:lineRule="exact"/>
        <w:rPr>
          <w:sz w:val="20"/>
          <w:szCs w:val="20"/>
          <w:color w:val="auto"/>
        </w:rPr>
      </w:pPr>
    </w:p>
    <w:p>
      <w:pPr>
        <w:jc w:val="both"/>
        <w:ind w:left="120" w:right="100" w:firstLine="1432"/>
        <w:spacing w:after="0" w:line="263" w:lineRule="auto"/>
        <w:rPr>
          <w:sz w:val="20"/>
          <w:szCs w:val="20"/>
          <w:color w:val="auto"/>
        </w:rPr>
      </w:pPr>
      <w:r>
        <w:rPr>
          <w:rFonts w:ascii="Arial" w:cs="Arial" w:eastAsia="Arial" w:hAnsi="Arial"/>
          <w:sz w:val="18"/>
          <w:szCs w:val="18"/>
          <w:color w:val="auto"/>
        </w:rPr>
        <w:t>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32"/>
        <w:spacing w:after="0" w:line="259" w:lineRule="auto"/>
        <w:rPr>
          <w:sz w:val="20"/>
          <w:szCs w:val="20"/>
          <w:color w:val="auto"/>
        </w:rPr>
      </w:pPr>
      <w:r>
        <w:rPr>
          <w:rFonts w:ascii="Arial" w:cs="Arial" w:eastAsia="Arial" w:hAnsi="Arial"/>
          <w:sz w:val="18"/>
          <w:szCs w:val="18"/>
          <w:color w:val="auto"/>
        </w:rPr>
        <w:t>The Company has operating leases for corporate office space, manufacturing and warehouse facility. The Company has finance leases for equipment and furniture. The Company’s leases have remaining lease terms of less than one year to four years, some of which include options to renew the lease. Finance leases in the amount of $0 and $11,000 are included in other current liabilities as of March 31, 2021 and June 30, 2020, respectively.</w:t>
      </w:r>
    </w:p>
    <w:p>
      <w:pPr>
        <w:spacing w:after="0" w:line="187" w:lineRule="exact"/>
        <w:rPr>
          <w:sz w:val="20"/>
          <w:szCs w:val="20"/>
          <w:color w:val="auto"/>
        </w:rPr>
      </w:pPr>
    </w:p>
    <w:p>
      <w:pPr>
        <w:ind w:left="120" w:right="40" w:firstLine="1432"/>
        <w:spacing w:after="0" w:line="257" w:lineRule="auto"/>
        <w:rPr>
          <w:sz w:val="20"/>
          <w:szCs w:val="20"/>
          <w:color w:val="auto"/>
        </w:rPr>
      </w:pPr>
      <w:r>
        <w:rPr>
          <w:rFonts w:ascii="Arial" w:cs="Arial" w:eastAsia="Arial" w:hAnsi="Arial"/>
          <w:sz w:val="18"/>
          <w:szCs w:val="18"/>
          <w:color w:val="auto"/>
        </w:rPr>
        <w:t>During November 2020, the Company remeasured the lease liability for an office lease due to a change in the lease term. As a result of the remeasurement of the lease liability, there was a reduction of approximately $563,000 to the operating lease ROU assets and operating lease liabilities. There was no impact on earnings as a result of the modification. In addition to the modification for the office lease, the Company entered into a new lease in November 2020 for additional warehouse space. The new lease resulted in an increase of $236,000 to the operating lease ROU assets and operating lease liabilities.</w:t>
      </w:r>
    </w:p>
    <w:p>
      <w:pPr>
        <w:spacing w:after="0" w:line="188" w:lineRule="exact"/>
        <w:rPr>
          <w:sz w:val="20"/>
          <w:szCs w:val="20"/>
          <w:color w:val="auto"/>
        </w:rPr>
      </w:pPr>
    </w:p>
    <w:p>
      <w:pPr>
        <w:ind w:left="120" w:right="80" w:firstLine="1432"/>
        <w:spacing w:after="0" w:line="288" w:lineRule="auto"/>
        <w:rPr>
          <w:sz w:val="20"/>
          <w:szCs w:val="20"/>
          <w:color w:val="auto"/>
        </w:rPr>
      </w:pPr>
      <w:r>
        <w:rPr>
          <w:rFonts w:ascii="Arial" w:cs="Arial" w:eastAsia="Arial" w:hAnsi="Arial"/>
          <w:sz w:val="16"/>
          <w:szCs w:val="16"/>
          <w:color w:val="auto"/>
        </w:rPr>
        <w:t>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implicit rate, the Company used its incremental borrowing rate (“</w:t>
      </w:r>
      <w:r>
        <w:rPr>
          <w:rFonts w:ascii="Arial" w:cs="Arial" w:eastAsia="Arial" w:hAnsi="Arial"/>
          <w:sz w:val="16"/>
          <w:szCs w:val="16"/>
          <w:b w:val="1"/>
          <w:bCs w:val="1"/>
          <w:color w:val="auto"/>
        </w:rPr>
        <w:t>IBR</w:t>
      </w:r>
      <w:r>
        <w:rPr>
          <w:rFonts w:ascii="Arial" w:cs="Arial" w:eastAsia="Arial" w:hAnsi="Arial"/>
          <w:sz w:val="16"/>
          <w:szCs w:val="16"/>
          <w:color w:val="auto"/>
        </w:rPr>
        <w:t>”) based on the information available at commencement date or modification date in determining the discount rate used to present value lease payments. The Company used the IBR on July 1, 2019 for its operating leases that commenced on or prior to that date. For leases that were modified and entered into during November 2020, the Company used the IBR in effect on the commencement date or modification date. In determining the IBR, the Company considered its credit rating and current market interest rates. The IBR used approximates the interest that the Company would be required to pay for a collateralized loan over a similar term. Additionally, the Company used the portfolio approach when applying the discount rate selected based on the dollar amount and term of the obligation. Certain leases for equipment and furniture contain bargain purchase options and are classified as finance leases. The Company’s leases typically do not include any residual value guarantees or asset retirement obligations.</w:t>
      </w:r>
    </w:p>
    <w:p>
      <w:pPr>
        <w:spacing w:after="0" w:line="168" w:lineRule="exact"/>
        <w:rPr>
          <w:sz w:val="20"/>
          <w:szCs w:val="20"/>
          <w:color w:val="auto"/>
        </w:rPr>
      </w:pPr>
    </w:p>
    <w:p>
      <w:pPr>
        <w:ind w:left="120" w:firstLine="1432"/>
        <w:spacing w:after="0" w:line="259" w:lineRule="auto"/>
        <w:rPr>
          <w:sz w:val="20"/>
          <w:szCs w:val="20"/>
          <w:color w:val="auto"/>
        </w:rPr>
      </w:pPr>
      <w:r>
        <w:rPr>
          <w:rFonts w:ascii="Arial" w:cs="Arial" w:eastAsia="Arial" w:hAnsi="Arial"/>
          <w:sz w:val="18"/>
          <w:szCs w:val="18"/>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w:t>
      </w:r>
    </w:p>
    <w:p>
      <w:pPr>
        <w:spacing w:after="0" w:line="187" w:lineRule="exact"/>
        <w:rPr>
          <w:sz w:val="20"/>
          <w:szCs w:val="20"/>
          <w:color w:val="auto"/>
        </w:rPr>
      </w:pPr>
    </w:p>
    <w:p>
      <w:pPr>
        <w:ind w:left="120" w:right="180" w:firstLine="1432"/>
        <w:spacing w:after="0" w:line="263" w:lineRule="auto"/>
        <w:rPr>
          <w:sz w:val="20"/>
          <w:szCs w:val="20"/>
          <w:color w:val="auto"/>
        </w:rPr>
      </w:pPr>
      <w:r>
        <w:rPr>
          <w:rFonts w:ascii="Arial" w:cs="Arial" w:eastAsia="Arial" w:hAnsi="Arial"/>
          <w:sz w:val="18"/>
          <w:szCs w:val="18"/>
          <w:color w:val="auto"/>
        </w:rPr>
        <w:t>Some leases require variable payments for common area maintenance, property taxes, parking, insurance, and other variable costs. The variable portion of lease payments is not included in operating lease ROU assets or operating lease liabilities. Variable lease costs are expensed when incurred.</w:t>
      </w:r>
    </w:p>
    <w:p>
      <w:pPr>
        <w:spacing w:after="0" w:line="184" w:lineRule="exact"/>
        <w:rPr>
          <w:sz w:val="20"/>
          <w:szCs w:val="20"/>
          <w:color w:val="auto"/>
        </w:rPr>
      </w:pPr>
    </w:p>
    <w:p>
      <w:pPr>
        <w:ind w:left="120" w:right="120" w:firstLine="1432"/>
        <w:spacing w:after="0" w:line="277" w:lineRule="auto"/>
        <w:rPr>
          <w:sz w:val="20"/>
          <w:szCs w:val="20"/>
          <w:color w:val="auto"/>
        </w:rPr>
      </w:pPr>
      <w:r>
        <w:rPr>
          <w:rFonts w:ascii="Arial" w:cs="Arial" w:eastAsia="Arial" w:hAnsi="Arial"/>
          <w:sz w:val="18"/>
          <w:szCs w:val="18"/>
          <w:color w:val="auto"/>
        </w:rPr>
        <w:t>The following table sets forth the Company’s operating lease expense which are included in general and administrative expenses in the consolidated statements of operations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32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Variable lease cost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7"/>
        </w:trPr>
        <w:tc>
          <w:tcPr>
            <w:tcW w:w="3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w:t>
            </w:r>
          </w:p>
        </w:tc>
        <w:tc>
          <w:tcPr>
            <w:tcW w:w="5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r>
      <w:tr>
        <w:trPr>
          <w:trHeight w:val="20"/>
        </w:trPr>
        <w:tc>
          <w:tcPr>
            <w:tcW w:w="3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Supplemental cash flow information related to operating leases for the nine months ended March 31, 2021 and 2020 was as follows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March 31, 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r>
      <w:tr>
        <w:trPr>
          <w:trHeight w:val="182"/>
        </w:trPr>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Cash paid for amounts included in the measurement of</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w w:val="98"/>
              </w:rPr>
              <w:t>Operating cash outflows from operating leases</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543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r>
      <w:tr>
        <w:trPr>
          <w:trHeight w:val="350"/>
        </w:trPr>
        <w:tc>
          <w:tcPr>
            <w:tcW w:w="4020" w:type="dxa"/>
            <w:vAlign w:val="bottom"/>
          </w:tcPr>
          <w:p>
            <w:pPr>
              <w:spacing w:after="0"/>
              <w:rPr>
                <w:sz w:val="24"/>
                <w:szCs w:val="24"/>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Supplemental balance sheet information, as of March 31, 2021 and June 30, 2020 related to operating leases was as follows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2021</w:t>
            </w:r>
          </w:p>
        </w:tc>
        <w:tc>
          <w:tcPr>
            <w:tcW w:w="3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1,639</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right-of-use assets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1,639</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short-term</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685</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Operating lease liabiltiies, long term</w:t>
            </w:r>
          </w:p>
        </w:tc>
        <w:tc>
          <w:tcPr>
            <w:tcW w:w="4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1,060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1,745</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term (years)</w:t>
            </w:r>
          </w:p>
        </w:tc>
        <w:tc>
          <w:tcPr>
            <w:tcW w:w="4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weighted average discount rate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6.66%</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maturities of the Company’s operating lease liabilities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Operating Leases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784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As of March 31, 2021, there were no leases entered into that had not yet commenced.</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3"/>
          </w:tcPr>
          <w:p>
            <w:pPr>
              <w:spacing w:after="0"/>
              <w:rPr>
                <w:sz w:val="20"/>
                <w:szCs w:val="20"/>
                <w:color w:val="auto"/>
              </w:rPr>
            </w:pPr>
            <w:r>
              <w:rPr>
                <w:rFonts w:ascii="Arial" w:cs="Arial" w:eastAsia="Arial" w:hAnsi="Arial"/>
                <w:sz w:val="18"/>
                <w:szCs w:val="18"/>
                <w:color w:val="auto"/>
              </w:rPr>
              <w:t>The composition of inventory is as follows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24"/>
                <w:szCs w:val="24"/>
                <w:color w:val="auto"/>
              </w:rPr>
            </w:pPr>
          </w:p>
        </w:tc>
        <w:tc>
          <w:tcPr>
            <w:tcW w:w="8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2"/>
              </w:rPr>
              <w:t>March 31, 2021</w:t>
            </w:r>
          </w:p>
        </w:tc>
        <w:tc>
          <w:tcPr>
            <w:tcW w:w="6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June 30, 2020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Work in process inventory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 Company has reduced the carrying value of its inventories to reflect the net realizable value. Charges for estimated excess and obsolescence are recorded in cost of sales in the consolidated statements of operations and were $243,000 and $362,000 for the three months and nine months ended March 31, 2021, respectively. Amounts for the three and nine months ended March 31, 2020 were not significant.</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520" w:type="dxa"/>
            <w:vAlign w:val="bottom"/>
            <w:vMerge w:val="restart"/>
          </w:tcPr>
          <w:p>
            <w:pPr>
              <w:jc w:val="center"/>
              <w:ind w:left="1176"/>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As of June 30, 2020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1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9"/>
                <w:szCs w:val="9"/>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52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520" w:type="dxa"/>
            <w:vAlign w:val="bottom"/>
          </w:tcPr>
          <w:p>
            <w:pPr>
              <w:jc w:val="center"/>
              <w:ind w:left="1176"/>
              <w:spacing w:after="0"/>
              <w:rPr>
                <w:sz w:val="20"/>
                <w:szCs w:val="20"/>
                <w:color w:val="auto"/>
              </w:rPr>
            </w:pPr>
            <w:r>
              <w:rPr>
                <w:rFonts w:ascii="Arial" w:cs="Arial" w:eastAsia="Arial" w:hAnsi="Arial"/>
                <w:sz w:val="14"/>
                <w:szCs w:val="14"/>
                <w:b w:val="1"/>
                <w:bCs w:val="1"/>
                <w:color w:val="auto"/>
              </w:rPr>
              <w:t>Life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1</w:t>
            </w:r>
          </w:p>
        </w:tc>
        <w:tc>
          <w:tcPr>
            <w:tcW w:w="2520" w:type="dxa"/>
            <w:vAlign w:val="bottom"/>
            <w:shd w:val="clear" w:color="auto" w:fill="CCEEFF"/>
          </w:tcPr>
          <w:p>
            <w:pPr>
              <w:jc w:val="center"/>
              <w:ind w:left="1236"/>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2</w:t>
            </w:r>
          </w:p>
        </w:tc>
        <w:tc>
          <w:tcPr>
            <w:tcW w:w="2520" w:type="dxa"/>
            <w:vAlign w:val="bottom"/>
          </w:tcPr>
          <w:p>
            <w:pPr>
              <w:jc w:val="center"/>
              <w:ind w:left="1216"/>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3</w:t>
            </w:r>
          </w:p>
        </w:tc>
        <w:tc>
          <w:tcPr>
            <w:tcW w:w="2520" w:type="dxa"/>
            <w:vAlign w:val="bottom"/>
            <w:shd w:val="clear" w:color="auto" w:fill="CCEEFF"/>
          </w:tcPr>
          <w:p>
            <w:pPr>
              <w:jc w:val="center"/>
              <w:ind w:left="1216"/>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5</w:t>
            </w:r>
          </w:p>
        </w:tc>
        <w:tc>
          <w:tcPr>
            <w:tcW w:w="2520" w:type="dxa"/>
            <w:vAlign w:val="bottom"/>
          </w:tcPr>
          <w:p>
            <w:pPr>
              <w:jc w:val="center"/>
              <w:ind w:left="1216"/>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6</w:t>
            </w:r>
          </w:p>
        </w:tc>
        <w:tc>
          <w:tcPr>
            <w:tcW w:w="2520" w:type="dxa"/>
            <w:vAlign w:val="bottom"/>
            <w:shd w:val="clear" w:color="auto" w:fill="CCEEFF"/>
          </w:tcPr>
          <w:p>
            <w:pPr>
              <w:jc w:val="center"/>
              <w:ind w:left="1216"/>
              <w:spacing w:after="0"/>
              <w:rPr>
                <w:sz w:val="20"/>
                <w:szCs w:val="20"/>
                <w:color w:val="auto"/>
              </w:rPr>
            </w:pPr>
            <w:r>
              <w:rPr>
                <w:rFonts w:ascii="Arial" w:cs="Arial" w:eastAsia="Arial" w:hAnsi="Arial"/>
                <w:sz w:val="18"/>
                <w:szCs w:val="18"/>
                <w:color w:val="auto"/>
                <w:w w:val="89"/>
              </w:rPr>
              <w:t>20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Trademarks</w:t>
            </w:r>
          </w:p>
        </w:tc>
        <w:tc>
          <w:tcPr>
            <w:tcW w:w="2520" w:type="dxa"/>
            <w:vAlign w:val="bottom"/>
          </w:tcPr>
          <w:p>
            <w:pPr>
              <w:ind w:left="156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1432"/>
        <w:spacing w:after="0" w:line="257" w:lineRule="auto"/>
        <w:rPr>
          <w:sz w:val="20"/>
          <w:szCs w:val="20"/>
          <w:color w:val="auto"/>
        </w:rPr>
      </w:pPr>
      <w:r>
        <w:rPr>
          <w:rFonts w:ascii="Arial" w:cs="Arial" w:eastAsia="Arial" w:hAnsi="Arial"/>
          <w:sz w:val="18"/>
          <w:szCs w:val="18"/>
          <w:color w:val="auto"/>
        </w:rPr>
        <w:t>During the three and nine months ended March 31, 2021 and 2020, the Company did not identify any events or changes in circumstances that indicated the carrying value of its intangibles may not be recoverable. As such, there was no impairment of intangibles assets recognized for the three and nine months ended March 31, 2021 and 2020. Amortization expense of intangibles included in the consolidated statements of operations was $30,000 and $79,000 for the three and nine months ended March 31, 2021, respectively and $15,000 and $15,000 for the three and nine months ended March 31, 2020,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expects the future amortization of amortizable intangible assets held at March 31, 2021 to be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97"/>
              </w:rPr>
              <w:t>Estimated Amortization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72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2026 and thereafter</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20" w:type="dxa"/>
            <w:vAlign w:val="bottom"/>
            <w:vMerge w:val="restart"/>
          </w:tcPr>
          <w:p>
            <w:pPr>
              <w:jc w:val="right"/>
              <w:ind w:right="20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Useful Lives</w:t>
            </w:r>
          </w:p>
        </w:tc>
        <w:tc>
          <w:tcPr>
            <w:tcW w:w="15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As of March 31,</w:t>
            </w:r>
          </w:p>
        </w:tc>
        <w:tc>
          <w:tcPr>
            <w:tcW w:w="120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 years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Computer software</w:t>
            </w:r>
          </w:p>
        </w:tc>
        <w:tc>
          <w:tcPr>
            <w:tcW w:w="2600" w:type="dxa"/>
            <w:vAlign w:val="bottom"/>
          </w:tcPr>
          <w:p>
            <w:pPr>
              <w:ind w:left="340"/>
              <w:spacing w:after="0"/>
              <w:rPr>
                <w:sz w:val="20"/>
                <w:szCs w:val="20"/>
                <w:color w:val="auto"/>
              </w:rPr>
            </w:pPr>
            <w:r>
              <w:rPr>
                <w:rFonts w:ascii="Arial" w:cs="Arial" w:eastAsia="Arial" w:hAnsi="Arial"/>
                <w:sz w:val="18"/>
                <w:szCs w:val="18"/>
                <w:color w:val="auto"/>
              </w:rPr>
              <w:t>3 years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0" w:type="dxa"/>
            <w:vAlign w:val="bottom"/>
          </w:tcPr>
          <w:p>
            <w:pPr>
              <w:ind w:left="340"/>
              <w:spacing w:after="0"/>
              <w:rPr>
                <w:sz w:val="20"/>
                <w:szCs w:val="20"/>
                <w:color w:val="auto"/>
              </w:rPr>
            </w:pPr>
            <w:r>
              <w:rPr>
                <w:rFonts w:ascii="Arial" w:cs="Arial" w:eastAsia="Arial" w:hAnsi="Arial"/>
                <w:sz w:val="18"/>
                <w:szCs w:val="18"/>
                <w:color w:val="auto"/>
              </w:rPr>
              <w:t>7 years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0" w:type="dxa"/>
            <w:vAlign w:val="bottom"/>
          </w:tcPr>
          <w:p>
            <w:pPr>
              <w:ind w:left="340"/>
              <w:spacing w:after="0"/>
              <w:rPr>
                <w:sz w:val="20"/>
                <w:szCs w:val="20"/>
                <w:color w:val="auto"/>
              </w:rPr>
            </w:pPr>
            <w:r>
              <w:rPr>
                <w:rFonts w:ascii="Arial" w:cs="Arial" w:eastAsia="Arial" w:hAnsi="Arial"/>
                <w:sz w:val="18"/>
                <w:szCs w:val="18"/>
                <w:color w:val="auto"/>
              </w:rPr>
              <w:t>Lesser of life or lease term</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RECELL Moulds</w:t>
            </w:r>
          </w:p>
        </w:tc>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8"/>
              </w:rPr>
              <w:t>Less: accumulated amortization and depreciation</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plant and equipment, net</w:t>
            </w:r>
          </w:p>
        </w:tc>
        <w:tc>
          <w:tcPr>
            <w:tcW w:w="2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 related to plant and equipment for the three months ended March 31, 2021 and 2020 was $137,000 and $86,000,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for the nine months ended March 31, 2021 and 2020, was $461,000 and $240,000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Prepaids and Other Current Assets and Other long-term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As of March 31,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June 30, 2020</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Lease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4"/>
          </w:tcPr>
          <w:p>
            <w:pPr>
              <w:jc w:val="right"/>
              <w:ind w:right="9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465</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prepaids and other current assets</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1,357</w:t>
            </w:r>
          </w:p>
        </w:tc>
        <w:tc>
          <w:tcPr>
            <w:tcW w:w="9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Prepaid expenses primarily consist of prepaid benefits and insurance.</w:t>
            </w: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Other long-term assets consisted of the following (in thousands):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As of March 31,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June 30, 2020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BARDA contract costs</w:t>
            </w: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lease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other long-term assets</w:t>
            </w: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Reporting Segment and Geographic Information</w:t>
      </w:r>
    </w:p>
    <w:p>
      <w:pPr>
        <w:spacing w:after="0" w:line="121" w:lineRule="exact"/>
        <w:rPr>
          <w:sz w:val="20"/>
          <w:szCs w:val="20"/>
          <w:color w:val="auto"/>
        </w:rPr>
      </w:pPr>
    </w:p>
    <w:p>
      <w:pPr>
        <w:ind w:left="120" w:firstLine="1432"/>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were primarily located in the United States as of March 31, 2021 and June 30, 2020 with an insignificant amount located in Australia and the United Kingdom.</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by region for the three and nine months ended March 31, 2021 and 2020 were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 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United States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8,725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18,715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Australia</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320" w:type="dxa"/>
            <w:vAlign w:val="bottom"/>
            <w:vMerge w:val="restart"/>
          </w:tcPr>
          <w:p>
            <w:pPr>
              <w:jc w:val="right"/>
              <w:ind w:right="17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by Customer type for the three and nine months ended March 31, 2021 and 2021 were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5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Commercial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4,622</w:t>
            </w:r>
          </w:p>
        </w:tc>
        <w:tc>
          <w:tcPr>
            <w:tcW w:w="4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3,877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14,785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10,386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BARDA: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Product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4,085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Services for emergency preparedness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3,877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ind w:left="120" w:right="100" w:firstLine="1432"/>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2021 and June 30, 2020, the Company did not have any outstanding or threatened litigation that would have a material impact to the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and Preferred Stock</w:t>
      </w:r>
    </w:p>
    <w:p>
      <w:pPr>
        <w:spacing w:after="0" w:line="121" w:lineRule="exact"/>
        <w:rPr>
          <w:sz w:val="20"/>
          <w:szCs w:val="20"/>
          <w:color w:val="auto"/>
        </w:rPr>
      </w:pPr>
    </w:p>
    <w:p>
      <w:pPr>
        <w:ind w:left="120" w:right="60" w:firstLine="1432"/>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Scheme</w:t>
      </w:r>
      <w:r>
        <w:rPr>
          <w:rFonts w:ascii="Arial" w:cs="Arial" w:eastAsia="Arial" w:hAnsi="Arial"/>
          <w:sz w:val="18"/>
          <w:szCs w:val="18"/>
          <w:color w:val="auto"/>
        </w:rPr>
        <w:t>”). The Scheme was approved by shareholders on June 15, 2020 and approved by the Federal Court of Australia on June 22, 2020.</w:t>
      </w:r>
    </w:p>
    <w:p>
      <w:pPr>
        <w:spacing w:after="0" w:line="184" w:lineRule="exact"/>
        <w:rPr>
          <w:sz w:val="20"/>
          <w:szCs w:val="20"/>
          <w:color w:val="auto"/>
        </w:rPr>
      </w:pPr>
    </w:p>
    <w:p>
      <w:pPr>
        <w:ind w:left="120" w:firstLine="1432"/>
        <w:spacing w:after="0" w:line="296" w:lineRule="auto"/>
        <w:rPr>
          <w:sz w:val="20"/>
          <w:szCs w:val="20"/>
          <w:color w:val="auto"/>
        </w:rPr>
      </w:pPr>
      <w:r>
        <w:rPr>
          <w:rFonts w:ascii="Arial" w:cs="Arial" w:eastAsia="Arial" w:hAnsi="Arial"/>
          <w:sz w:val="16"/>
          <w:szCs w:val="16"/>
          <w:color w:val="auto"/>
        </w:rPr>
        <w:t>Pursuant to the Scheme, all ordinary shares in AVITA Medical, the former parent company of the AVITA Group, were exchanged for shares of common stock in AVITA Medical, Inc., which at the time was named AVITA Therapeutics, Inc. As a result, AVITA Medical, Inc. became the sole shareholder of AVITA Medical and the new parent company of the AVITA Group. In conjunction with the Scheme, an implicit reverse split on a 1 for 100 basis was implemented whereby shareholders of AVITA Medical received one share of common stock in AVITA Medical, Inc. for every 100 ordinary shares held in AVITA Medical. AVITA Therapeutics, Inc. changed its name to AVITA Medical, Inc. in December 2020.</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Scheme, eligible shareholders in AVITA Medical received consideration in the form of:</w:t>
      </w:r>
    </w:p>
    <w:p>
      <w:pPr>
        <w:spacing w:after="0" w:line="131" w:lineRule="exact"/>
        <w:rPr>
          <w:sz w:val="20"/>
          <w:szCs w:val="20"/>
          <w:color w:val="auto"/>
        </w:rPr>
      </w:pPr>
    </w:p>
    <w:p>
      <w:pPr>
        <w:ind w:left="2200" w:hanging="545"/>
        <w:spacing w:after="0"/>
        <w:tabs>
          <w:tab w:leader="none" w:pos="2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five CDIs in AVITA Medical, Inc. for every 100 ordinary shares in AVITA Medical that were held by them; or</w:t>
      </w:r>
    </w:p>
    <w:p>
      <w:pPr>
        <w:spacing w:after="0" w:line="126" w:lineRule="exact"/>
        <w:rPr>
          <w:rFonts w:ascii="Arial" w:cs="Arial" w:eastAsia="Arial" w:hAnsi="Arial"/>
          <w:sz w:val="18"/>
          <w:szCs w:val="18"/>
          <w:color w:val="auto"/>
        </w:rPr>
      </w:pPr>
    </w:p>
    <w:p>
      <w:pPr>
        <w:ind w:left="2200" w:hanging="545"/>
        <w:spacing w:after="0"/>
        <w:tabs>
          <w:tab w:leader="none" w:pos="2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share of common stock in AVITA Medical, Inc.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jc w:val="both"/>
        <w:ind w:left="120" w:right="120" w:firstLine="1432"/>
        <w:spacing w:after="0" w:line="263" w:lineRule="auto"/>
        <w:rPr>
          <w:sz w:val="20"/>
          <w:szCs w:val="20"/>
          <w:color w:val="auto"/>
        </w:rPr>
      </w:pPr>
      <w:r>
        <w:rPr>
          <w:rFonts w:ascii="Arial" w:cs="Arial" w:eastAsia="Arial" w:hAnsi="Arial"/>
          <w:sz w:val="18"/>
          <w:szCs w:val="18"/>
          <w:color w:val="auto"/>
        </w:rPr>
        <w:t>The Company’s CDIs are quoted on the ASX under AVITA Medical’s existing ASX ticker code, “AVH”. The Company’s shares of common stock are quoted on NASDAQ under AVITA Medical’s existing NASDAQ ticker code, “RCEL”. One share of common stock on NASDAQ is equivalent to five CDIs on the ASX.</w:t>
      </w:r>
    </w:p>
    <w:p>
      <w:pPr>
        <w:spacing w:after="0" w:line="184" w:lineRule="exact"/>
        <w:rPr>
          <w:sz w:val="20"/>
          <w:szCs w:val="20"/>
          <w:color w:val="auto"/>
        </w:rPr>
      </w:pPr>
    </w:p>
    <w:p>
      <w:pPr>
        <w:ind w:left="120" w:right="40" w:firstLine="1432"/>
        <w:spacing w:after="0" w:line="257" w:lineRule="auto"/>
        <w:rPr>
          <w:sz w:val="20"/>
          <w:szCs w:val="20"/>
          <w:color w:val="auto"/>
        </w:rPr>
      </w:pPr>
      <w:r>
        <w:rPr>
          <w:rFonts w:ascii="Arial" w:cs="Arial" w:eastAsia="Arial" w:hAnsi="Arial"/>
          <w:sz w:val="18"/>
          <w:szCs w:val="18"/>
          <w:color w:val="auto"/>
        </w:rPr>
        <w:t>As a result of the ‘implicit consolidation’ that occurred under the Scheme, the number of shares of common stock on issue in the Company (as set out in the consolidated financial statements) is less than the number of ordinary shares in AVITA Medical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w:t>
      </w:r>
    </w:p>
    <w:p>
      <w:pPr>
        <w:spacing w:after="0" w:line="188" w:lineRule="exact"/>
        <w:rPr>
          <w:sz w:val="20"/>
          <w:szCs w:val="20"/>
          <w:color w:val="auto"/>
        </w:rPr>
      </w:pPr>
    </w:p>
    <w:p>
      <w:pPr>
        <w:ind w:left="120" w:right="100" w:firstLine="1432"/>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March 31, 2021, and June 30, 2020, 24,842,883 and 21,467,912 shares of common stock, respectively, were issued and outstanding and no shares of preferred stock were outstanding.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1432"/>
        <w:spacing w:after="0" w:line="254" w:lineRule="auto"/>
        <w:rPr>
          <w:sz w:val="20"/>
          <w:szCs w:val="20"/>
          <w:color w:val="auto"/>
        </w:rPr>
      </w:pPr>
      <w:r>
        <w:rPr>
          <w:rFonts w:ascii="Arial" w:cs="Arial" w:eastAsia="Arial" w:hAnsi="Arial"/>
          <w:sz w:val="18"/>
          <w:szCs w:val="18"/>
          <w:color w:val="auto"/>
        </w:rPr>
        <w:t>On February 24, 2021, the Company announced that it had commenced an underwritten registered public offering of its common stock. On March 1, 2021, the Company issued 3,214,250 shares of common stock at the offering price of $21.50 per share. The gross proceeds from the offering are approximately $69.1 million.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and that was also publicly released on the Australian Securities Exchange (“ASX”). The final prospectus supplement relating to and describing the terms of the offering was filed with the SEC on February 25, 2021 (in the United States) and released on the ASX on March 1, 2021 (in Australia).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Revenues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firstLine="1432"/>
        <w:spacing w:after="0" w:line="263"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and to BARDA (collectively, “customers”), predominately in the United States. In addition, the Company records service revenue for the emergency preparedness services provided to BARDA.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right="220" w:firstLine="1432"/>
        <w:spacing w:after="0" w:line="311" w:lineRule="auto"/>
        <w:rPr>
          <w:sz w:val="20"/>
          <w:szCs w:val="20"/>
          <w:color w:val="auto"/>
        </w:rPr>
      </w:pPr>
      <w:r>
        <w:rPr>
          <w:rFonts w:ascii="Arial" w:cs="Arial" w:eastAsia="Arial" w:hAnsi="Arial"/>
          <w:sz w:val="16"/>
          <w:szCs w:val="16"/>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w:t>
      </w:r>
    </w:p>
    <w:p>
      <w:pPr>
        <w:spacing w:after="0" w:line="149" w:lineRule="exact"/>
        <w:rPr>
          <w:sz w:val="20"/>
          <w:szCs w:val="20"/>
          <w:color w:val="auto"/>
        </w:rPr>
      </w:pPr>
    </w:p>
    <w:p>
      <w:pPr>
        <w:ind w:left="120" w:right="20" w:firstLine="1432"/>
        <w:spacing w:after="0" w:line="311"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$999,000 and $435,000 of contract liabilities as of March 31, 2021 and June 30, 2020, respectively. For the three and nine months ended March 31, 2021 and 2020, revenue recognized from amounts included in the beginning balance of contract liabilities were not significant.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20" w:firstLine="1432"/>
        <w:spacing w:after="0" w:line="271" w:lineRule="auto"/>
        <w:rPr>
          <w:sz w:val="20"/>
          <w:szCs w:val="20"/>
          <w:color w:val="auto"/>
        </w:rPr>
      </w:pPr>
      <w:r>
        <w:rPr>
          <w:rFonts w:ascii="Arial" w:cs="Arial" w:eastAsia="Arial" w:hAnsi="Arial"/>
          <w:sz w:val="17"/>
          <w:szCs w:val="17"/>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$4.5 million as of March 31, 2021. The majority of which relates to our July 13, 2020 contract with BARDA for the purchase, delivery and storage of RECELL Systems for emergency response preparedness for a period of three years. We recognized $4.1 million of revenue for the RECELL product during the three and nine months ended March 31, 2021, for purchases by BARDA. We recognized $58,000 of service revenue related to the emergency readiness performance obligation during the three and nine months ended March 31, 2021. There were no purchases by BARDA during the three and nine months ended March 31, 2020. We are contracted to manage this inventory of product until the federal government requests shipment or at contract termination on December 31, 2023.</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left="120" w:right="20" w:firstLine="1432"/>
        <w:spacing w:after="0" w:line="257" w:lineRule="auto"/>
        <w:rPr>
          <w:sz w:val="20"/>
          <w:szCs w:val="20"/>
          <w:color w:val="auto"/>
        </w:rPr>
      </w:pPr>
      <w:r>
        <w:rPr>
          <w:rFonts w:ascii="Arial" w:cs="Arial" w:eastAsia="Arial" w:hAnsi="Arial"/>
          <w:sz w:val="18"/>
          <w:szCs w:val="18"/>
          <w:color w:val="auto"/>
        </w:rPr>
        <w:t>Capitalized cost to fulfil the BARDA emergency preparedness performance obligation, which primarily consist of billed costs to BARDA incurred in connection with the emergency deployment services, were $488,000 and $0 as of March 31, 2021 and June 30, 2020, respectively. Amortization expense related to deferred contract costs were $50,000 and $0 during the three months ended March 31, 2021 and 2020, respectively, and are classified as cost of sales on the accompanying consolidated Statements of Operations. There was no impairment loss in relation to deferred contract costs during the three months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Payment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7" w:lineRule="exact"/>
        <w:rPr>
          <w:sz w:val="20"/>
          <w:szCs w:val="20"/>
          <w:color w:val="auto"/>
        </w:rPr>
      </w:pPr>
    </w:p>
    <w:p>
      <w:pPr>
        <w:ind w:left="120" w:right="60" w:firstLine="1432"/>
        <w:spacing w:after="0" w:line="293" w:lineRule="auto"/>
        <w:rPr>
          <w:sz w:val="20"/>
          <w:szCs w:val="20"/>
          <w:color w:val="auto"/>
        </w:rPr>
      </w:pPr>
      <w:r>
        <w:rPr>
          <w:rFonts w:ascii="Arial" w:cs="Arial" w:eastAsia="Arial" w:hAnsi="Arial"/>
          <w:sz w:val="16"/>
          <w:szCs w:val="16"/>
          <w:color w:val="auto"/>
        </w:rPr>
        <w:t>In November 2014, our former parent company, AVITA Medical, adopted the Employee Share Plan and the Incentive Option Plan (collectively, the “2016 Plans”). The 2016 Plans previously authorized the issuance of stock options or other share-based instruments representing up to 7.5% of outstanding capital of AVITA Medical. Any increase in the maximum number of shares issuable under the 2016 Plans was subject to shareholder approval or to an increase in the total number of ordinary shares outstanding. Upon Redomiciliation, the 2016 Plans were terminated with respect to future grants and accordingly, there are no more shares available to be issued under the 2016 Plans. In addition, upon Redomiciliation, the Company had an implicit 100-1 reverse stock split and all share information presented below has been presented on a reverse split stock basis.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1432"/>
        <w:spacing w:after="0" w:line="263" w:lineRule="auto"/>
        <w:rPr>
          <w:sz w:val="20"/>
          <w:szCs w:val="20"/>
          <w:color w:val="auto"/>
        </w:rPr>
      </w:pPr>
      <w:r>
        <w:rPr>
          <w:rFonts w:ascii="Arial" w:cs="Arial" w:eastAsia="Arial" w:hAnsi="Arial"/>
          <w:sz w:val="18"/>
          <w:szCs w:val="18"/>
          <w:color w:val="auto"/>
        </w:rPr>
        <w:t>During November 2020, the Company, pursuant to Rule 416 under the Securities Act of 1933, filed a registration statement on form S-8 to register a total of 1,750,000 shares of common stock which may be issued pursuant to the terms of the Avita Medical, Inc. 2020 Omnibus Incentive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left="120" w:firstLine="1432"/>
        <w:spacing w:after="0" w:line="259" w:lineRule="auto"/>
        <w:rPr>
          <w:sz w:val="20"/>
          <w:szCs w:val="20"/>
          <w:color w:val="auto"/>
        </w:rPr>
      </w:pPr>
      <w:r>
        <w:rPr>
          <w:rFonts w:ascii="Arial" w:cs="Arial" w:eastAsia="Arial" w:hAnsi="Arial"/>
          <w:sz w:val="18"/>
          <w:szCs w:val="18"/>
          <w:color w:val="auto"/>
        </w:rPr>
        <w:t>Share-based payment transactions are recognized as compensation cost based on the fair value of the instrument on the date of grant. The Black-Scholes option price model and Monte Carlo Simulation were used to estimate the fair value of the time-based and performance-based options, respectively, as of the date of the grant for awards granted under the 2020 plan. For the shares granted under the 2016 Plan the Company used the Binomial valuation model to estimate the grant date fair value of the stock options.</w:t>
      </w:r>
    </w:p>
    <w:p>
      <w:pPr>
        <w:spacing w:after="0" w:line="187" w:lineRule="exact"/>
        <w:rPr>
          <w:sz w:val="20"/>
          <w:szCs w:val="20"/>
          <w:color w:val="auto"/>
        </w:rPr>
      </w:pPr>
    </w:p>
    <w:p>
      <w:pPr>
        <w:ind w:left="120" w:right="340" w:firstLine="1432"/>
        <w:spacing w:after="0" w:line="279" w:lineRule="auto"/>
        <w:rPr>
          <w:sz w:val="20"/>
          <w:szCs w:val="20"/>
          <w:color w:val="auto"/>
        </w:rPr>
      </w:pPr>
      <w:r>
        <w:rPr>
          <w:rFonts w:ascii="Arial" w:cs="Arial" w:eastAsia="Arial" w:hAnsi="Arial"/>
          <w:sz w:val="17"/>
          <w:szCs w:val="17"/>
          <w:color w:val="auto"/>
        </w:rPr>
        <w:t>During the three and nine months ended March 31, 2021 the Company recorded $1.3 million and $4.3 million to share-based compensation expense, respectively. For the three and nine months ended March 31, 2020, the Company recorded $9.0 million and $12.6 million in compensation expense, respectively. No income tax benefit was recognized in the consolidated statements of comprehensive loss for share-based payment arrangements for the three and nine months ended March 31, 2021 and 2020.</w:t>
      </w:r>
    </w:p>
    <w:p>
      <w:pPr>
        <w:spacing w:after="0" w:line="171" w:lineRule="exact"/>
        <w:rPr>
          <w:sz w:val="20"/>
          <w:szCs w:val="20"/>
          <w:color w:val="auto"/>
        </w:rPr>
      </w:pPr>
    </w:p>
    <w:p>
      <w:pPr>
        <w:ind w:left="120" w:right="340" w:firstLine="1432"/>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3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2020</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8,642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2,922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11,542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9,048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4,253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12,623</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1432"/>
        <w:spacing w:after="0" w:line="277" w:lineRule="auto"/>
        <w:rPr>
          <w:sz w:val="20"/>
          <w:szCs w:val="20"/>
          <w:color w:val="auto"/>
        </w:rPr>
      </w:pPr>
      <w:r>
        <w:rPr>
          <w:rFonts w:ascii="Arial" w:cs="Arial" w:eastAsia="Arial" w:hAnsi="Arial"/>
          <w:sz w:val="18"/>
          <w:szCs w:val="18"/>
          <w:color w:val="auto"/>
        </w:rPr>
        <w:t>A summary of stock option activity under the employees share option plan arrangement as of March 31, 2021 and changes during the period then ended is presented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900" w:type="dxa"/>
            <w:vAlign w:val="bottom"/>
            <w:gridSpan w:val="3"/>
          </w:tcPr>
          <w:p>
            <w:pPr>
              <w:jc w:val="center"/>
              <w:ind w:left="1553"/>
              <w:spacing w:after="0"/>
              <w:rPr>
                <w:sz w:val="20"/>
                <w:szCs w:val="20"/>
                <w:color w:val="auto"/>
              </w:rPr>
            </w:pPr>
            <w:r>
              <w:rPr>
                <w:rFonts w:ascii="Arial" w:cs="Arial" w:eastAsia="Arial" w:hAnsi="Arial"/>
                <w:sz w:val="14"/>
                <w:szCs w:val="14"/>
                <w:b w:val="1"/>
                <w:bCs w:val="1"/>
                <w:color w:val="auto"/>
                <w:w w:val="91"/>
              </w:rPr>
              <w:t>Service Only</w:t>
            </w: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Performance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Stock</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Based Stock</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356,171</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1,260,524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211,400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(8,384)</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Expired</w:t>
            </w:r>
          </w:p>
        </w:tc>
        <w:tc>
          <w:tcPr>
            <w:tcW w:w="2900" w:type="dxa"/>
            <w:vAlign w:val="bottom"/>
            <w:gridSpan w:val="3"/>
          </w:tcPr>
          <w:p>
            <w:pPr>
              <w:jc w:val="right"/>
              <w:ind w:right="160"/>
              <w:spacing w:after="0"/>
              <w:rPr>
                <w:sz w:val="20"/>
                <w:szCs w:val="20"/>
                <w:color w:val="auto"/>
              </w:rPr>
            </w:pPr>
            <w:r>
              <w:rPr>
                <w:rFonts w:ascii="Arial" w:cs="Arial" w:eastAsia="Arial" w:hAnsi="Arial"/>
                <w:sz w:val="18"/>
                <w:szCs w:val="18"/>
                <w:color w:val="auto"/>
              </w:rPr>
              <w:t>(20,690)</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(45,000)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(65,690)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(77,675)</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(22,500)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(100,175)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8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1,009,004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383,171</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1,392,175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392,815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253,397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left="120" w:right="180" w:firstLine="1432"/>
        <w:spacing w:after="0" w:line="303" w:lineRule="auto"/>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are granted to executives as part of their long-term incentive compensation. RSU awards are approved by the Compensation Committee as determined necessary. The RSU awards have a contractual term of 10 years and vest in accordance with the tenure or performance conditions as determined by the Compensation Committee. The grant date fair value is determined based on the price of the Company stock on the NASDAQ on the date of grant. RSUs primarily consist of awards to the Chief Executive Officer and other executives.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 summary of the Company’s unvested shares activity as of and for the nine months ended March 31, 2021, is presented below:</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Service Condition</w:t>
            </w:r>
          </w:p>
        </w:tc>
        <w:tc>
          <w:tcPr>
            <w:tcW w:w="5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RSU</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rPr>
              <w:t>RSU</w:t>
            </w:r>
          </w:p>
        </w:tc>
        <w:tc>
          <w:tcPr>
            <w:tcW w:w="2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Conditions RSU</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June 30, 2020</w:t>
            </w:r>
          </w:p>
        </w:tc>
        <w:tc>
          <w:tcPr>
            <w:tcW w:w="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95,013</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244,346</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(151,837)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(151,837)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(45,002)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at March 31, 2021</w:t>
            </w:r>
          </w:p>
        </w:tc>
        <w:tc>
          <w:tcPr>
            <w:tcW w:w="94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95,013</w:t>
            </w:r>
          </w:p>
        </w:tc>
        <w:tc>
          <w:tcPr>
            <w:tcW w:w="54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52,507</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120" w:right="60" w:firstLine="1432"/>
        <w:spacing w:after="0" w:line="257" w:lineRule="auto"/>
        <w:rPr>
          <w:sz w:val="20"/>
          <w:szCs w:val="20"/>
          <w:color w:val="auto"/>
        </w:rPr>
      </w:pPr>
      <w:r>
        <w:rPr>
          <w:rFonts w:ascii="Arial" w:cs="Arial" w:eastAsia="Arial" w:hAnsi="Arial"/>
          <w:sz w:val="18"/>
          <w:szCs w:val="18"/>
          <w:color w:val="auto"/>
        </w:rPr>
        <w:t>At June 30, 2020, the Company and its subsidiaries had net operating loss carryforwards for U.S. federal, state, United Kingdom, and Australian income tax purposes of $88.5 million, $57.5 million, $29.8 million, and $34.1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in various years through 2038. The remaining loss carryforwards have no expiration.</w:t>
      </w:r>
    </w:p>
    <w:p>
      <w:pPr>
        <w:spacing w:after="0" w:line="188" w:lineRule="exact"/>
        <w:rPr>
          <w:sz w:val="20"/>
          <w:szCs w:val="20"/>
          <w:color w:val="auto"/>
        </w:rPr>
      </w:pPr>
    </w:p>
    <w:p>
      <w:pPr>
        <w:ind w:left="120" w:right="140" w:firstLine="1432"/>
        <w:spacing w:after="0" w:line="290" w:lineRule="auto"/>
        <w:rPr>
          <w:sz w:val="20"/>
          <w:szCs w:val="20"/>
          <w:color w:val="auto"/>
        </w:rPr>
      </w:pPr>
      <w:r>
        <w:rPr>
          <w:rFonts w:ascii="Arial" w:cs="Arial" w:eastAsia="Arial" w:hAnsi="Arial"/>
          <w:sz w:val="16"/>
          <w:szCs w:val="16"/>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full valuation allowance against all its net deferred tax assets. The deferred tax assets are primarily net operating loss carryforwards for which management has determined it is more likely than not that the deferred tax assets will not be realized.</w:t>
      </w:r>
    </w:p>
    <w:p>
      <w:pPr>
        <w:spacing w:after="0" w:line="165" w:lineRule="exact"/>
        <w:rPr>
          <w:sz w:val="20"/>
          <w:szCs w:val="20"/>
          <w:color w:val="auto"/>
        </w:rPr>
      </w:pPr>
    </w:p>
    <w:p>
      <w:pPr>
        <w:ind w:left="120" w:firstLine="1432"/>
        <w:spacing w:after="0" w:line="255" w:lineRule="auto"/>
        <w:rPr>
          <w:sz w:val="20"/>
          <w:szCs w:val="20"/>
          <w:color w:val="auto"/>
        </w:rPr>
      </w:pPr>
      <w:r>
        <w:rPr>
          <w:rFonts w:ascii="Arial" w:cs="Arial" w:eastAsia="Arial" w:hAnsi="Arial"/>
          <w:sz w:val="18"/>
          <w:szCs w:val="18"/>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9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Company has not identified any uncertain tax positions as of March 31, 2021 or June 30, 2020.</w:t>
      </w:r>
    </w:p>
    <w:p>
      <w:pPr>
        <w:spacing w:after="0" w:line="225" w:lineRule="exact"/>
        <w:rPr>
          <w:sz w:val="20"/>
          <w:szCs w:val="20"/>
          <w:color w:val="auto"/>
        </w:rPr>
      </w:pPr>
    </w:p>
    <w:p>
      <w:pPr>
        <w:ind w:left="120" w:right="40" w:firstLine="1432"/>
        <w:spacing w:after="0" w:line="285" w:lineRule="auto"/>
        <w:rPr>
          <w:sz w:val="20"/>
          <w:szCs w:val="20"/>
          <w:color w:val="auto"/>
        </w:rPr>
      </w:pPr>
      <w:r>
        <w:rPr>
          <w:rFonts w:ascii="Arial" w:cs="Arial" w:eastAsia="Arial" w:hAnsi="Arial"/>
          <w:sz w:val="16"/>
          <w:szCs w:val="16"/>
          <w:color w:val="auto"/>
        </w:rPr>
        <w:t>On March 27, 2020, the Coronavirus Aid, Relief, and Economic Security Act (“CARES Act”)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its financial position. Furthermore, on December 27, 2020, the Consolidated Appropriations Act was enacted and on March 11, 2021 the American Rescue Plan Act, a</w:t>
      </w:r>
    </w:p>
    <w:p>
      <w:pPr>
        <w:spacing w:after="0" w:line="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$1.9 trillion tax-and-spending package aimed at addressing the continuing economic and health impacts of the coronavirus pandemic, was enacted. The Company evaluated and does not anticipate the Consolidated Appropriations Act and the American Rescue Plan Act to have a material impact on the Company’s financial position.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14"/>
                <w:szCs w:val="14"/>
                <w:color w:val="auto"/>
              </w:rPr>
            </w:pPr>
          </w:p>
        </w:tc>
        <w:tc>
          <w:tcPr>
            <w:tcW w:w="20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Nine months ended March 31,</w:t>
            </w:r>
          </w:p>
        </w:tc>
      </w:tr>
      <w:tr>
        <w:trPr>
          <w:trHeight w:val="142"/>
        </w:trPr>
        <w:tc>
          <w:tcPr>
            <w:tcW w:w="4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380" w:type="dxa"/>
            <w:vAlign w:val="bottom"/>
            <w:tcBorders>
              <w:top w:val="single" w:sz="8" w:color="auto"/>
              <w:bottom w:val="single" w:sz="8" w:color="auto"/>
            </w:tcBorders>
            <w:gridSpan w:val="8"/>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(29,116)</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Weighted-average common shares – outstanding, basic</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21,948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 outstanding, diluted</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 per common share, basic</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0"/>
        </w:trPr>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1432"/>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nine months ended March 31, 2021 and 2020, diluted net loss per common share is the same as the basic net loss per share for those periods.</w:t>
      </w:r>
    </w:p>
    <w:p>
      <w:pPr>
        <w:spacing w:after="0" w:line="176" w:lineRule="exact"/>
        <w:rPr>
          <w:sz w:val="20"/>
          <w:szCs w:val="20"/>
          <w:color w:val="auto"/>
        </w:rPr>
      </w:pPr>
    </w:p>
    <w:p>
      <w:pPr>
        <w:ind w:left="120" w:right="140" w:firstLine="1432"/>
        <w:spacing w:after="0" w:line="277" w:lineRule="auto"/>
        <w:rPr>
          <w:sz w:val="20"/>
          <w:szCs w:val="20"/>
          <w:color w:val="auto"/>
        </w:rPr>
      </w:pPr>
      <w:r>
        <w:rPr>
          <w:rFonts w:ascii="Arial" w:cs="Arial" w:eastAsia="Arial" w:hAnsi="Arial"/>
          <w:sz w:val="18"/>
          <w:szCs w:val="18"/>
          <w:color w:val="auto"/>
        </w:rPr>
        <w:t>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Retirement Plans</w:t>
      </w:r>
    </w:p>
    <w:p>
      <w:pPr>
        <w:spacing w:after="0" w:line="117" w:lineRule="exact"/>
        <w:rPr>
          <w:sz w:val="20"/>
          <w:szCs w:val="20"/>
          <w:color w:val="auto"/>
        </w:rPr>
      </w:pPr>
    </w:p>
    <w:p>
      <w:pPr>
        <w:ind w:left="120" w:right="60" w:firstLine="1432"/>
        <w:spacing w:after="0" w:line="255" w:lineRule="auto"/>
        <w:rPr>
          <w:sz w:val="20"/>
          <w:szCs w:val="20"/>
          <w:color w:val="auto"/>
        </w:rPr>
      </w:pPr>
      <w:r>
        <w:rPr>
          <w:rFonts w:ascii="Arial" w:cs="Arial" w:eastAsia="Arial" w:hAnsi="Arial"/>
          <w:sz w:val="18"/>
          <w:szCs w:val="18"/>
          <w:color w:val="auto"/>
        </w:rPr>
        <w:t xml:space="preserve">The Company offers a 401(k)-retirement savings plan (the </w:t>
      </w:r>
      <w:r>
        <w:rPr>
          <w:rFonts w:ascii="Arial" w:cs="Arial" w:eastAsia="Arial" w:hAnsi="Arial"/>
          <w:sz w:val="18"/>
          <w:szCs w:val="18"/>
          <w:b w:val="1"/>
          <w:bCs w:val="1"/>
          <w:color w:val="auto"/>
        </w:rPr>
        <w:t>“401(k) Plan”</w:t>
      </w:r>
      <w:r>
        <w:rPr>
          <w:rFonts w:ascii="Arial" w:cs="Arial" w:eastAsia="Arial" w:hAnsi="Arial"/>
          <w:sz w:val="18"/>
          <w:szCs w:val="18"/>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$221,000 and $222,000 in the three months ended March 31, 2021 and 2020, respectively and $531,000 and $514,000 for the nine months ended March 31, 2021 and 2020, respectively.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right="160" w:firstLine="1432"/>
        <w:spacing w:after="0" w:line="308" w:lineRule="auto"/>
        <w:rPr>
          <w:sz w:val="20"/>
          <w:szCs w:val="20"/>
          <w:color w:val="auto"/>
        </w:rPr>
      </w:pPr>
      <w:r>
        <w:rPr>
          <w:rFonts w:ascii="Arial" w:cs="Arial" w:eastAsia="Arial" w:hAnsi="Arial"/>
          <w:sz w:val="17"/>
          <w:szCs w:val="17"/>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80" w:firstLine="1432"/>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38" w:lineRule="exact"/>
        <w:rPr>
          <w:sz w:val="20"/>
          <w:szCs w:val="20"/>
          <w:color w:val="auto"/>
        </w:rPr>
      </w:pPr>
    </w:p>
    <w:p>
      <w:pPr>
        <w:ind w:left="120" w:right="40" w:firstLine="1432"/>
        <w:spacing w:after="0" w:line="273"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70" w:lineRule="exact"/>
        <w:rPr>
          <w:sz w:val="20"/>
          <w:szCs w:val="20"/>
          <w:color w:val="auto"/>
        </w:rPr>
      </w:pPr>
    </w:p>
    <w:p>
      <w:pPr>
        <w:ind w:left="120" w:right="200" w:firstLine="1432"/>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62" w:lineRule="exact"/>
        <w:rPr>
          <w:sz w:val="20"/>
          <w:szCs w:val="20"/>
          <w:color w:val="auto"/>
        </w:rPr>
      </w:pPr>
    </w:p>
    <w:p>
      <w:pPr>
        <w:ind w:left="120" w:right="80" w:firstLine="1432"/>
        <w:spacing w:after="0" w:line="279"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120" w:right="80" w:firstLine="1432"/>
        <w:spacing w:after="0" w:line="256" w:lineRule="auto"/>
        <w:rPr>
          <w:sz w:val="20"/>
          <w:szCs w:val="20"/>
          <w:color w:val="auto"/>
        </w:rPr>
      </w:pPr>
      <w:r>
        <w:rPr>
          <w:rFonts w:ascii="Arial" w:cs="Arial" w:eastAsia="Arial" w:hAnsi="Arial"/>
          <w:sz w:val="18"/>
          <w:szCs w:val="18"/>
          <w:color w:val="auto"/>
        </w:rPr>
        <w:t>The AVITA group of companies (comprising AVITA Medical, Inc. (“</w:t>
      </w:r>
      <w:r>
        <w:rPr>
          <w:rFonts w:ascii="Arial" w:cs="Arial" w:eastAsia="Arial" w:hAnsi="Arial"/>
          <w:sz w:val="18"/>
          <w:szCs w:val="18"/>
          <w:b w:val="1"/>
          <w:bCs w:val="1"/>
          <w:color w:val="auto"/>
        </w:rPr>
        <w:t>AVITA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and its subsidiaries, including AVITA Medical Pty Limited (“</w:t>
      </w:r>
      <w:r>
        <w:rPr>
          <w:rFonts w:ascii="Arial" w:cs="Arial" w:eastAsia="Arial" w:hAnsi="Arial"/>
          <w:sz w:val="18"/>
          <w:szCs w:val="18"/>
          <w:b w:val="1"/>
          <w:bCs w:val="1"/>
          <w:color w:val="auto"/>
        </w:rPr>
        <w:t>AVITA Medical</w:t>
      </w:r>
      <w:r>
        <w:rPr>
          <w:rFonts w:ascii="Arial" w:cs="Arial" w:eastAsia="Arial" w:hAnsi="Arial"/>
          <w:sz w:val="18"/>
          <w:szCs w:val="18"/>
          <w:color w:val="auto"/>
        </w:rPr>
        <w:t>”)) (collectively, “</w:t>
      </w:r>
      <w:r>
        <w:rPr>
          <w:rFonts w:ascii="Arial" w:cs="Arial" w:eastAsia="Arial" w:hAnsi="Arial"/>
          <w:sz w:val="18"/>
          <w:szCs w:val="18"/>
          <w:b w:val="1"/>
          <w:bCs w:val="1"/>
          <w:color w:val="auto"/>
        </w:rPr>
        <w:t>AVITA Group</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is a regenerative medicine group with a technology platform positioned to address unmet medical needs in burn injuries, trauma and other acute injuries, together with skin defects like vitiligo. Our patented and proprietary platform technology provides innovative treatment solutions derived from the regenerative properties of a patient’s own skin. Our medical device works by preparing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which is then sprayed on the patient in order to regenerate natural healthy epidermis.</w:t>
      </w:r>
    </w:p>
    <w:p>
      <w:pPr>
        <w:spacing w:after="0" w:line="187" w:lineRule="exact"/>
        <w:rPr>
          <w:sz w:val="20"/>
          <w:szCs w:val="20"/>
          <w:color w:val="auto"/>
        </w:rPr>
      </w:pPr>
    </w:p>
    <w:p>
      <w:pPr>
        <w:ind w:left="120" w:right="60" w:firstLine="1432"/>
        <w:spacing w:after="0" w:line="289" w:lineRule="auto"/>
        <w:rPr>
          <w:sz w:val="20"/>
          <w:szCs w:val="20"/>
          <w:color w:val="auto"/>
        </w:rPr>
      </w:pPr>
      <w:r>
        <w:rPr>
          <w:rFonts w:ascii="Arial" w:cs="Arial" w:eastAsia="Arial" w:hAnsi="Arial"/>
          <w:sz w:val="16"/>
          <w:szCs w:val="16"/>
          <w:color w:val="auto"/>
        </w:rPr>
        <w:t>Our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jc w:val="both"/>
        <w:ind w:left="120" w:right="140" w:firstLine="1432"/>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220" w:firstLine="1432"/>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66" w:lineRule="exact"/>
        <w:rPr>
          <w:sz w:val="20"/>
          <w:szCs w:val="20"/>
          <w:color w:val="auto"/>
        </w:rPr>
      </w:pPr>
    </w:p>
    <w:p>
      <w:pPr>
        <w:ind w:left="120" w:firstLine="1432"/>
        <w:spacing w:after="0" w:line="261"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 registered in Australia cleared for use in the treatment of burns, acute wounds, scars and repigmentation (vitiligo). In Europe, the RECELL System received CE-mark approval for the treatment of burns, chronic wounds, scars and vitiligo. Presently, we are not actively marketing the RECELL System internationally and therefore do not derive meaningful revenue from the RECELL System in these markets.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1432"/>
        <w:spacing w:after="0" w:line="296" w:lineRule="auto"/>
        <w:rPr>
          <w:sz w:val="20"/>
          <w:szCs w:val="20"/>
          <w:color w:val="auto"/>
        </w:rPr>
      </w:pPr>
      <w:r>
        <w:rPr>
          <w:rFonts w:ascii="Arial" w:cs="Arial" w:eastAsia="Arial" w:hAnsi="Arial"/>
          <w:sz w:val="16"/>
          <w:szCs w:val="16"/>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or with the Australian Securities Exchange (“</w:t>
      </w:r>
      <w:r>
        <w:rPr>
          <w:rFonts w:ascii="Arial" w:cs="Arial" w:eastAsia="Arial" w:hAnsi="Arial"/>
          <w:sz w:val="16"/>
          <w:szCs w:val="16"/>
          <w:b w:val="1"/>
          <w:bCs w:val="1"/>
          <w:color w:val="auto"/>
        </w:rPr>
        <w:t>ASX</w:t>
      </w:r>
      <w:r>
        <w:rPr>
          <w:rFonts w:ascii="Arial" w:cs="Arial" w:eastAsia="Arial" w:hAnsi="Arial"/>
          <w:sz w:val="16"/>
          <w:szCs w:val="16"/>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firstLine="1432"/>
        <w:spacing w:after="0" w:line="257" w:lineRule="auto"/>
        <w:rPr>
          <w:sz w:val="20"/>
          <w:szCs w:val="20"/>
          <w:color w:val="auto"/>
        </w:rPr>
      </w:pPr>
      <w:r>
        <w:rPr>
          <w:rFonts w:ascii="Arial" w:cs="Arial" w:eastAsia="Arial" w:hAnsi="Arial"/>
          <w:sz w:val="18"/>
          <w:szCs w:val="18"/>
          <w:color w:val="auto"/>
        </w:rPr>
        <w:t>AVITA Therapeutics, Inc. (now AVITA Medical, Inc), a Delaware corporation, was originally formed in April 2020. The former parent company of the AVITA Group, AVITA Medical Pty Limited (“AVITA Medical”) was formed under the laws of the Commonwealth of Australia in December of 1992 and has operated as AVITA Medical since 2008. AVITA Medical’s ordinary shares originally began trading in Australia on the ASX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88" w:lineRule="exact"/>
        <w:rPr>
          <w:sz w:val="20"/>
          <w:szCs w:val="20"/>
          <w:color w:val="auto"/>
        </w:rPr>
      </w:pPr>
    </w:p>
    <w:p>
      <w:pPr>
        <w:ind w:left="120" w:right="80" w:firstLine="1432"/>
        <w:spacing w:after="0" w:line="269" w:lineRule="auto"/>
        <w:rPr>
          <w:sz w:val="20"/>
          <w:szCs w:val="20"/>
          <w:color w:val="auto"/>
        </w:rPr>
      </w:pPr>
      <w:r>
        <w:rPr>
          <w:rFonts w:ascii="Arial" w:cs="Arial" w:eastAsia="Arial" w:hAnsi="Arial"/>
          <w:sz w:val="17"/>
          <w:szCs w:val="17"/>
          <w:color w:val="auto"/>
        </w:rPr>
        <w:t>On June 29, 2020, a statutory scheme of arrangement was implemented under Australian law to change the domicile of the AVITA Group from Australia to the U.S. Under the scheme of arrangement, AVITA Therapeutics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Ltd.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 On December 2, 2020, AVITA Therapeutics, Inc., changed its corporate name to AVITA Medical, Inc. after filing a Certificate of Amendment to its Certificate of Incorporation with the Secretary of State of the State of Delaware. The Company’s change of name was registered with the Australian Securities and Investments Commission effective as from 6 January 2021. The Company’s common stock continues to trade on NASDAQ under the symbol “RCEL” and the Company’s CDIs continue to trade on the ASX under the ticker symbol “AVH”.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Business Update and Risks Associated with COVID-19</w:t>
      </w:r>
    </w:p>
    <w:p>
      <w:pPr>
        <w:spacing w:after="0" w:line="121" w:lineRule="exact"/>
        <w:rPr>
          <w:sz w:val="20"/>
          <w:szCs w:val="20"/>
          <w:color w:val="auto"/>
        </w:rPr>
      </w:pPr>
    </w:p>
    <w:p>
      <w:pPr>
        <w:ind w:left="120" w:right="100" w:firstLine="1432"/>
        <w:spacing w:after="0" w:line="259" w:lineRule="auto"/>
        <w:rPr>
          <w:sz w:val="20"/>
          <w:szCs w:val="20"/>
          <w:color w:val="auto"/>
        </w:rPr>
      </w:pPr>
      <w:r>
        <w:rPr>
          <w:rFonts w:ascii="Arial" w:cs="Arial" w:eastAsia="Arial" w:hAnsi="Arial"/>
          <w:sz w:val="18"/>
          <w:szCs w:val="18"/>
          <w:color w:val="auto"/>
        </w:rPr>
        <w:t>The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Beginning in March 2020, the COVID-19 pandemic began impacting our operations and financial results. For example,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19, 2020, the Executive Department of the State of California issued Executive Order N-33-20, ordering all individuals in the State of California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stay at home or at their place of residence except as needed to maintain continuity of operations of federal critical infrastructure sectors. Our primary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operations are located in Santa Clarita and Ventura, California. We have taken a variety of steps to address the impact of the COVID-19 pandemic, while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attempting to minimize business disruption. Essential staff in manufacturing and limited support functions have continued to work from our locations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following appropriate hygiene and social distancing protocols. To reduce the risk to our employees and their families from potential exposure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COVID-19, all other staff have been required to work from home (excluding our field force). We have restricted non-essential travel to protect the health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safety of our employees and customers.</w:t>
      </w:r>
    </w:p>
    <w:p>
      <w:pPr>
        <w:spacing w:after="0" w:line="211" w:lineRule="exact"/>
        <w:rPr>
          <w:sz w:val="20"/>
          <w:szCs w:val="20"/>
          <w:color w:val="auto"/>
        </w:rPr>
      </w:pPr>
    </w:p>
    <w:p>
      <w:pPr>
        <w:ind w:left="120" w:right="40" w:firstLine="1432"/>
        <w:spacing w:after="0" w:line="254" w:lineRule="auto"/>
        <w:rPr>
          <w:sz w:val="20"/>
          <w:szCs w:val="20"/>
          <w:color w:val="auto"/>
        </w:rPr>
      </w:pPr>
      <w:r>
        <w:rPr>
          <w:rFonts w:ascii="Arial" w:cs="Arial" w:eastAsia="Arial" w:hAnsi="Arial"/>
          <w:sz w:val="18"/>
          <w:szCs w:val="18"/>
          <w:color w:val="auto"/>
        </w:rPr>
        <w:t>Moreover, beginning in March 2020, access to hospitals and other customer sites was restricted to essential personnel, which has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reduction in the volume of burn procedures using the RECELL System in the immediate period following the implementation of those protective measures. In addition, more recently we have experienced periodic enrollment cessation due to COVID-19 as well as having individuals excluded because they have contracted COVID-19.</w:t>
      </w:r>
    </w:p>
    <w:p>
      <w:pPr>
        <w:spacing w:after="0" w:line="195" w:lineRule="exact"/>
        <w:rPr>
          <w:sz w:val="20"/>
          <w:szCs w:val="20"/>
          <w:color w:val="auto"/>
        </w:rPr>
      </w:pPr>
    </w:p>
    <w:p>
      <w:pPr>
        <w:ind w:left="120" w:right="20" w:firstLine="1432"/>
        <w:spacing w:after="0" w:line="259" w:lineRule="auto"/>
        <w:rPr>
          <w:sz w:val="20"/>
          <w:szCs w:val="20"/>
          <w:color w:val="auto"/>
        </w:rPr>
      </w:pPr>
      <w:r>
        <w:rPr>
          <w:rFonts w:ascii="Arial" w:cs="Arial" w:eastAsia="Arial" w:hAnsi="Arial"/>
          <w:sz w:val="18"/>
          <w:szCs w:val="18"/>
          <w:color w:val="auto"/>
        </w:rPr>
        <w:t>Approximately 50% of the Company’s revenues (excluding BARDA) come from twenty accounts with physicians and hospitals. These accounts as well are susceptible to the effects of COVID-19 and COVID-19 restrictions. To the extent that COVID-19 or other factors cause such physicians or hospitals to be unable to treat patients or delay the treatment of patients using the RECELL System in a particular quarter, or make patients unavailable because of COVID-19, our revenues could be negatively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32"/>
        <w:spacing w:after="0" w:line="271" w:lineRule="auto"/>
        <w:rPr>
          <w:sz w:val="20"/>
          <w:szCs w:val="20"/>
          <w:color w:val="auto"/>
        </w:rPr>
      </w:pPr>
      <w:r>
        <w:rPr>
          <w:rFonts w:ascii="Arial" w:cs="Arial" w:eastAsia="Arial" w:hAnsi="Arial"/>
          <w:sz w:val="17"/>
          <w:szCs w:val="17"/>
          <w:color w:val="auto"/>
        </w:rPr>
        <w:t>We are continuing to monitor the impact of the COVID-19 pandemic on our employees and customers and on the markets in which we operate and will take further actions that we consider prudent to address the COVID-19 pandemic, including reducing spending, while ensuring that we can support our customers and continue to develop our products. The ultimate extent of the impact of the COVID-19 pandemic on us remains highly uncertain and will depend on future developments and factors that continue to evolve. These factors, among others include the widespread vaccination of populations, especially in the U.S. and improvements in treatments and therapeutics for those with COVID-19, which are outside of our control, and could exist for an extended period of time even after the pandemic might end. Quarantines, shelter-in-place and similar government orders have also impacted and may continue to impact, our third-party manufacturers and suppliers, and could in turn adversely impact the availability or cost of materials, which could disrupt our supply chain.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three months ended March 31, 2021 compared to the three months ended March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March 31,</w:t>
            </w: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(1,512)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1,008</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(3,649)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(12,787)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(1,614)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19,657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(5,991)</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(15,406)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9,415</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income/(expense)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(15,048)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(5,997)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(15,048)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9,051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1432"/>
        <w:spacing w:after="0" w:line="275" w:lineRule="auto"/>
        <w:rPr>
          <w:sz w:val="20"/>
          <w:szCs w:val="20"/>
          <w:color w:val="auto"/>
        </w:rPr>
      </w:pPr>
      <w:r>
        <w:rPr>
          <w:rFonts w:ascii="Arial" w:cs="Arial" w:eastAsia="Arial" w:hAnsi="Arial"/>
          <w:sz w:val="17"/>
          <w:szCs w:val="17"/>
          <w:color w:val="auto"/>
        </w:rPr>
        <w:t>Revenue of the RECELL System totaled $8.8 million for the three months ended March 31, 2021, an increase of $4.9 million or 126% over the $3.9 million reported for the three months ended March 31, 2020. The increase was largely driven by our delivery of units to BARDA for emergency response preparedness. In addition, we had growth in the United States of $802,000 or 21% compared to the prior year. Gross margin for the three months ended March 31, 2021 was 76% compared to 84% for the same period in 2020, due to the lower price point associated with the units that were delivered to BARDA as the contract was negotiated prior to commercialization in the United States.</w:t>
      </w:r>
    </w:p>
    <w:p>
      <w:pPr>
        <w:spacing w:after="0" w:line="176" w:lineRule="exact"/>
        <w:rPr>
          <w:sz w:val="20"/>
          <w:szCs w:val="20"/>
          <w:color w:val="auto"/>
        </w:rPr>
      </w:pPr>
    </w:p>
    <w:p>
      <w:pPr>
        <w:ind w:left="120" w:right="240" w:firstLine="1432"/>
        <w:spacing w:after="0" w:line="273" w:lineRule="auto"/>
        <w:rPr>
          <w:sz w:val="20"/>
          <w:szCs w:val="20"/>
          <w:color w:val="auto"/>
        </w:rPr>
      </w:pPr>
      <w:r>
        <w:rPr>
          <w:rFonts w:ascii="Arial" w:cs="Arial" w:eastAsia="Arial" w:hAnsi="Arial"/>
          <w:sz w:val="17"/>
          <w:szCs w:val="17"/>
          <w:color w:val="auto"/>
        </w:rPr>
        <w:t>BARDA income consisted of funding from the Biomedical Advanced Research and Development Authority, under the Assistant Secretary for Preparedness and Response, within the U.S. Department of Health and Human Services, under ongoing USG Contract No. HHSO100201500028C. Under the BARDA grant, income of $570,000 was recognized during the three months ended March 31, 2021 compared to income of $1.0 million for the three months ended March 31, 2020. BARDA arrangement declined as a result of wind-down of certain activities associated with supporting the U.S. FDA approval of the RECELL System as well as lower income associated with the compassionate use, continued access programs and pivotal trials for the treatment of pediatric scald injuries.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32"/>
        <w:spacing w:after="0" w:line="288" w:lineRule="auto"/>
        <w:rPr>
          <w:sz w:val="20"/>
          <w:szCs w:val="20"/>
          <w:color w:val="auto"/>
        </w:rPr>
      </w:pPr>
      <w:r>
        <w:rPr>
          <w:rFonts w:ascii="Arial" w:cs="Arial" w:eastAsia="Arial" w:hAnsi="Arial"/>
          <w:sz w:val="16"/>
          <w:szCs w:val="16"/>
          <w:color w:val="auto"/>
        </w:rPr>
        <w:t>Operating costs for the three months ended March 31, 2021 totaled $13.2 million, a $6.5 million or 33% decrease as compared to the $19.7 million incurred during the three months ended March 31, 2020. Sales and marketing expenses for the three months ended March 31, 2021 totaled $3.6 million a decrease of $726,000 or 17% as compared to the $4.4 million for the three months ended March 31, 2020. The decrease in sales and marketing expenses is primarily due to fewer conferences, lower travel expenses due to COVID-19 related travel restrictions and higher costs incurred in the prior year associated with the product launch. General and administrative expenses totaled $5.4 million for the three months ended March 31, 2021, a decrease of $7.4 million or 58% as compared to the $12.8 million recognized during the three months ended March 31, 2020. The decrease was driven by higher share-based compensation expenses in the prior year associated with certain performance milestones being met. Research and development expenses for the three months ended March 31, 2021 totaled $4.1 million, an increase of $1.6 million or 65% over the $2.5 million recognized during the three months ended March 31, 2020. The increase was primarily attributed to ramping up of clinical trials related activities for treatment of vitiligo as well as other research and development costs associated with furthering the Company’s pipeline.</w:t>
      </w:r>
    </w:p>
    <w:p>
      <w:pPr>
        <w:spacing w:after="0" w:line="168" w:lineRule="exact"/>
        <w:rPr>
          <w:sz w:val="20"/>
          <w:szCs w:val="20"/>
          <w:color w:val="auto"/>
        </w:rPr>
      </w:pPr>
    </w:p>
    <w:p>
      <w:pPr>
        <w:ind w:left="120" w:right="300" w:firstLine="1432"/>
        <w:spacing w:after="0" w:line="263" w:lineRule="auto"/>
        <w:rPr>
          <w:sz w:val="20"/>
          <w:szCs w:val="20"/>
          <w:color w:val="auto"/>
        </w:rPr>
      </w:pPr>
      <w:r>
        <w:rPr>
          <w:rFonts w:ascii="Arial" w:cs="Arial" w:eastAsia="Arial" w:hAnsi="Arial"/>
          <w:sz w:val="18"/>
          <w:szCs w:val="18"/>
          <w:color w:val="auto"/>
        </w:rPr>
        <w:t>Net loss for the three months ended March 31, 2021 was $6.0 million, a decrease of $9.1 million or 60% over the $15.0 million recognized during the three months ended March 31, 2020. The decrease in net loss was driven by the lower operating costs described above and the higher revenue during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nine months ended March 31, 2021 compared to the nine months ended March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5"/>
              </w:rPr>
              <w:t>Nine months ended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Change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$ 18,928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$ 10,386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8,542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(3,896)</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(1,797)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8,287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6,745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1,615</w:t>
            </w:r>
          </w:p>
        </w:tc>
        <w:tc>
          <w:tcPr>
            <w:tcW w:w="4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3,445</w:t>
            </w: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(1,830)</w:t>
            </w:r>
          </w:p>
        </w:tc>
        <w:tc>
          <w:tcPr>
            <w:tcW w:w="440" w:type="dxa"/>
            <w:vAlign w:val="bottom"/>
            <w:vMerge w:val="continue"/>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(10,514)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(17,125)</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6,191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(10,844)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(4,218)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(41,388)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(21,836)</w:t>
            </w:r>
          </w:p>
        </w:tc>
        <w:tc>
          <w:tcPr>
            <w:tcW w:w="4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(29,656)</w:t>
            </w: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7,820</w:t>
            </w:r>
          </w:p>
        </w:tc>
        <w:tc>
          <w:tcPr>
            <w:tcW w:w="440" w:type="dxa"/>
            <w:vAlign w:val="bottom"/>
            <w:vMerge w:val="continue"/>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income/(expense)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(21,865)</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1432"/>
        <w:spacing w:after="0" w:line="259" w:lineRule="auto"/>
        <w:rPr>
          <w:sz w:val="20"/>
          <w:szCs w:val="20"/>
          <w:color w:val="auto"/>
        </w:rPr>
      </w:pPr>
      <w:r>
        <w:rPr>
          <w:rFonts w:ascii="Arial" w:cs="Arial" w:eastAsia="Arial" w:hAnsi="Arial"/>
          <w:sz w:val="18"/>
          <w:szCs w:val="18"/>
          <w:color w:val="auto"/>
        </w:rPr>
        <w:t>Revenue of the RECELL System totaled $18.9 million for the nine months ended March 31, 2021, an increase of $8.5 million or 82% over the $10.4 million reported for the nine months ended March 31, 2020. The increase was largely driven by our delivery of units to BARDA for emergency response preparedness. In addition, consistent with the prior year, we had growth in the United States of $4.5 million or 46%. Gross margin for the nine months ended March 31, 2021 was 79% and flat to the prior year.</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BARDA income consisted of funding from the BARDA, under the Assistant Secretary for Preparedness and Response, within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Department of Health and Human Services, under ongoing USG Contract No. HHSO100201500028C. Under the BARDA grant,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 million was recognized during the nine months ended March 31, 2021 compared to income of $3.4 million for the nine months ended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BARDA arrangement declined as a result of wind-down of certain activities associated with supporting the U.S. FDA approval of the RECELL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System as well as lower income associated with the compassionate use, continued access programs and pivotal trials for the treatment of pediatric scald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injuries.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Operating costs for the nine months ended March 31, 2021 totaled $38.5 million, a $2.9 million or 7% decrease over the</w:t>
      </w:r>
    </w:p>
    <w:p>
      <w:pPr>
        <w:spacing w:after="0" w:line="2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$41.4 million incurred during the nine months ended March 31, 2020. Sales and marketing expenses for the nine months ended March 31, 2021 totaled $10.5 million a decrease of $932,000 or 8% as compared to the $11.5 million for the nine months ended March 31, 2020. The decrease in sales and marketing expenses is primarily due to lower travel and conferences expenses due to COVID-19 related to travel restrictions and higher costs incurred in the prior year associated with the product launch. General and administrative expenses totaled $17.1 million for the nine months ended March 31, 2021, a decrease of $6.2 million or 27% over the $23.3 million recognized during the nine months ended March 31, 2020. The decrease was driven by higher share-based compensation expenses in the prior year associated with certain performance milestones being met, partially offset by higher costs in the current year associated with the Company’s status as a cross listed entity on NASDAQ and ASX. Research and development expenses for the nine months ended March 31, 2021 totaled $10.8 million, an increase of $4.2 million or 64% over the $6.6 million recognized during the nine months ended March 31, 2020. The increase was primarily attributed to ramping up of clinical trial related activities for treatment of vitiligo as well as other research and development costs associated with furthering the Company’s pipeline.</w:t>
      </w:r>
    </w:p>
    <w:p>
      <w:pPr>
        <w:spacing w:after="0" w:line="179" w:lineRule="exact"/>
        <w:rPr>
          <w:sz w:val="20"/>
          <w:szCs w:val="20"/>
          <w:color w:val="auto"/>
        </w:rPr>
      </w:pPr>
    </w:p>
    <w:p>
      <w:pPr>
        <w:ind w:left="120" w:right="360" w:firstLine="1432"/>
        <w:spacing w:after="0" w:line="263" w:lineRule="auto"/>
        <w:rPr>
          <w:sz w:val="20"/>
          <w:szCs w:val="20"/>
          <w:color w:val="auto"/>
        </w:rPr>
      </w:pPr>
      <w:r>
        <w:rPr>
          <w:rFonts w:ascii="Arial" w:cs="Arial" w:eastAsia="Arial" w:hAnsi="Arial"/>
          <w:sz w:val="18"/>
          <w:szCs w:val="18"/>
          <w:color w:val="auto"/>
        </w:rPr>
        <w:t>Net loss for the nine months ended March 31, 2021 was $21.9 million, a decrease of $7.3 million or 25% over the $29.1 million recognized during the nine months ended March 31, 2020. The decrease in net loss was driven by the higher revenue and lower operating costs described above during the nine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40" w:firstLine="1432"/>
        <w:spacing w:after="0" w:line="257" w:lineRule="auto"/>
        <w:rPr>
          <w:sz w:val="20"/>
          <w:szCs w:val="20"/>
          <w:color w:val="auto"/>
        </w:rPr>
      </w:pPr>
      <w:r>
        <w:rPr>
          <w:rFonts w:ascii="Arial" w:cs="Arial" w:eastAsia="Arial" w:hAnsi="Arial"/>
          <w:sz w:val="18"/>
          <w:szCs w:val="18"/>
          <w:color w:val="auto"/>
        </w:rPr>
        <w:t>We expect to utilize cash reserves until U.S. sales of our products reach a level sufficient to fund ongoing operations for at least the next twelve months.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44"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Nine Months Ended</w:t>
      </w:r>
    </w:p>
    <w:p>
      <w:pPr>
        <w:jc w:val="center"/>
        <w:ind w:left="6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(21,950)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in financing activities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64,018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76,905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41,240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59,387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and restricted cash at beginning of the period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73,840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20,374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end of the period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79,761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Nine Months Ended March 31, 2021 and 2020.</w:t>
      </w:r>
    </w:p>
    <w:p>
      <w:pPr>
        <w:spacing w:after="0" w:line="117" w:lineRule="exact"/>
        <w:rPr>
          <w:sz w:val="20"/>
          <w:szCs w:val="20"/>
          <w:color w:val="auto"/>
        </w:rPr>
      </w:pPr>
    </w:p>
    <w:p>
      <w:pPr>
        <w:ind w:left="120" w:right="40" w:firstLine="1432"/>
        <w:spacing w:after="0" w:line="259" w:lineRule="auto"/>
        <w:rPr>
          <w:sz w:val="20"/>
          <w:szCs w:val="20"/>
          <w:color w:val="auto"/>
        </w:rPr>
      </w:pPr>
      <w:r>
        <w:rPr>
          <w:rFonts w:ascii="Arial" w:cs="Arial" w:eastAsia="Arial" w:hAnsi="Arial"/>
          <w:sz w:val="18"/>
          <w:szCs w:val="18"/>
          <w:color w:val="auto"/>
        </w:rPr>
        <w:t>Net cash used in operating activities was $21.9 million and $16.8 million during the nine months ended March 31, 2021 and 2020, respectively. The increase was primarily due to higher operating costs associated with the expansion of research and development activities attributed to ramping up clinical trials and development costs to further the Company’s pipeline, along with higher costs associated with being a cross listed entity on NASDAQ and ASX.</w:t>
      </w:r>
    </w:p>
    <w:p>
      <w:pPr>
        <w:spacing w:after="0" w:line="187" w:lineRule="exact"/>
        <w:rPr>
          <w:sz w:val="20"/>
          <w:szCs w:val="20"/>
          <w:color w:val="auto"/>
        </w:rPr>
      </w:pPr>
    </w:p>
    <w:p>
      <w:pPr>
        <w:ind w:left="120" w:right="800" w:firstLine="1432"/>
        <w:spacing w:after="0" w:line="342" w:lineRule="auto"/>
        <w:rPr>
          <w:sz w:val="20"/>
          <w:szCs w:val="20"/>
          <w:color w:val="auto"/>
        </w:rPr>
      </w:pPr>
      <w:r>
        <w:rPr>
          <w:rFonts w:ascii="Arial" w:cs="Arial" w:eastAsia="Arial" w:hAnsi="Arial"/>
          <w:sz w:val="16"/>
          <w:szCs w:val="16"/>
          <w:color w:val="auto"/>
        </w:rPr>
        <w:t>Net cash used in investing activities was $973,000 and $647,000 during the nine months ended March 31, 2021 and 2020, respectively. Cash flows used for investing activities was primarily attributable to payments for the purchase of a property and equipment.</w:t>
      </w:r>
    </w:p>
    <w:p>
      <w:pPr>
        <w:spacing w:after="0" w:line="124" w:lineRule="exact"/>
        <w:rPr>
          <w:sz w:val="20"/>
          <w:szCs w:val="20"/>
          <w:color w:val="auto"/>
        </w:rPr>
      </w:pPr>
    </w:p>
    <w:p>
      <w:pPr>
        <w:ind w:left="120" w:right="100" w:firstLine="1432"/>
        <w:spacing w:after="0" w:line="277" w:lineRule="auto"/>
        <w:rPr>
          <w:sz w:val="20"/>
          <w:szCs w:val="20"/>
          <w:color w:val="auto"/>
        </w:rPr>
      </w:pPr>
      <w:r>
        <w:rPr>
          <w:rFonts w:ascii="Arial" w:cs="Arial" w:eastAsia="Arial" w:hAnsi="Arial"/>
          <w:sz w:val="18"/>
          <w:szCs w:val="18"/>
          <w:color w:val="auto"/>
        </w:rPr>
        <w:t>Net cash provided by financing activities was $64.0 million and $76.9 million for the nine months ended March 31, 2021 and 2020, respectively, and related to proceeds from the capital raise in the current and prior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ind w:left="120" w:right="100" w:firstLine="1432"/>
        <w:spacing w:after="0" w:line="259" w:lineRule="auto"/>
        <w:rPr>
          <w:sz w:val="20"/>
          <w:szCs w:val="20"/>
          <w:color w:val="auto"/>
        </w:rPr>
      </w:pPr>
      <w:r>
        <w:rPr>
          <w:rFonts w:ascii="Arial" w:cs="Arial" w:eastAsia="Arial" w:hAnsi="Arial"/>
          <w:sz w:val="18"/>
          <w:szCs w:val="18"/>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32"/>
        <w:spacing w:after="0" w:line="279" w:lineRule="auto"/>
        <w:rPr>
          <w:sz w:val="20"/>
          <w:szCs w:val="20"/>
          <w:color w:val="auto"/>
        </w:rPr>
      </w:pPr>
      <w:r>
        <w:rPr>
          <w:rFonts w:ascii="Arial" w:cs="Arial" w:eastAsia="Arial" w:hAnsi="Arial"/>
          <w:sz w:val="17"/>
          <w:szCs w:val="17"/>
          <w:color w:val="auto"/>
        </w:rPr>
        <w:t>For the three months ended March 31, 2021,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 There is no significant external borrowing at the reporting date. Neither the Company nor any of the subsidiaries are subject to externally imposed capital requirement.</w:t>
      </w:r>
    </w:p>
    <w:p>
      <w:pPr>
        <w:spacing w:after="0" w:line="171" w:lineRule="exact"/>
        <w:rPr>
          <w:sz w:val="20"/>
          <w:szCs w:val="20"/>
          <w:color w:val="auto"/>
        </w:rPr>
      </w:pPr>
    </w:p>
    <w:p>
      <w:pPr>
        <w:ind w:left="120" w:right="140" w:firstLine="1432"/>
        <w:spacing w:after="0" w:line="277" w:lineRule="auto"/>
        <w:rPr>
          <w:sz w:val="20"/>
          <w:szCs w:val="20"/>
          <w:color w:val="auto"/>
        </w:rPr>
      </w:pPr>
      <w:r>
        <w:rPr>
          <w:rFonts w:ascii="Arial" w:cs="Arial" w:eastAsia="Arial" w:hAnsi="Arial"/>
          <w:sz w:val="18"/>
          <w:szCs w:val="18"/>
          <w:color w:val="auto"/>
        </w:rPr>
        <w:t>Based on the foregoing, we believe that our existing and future resources and revenues generated from operations and current level of expenses from operations to be sufficient to satisfy our working capital requirements for at least the next 12 months.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firstLine="1432"/>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120" w:firstLine="1432"/>
        <w:spacing w:after="0" w:line="263" w:lineRule="auto"/>
        <w:rPr>
          <w:sz w:val="20"/>
          <w:szCs w:val="20"/>
          <w:color w:val="auto"/>
        </w:rPr>
      </w:pPr>
      <w:r>
        <w:rPr>
          <w:rFonts w:ascii="Arial" w:cs="Arial" w:eastAsia="Arial" w:hAnsi="Arial"/>
          <w:sz w:val="18"/>
          <w:szCs w:val="18"/>
          <w:color w:val="auto"/>
        </w:rPr>
        <w:t>Our contractual obligations consist of operating leases as described in Footnote 4. During November 2020, the Company remeasured the lease liability for an office lease due to a change in the lease term. In addition to the modification for the office lease, the Company entered into a new lease in November 2020 for additional warehouse space.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firstLine="1432"/>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We maintain cash in three financial institutions. Management believes that such financial institutions are financially sound and, accordingly, minimal credit risk exists. We perform periodic evaluations of the relative credit standing of these institutions.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120" w:firstLine="1432"/>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March 31, 2021,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left="120" w:firstLine="1432"/>
        <w:spacing w:after="0" w:line="257" w:lineRule="auto"/>
        <w:rPr>
          <w:sz w:val="20"/>
          <w:szCs w:val="20"/>
          <w:color w:val="auto"/>
        </w:rPr>
      </w:pPr>
      <w:r>
        <w:rPr>
          <w:rFonts w:ascii="Arial" w:cs="Arial" w:eastAsia="Arial" w:hAnsi="Arial"/>
          <w:sz w:val="18"/>
          <w:szCs w:val="18"/>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firstLine="1432"/>
        <w:spacing w:after="0" w:line="255" w:lineRule="auto"/>
        <w:rPr>
          <w:sz w:val="20"/>
          <w:szCs w:val="20"/>
          <w:color w:val="auto"/>
        </w:rPr>
      </w:pPr>
      <w:r>
        <w:rPr>
          <w:rFonts w:ascii="Arial" w:cs="Arial" w:eastAsia="Arial" w:hAnsi="Arial"/>
          <w:sz w:val="18"/>
          <w:szCs w:val="18"/>
          <w:color w:val="auto"/>
        </w:rPr>
        <w:t>There was no change in our internal controls over financial reporting (as defined in Rules 13a-15(f) and 15d-15(f) under the Exchange Act) during the third quarter of fiscal year 2021 covered by this Quarterly Report on Form 10-Q that have materially affected, or are reasonably likely to materially affect, our internal controls over financial reporting. We have not experienced any material impact to our internal controls over financial reporting despite the fact that many of our employees are working remotely due to the COVID-19 pandemic. We are continually monitoring and assessing the impact of the COVID-19 situation on our internal controls to minimize any undesirable effect on control design and operating effectiveness.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Refer to “COVID-19 Business Update and Risks Associated with COVID-19” in Part 1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39"/>
          </w:cols>
          <w:pgMar w:left="32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20" w:type="dxa"/>
            <w:vAlign w:val="bottom"/>
            <w:gridSpan w:val="3"/>
          </w:tcPr>
          <w:p>
            <w:pPr>
              <w:jc w:val="right"/>
              <w:ind w:right="500"/>
              <w:spacing w:after="0"/>
              <w:rPr>
                <w:sz w:val="20"/>
                <w:szCs w:val="20"/>
                <w:color w:val="auto"/>
              </w:rPr>
            </w:pPr>
            <w:r>
              <w:rPr>
                <w:rFonts w:ascii="Arial" w:cs="Arial" w:eastAsia="Arial" w:hAnsi="Arial"/>
                <w:sz w:val="14"/>
                <w:szCs w:val="14"/>
                <w:color w:val="auto"/>
                <w:w w:val="95"/>
              </w:rPr>
              <w:t>Exhibit</w:t>
            </w:r>
          </w:p>
        </w:tc>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No.</w:t>
            </w: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320" w:type="dxa"/>
            <w:vAlign w:val="bottom"/>
            <w:gridSpan w:val="3"/>
          </w:tcPr>
          <w:p>
            <w:pPr>
              <w:spacing w:after="0"/>
              <w:rPr>
                <w:sz w:val="14"/>
                <w:szCs w:val="14"/>
                <w:color w:val="auto"/>
              </w:rPr>
            </w:pPr>
          </w:p>
        </w:tc>
      </w:tr>
      <w:tr>
        <w:trPr>
          <w:trHeight w:val="277"/>
        </w:trPr>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4000" w:type="dxa"/>
            <w:vAlign w:val="bottom"/>
            <w:gridSpan w:val="4"/>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Amendment to Certificate of Incorporation</w:t>
              </w:r>
            </w:hyperlink>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40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Rule 13a-14(a) Certification of Chief Executive Officer</w:t>
              </w:r>
            </w:hyperlink>
          </w:p>
        </w:tc>
      </w:tr>
      <w:tr>
        <w:trPr>
          <w:trHeight w:val="304"/>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39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Rule 13a-14(a) Certification of Chief Financial Officer</w:t>
              </w:r>
            </w:hyperlink>
          </w:p>
        </w:tc>
        <w:tc>
          <w:tcPr>
            <w:tcW w:w="40" w:type="dxa"/>
            <w:vAlign w:val="bottom"/>
          </w:tcPr>
          <w:p>
            <w:pPr>
              <w:spacing w:after="0"/>
              <w:rPr>
                <w:sz w:val="24"/>
                <w:szCs w:val="24"/>
                <w:color w:val="auto"/>
              </w:rPr>
            </w:pPr>
          </w:p>
        </w:tc>
      </w:tr>
    </w:tbl>
    <w:p>
      <w:pPr>
        <w:spacing w:after="0" w:line="121" w:lineRule="exact"/>
        <w:rPr>
          <w:sz w:val="20"/>
          <w:szCs w:val="20"/>
          <w:color w:val="auto"/>
        </w:rPr>
      </w:pPr>
    </w:p>
    <w:p>
      <w:pPr>
        <w:ind w:left="1220" w:hanging="924"/>
        <w:spacing w:after="0"/>
        <w:tabs>
          <w:tab w:leader="none" w:pos="1220" w:val="left"/>
        </w:tabs>
        <w:numPr>
          <w:ilvl w:val="0"/>
          <w:numId w:val="6"/>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18 U.S.C. Section 1350 Certifications</w:t>
        </w:r>
      </w:hyperlink>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29" w:lineRule="exact"/>
        <w:rPr>
          <w:sz w:val="20"/>
          <w:szCs w:val="20"/>
          <w:color w:val="auto"/>
        </w:rPr>
      </w:pPr>
    </w:p>
    <w:p>
      <w:pPr>
        <w:ind w:left="5540" w:right="2779" w:hanging="5424"/>
        <w:spacing w:after="0" w:line="449" w:lineRule="auto"/>
        <w:tabs>
          <w:tab w:leader="none" w:pos="5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Form 8-K of the Registrant filed December 2, 2020 31</w:t>
      </w:r>
    </w:p>
    <w:p>
      <w:pPr>
        <w:sectPr>
          <w:pgSz w:w="11900" w:h="16838" w:orient="portrait"/>
          <w:cols w:equalWidth="0" w:num="1">
            <w:col w:w="10139"/>
          </w:cols>
          <w:pgMar w:left="32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AVITA MEDICAL, INC.</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20"/>
          </w:cols>
          <w:pgMar w:left="320" w:top="459" w:right="7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Dr. Michael Perry,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4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Michael Perry</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Michael Holder,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8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6"/>
          <w:szCs w:val="16"/>
          <w:color w:val="auto"/>
        </w:rPr>
        <w:t>/s/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Holder</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Financial Offer</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Quarterly Report on Form 10-Q for the period ended March 31, 2021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Michael Perry</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Holder</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315"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740"/>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1" Type="http://schemas.openxmlformats.org/officeDocument/2006/relationships/hyperlink" Target="http://www.sec.gov/Archives/edgar/data/1762303/000119312520308333/d6091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2021-05-13T15:22:10Z</dcterms:created>
  <dcterms:modified xsi:type="dcterms:W3CDTF">2021-05-13T15:22:10Z</dcterms:modified>
</cp:coreProperties>
</file>