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24, 2020</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17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85-1021707</w:t>
      </w:r>
    </w:p>
    <w:p>
      <w:pPr>
        <w:spacing w:after="0" w:line="12" w:lineRule="exact"/>
        <w:rPr>
          <w:sz w:val="24"/>
          <w:szCs w:val="24"/>
          <w:color w:val="auto"/>
        </w:rPr>
      </w:pPr>
    </w:p>
    <w:p>
      <w:pPr>
        <w:sectPr>
          <w:pgSz w:w="11900" w:h="16838" w:orient="portrait"/>
          <w:cols w:equalWidth="0" w:num="2">
            <w:col w:w="7180" w:space="720"/>
            <w:col w:w="3120"/>
          </w:cols>
          <w:pgMar w:left="440" w:top="225" w:right="439" w:bottom="177"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80" w:space="720"/>
            <w:col w:w="3220"/>
          </w:cols>
          <w:pgMar w:left="440" w:top="225" w:right="439" w:bottom="177"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28159 Avenue Stanford, Suite 220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Valencia, CA 91355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020"/>
          </w:cols>
          <w:pgMar w:left="440" w:top="225" w:right="439" w:bottom="177" w:gutter="0" w:footer="0" w:header="0"/>
          <w:type w:val="continuous"/>
        </w:sectPr>
      </w:pP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Therapeutics, Inc. 2020 Omnibus Incentive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Creations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Networks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3411 Silverside Road, St. 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Delaware 19808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694-8107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Christopher H. Cunningham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M. Miner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K&amp;L Gates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Fourth Avenue, Suite 2900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Seattle, Washington 98104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623-7580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04"/>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tcPr>
          <w:p>
            <w:pPr>
              <w:spacing w:after="0"/>
              <w:rPr>
                <w:sz w:val="9"/>
                <w:szCs w:val="9"/>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tcPr>
          <w:p>
            <w:pPr>
              <w:spacing w:after="0"/>
              <w:rPr>
                <w:sz w:val="12"/>
                <w:szCs w:val="12"/>
                <w:color w:val="auto"/>
              </w:rPr>
            </w:pPr>
          </w:p>
        </w:tc>
      </w:tr>
      <w:tr>
        <w:trPr>
          <w:trHeight w:val="160"/>
        </w:trPr>
        <w:tc>
          <w:tcPr>
            <w:tcW w:w="48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 to be</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 (2)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Fee(2)</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$22.70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$39,725,000.00</w:t>
            </w:r>
          </w:p>
        </w:tc>
        <w:tc>
          <w:tcPr>
            <w:tcW w:w="15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$4,334.00</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20"/>
          </w:cols>
          <w:pgMar w:left="440" w:top="225" w:right="439" w:bottom="177" w:gutter="0" w:footer="0" w:header="0"/>
          <w:type w:val="continuous"/>
        </w:sectPr>
      </w:pPr>
    </w:p>
    <w:bookmarkStart w:id="1" w:name="page2"/>
    <w:bookmarkEnd w:id="1"/>
    <w:p>
      <w:pPr>
        <w:ind w:left="424" w:hanging="424"/>
        <w:spacing w:after="0" w:line="255"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also covers an indeterminate number of additional shares of common stock which may be issued pursuant to the terms of the Avita Therapeutics, Inc. 2020 Omnibus Incentive Plan, in order to prevent dilution resulting from adjustments in the event of a stock split, stock dividend, reorganization, recapitalization or similar adjustments of common stock.</w:t>
      </w:r>
    </w:p>
    <w:p>
      <w:pPr>
        <w:spacing w:after="0" w:line="2" w:lineRule="exact"/>
        <w:rPr>
          <w:rFonts w:ascii="Times New Roman" w:cs="Times New Roman" w:eastAsia="Times New Roman" w:hAnsi="Times New Roman"/>
          <w:sz w:val="18"/>
          <w:szCs w:val="18"/>
          <w:color w:val="auto"/>
        </w:rPr>
      </w:pPr>
    </w:p>
    <w:p>
      <w:pPr>
        <w:jc w:val="both"/>
        <w:ind w:left="424" w:right="160" w:hanging="424"/>
        <w:spacing w:after="0" w:line="255"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and calculated pursuant to Rule 457(h) under the Securities Act based on the average of the high ($23.01) and low ($22.40) reported sales prices of the Registrant’s common stock as reported on the NASDAQ Stock Market LLC on November 20, 2020.</w:t>
      </w:r>
    </w:p>
    <w:p>
      <w:pPr>
        <w:spacing w:after="0" w:line="182"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b w:val="1"/>
          <w:bCs w:val="1"/>
          <w:color w:val="auto"/>
        </w:rPr>
        <w:t>Proposed sales to take place as soon after the effective date of the registration statement as awards granted under the above-named plans are granted, exercised and/or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163830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135"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as specified by Rule 428(b)(1)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 this registration statement, Avita Therapeutics, Inc. is sometimes referred to as “Registrant,” “we,” “us,” “our,” or “Avita.”</w:t>
      </w:r>
    </w:p>
    <w:p>
      <w:pPr>
        <w:spacing w:after="0" w:line="3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Securities and Exchange Commission (“SEC”)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Our predecessor entity, Avita Medical Limited (“Avita Australia”) initially listed its American Depositary Shares on the Nasdaq Stock Market LLC on September 27, 2019. On June 29, 2020, we completed a redomiciliation transaction from Australia to Delaware (the “Transaction”). We became a successor entity of Avita Australia pursuant to Rule 12g-3(a) under the Securities Exchange Act of 1934 as a result of the Transaction. We hereby incorporate by reference into this registration statement the following documents previously filed with the SEC:</w:t>
      </w:r>
    </w:p>
    <w:p>
      <w:pPr>
        <w:spacing w:after="0" w:line="94" w:lineRule="exact"/>
        <w:rPr>
          <w:sz w:val="20"/>
          <w:szCs w:val="20"/>
          <w:color w:val="auto"/>
        </w:rPr>
      </w:pPr>
    </w:p>
    <w:p>
      <w:pPr>
        <w:ind w:left="960" w:right="14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of the Registrant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by the Registrant on August 27, 2020 which contains audited financial statements of the Registrant as of the year ended June 30, 2020;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set forth the </w:t>
      </w:r>
      <w:hyperlink r:id="rId20">
        <w:r>
          <w:rPr>
            <w:rFonts w:ascii="Times New Roman" w:cs="Times New Roman" w:eastAsia="Times New Roman" w:hAnsi="Times New Roman"/>
            <w:sz w:val="18"/>
            <w:szCs w:val="18"/>
            <w:u w:val="single" w:color="auto"/>
            <w:color w:val="0000EE"/>
          </w:rPr>
          <w:t>Form 8-K12B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June 30, 2020.</w:t>
      </w:r>
    </w:p>
    <w:p>
      <w:pPr>
        <w:spacing w:after="0" w:line="225" w:lineRule="exact"/>
        <w:rPr>
          <w:rFonts w:ascii="Times New Roman" w:cs="Times New Roman" w:eastAsia="Times New Roman" w:hAnsi="Times New Roman"/>
          <w:sz w:val="18"/>
          <w:szCs w:val="18"/>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339"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80"/>
          </w:cols>
          <w:pgMar w:left="440" w:top="266" w:right="479" w:bottom="1440" w:gutter="0" w:footer="0" w:header="0"/>
        </w:sectPr>
      </w:pPr>
    </w:p>
    <w:bookmarkStart w:id="3" w:name="page4"/>
    <w:bookmarkEnd w:id="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We are a Delaware corporation and certain provisions of Delaware law and our bylaws provide for indemnification of our officers and directors against liabilities that they may incur in such capacities. A summary of the circumstances in which indemnification is provided is discussed below, but this description is qualified in its entirety by reference to our bylaws and to the statutory provisions.</w:t>
      </w:r>
    </w:p>
    <w:p>
      <w:pPr>
        <w:spacing w:after="0" w:line="176"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Section 145 of the Delaware General Corporation Law provides for, under certain circumstances, the indemnification of our officers, directors, employees and agents against liabilities that they may incur in such capacities. A summary of the circumstances in which such indemnification provided for is contained herein, but that description is qualified in its entirety by reference to the relevant Section of the Delaware General Corporation Law.</w:t>
      </w:r>
    </w:p>
    <w:p>
      <w:pPr>
        <w:spacing w:after="0" w:line="15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general, the statute provides that any director, officer, employee or agent of a corporation may be indemnified against expenses (including attorneys’ fees), judgments, fines and amounts paid in settlement, actually and reasonably incurred in a proceeding (including any civil, criminal, administrative or investigative proceeding) to which the individual was a party by reason of such status. Such indemnity may be provided if the indemnified person’s actions resulting in the liabilities: (i) were taken in good faith; (ii) were reasonably believed to have been in or not opposed to our best interest; and (iii) with respect to any criminal action, such person had no reasonable cause to believe the actions were unlawful. Unless ordered by a court, indemnification generally may be awarded only after a determination of independent members of the Board of Directors or a committee thereof, by independent legal counsel or by vote of the stockholders that the applicable standard of conduct was met by the individual to be indemnified.</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statutory provisions further provide that to the extent a director, officer, employee or agent is wholly successful on the merits or otherwise in defense of any proceeding to which he was a party, he is entitled to receive indemnification against expenses, including attorneys’ fees, actually and reasonably incurred in connection with the proceeding.</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Indemnification in connection with a proceeding by or in the right of the Company in which the director, officer, employee or agent is successful is permitted only with respect to expenses, including attorneys’ fees actually and reasonably incurred in connection with the defense. In such actions, the person to be indemnified must have acted in good faith, in a manner believed to have been in our best interest and must not have been adjudged liable to us unless and only to the extent that the Court of Chancery or the court in which such action or suit was brought shall determine upon application that, despite the adjudication of liability, in view of all the circumstances of the case, such person is fairly and reasonably entitled to indemnity for such expense which the Court of Chancery or such other court shall deem proper. Indemnification is otherwise prohibited in connection with a proceeding brought on behalf of the Company in which a director is adjudged liable to us, or in connection with any proceeding charging improper personal benefit to the director in which the director is adjudged liable for receipt of an improper personal benefit.</w:t>
      </w:r>
    </w:p>
    <w:p>
      <w:pPr>
        <w:spacing w:after="0" w:line="19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Delaware law authorizes us to reimburse or pay reasonable expenses incurred by a director, officer, employee or agent in connection with a proceeding in advance of a final disposition of the matter. Such advances of expenses are permitted if the person furnishes to us a written agreement to repay such advances if it is determined that he is not entitled to be indemnified by us.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statutory section cited above further specifies that any provisions for indemnification of or advances for expenses does not exclude other rights under our certificate of incorporation, corporate bylaws, resolutions of our stockholders or disinterested directors, or otherwise. These indemnification provisions continue for a person who has ceased to be a director, officer, employee or agent of the corporation and inure to the benefit of the heirs, executors and administrators of such persons.</w:t>
      </w:r>
    </w:p>
    <w:p>
      <w:pPr>
        <w:spacing w:after="0" w:line="180"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statutory provision cited above also grants the power to the Company to purchase and maintain insurance policies that protect any director, officer, employee or agent against any liability asserted against or incurred by him in such capacity arising out of his status as such. Such policies may provide for indemnification whether or not the corporation would otherwise have the power to provide for it.</w:t>
      </w:r>
    </w:p>
    <w:p>
      <w:pPr>
        <w:sectPr>
          <w:pgSz w:w="11900" w:h="16838" w:orient="portrait"/>
          <w:cols w:equalWidth="0" w:num="1">
            <w:col w:w="11000"/>
          </w:cols>
          <w:pgMar w:left="440" w:top="266" w:right="459" w:bottom="1440" w:gutter="0" w:footer="0" w:header="0"/>
        </w:sectPr>
      </w:pPr>
    </w:p>
    <w:bookmarkStart w:id="4" w:name="page5"/>
    <w:bookmarkEnd w:id="4"/>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Articles 5 and 6 of our certificate of incorporation provide that we shall indemnify our directors and officers to the fullest extent permitted by the Delaware General Corporation Law.</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We have purchased directors’ and officers’ liability insurance in order to limit the exposure to liability for indemnification of directors and officers, including liabilities under the Securities Act of 1933.</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Exhibit Index on the page immediately preceding the signature page is incorporated herein by reference as the list of exhibits required as part of this registration statement.</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960" w:hanging="533"/>
        <w:spacing w:after="0" w:line="254"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7" w:lineRule="exact"/>
        <w:rPr>
          <w:rFonts w:ascii="Times New Roman" w:cs="Times New Roman" w:eastAsia="Times New Roman" w:hAnsi="Times New Roman"/>
          <w:sz w:val="18"/>
          <w:szCs w:val="18"/>
          <w:color w:val="auto"/>
        </w:rPr>
      </w:pPr>
    </w:p>
    <w:p>
      <w:pPr>
        <w:ind w:left="1960" w:right="540" w:hanging="533"/>
        <w:spacing w:after="0" w:line="282" w:lineRule="auto"/>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this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SEC by the Registrant pursuant to Section 13 or Section 15(d) of the Exchange Act that are incorporated by reference in this registration statement.</w:t>
      </w:r>
    </w:p>
    <w:p>
      <w:pPr>
        <w:spacing w:after="0" w:line="81" w:lineRule="exact"/>
        <w:rPr>
          <w:sz w:val="20"/>
          <w:szCs w:val="20"/>
          <w:color w:val="auto"/>
        </w:rPr>
      </w:pPr>
    </w:p>
    <w:p>
      <w:pPr>
        <w:ind w:left="1420" w:right="180" w:hanging="439"/>
        <w:spacing w:after="0" w:line="266"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00"/>
          </w:cols>
          <w:pgMar w:left="440" w:top="270" w:right="459" w:bottom="1440" w:gutter="0" w:footer="0" w:header="0"/>
        </w:sectPr>
      </w:pPr>
    </w:p>
    <w:bookmarkStart w:id="5" w:name="page6"/>
    <w:bookmarkEnd w:id="5"/>
    <w:p>
      <w:pPr>
        <w:ind w:left="992" w:right="140" w:hanging="439"/>
        <w:spacing w:after="0" w:line="282" w:lineRule="auto"/>
        <w:tabs>
          <w:tab w:leader="none" w:pos="9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32" w:hanging="532"/>
        <w:spacing w:after="0" w:line="258"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532" w:right="40" w:hanging="532"/>
        <w:spacing w:after="0" w:line="254"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32"/>
          </w:cols>
          <w:pgMar w:left="868" w:top="270" w:right="4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820" w:type="dxa"/>
            <w:vAlign w:val="bottom"/>
          </w:tcPr>
          <w:p>
            <w:pPr>
              <w:ind w:left="3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4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Filed Herewith</w:t>
            </w:r>
          </w:p>
        </w:tc>
      </w:tr>
      <w:tr>
        <w:trPr>
          <w:trHeight w:val="30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4.1</w:t>
            </w:r>
          </w:p>
        </w:tc>
        <w:tc>
          <w:tcPr>
            <w:tcW w:w="6820" w:type="dxa"/>
            <w:vAlign w:val="bottom"/>
          </w:tcPr>
          <w:p>
            <w:pPr>
              <w:ind w:left="440"/>
              <w:spacing w:after="0"/>
              <w:rPr>
                <w:rFonts w:ascii="Times New Roman" w:cs="Times New Roman" w:eastAsia="Times New Roman" w:hAnsi="Times New Roman"/>
                <w:sz w:val="18"/>
                <w:szCs w:val="18"/>
                <w:b w:val="1"/>
                <w:bCs w:val="1"/>
                <w:u w:val="single" w:color="auto"/>
                <w:color w:val="0000EE"/>
              </w:rPr>
            </w:pPr>
            <w:hyperlink w:anchor="page9">
              <w:r>
                <w:rPr>
                  <w:rFonts w:ascii="Times New Roman" w:cs="Times New Roman" w:eastAsia="Times New Roman" w:hAnsi="Times New Roman"/>
                  <w:sz w:val="18"/>
                  <w:szCs w:val="18"/>
                  <w:b w:val="1"/>
                  <w:bCs w:val="1"/>
                  <w:u w:val="single" w:color="auto"/>
                  <w:color w:val="0000EE"/>
                </w:rPr>
                <w:t>2020 Omnibus Incentive Plan</w:t>
              </w:r>
            </w:hyperlink>
          </w:p>
        </w:tc>
        <w:tc>
          <w:tcPr>
            <w:tcW w:w="304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5.1</w:t>
            </w:r>
          </w:p>
        </w:tc>
        <w:tc>
          <w:tcPr>
            <w:tcW w:w="6820" w:type="dxa"/>
            <w:vAlign w:val="bottom"/>
          </w:tcPr>
          <w:p>
            <w:pPr>
              <w:ind w:left="440"/>
              <w:spacing w:after="0"/>
              <w:rPr>
                <w:rFonts w:ascii="Times New Roman" w:cs="Times New Roman" w:eastAsia="Times New Roman" w:hAnsi="Times New Roman"/>
                <w:sz w:val="18"/>
                <w:szCs w:val="18"/>
                <w:b w:val="1"/>
                <w:bCs w:val="1"/>
                <w:u w:val="single" w:color="auto"/>
                <w:color w:val="0000EE"/>
              </w:rPr>
            </w:pPr>
            <w:hyperlink w:anchor="page35">
              <w:r>
                <w:rPr>
                  <w:rFonts w:ascii="Times New Roman" w:cs="Times New Roman" w:eastAsia="Times New Roman" w:hAnsi="Times New Roman"/>
                  <w:sz w:val="18"/>
                  <w:szCs w:val="18"/>
                  <w:b w:val="1"/>
                  <w:bCs w:val="1"/>
                  <w:u w:val="single" w:color="auto"/>
                  <w:color w:val="0000EE"/>
                </w:rPr>
                <w:t>Opinion of K&amp;L Gates LLP</w:t>
              </w:r>
            </w:hyperlink>
          </w:p>
        </w:tc>
        <w:tc>
          <w:tcPr>
            <w:tcW w:w="304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23.1</w:t>
            </w:r>
          </w:p>
        </w:tc>
        <w:tc>
          <w:tcPr>
            <w:tcW w:w="6820" w:type="dxa"/>
            <w:vAlign w:val="bottom"/>
          </w:tcPr>
          <w:p>
            <w:pPr>
              <w:ind w:left="440"/>
              <w:spacing w:after="0"/>
              <w:rPr>
                <w:rFonts w:ascii="Times New Roman" w:cs="Times New Roman" w:eastAsia="Times New Roman" w:hAnsi="Times New Roman"/>
                <w:sz w:val="18"/>
                <w:szCs w:val="18"/>
                <w:b w:val="1"/>
                <w:bCs w:val="1"/>
                <w:u w:val="single" w:color="auto"/>
                <w:color w:val="0000EE"/>
              </w:rPr>
            </w:pPr>
            <w:hyperlink w:anchor="page36">
              <w:r>
                <w:rPr>
                  <w:rFonts w:ascii="Times New Roman" w:cs="Times New Roman" w:eastAsia="Times New Roman" w:hAnsi="Times New Roman"/>
                  <w:sz w:val="18"/>
                  <w:szCs w:val="18"/>
                  <w:b w:val="1"/>
                  <w:bCs w:val="1"/>
                  <w:u w:val="single" w:color="auto"/>
                  <w:color w:val="0000EE"/>
                </w:rPr>
                <w:t>Consent of Grant Thornton LLP</w:t>
              </w:r>
            </w:hyperlink>
          </w:p>
        </w:tc>
        <w:tc>
          <w:tcPr>
            <w:tcW w:w="304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23.2</w:t>
            </w:r>
          </w:p>
        </w:tc>
        <w:tc>
          <w:tcPr>
            <w:tcW w:w="6820" w:type="dxa"/>
            <w:vAlign w:val="bottom"/>
          </w:tcPr>
          <w:p>
            <w:pPr>
              <w:ind w:left="440"/>
              <w:spacing w:after="0"/>
              <w:rPr>
                <w:rFonts w:ascii="Times New Roman" w:cs="Times New Roman" w:eastAsia="Times New Roman" w:hAnsi="Times New Roman"/>
                <w:sz w:val="18"/>
                <w:szCs w:val="18"/>
                <w:b w:val="1"/>
                <w:bCs w:val="1"/>
                <w:u w:val="single" w:color="auto"/>
                <w:color w:val="0000EE"/>
              </w:rPr>
            </w:pPr>
            <w:hyperlink w:anchor="page35">
              <w:r>
                <w:rPr>
                  <w:rFonts w:ascii="Times New Roman" w:cs="Times New Roman" w:eastAsia="Times New Roman" w:hAnsi="Times New Roman"/>
                  <w:sz w:val="18"/>
                  <w:szCs w:val="18"/>
                  <w:b w:val="1"/>
                  <w:bCs w:val="1"/>
                  <w:u w:val="single" w:color="auto"/>
                  <w:color w:val="0000EE"/>
                </w:rPr>
                <w:t>Consent of K&amp;L Gates LLP (included in Exhibit 5.1)</w:t>
              </w:r>
            </w:hyperlink>
          </w:p>
        </w:tc>
        <w:tc>
          <w:tcPr>
            <w:tcW w:w="304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X</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24.1</w:t>
            </w:r>
          </w:p>
        </w:tc>
        <w:tc>
          <w:tcPr>
            <w:tcW w:w="6820" w:type="dxa"/>
            <w:vAlign w:val="bottom"/>
          </w:tcPr>
          <w:p>
            <w:pPr>
              <w:ind w:left="440"/>
              <w:spacing w:after="0"/>
              <w:rPr>
                <w:rFonts w:ascii="Times New Roman" w:cs="Times New Roman" w:eastAsia="Times New Roman" w:hAnsi="Times New Roman"/>
                <w:sz w:val="18"/>
                <w:szCs w:val="18"/>
                <w:b w:val="1"/>
                <w:bCs w:val="1"/>
                <w:u w:val="single" w:color="auto"/>
                <w:color w:val="0000EE"/>
              </w:rPr>
            </w:pPr>
            <w:hyperlink w:anchor="page8">
              <w:r>
                <w:rPr>
                  <w:rFonts w:ascii="Times New Roman" w:cs="Times New Roman" w:eastAsia="Times New Roman" w:hAnsi="Times New Roman"/>
                  <w:sz w:val="18"/>
                  <w:szCs w:val="18"/>
                  <w:b w:val="1"/>
                  <w:bCs w:val="1"/>
                  <w:u w:val="single" w:color="auto"/>
                  <w:color w:val="0000EE"/>
                </w:rPr>
                <w:t>Power of Attorney (see Signature Page)</w:t>
              </w:r>
            </w:hyperlink>
          </w:p>
        </w:tc>
        <w:tc>
          <w:tcPr>
            <w:tcW w:w="304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X</w:t>
            </w:r>
          </w:p>
        </w:tc>
      </w:tr>
    </w:tbl>
    <w:p>
      <w:pPr>
        <w:sectPr>
          <w:pgSz w:w="11900" w:h="16838" w:orient="portrait"/>
          <w:cols w:equalWidth="0" w:num="1">
            <w:col w:w="11000"/>
          </w:cols>
          <w:pgMar w:left="440" w:top="266" w:right="4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6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Valencia, California, on November 24, 2020.</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Dr. Michael Perry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Dr. Michael Perry and David McIntyre, and each of them severally, his or her true and lawful attorney-in-fact with power of substitution and resubstitution to sign in his or her name, place and stead in any and all capacities the Registration Statement and any and all amendments thereto (including post-effective amendments) and any documents in connection therewith, and to file the same with the Securities and Exchange Commission, granting unto each of said attorneys full power to act with or without the other, and full power and authority to do and perform, in his or her name and on his or her behalf, every act whatsoever which such attorneys, or any one of them, may deem necessary or desirable to be done in connection therewith as fully and to all intents and purposes as he or she might or could do in person, hereby ratifying and confirming all that said attorney-in-fact, or any of them, or their substitute or substitutes, may lawfully do or cause to be done by virtue hereof.</w:t>
      </w:r>
    </w:p>
    <w:p>
      <w:pPr>
        <w:spacing w:after="0" w:line="19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November 24,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Michael Perry</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Dr. Michael Perry</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Ekins</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VP of Finance</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Sean Ekins</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(interim principal financial and accounting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Lou Panaccio</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37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Curnock Cook</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37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Louis Drapeau</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37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Suzanne Crowe</w:t>
            </w:r>
          </w:p>
        </w:tc>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3760" w:type="dxa"/>
            <w:vAlign w:val="bottom"/>
          </w:tcPr>
          <w:p>
            <w:pPr>
              <w:spacing w:after="0"/>
              <w:rPr>
                <w:sz w:val="19"/>
                <w:szCs w:val="19"/>
                <w:color w:val="auto"/>
              </w:rPr>
            </w:pPr>
          </w:p>
        </w:tc>
      </w:tr>
    </w:tbl>
    <w:p>
      <w:pPr>
        <w:sectPr>
          <w:pgSz w:w="11900" w:h="16838" w:orient="portrait"/>
          <w:cols w:equalWidth="0" w:num="1">
            <w:col w:w="11000"/>
          </w:cols>
          <w:pgMar w:left="440" w:top="266"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17"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1.1 Purpose</w:t>
      </w:r>
      <w:r>
        <w:rPr>
          <w:rFonts w:ascii="Times New Roman" w:cs="Times New Roman" w:eastAsia="Times New Roman" w:hAnsi="Times New Roman"/>
          <w:sz w:val="18"/>
          <w:szCs w:val="18"/>
          <w:color w:val="auto"/>
        </w:rPr>
        <w:t>. The purposes of this Plan are to attract and retain the best available personnel for the Company and its Affiliates,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incentives to such personnel and to promote the success of the business of the Company and its Affiliates. Capitalized terms not defined in the text are defined in Section 16.</w:t>
      </w:r>
    </w:p>
    <w:p>
      <w:pPr>
        <w:spacing w:after="0" w:line="171" w:lineRule="exact"/>
        <w:rPr>
          <w:sz w:val="20"/>
          <w:szCs w:val="20"/>
          <w:color w:val="auto"/>
        </w:rPr>
      </w:pPr>
    </w:p>
    <w:p>
      <w:pPr>
        <w:ind w:left="4" w:right="4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1.2 Available Grants</w:t>
      </w:r>
      <w:r>
        <w:rPr>
          <w:rFonts w:ascii="Times New Roman" w:cs="Times New Roman" w:eastAsia="Times New Roman" w:hAnsi="Times New Roman"/>
          <w:sz w:val="17"/>
          <w:szCs w:val="17"/>
          <w:color w:val="auto"/>
        </w:rPr>
        <w:t>. The Plan provides for the grant of the following Grants: (a) Incentive Stock Options, (b) Nonstatutory Stock Options,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 Stock Appreciation Rights, (d) Restricted Stock Grants, (e) Restricted Stock Unit Grants, (f) Performance Grants, and (g) Other Grants.</w:t>
      </w:r>
    </w:p>
    <w:p>
      <w:pPr>
        <w:spacing w:after="0" w:line="2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Shares Subject to the Plan.</w:t>
      </w:r>
    </w:p>
    <w:p>
      <w:pPr>
        <w:spacing w:after="0" w:line="117"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2.1 Number of Shares Available</w:t>
      </w:r>
      <w:r>
        <w:rPr>
          <w:rFonts w:ascii="Times New Roman" w:cs="Times New Roman" w:eastAsia="Times New Roman" w:hAnsi="Times New Roman"/>
          <w:sz w:val="18"/>
          <w:szCs w:val="18"/>
          <w:color w:val="auto"/>
        </w:rPr>
        <w:t>. Subject to any Capitalization Adjustment and any other applicable provisions in the Plan, the total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reserved and available for grant and issuance pursuant to this Plan will not exceed 1,750,000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16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2.2 Share Recycling</w:t>
      </w:r>
      <w:r>
        <w:rPr>
          <w:rFonts w:ascii="Times New Roman" w:cs="Times New Roman" w:eastAsia="Times New Roman" w:hAnsi="Times New Roman"/>
          <w:sz w:val="18"/>
          <w:szCs w:val="18"/>
          <w:color w:val="auto"/>
        </w:rPr>
        <w:t>. Following the Effective Date, any Shares subject to an outstanding Grant will be returned to the Share Reserve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issuance in connection with subsequent Grants under this Plan to the extent such Shares: (a) are cancelled, forfeited, or settled in cash;</w:t>
      </w:r>
    </w:p>
    <w:p>
      <w:pPr>
        <w:spacing w:after="0" w:line="1" w:lineRule="exact"/>
        <w:rPr>
          <w:sz w:val="20"/>
          <w:szCs w:val="20"/>
          <w:color w:val="auto"/>
        </w:rPr>
      </w:pPr>
    </w:p>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used to pay the Exercise Price of such Grant or any Tax-Related Items arising in connection with vesting, exercise or settlement of such Grant;</w:t>
      </w:r>
    </w:p>
    <w:p>
      <w:pPr>
        <w:spacing w:after="0" w:line="9" w:lineRule="exact"/>
        <w:rPr>
          <w:rFonts w:ascii="Times New Roman" w:cs="Times New Roman" w:eastAsia="Times New Roman" w:hAnsi="Times New Roman"/>
          <w:sz w:val="18"/>
          <w:szCs w:val="18"/>
          <w:color w:val="auto"/>
        </w:rPr>
      </w:pPr>
    </w:p>
    <w:p>
      <w:pPr>
        <w:ind w:left="4" w:right="20" w:hanging="4"/>
        <w:spacing w:after="0" w:line="252"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surrendered pursuant to an Exchange Program; (d) expire by their terms at any time; or (e) are reacquired by the Company pursuant to a forfeiture provision or repurchase right by the Company (“</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Accordingly, the Share Reserve is a limitation on the number of Shares that may be issued pursuant to the Plan and does not limit the granting of Grants, since Returning Shares can be granted subject to Grants more than once. To the extent permitted by Applicable Law, Shares subject to Substitute Grants (as defined in Section 13.2) will not be deducted from the Share Reserve; provided that (i) Substitute Grants issued in connection with the assumption of, or in substitution for, outstanding options intended to qualify as Incentive Stock Options shall be counted against the Incentive Stock Option Limit, and (ii) Shares subject to any Substitute Grant may not be returned to the Share Reserve as Returning Shares.</w:t>
      </w:r>
    </w:p>
    <w:p>
      <w:pPr>
        <w:spacing w:after="0" w:line="184"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2.3 Incentive Stock Option Limit</w:t>
      </w:r>
      <w:r>
        <w:rPr>
          <w:rFonts w:ascii="Times New Roman" w:cs="Times New Roman" w:eastAsia="Times New Roman" w:hAnsi="Times New Roman"/>
          <w:sz w:val="18"/>
          <w:szCs w:val="18"/>
          <w:color w:val="auto"/>
        </w:rPr>
        <w:t>. Subject to the provisions relating to Capitalization Adjustments, the maximum number of Shares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the exercise of Incentive Stock Options is the Share Reserve set forth in Section 2.1 (the “</w:t>
      </w:r>
      <w:r>
        <w:rPr>
          <w:rFonts w:ascii="Times New Roman" w:cs="Times New Roman" w:eastAsia="Times New Roman" w:hAnsi="Times New Roman"/>
          <w:sz w:val="18"/>
          <w:szCs w:val="18"/>
          <w:b w:val="1"/>
          <w:bCs w:val="1"/>
          <w:i w:val="1"/>
          <w:iCs w:val="1"/>
          <w:color w:val="auto"/>
        </w:rPr>
        <w:t>Incentive Stock Option Limit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2.4 Adjustment of Shares</w:t>
      </w:r>
      <w:r>
        <w:rPr>
          <w:rFonts w:ascii="Times New Roman" w:cs="Times New Roman" w:eastAsia="Times New Roman" w:hAnsi="Times New Roman"/>
          <w:sz w:val="18"/>
          <w:szCs w:val="18"/>
          <w:color w:val="auto"/>
        </w:rPr>
        <w:t>. If the number of outstanding Shares is changed or the value of the Shares is otherwise affected by a stock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9" w:name="page10"/>
    <w:bookmarkEnd w:id="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Standards Codification Topic 718 (or any successor thereto), without consideration (a “</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then (a) the maximum number and class of Shares or type of security reserved for issuance and future grant from the Share Reserve set forth in Section 2.1, (b) the Exercise Price, Purchase Price, and number and class of Shares or type of security subject to outstanding Grants, and (c) the number and class of Shares subject to the Incentive Stock Option Limit set forth in Section 2.3,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the Exercise Price or Purchase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8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2.5 Source of Shares; Use of Proceeds</w:t>
      </w:r>
      <w:r>
        <w:rPr>
          <w:rFonts w:ascii="Times New Roman" w:cs="Times New Roman" w:eastAsia="Times New Roman" w:hAnsi="Times New Roman"/>
          <w:sz w:val="18"/>
          <w:szCs w:val="18"/>
          <w:color w:val="auto"/>
        </w:rPr>
        <w:t>. The Shares issuable under the Plan will be authorized but unissued or forfeited shares, treasury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reacquired by the Company in any manner. At all times the Company will reserve and keep available a sufficient number of Shares as are reasonably required to satisfy the requirements of all Grants granted and outstanding under this Plan. Proceeds from the sale of Shares pursuant to Grants will constitute general funds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Eligibility.</w:t>
      </w:r>
    </w:p>
    <w:p>
      <w:pPr>
        <w:spacing w:after="0" w:line="11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3.1 General</w:t>
      </w:r>
      <w:r>
        <w:rPr>
          <w:rFonts w:ascii="Times New Roman" w:cs="Times New Roman" w:eastAsia="Times New Roman" w:hAnsi="Times New Roman"/>
          <w:sz w:val="18"/>
          <w:szCs w:val="18"/>
          <w:color w:val="auto"/>
        </w:rPr>
        <w:t>. Incentive Stock Options may be granted only to Employees of the Company, its Parent and any Subsidiary. All other Grants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Employees, Consultants and Directors, provided such Consultants and Directors render bona fide services not in connection with the offer and sale of securities in a capital-raising transaction.</w:t>
      </w:r>
    </w:p>
    <w:p>
      <w:pPr>
        <w:spacing w:after="0" w:line="171"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3.2 Limitation on Grants to Non-Employee Directors</w:t>
      </w:r>
      <w:r>
        <w:rPr>
          <w:rFonts w:ascii="Times New Roman" w:cs="Times New Roman" w:eastAsia="Times New Roman" w:hAnsi="Times New Roman"/>
          <w:sz w:val="18"/>
          <w:szCs w:val="18"/>
          <w:color w:val="auto"/>
        </w:rPr>
        <w:t>. The maximum number of Shares subject to Grants (and of cash subject to cash-settled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granted under the Plan or otherwise during any one calendar year to any Non-Employee Director for service on the Board, taken together with any cash fees paid by the Company to such Non-Employee Director during such calendar year for service on the Board, will not exceed $150,000 in total value (calculating the value of any such Grants based on the grant date fair value of such Grants for financial reporting purposes).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Options and Stock Appreciation Rights.</w:t>
      </w:r>
    </w:p>
    <w:p>
      <w:pPr>
        <w:spacing w:after="0" w:line="121"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Subject to the requirements of Applicable Law, each Option or Stock Appreciation Right will be in such form and will contain such terms and conditions as the Committee deems appropriate. Each Stock Appreciation Right will be denominated in Share equivalents. The provisions of separate Options or Stock Appreciation Rights need not be identical; provided, however, that each Grant Agreement will conform (through incorporation of provisions hereof by reference in the applicable Grant Agreement or otherwise) to the substance of each of the following provisions. Dividend Equivalent Rights shall not be granted in connection with an Option or Stock Appreciation Right.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10" w:name="page11"/>
    <w:bookmarkEnd w:id="10"/>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all times while the Company is subject to the ASX Listing Rules, the Company may not issue Options if to do so would result in there being more Options on issue than underlying Shares in the Company, except as permitted under the ASX Listing Rules.</w:t>
      </w:r>
    </w:p>
    <w:p>
      <w:pPr>
        <w:spacing w:after="0" w:line="158"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4.1 Type of Option Grant</w:t>
      </w:r>
      <w:r>
        <w:rPr>
          <w:rFonts w:ascii="Times New Roman" w:cs="Times New Roman" w:eastAsia="Times New Roman" w:hAnsi="Times New Roman"/>
          <w:sz w:val="18"/>
          <w:szCs w:val="18"/>
          <w:color w:val="auto"/>
        </w:rPr>
        <w:t>. All Options will be separately designated as Incentive Stock Options or Nonstatutory Stock Options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and, if certificates are issued, a separate certificate or certificates will be issued for Shares purchased on exercise of each type of Option. If an Option is not specifically designated as an Incentive Stock Option, or if an Option is designated as an Incentive Stock Option but some portion or all of the Option fails to qualify as an Incentive Stock Option under Applicable Law, then the Option (or portion thereof) will be a Nonstatutory Stock Option. At all times while the Company is subject to the ASX Listing Rules, no Option can be exercisable over a percentage of the Company’s capital.</w:t>
      </w:r>
    </w:p>
    <w:p>
      <w:pPr>
        <w:spacing w:after="0" w:line="17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4.2 Exercise Period; Term</w:t>
      </w:r>
      <w:r>
        <w:rPr>
          <w:rFonts w:ascii="Times New Roman" w:cs="Times New Roman" w:eastAsia="Times New Roman" w:hAnsi="Times New Roman"/>
          <w:sz w:val="18"/>
          <w:szCs w:val="18"/>
          <w:color w:val="auto"/>
        </w:rPr>
        <w:t>. Options and Stock Appreciation Rights may be exercisable within the times or upon the events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as set forth in the Grant Agreement governing such Grant. No Option or Stock Appreciation Right will be exercisable after the expiration of ten (10) years from the date the Option or Stock Appreciation Right is granted, or such shorter period specified in the Grant Agreement. In addition, in the case of an Incentive Stock Option granted to a person who, at the time the Incentive Stock Option is granted, directly or by attribution owns more than ten percent (10%) of the total combined voting power of all classes of stock of the Company or of any Parent or Subsidiary (“</w:t>
      </w:r>
      <w:r>
        <w:rPr>
          <w:rFonts w:ascii="Times New Roman" w:cs="Times New Roman" w:eastAsia="Times New Roman" w:hAnsi="Times New Roman"/>
          <w:sz w:val="18"/>
          <w:szCs w:val="18"/>
          <w:b w:val="1"/>
          <w:bCs w:val="1"/>
          <w:i w:val="1"/>
          <w:iCs w:val="1"/>
          <w:color w:val="auto"/>
        </w:rPr>
        <w: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Percent Holder</w:t>
      </w:r>
      <w:r>
        <w:rPr>
          <w:rFonts w:ascii="Times New Roman" w:cs="Times New Roman" w:eastAsia="Times New Roman" w:hAnsi="Times New Roman"/>
          <w:sz w:val="18"/>
          <w:szCs w:val="18"/>
          <w:color w:val="auto"/>
        </w:rPr>
        <w:t>”), such Option may not be exercisable after the expiration of five (5) years from the date the Incentive Stock Option is granted.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also may provide for Options or Stock Appreciation Rights to become exercisable at one time or from time to time, periodically or otherwise, in such number of Shares or percentage of Shares as the Committee determines.</w:t>
      </w:r>
    </w:p>
    <w:p>
      <w:pPr>
        <w:spacing w:after="0" w:line="18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4.3 Exercise Price</w:t>
      </w:r>
      <w:r>
        <w:rPr>
          <w:rFonts w:ascii="Times New Roman" w:cs="Times New Roman" w:eastAsia="Times New Roman" w:hAnsi="Times New Roman"/>
          <w:sz w:val="18"/>
          <w:szCs w:val="18"/>
          <w:color w:val="auto"/>
        </w:rPr>
        <w:t>. The Exercise Price of an Option or Stock Appreciation Right will be such price as is determined by the Committee and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Grant Agreement; provided that (a) in the case of an Incentive Stock Option (i) granted to a Ten Percent Holder, the Exercise Price will be no less than one hundred ten percent (110%) of the Fair Market Value on the date of grant and (ii) granted to any other Employee, the Exercise Price will be no less than one hundred percent (100%) of the Fair Market Value on the date of grant, and (b) in the case of a Nonstatutory Stock Option or Stock Appreciation Right, the Exercise Price will be such price as is determined by the Committee, provided that, if the Exercise Price is less than one hundred percent (100%) of the Fair Market Value on the date of grant, it will otherwise comply with all Applicable Laws, including Section 409A of the Code. Notwithstanding the foregoing, an Option or Stock Appreciation Right may be granted with an Exercise Price lower than one hundred percent (100%) of the Fair Market Value in connection with an assumption of or substitution for another award as provided in Section 13.2 of the Plan.</w:t>
      </w:r>
    </w:p>
    <w:p>
      <w:pPr>
        <w:spacing w:after="0" w:line="185"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4.4 Method of Exercise</w:t>
      </w:r>
      <w:r>
        <w:rPr>
          <w:rFonts w:ascii="Times New Roman" w:cs="Times New Roman" w:eastAsia="Times New Roman" w:hAnsi="Times New Roman"/>
          <w:sz w:val="18"/>
          <w:szCs w:val="18"/>
          <w:color w:val="auto"/>
        </w:rPr>
        <w:t>. An Option or Stock Appreciation Right will be deemed exercised only when the Company receives: (a)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(in such form as the Plan Administrator may specify from time to time, including via electronic execution through an authorized third-party administrator) from the person entitled to exercise the Option or Stock Appreciation Right;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1" w:name="page12"/>
    <w:bookmarkEnd w:id="11"/>
    <w:p>
      <w:pPr>
        <w:jc w:val="both"/>
        <w:ind w:left="4" w:right="60" w:hanging="4"/>
        <w:spacing w:after="0" w:line="277" w:lineRule="auto"/>
        <w:tabs>
          <w:tab w:leader="none" w:pos="25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an Option, full payment of the applicable Exercise Price in accordance with Section 9 of the Plan and the applicable Grant Agreement, and (c) payment of applicable Tax Related Items, as determined by the Plan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Subject to Section 2.2, exercising an Option in any manner will decrease the number of Shares thereafter available, both for purposes of the Plan and for sale under the Option, by the number of Shares as to which the Option is exercised.</w:t>
      </w:r>
    </w:p>
    <w:p>
      <w:pPr>
        <w:spacing w:after="0" w:line="164"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4.5 Settlement of a Stock Appreciation Right</w:t>
      </w:r>
      <w:r>
        <w:rPr>
          <w:rFonts w:ascii="Times New Roman" w:cs="Times New Roman" w:eastAsia="Times New Roman" w:hAnsi="Times New Roman"/>
          <w:sz w:val="18"/>
          <w:szCs w:val="18"/>
          <w:color w:val="auto"/>
        </w:rPr>
        <w:t>. Upon exercise of a Stock Appreciation Right, a Grantee will be entitled to receive payment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an amount determined by multiplying (a) the difference between the Fair Market Value of a Share on the date of exercise over the Exercise Price, by (b) the number of Shares with respect to which the Stock Appreciation Right is exercised. At the discretion of the Committee, the payment from the Company for the Stock Appreciation Right exercise may be in cash, in Shares of equivalent value, or in some combination thereof. No fractional Share will be deliverable upon the exercise of a Stock Appreciation Right but a cash payment will be made in lieu thereof. No Grantee shall, as a result of receiving a Stock Appreciation Right, have any rights as a stockholder of the Company or any Affiliate until the date that the Stock Appreciation Right is exercised and then only to the extent that the Stock Appreciation Right is settled by the issuance of Shares and the Grantee being registered as the holder of Shares received on settlement of the Stock Appreciation Right.</w:t>
      </w:r>
    </w:p>
    <w:p>
      <w:pPr>
        <w:spacing w:after="0" w:line="18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4.6 Post-Termination Exercise Period</w:t>
      </w:r>
      <w:r>
        <w:rPr>
          <w:rFonts w:ascii="Times New Roman" w:cs="Times New Roman" w:eastAsia="Times New Roman" w:hAnsi="Times New Roman"/>
          <w:sz w:val="18"/>
          <w:szCs w:val="18"/>
          <w:color w:val="auto"/>
        </w:rPr>
        <w:t>. Unless explicitly provided otherwise in a Grantee’s Grant Agreement, if a Grantee’s 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is terminated, the Grantee (or his or her legal representative, in the case of death) may exercise his or her Option or Stock Appreciation Right (to the extent such Grant was exercisable on the termination date) within the following period of time following the termination of the Grantee’s Continuous Service Status:</w:t>
      </w:r>
    </w:p>
    <w:p>
      <w:pPr>
        <w:spacing w:after="0" w:line="180" w:lineRule="exact"/>
        <w:rPr>
          <w:sz w:val="20"/>
          <w:szCs w:val="20"/>
          <w:color w:val="auto"/>
        </w:rPr>
      </w:pPr>
    </w:p>
    <w:p>
      <w:pPr>
        <w:ind w:left="4" w:right="220" w:firstLine="987"/>
        <w:spacing w:after="0" w:line="282" w:lineRule="auto"/>
        <w:tabs>
          <w:tab w:leader="none" w:pos="125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(3) months following a termination of a Grantee’s Continuous Service Status by the Company without Cause or by the Grantee for any reason (other than due to death or Disability);</w:t>
      </w:r>
    </w:p>
    <w:p>
      <w:pPr>
        <w:spacing w:after="0" w:line="161"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six (6) months following a termination due to the Grantee’s Disability;</w:t>
      </w:r>
    </w:p>
    <w:p>
      <w:pPr>
        <w:spacing w:after="0" w:line="225"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following a termination due to the Grantee’s death; and</w:t>
      </w:r>
    </w:p>
    <w:p>
      <w:pPr>
        <w:spacing w:after="0" w:line="225" w:lineRule="exact"/>
        <w:rPr>
          <w:rFonts w:ascii="Times New Roman" w:cs="Times New Roman" w:eastAsia="Times New Roman" w:hAnsi="Times New Roman"/>
          <w:sz w:val="18"/>
          <w:szCs w:val="18"/>
          <w:b w:val="1"/>
          <w:bCs w:val="1"/>
          <w:color w:val="auto"/>
        </w:rPr>
      </w:pPr>
    </w:p>
    <w:p>
      <w:pPr>
        <w:ind w:left="4" w:right="280" w:firstLine="987"/>
        <w:spacing w:after="0" w:line="282" w:lineRule="auto"/>
        <w:tabs>
          <w:tab w:leader="none" w:pos="1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following the Grantee’s death, if such death occurs following the date of such termination but during the period such Grant is otherwise exercisable (as provided in clauses (a) or (b) above).</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Following the termination date, to the extent the Grantee does not exercise such Grant within the applicable post-termination exercise period (or, if earlier, prior to the expiration of the maximum term of such Grant), such unexercised portion of the Grant will terminate, and the Grantee will have no further right, title or interest in the terminated Grant.</w:t>
      </w:r>
    </w:p>
    <w:p>
      <w:pPr>
        <w:spacing w:after="0" w:line="172"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4.7 Termination for Cause</w:t>
      </w:r>
      <w:r>
        <w:rPr>
          <w:rFonts w:ascii="Times New Roman" w:cs="Times New Roman" w:eastAsia="Times New Roman" w:hAnsi="Times New Roman"/>
          <w:sz w:val="18"/>
          <w:szCs w:val="18"/>
          <w:color w:val="auto"/>
        </w:rPr>
        <w:t>. If a Grantee’s Continuous Service Status is terminated for Cause, the Grantee’s Options or Stock Appreciation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terminate and be forfeited immediately upon such Grantee’s termination of Continuous Service Status, and the Grantee will</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2" w:name="page13"/>
    <w:bookmarkEnd w:id="12"/>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prohibited from exercising any portion (including any vested portion) of such Grants on and after the date of such termination of Continuous Service Status. If a Grantee’s Continuous Service Status is suspended pending an investigation of whether the Grantee’s Continuous Service Status will be terminated for Cause, all of the Grantee’s rights under any Option or Stock Appreciation Right, including the right to exercise such Grants, shall be suspended during the investigation period.</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4.8 Automatic Extension of Termination Date</w:t>
      </w:r>
      <w:r>
        <w:rPr>
          <w:rFonts w:ascii="Times New Roman" w:cs="Times New Roman" w:eastAsia="Times New Roman" w:hAnsi="Times New Roman"/>
          <w:sz w:val="18"/>
          <w:szCs w:val="18"/>
          <w:color w:val="auto"/>
        </w:rPr>
        <w:t>. Except as otherwise provided in the Grant Agreement and to the extent permitted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if a Grantee’s Continuous Service Status terminates for any reason other than for Cause and, at any time during the last thirty (30) days of the applicable post-termination exercise period: (i) the exercise of the Grantee’s Option or Stock Appreciation Right would be prohibited solely because the issuance of Shares upon such exercise would violate Applicable Law, or (ii) the immediate sale of any Shares issued upon such exercise would violate the Trading Policy, then the applicable post-termination exercise period will be extended to the last day of the calendar month that commences following the date the Grant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Grant be exercised after the expiration of its maximum term.</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4.9 Non-Exempt Employees</w:t>
      </w:r>
      <w:r>
        <w:rPr>
          <w:rFonts w:ascii="Times New Roman" w:cs="Times New Roman" w:eastAsia="Times New Roman" w:hAnsi="Times New Roman"/>
          <w:sz w:val="18"/>
          <w:szCs w:val="18"/>
          <w:color w:val="auto"/>
        </w:rPr>
        <w:t>. If an Option or Stock Appreciation Right is granted to an Employee who is a non-exempt employee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Fair Labor Standards Act of 1938, as amended, the Option or Stock Appreciation Right will not be first exercisable for any Shares until at least six months following the date of grant of the Option or Stock Appreciation Right (although the Grant may vest prior to such date). Notwithstanding the foregoing, in accordance with the provisions of the U.S. Worker Economic Opportunity Act, any vested portion of such Grant may be exercised earlier than six months following the date of grant of such Grant in the event of (i) such Grantee’s death or Disability, (ii) a Change in Control in which such Grant is not assumed, continued or substituted, or (iii) such Grantee’s retirement (as such term may be defined in the Grant Agreement or another applicable agreement or, in the absence of any such definition, in accordance with the Company’s then current employment policies and guidelines). The foregoing provision is intended to operate so that any income derived by a non-exempt employee in connection with the exercise or vesting of an Option or Stock Appreciation Right will be exempt from his or her regular rate of pay.</w:t>
      </w:r>
    </w:p>
    <w:p>
      <w:pPr>
        <w:spacing w:after="0" w:line="188"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4.10 Limitations on Exercise</w:t>
      </w:r>
      <w:r>
        <w:rPr>
          <w:rFonts w:ascii="Times New Roman" w:cs="Times New Roman" w:eastAsia="Times New Roman" w:hAnsi="Times New Roman"/>
          <w:sz w:val="18"/>
          <w:szCs w:val="18"/>
          <w:color w:val="auto"/>
        </w:rPr>
        <w:t>. Options and Stock Appreciation Rights may be exercised only with respect to whole Shares.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may also specify a reasonable minimum number of Shares that may be purchased on any exercise of an Option or Stock Appreciation Right, provided that such minimum number will not prevent Grantee from exercising the Option or Stock Appreciation Right for the full number of Shares for which it is then exercisable. The Committee may, or may authorize the Plan Administrator to, prohibit the exercise of any Option or Stock Appreciation Right during a period of up to thirty (30) days prior to the consummation of any pending Capitalization Adjustment or Change in Control, or any other change affecting the Shares or the Fair Market Value, for reasons of administrative convenience.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3" w:name="page14"/>
    <w:bookmarkEnd w:id="13"/>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4.11 Limitations on Incentive Stock Options</w:t>
      </w:r>
      <w:r>
        <w:rPr>
          <w:rFonts w:ascii="Times New Roman" w:cs="Times New Roman" w:eastAsia="Times New Roman" w:hAnsi="Times New Roman"/>
          <w:sz w:val="18"/>
          <w:szCs w:val="18"/>
          <w:color w:val="auto"/>
        </w:rPr>
        <w:t>. To the extent that the aggregate Fair Market Value of Shares with respect to which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as Incentive Stock Options are exercisable for the first time by any Grantee during any calendar year (under all plans of the Company or any Parent or Subsidiary of the Company) exceeds One Hundred Thousand Dollars ($100,000), such excess Options will be treated as Nonstatutory Stock Options. For this purpose, Incentive Stock Options will be taken into account in the order in which they were granted, and the Fair Market Value of the Shares subject to an Incentive Stock Option will be determined as of the date of the grant of such Option.</w:t>
      </w:r>
    </w:p>
    <w:p>
      <w:pPr>
        <w:spacing w:after="0" w:line="1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4.12 Modification, Extension or Renewal</w:t>
      </w:r>
      <w:r>
        <w:rPr>
          <w:rFonts w:ascii="Times New Roman" w:cs="Times New Roman" w:eastAsia="Times New Roman" w:hAnsi="Times New Roman"/>
          <w:sz w:val="18"/>
          <w:szCs w:val="18"/>
          <w:color w:val="auto"/>
        </w:rPr>
        <w:t>. To the extent permitted by Applicable Law, the Committee may modify, extend or renew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or Stock Appreciation Rights, and authorize the grant of new Options or Stock Appreciation Rights in substitution therefor, including in connection with an Exchange Program, in all cases subject to Section 11.4 and where applicable Section 4.16. Any such action may not, without the written consent of a Grantee, materially impair any of such Grantee’s rights under any Grant previously granted, except that the Committee may, to the extent permitted by Applicable Law reduce the Exercise Price of an outstanding Option or Stock Appreciation Right without the consent of a Grantee by a written notice (notwithstanding any adverse tax consequences to the Grantee arising from the repricing); provided, however, that the Exercise Price may not be reduced below the Fair Market Value on the date the action is taken to reduce the Exercise Price. Any outstanding Incentive Stock Option that is modified, extended, renewed or otherwise altered will be treated in accordance with Section 424(h) of the Code.</w:t>
      </w:r>
    </w:p>
    <w:p>
      <w:pPr>
        <w:spacing w:after="0" w:line="18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4.13 Stockholder Rights – Options. </w:t>
      </w:r>
      <w:r>
        <w:rPr>
          <w:rFonts w:ascii="Times New Roman" w:cs="Times New Roman" w:eastAsia="Times New Roman" w:hAnsi="Times New Roman"/>
          <w:sz w:val="18"/>
          <w:szCs w:val="18"/>
          <w:color w:val="auto"/>
        </w:rPr>
        <w:t>No Grantee shall have any rights as a stockholder with respect to Shares subject to his or her Option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exercise of such Option and the issuance of the relevant Shares and the Grantee being registered as the holder of those Shares.</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4.14 Settlement of Options. </w:t>
      </w:r>
      <w:r>
        <w:rPr>
          <w:rFonts w:ascii="Times New Roman" w:cs="Times New Roman" w:eastAsia="Times New Roman" w:hAnsi="Times New Roman"/>
          <w:sz w:val="18"/>
          <w:szCs w:val="18"/>
          <w:color w:val="auto"/>
        </w:rPr>
        <w:t>No fractional Share will be deliverable upon the exercise of an Option but a cash payment will be made in lieu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w:t>
      </w:r>
    </w:p>
    <w:p>
      <w:pPr>
        <w:spacing w:after="0" w:line="155"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4.15 New Issues – Options. </w:t>
      </w:r>
      <w:r>
        <w:rPr>
          <w:rFonts w:ascii="Times New Roman" w:cs="Times New Roman" w:eastAsia="Times New Roman" w:hAnsi="Times New Roman"/>
          <w:sz w:val="18"/>
          <w:szCs w:val="18"/>
          <w:color w:val="auto"/>
        </w:rPr>
        <w:t>No Grantee shall have the right to participate in new issues of Shares to existing holders of Shares (e.g. a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with respect to Shares subject to his or her Option, unless the Grantee has exercised the Option and is registered as the holder of the underlying Shares prior to the record date for the determination of entitlements to participate in the new issue.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4.16 Amendment or Cancellation of Options. </w:t>
      </w:r>
      <w:r>
        <w:rPr>
          <w:rFonts w:ascii="Times New Roman" w:cs="Times New Roman" w:eastAsia="Times New Roman" w:hAnsi="Times New Roman"/>
          <w:sz w:val="18"/>
          <w:szCs w:val="18"/>
          <w:color w:val="auto"/>
        </w:rPr>
        <w:t>While the Company is subject to the ASX Listing Rules:</w:t>
      </w:r>
    </w:p>
    <w:p>
      <w:pPr>
        <w:spacing w:after="0" w:line="229" w:lineRule="exact"/>
        <w:rPr>
          <w:sz w:val="20"/>
          <w:szCs w:val="20"/>
          <w:color w:val="auto"/>
        </w:rPr>
      </w:pPr>
    </w:p>
    <w:p>
      <w:pPr>
        <w:ind w:right="80" w:firstLine="987"/>
        <w:spacing w:after="0" w:line="256" w:lineRule="auto"/>
        <w:tabs>
          <w:tab w:leader="none" w:pos="124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no circumstances may the terms of any outstanding Option be amended or modified so as to have any of the following effects unless the amendment or modification is made to comply with the ASX Listing Rules or unless otherwise permitted by the ASX Listing Rules or by a waiver granted by the ASX: (1) reducing the Exercise Price of an Option, (2) increasing the period for exercise of an Option, or (3) increasing the number of Shares received on exercise of an Option. Further, any other amendment or modification to the terms of any Option (i.e. any amendment or modification that is not prohibited pursuant to the first sentence of this Section 4.16(a)) can only be made with stockholder approval or on the provision of a waiver granted by ASX from the ASX Listing Rules.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4" w:name="page15"/>
    <w:bookmarkEnd w:id="14"/>
    <w:p>
      <w:pPr>
        <w:ind w:left="4" w:right="60" w:firstLine="987"/>
        <w:spacing w:after="0" w:line="266" w:lineRule="auto"/>
        <w:tabs>
          <w:tab w:leader="none" w:pos="1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no circumstances may any amendment or modification be made to the terms of an Option which has the effect of cancelling the Option unless (1) stockholder approval has been obtained for the cancellation of the Option, (2) no consideration is provided to the Grantee in connection with the cancellation of the Option, or (3) the amendment or modification is made to comply with the ASX Listing Rules.</w:t>
      </w:r>
    </w:p>
    <w:p>
      <w:pPr>
        <w:spacing w:after="0" w:line="175" w:lineRule="exact"/>
        <w:rPr>
          <w:rFonts w:ascii="Times New Roman" w:cs="Times New Roman" w:eastAsia="Times New Roman" w:hAnsi="Times New Roman"/>
          <w:sz w:val="18"/>
          <w:szCs w:val="18"/>
          <w:b w:val="1"/>
          <w:bCs w:val="1"/>
          <w:color w:val="auto"/>
        </w:rPr>
      </w:pPr>
    </w:p>
    <w:p>
      <w:pPr>
        <w:ind w:left="4" w:right="40" w:firstLine="987"/>
        <w:spacing w:after="0" w:line="282" w:lineRule="auto"/>
        <w:tabs>
          <w:tab w:leader="none" w:pos="12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 Share exercise price for the Shares to be issued pursuant to the exercise of an Option and / or the number of Shares over which an Option can be exercised may be changed in accordance with rule 6.22.2, 6.22.2A and 6.22.3 of the ASX Listing Rules.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 Restricted Stock Grants.</w:t>
      </w:r>
    </w:p>
    <w:p>
      <w:pPr>
        <w:spacing w:after="0" w:line="121"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A Restricted Stock Grant is an offer by the Company to sell or issue (with no payment required, unless explicitly provided otherwise in a Grantee’s Grant Agreement) Shares to a Grantee that are subject to certain specified restrictions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Each Restricted Stock Grant will be in such form and will contain such terms and conditions as the Committee will deem appropriate. The terms and conditions of Restricted Stock Grants may change from time to time, and the terms and conditions of separate Grant Agreements need not be identical, but each Grant Agreement will conform to (through incorporation of the provisions hereof by reference in the applicable Grant Agreement or otherwise) the substance of each of the following provisions.</w:t>
      </w:r>
    </w:p>
    <w:p>
      <w:pPr>
        <w:spacing w:after="0" w:line="183" w:lineRule="exact"/>
        <w:rPr>
          <w:sz w:val="20"/>
          <w:szCs w:val="20"/>
          <w:color w:val="auto"/>
        </w:rPr>
      </w:pPr>
    </w:p>
    <w:p>
      <w:pPr>
        <w:ind w:left="4" w:right="38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5.1 Acceptance Procedures</w:t>
      </w:r>
      <w:r>
        <w:rPr>
          <w:rFonts w:ascii="Times New Roman" w:cs="Times New Roman" w:eastAsia="Times New Roman" w:hAnsi="Times New Roman"/>
          <w:sz w:val="17"/>
          <w:szCs w:val="17"/>
          <w:color w:val="auto"/>
        </w:rPr>
        <w:t>. Except as otherwise provided in a Grant Agreement, a Restricted Stock Grant will be accepted by the Grantee’s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execution and delivery of the Grant Agreement and full payment of the Purchase Price for the Shares to the Company (if applicable) within thirty</w:t>
      </w:r>
    </w:p>
    <w:p>
      <w:pPr>
        <w:spacing w:after="0" w:line="1" w:lineRule="exact"/>
        <w:rPr>
          <w:sz w:val="20"/>
          <w:szCs w:val="20"/>
          <w:color w:val="auto"/>
        </w:rPr>
      </w:pPr>
    </w:p>
    <w:p>
      <w:pPr>
        <w:ind w:left="4" w:hanging="4"/>
        <w:spacing w:after="0" w:line="255" w:lineRule="auto"/>
        <w:tabs>
          <w:tab w:leader="none" w:pos="3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the Grant Agreement is delivered to the Grantee. If the Grantee does not execute and deliver the Grant Agreement along with full payment for the Shares (if applicable) to the Company within such thirty (30) days, then the offer will terminate, unless otherwise determined by the Committee.</w:t>
      </w:r>
    </w:p>
    <w:p>
      <w:pPr>
        <w:spacing w:after="0" w:line="182" w:lineRule="exact"/>
        <w:rPr>
          <w:sz w:val="20"/>
          <w:szCs w:val="20"/>
          <w:color w:val="auto"/>
        </w:rPr>
      </w:pPr>
    </w:p>
    <w:p>
      <w:pPr>
        <w:ind w:left="4"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5.2 Purchase Price</w:t>
      </w:r>
      <w:r>
        <w:rPr>
          <w:rFonts w:ascii="Times New Roman" w:cs="Times New Roman" w:eastAsia="Times New Roman" w:hAnsi="Times New Roman"/>
          <w:sz w:val="18"/>
          <w:szCs w:val="18"/>
          <w:color w:val="auto"/>
        </w:rPr>
        <w:t>. The Purchase Price for Shares issued pursuant to a Restricted Stock Grant, if any, will be determined by the Committee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the Restricted Stock Grant is granted and, if permitted by Applicable Law, no cash consideration will be required in connection with the payment for the Purchase Price where the Committee provides that payment shall be in the form of services previously rendered. Payment of the Purchase Price shall be made in accordance with Section 9 of the Plan and the applicable Grant Agreement.</w:t>
      </w:r>
    </w:p>
    <w:p>
      <w:pPr>
        <w:spacing w:after="0" w:line="176" w:lineRule="exact"/>
        <w:rPr>
          <w:sz w:val="20"/>
          <w:szCs w:val="20"/>
          <w:color w:val="auto"/>
        </w:rPr>
      </w:pPr>
    </w:p>
    <w:p>
      <w:pPr>
        <w:ind w:left="4" w:right="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5.3 Dividends and Other Distributions</w:t>
      </w:r>
      <w:r>
        <w:rPr>
          <w:rFonts w:ascii="Times New Roman" w:cs="Times New Roman" w:eastAsia="Times New Roman" w:hAnsi="Times New Roman"/>
          <w:sz w:val="17"/>
          <w:szCs w:val="17"/>
          <w:color w:val="auto"/>
        </w:rPr>
        <w:t>. Grantees holding Restricted Stock Grants will be entitled to receive all dividends and other distributions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paid with respect to such Shares, unless the Committee provides otherwise at the time the Grant is granted. Any such dividends or distributions will be subject to the same restrictions on transferability and forfeitability as the Restricted Stock Grants with respect to which they were paid.</w:t>
      </w:r>
    </w:p>
    <w:p>
      <w:pPr>
        <w:spacing w:after="0" w:line="8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 Restricted Stock Unit Grants.</w:t>
      </w:r>
    </w:p>
    <w:p>
      <w:pPr>
        <w:spacing w:after="0" w:line="121" w:lineRule="exact"/>
        <w:rPr>
          <w:sz w:val="20"/>
          <w:szCs w:val="20"/>
          <w:color w:val="auto"/>
        </w:rPr>
      </w:pPr>
    </w:p>
    <w:p>
      <w:pPr>
        <w:ind w:left="4" w:firstLine="440"/>
        <w:spacing w:after="0" w:line="281" w:lineRule="auto"/>
        <w:rPr>
          <w:sz w:val="20"/>
          <w:szCs w:val="20"/>
          <w:color w:val="auto"/>
        </w:rPr>
      </w:pPr>
      <w:r>
        <w:rPr>
          <w:rFonts w:ascii="Times New Roman" w:cs="Times New Roman" w:eastAsia="Times New Roman" w:hAnsi="Times New Roman"/>
          <w:sz w:val="17"/>
          <w:szCs w:val="17"/>
          <w:color w:val="auto"/>
        </w:rPr>
        <w:t>An RSU Grant is a Grant covering a number of Shares that may be settled in cash, or by issuance of those Shares at a date in the future. Each RSU Grant will be in such form and will contain such terms and conditions as the Committee will deem appropriate. The terms and conditions of RSU Grants may change from time to time, and the terms and conditions of separate Grant Agreements need not be identical, but each RSU Grant will conform to (through incorporation of the provisions hereof by reference in the Grant Agreement or otherwise) the substance of each of the following provisions.</w:t>
      </w:r>
    </w:p>
    <w:p>
      <w:pPr>
        <w:spacing w:after="0" w:line="160"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6.1 Purchase Price</w:t>
      </w:r>
      <w:r>
        <w:rPr>
          <w:rFonts w:ascii="Times New Roman" w:cs="Times New Roman" w:eastAsia="Times New Roman" w:hAnsi="Times New Roman"/>
          <w:sz w:val="18"/>
          <w:szCs w:val="18"/>
          <w:color w:val="auto"/>
        </w:rPr>
        <w:t>. Unless otherwise determined by the Committee, no Purchase Price shall apply to an RSU settled in Shares. Payment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if any, shall be made in accordance with Section 9 of the Plan and the applicable Grant Agreement.</w:t>
      </w:r>
    </w:p>
    <w:p>
      <w:pPr>
        <w:spacing w:after="0" w:line="155" w:lineRule="exact"/>
        <w:rPr>
          <w:sz w:val="20"/>
          <w:szCs w:val="20"/>
          <w:color w:val="auto"/>
        </w:rPr>
      </w:pPr>
    </w:p>
    <w:p>
      <w:pPr>
        <w:ind w:left="4"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6.2 Form and Timing of Settlement</w:t>
      </w:r>
      <w:r>
        <w:rPr>
          <w:rFonts w:ascii="Times New Roman" w:cs="Times New Roman" w:eastAsia="Times New Roman" w:hAnsi="Times New Roman"/>
          <w:sz w:val="18"/>
          <w:szCs w:val="18"/>
          <w:color w:val="auto"/>
        </w:rPr>
        <w:t>. Payment of vested RSUs shall be made as soon as practicable after the date(s)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set forth in the Grant Agreement. The Committee, in its sole discretion, may settle vested RSUs in cash, Shares, or a combination of both. A fractional Share shall not be deliverable when an RSU is earned, but a cash payment will be made in lieu thereof.</w:t>
      </w:r>
    </w:p>
    <w:p>
      <w:pPr>
        <w:spacing w:after="0" w:line="17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6.3 Dividend Equivalent Rights and other rights</w:t>
      </w:r>
      <w:r>
        <w:rPr>
          <w:rFonts w:ascii="Times New Roman" w:cs="Times New Roman" w:eastAsia="Times New Roman" w:hAnsi="Times New Roman"/>
          <w:sz w:val="18"/>
          <w:szCs w:val="18"/>
          <w:color w:val="auto"/>
        </w:rPr>
        <w:t>. No Grantee shall, as a result of receiving a grant of RSUs, have any rights as a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and then only to the extent that the RSUs are earned and settled in Shares and the Grantee being registered as the holder of the Shares received on settlement of the RSUs, nor shall any Grantee receive Dividend Equivalent Rights solely as a result of receiving a grant of RSUs. However, notwithstanding the foregoing, the Committee may, subject to Applicable Law, permit Grantees holding RSUs to receive Dividend Equivalent Rights on outstanding RSUs if and when dividends are paid to stockholders on Shares. Any such Dividend Equivalent Rights shall be subject to the same vesting or performance requirements as the RSUs. If the Committee permits Dividend Equivalent Rights to be made on RSUs, the terms and conditions for such Dividend Equivalent Rights will be set forth in the applicable Grant Agreement.</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7. Performance Grants.</w:t>
      </w:r>
    </w:p>
    <w:p>
      <w:pPr>
        <w:spacing w:after="0" w:line="117" w:lineRule="exact"/>
        <w:rPr>
          <w:sz w:val="20"/>
          <w:szCs w:val="20"/>
          <w:color w:val="auto"/>
        </w:rPr>
      </w:pPr>
    </w:p>
    <w:p>
      <w:pPr>
        <w:jc w:val="both"/>
        <w:ind w:left="4"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7.1 Types of Performance Grants</w:t>
      </w:r>
      <w:r>
        <w:rPr>
          <w:rFonts w:ascii="Times New Roman" w:cs="Times New Roman" w:eastAsia="Times New Roman" w:hAnsi="Times New Roman"/>
          <w:sz w:val="18"/>
          <w:szCs w:val="18"/>
          <w:color w:val="auto"/>
        </w:rPr>
        <w:t>. A Performance Grant is a Grant that may be granted, may vest or may become eligible to vest contingent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attainment during a Performance Period of certain Performance Goals. Performance Grants may be granted as Options, Stock Appreciation Rights, Restricted Stock, RSUs or Other Grants, including cash-based Grants.</w:t>
      </w:r>
    </w:p>
    <w:p>
      <w:pPr>
        <w:spacing w:after="0" w:line="171" w:lineRule="exact"/>
        <w:rPr>
          <w:sz w:val="20"/>
          <w:szCs w:val="20"/>
          <w:color w:val="auto"/>
        </w:rPr>
      </w:pPr>
    </w:p>
    <w:p>
      <w:pPr>
        <w:ind w:left="4" w:right="10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7.2 Terms of Performance Grants</w:t>
      </w:r>
      <w:r>
        <w:rPr>
          <w:rFonts w:ascii="Times New Roman" w:cs="Times New Roman" w:eastAsia="Times New Roman" w:hAnsi="Times New Roman"/>
          <w:sz w:val="17"/>
          <w:szCs w:val="17"/>
          <w:color w:val="auto"/>
        </w:rPr>
        <w:t>. Performance Grants will be based on the attainment of Performance Goals that are established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for the relevant Performance Period. Prior to the grant of any Performance Grant, the Committee will determine and each Grant Agreement shall set forth the terms of each Performance Grant, including, without limitation: (a) the nature, length and starting date of any Performance Period;</w:t>
      </w:r>
    </w:p>
    <w:p>
      <w:pPr>
        <w:spacing w:after="0" w:line="1" w:lineRule="exact"/>
        <w:rPr>
          <w:sz w:val="20"/>
          <w:szCs w:val="20"/>
          <w:color w:val="auto"/>
        </w:rPr>
      </w:pPr>
    </w:p>
    <w:p>
      <w:pPr>
        <w:ind w:left="264" w:hanging="264"/>
        <w:spacing w:after="0"/>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Criteria and Performance Goals that shall be used to determine the time and extent to which a Performance Grant has been earned;</w:t>
      </w:r>
    </w:p>
    <w:p>
      <w:pPr>
        <w:spacing w:after="0" w:line="9" w:lineRule="exact"/>
        <w:rPr>
          <w:rFonts w:ascii="Times New Roman" w:cs="Times New Roman" w:eastAsia="Times New Roman" w:hAnsi="Times New Roman"/>
          <w:sz w:val="18"/>
          <w:szCs w:val="18"/>
          <w:color w:val="auto"/>
        </w:rPr>
      </w:pPr>
    </w:p>
    <w:p>
      <w:pPr>
        <w:ind w:left="4" w:right="40" w:hanging="4"/>
        <w:spacing w:after="0" w:line="253"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any cash bonus, or the number of Shares deemed subject to a Performance Grant, and (d) the effect of a termination of Grantee’s Continuous Service Status on a Performance Grant. Grantees may participate simultaneously with respect to Performance Grants that are subject to different Performance Periods and Performance Goals. A Performance Grant may but need not require the Grantee’s completion of a specified period of service.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6" w:right="479" w:bottom="1440" w:gutter="0" w:footer="0" w:header="0"/>
        </w:sectPr>
      </w:pPr>
    </w:p>
    <w:bookmarkStart w:id="16" w:name="page17"/>
    <w:bookmarkEnd w:id="16"/>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7.3 Determination of Achievement</w:t>
      </w:r>
      <w:r>
        <w:rPr>
          <w:rFonts w:ascii="Times New Roman" w:cs="Times New Roman" w:eastAsia="Times New Roman" w:hAnsi="Times New Roman"/>
          <w:sz w:val="18"/>
          <w:szCs w:val="18"/>
          <w:color w:val="auto"/>
        </w:rPr>
        <w:t>. The Committee shall determine the extent to which a Performance Grant has been earned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including the manner of calculating the Performance Criteria and the measure of whether and to what degree such Performance Goals have been attained. The Committee may, subject to compliance with and only to the extent permitted by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Grant Agreement and under Applicable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Grants.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Other forms of Grants valued in whole or in part by reference to, or otherwise based on, Shares, including the appreciation in value thereof (e.g., options or stock rights with an Exercise Price or strike price less than 100% of the Fair Market Value of the Shares at the time of grant) may be granted either alone or in addition to other Grants provided for in the Plan. Subject to the provisions of the Plan and Applicable Law, the Committee may determine the persons to whom and the time or times at which such Other Grants will be granted, the number of Shares (or the cash equivalent thereof) to be granted pursuant to such Other Grants and all other terms and conditions of such Other Grants.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Payment for Purchases and Exercises.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Payment from a Grantee for Shares acquired pursuant to this Plan may be made in cash or cash equivalents or, where approved for the Grantee by the Committee and where permitted by Applicable Law (and set forth in the applicable Grant Agreement):</w:t>
      </w:r>
    </w:p>
    <w:p>
      <w:pPr>
        <w:spacing w:after="0" w:line="162" w:lineRule="exact"/>
        <w:rPr>
          <w:sz w:val="20"/>
          <w:szCs w:val="20"/>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cancellation of indebtedness of the Company owed to the Grantee;</w:t>
      </w:r>
    </w:p>
    <w:p>
      <w:pPr>
        <w:spacing w:after="0" w:line="225" w:lineRule="exact"/>
        <w:rPr>
          <w:rFonts w:ascii="Times New Roman" w:cs="Times New Roman" w:eastAsia="Times New Roman" w:hAnsi="Times New Roman"/>
          <w:sz w:val="18"/>
          <w:szCs w:val="18"/>
          <w:b w:val="1"/>
          <w:bCs w:val="1"/>
          <w:color w:val="auto"/>
        </w:rPr>
      </w:pPr>
    </w:p>
    <w:p>
      <w:pPr>
        <w:ind w:right="240" w:firstLine="987"/>
        <w:spacing w:after="0" w:line="282" w:lineRule="auto"/>
        <w:tabs>
          <w:tab w:leader="none" w:pos="125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surrender of Shares held by the Grantee that are clear of all liens, claims, encumbrances or security interests and that have a Fair Market Value on the date of surrender equal to the aggregate payment required;</w:t>
      </w:r>
    </w:p>
    <w:p>
      <w:pPr>
        <w:spacing w:after="0" w:line="161"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waiver of compensation due or accrued to the Grantee for services rendered or to be rendered to the Company or an Affiliate;</w:t>
      </w:r>
    </w:p>
    <w:p>
      <w:pPr>
        <w:spacing w:after="0" w:line="225" w:lineRule="exact"/>
        <w:rPr>
          <w:rFonts w:ascii="Times New Roman" w:cs="Times New Roman" w:eastAsia="Times New Roman" w:hAnsi="Times New Roman"/>
          <w:sz w:val="18"/>
          <w:szCs w:val="18"/>
          <w:b w:val="1"/>
          <w:bCs w:val="1"/>
          <w:color w:val="auto"/>
        </w:rPr>
      </w:pPr>
    </w:p>
    <w:p>
      <w:pPr>
        <w:ind w:right="160" w:firstLine="987"/>
        <w:spacing w:after="0" w:line="282" w:lineRule="auto"/>
        <w:tabs>
          <w:tab w:leader="none" w:pos="125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consideration received by the Company pursuant to a broker-assisted or other form of cashless exercise program implemented by the Plan Administrator in connection with the Plan;</w:t>
      </w:r>
    </w:p>
    <w:p>
      <w:pPr>
        <w:spacing w:after="0" w:line="161"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any combination of the foregoing; or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66" w:right="519" w:bottom="1440" w:gutter="0" w:footer="0" w:header="0"/>
        </w:sectPr>
      </w:pPr>
    </w:p>
    <w:bookmarkStart w:id="17" w:name="page18"/>
    <w:bookmarkEnd w:id="17"/>
    <w:p>
      <w:pPr>
        <w:ind w:left="1220" w:hanging="233"/>
        <w:spacing w:after="0"/>
        <w:tabs>
          <w:tab w:leader="none" w:pos="12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any other method of payment as is permitted by Applicable Law.</w:t>
      </w:r>
    </w:p>
    <w:p>
      <w:pPr>
        <w:spacing w:after="0" w:line="225"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The Committee or the Plan Administrator may limit the availability of any method of payment, to the extent the Committee or the Plan Administrator determines, in its discretion, that such limitation is necessary or advisable to comply with Applicable Law or facilitate the administration of the Plan. Payment of any Purchase Price or Exercise Price shall be made in accordance with any procedures established by the Plan Administrator.</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Taxes.</w:t>
      </w:r>
    </w:p>
    <w:p>
      <w:pPr>
        <w:spacing w:after="0" w:line="117"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10.1 Responsibility for Taxes</w:t>
      </w:r>
      <w:r>
        <w:rPr>
          <w:rFonts w:ascii="Times New Roman" w:cs="Times New Roman" w:eastAsia="Times New Roman" w:hAnsi="Times New Roman"/>
          <w:sz w:val="18"/>
          <w:szCs w:val="18"/>
          <w:color w:val="auto"/>
        </w:rPr>
        <w:t>. Regardless of any action taken by the Company or any Affiliate, the ultimate liability for all income tax,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payroll tax, fringe benefits tax, payment on account, employment tax, stamp tax or other tax-related items related to the Grantee’s participation in the Plan and legally applicable to the Grantee, including any employer liability for which the Grantee is liable (the “</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Items</w:t>
      </w:r>
      <w:r>
        <w:rPr>
          <w:rFonts w:ascii="Times New Roman" w:cs="Times New Roman" w:eastAsia="Times New Roman" w:hAnsi="Times New Roman"/>
          <w:sz w:val="18"/>
          <w:szCs w:val="18"/>
          <w:color w:val="auto"/>
        </w:rPr>
        <w:t>”) is the Grantee’s responsibility and may exceed the amount, if any, withheld by the Company or an Affiliate. If the Grantee is subject to Tax-Related Items in more than one jurisdiction, the Company or an Affiliate may be required to withhold or account for Tax-Related Items in more than one jurisdiction.</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10.2 Withholding Methods</w:t>
      </w:r>
      <w:r>
        <w:rPr>
          <w:rFonts w:ascii="Times New Roman" w:cs="Times New Roman" w:eastAsia="Times New Roman" w:hAnsi="Times New Roman"/>
          <w:sz w:val="18"/>
          <w:szCs w:val="18"/>
          <w:color w:val="auto"/>
        </w:rPr>
        <w:t>. Unless otherwise provided in the Grantee’s Grant Agreement, the Committee, or its delegate(s), as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in its sole discretion and pursuant to such procedures as it may specify from time to time and subject to any limitations imposed by Applicable Law, may require or permit a Grantee to satisfy any applicable withholding obligations for Tax-Related Items, in whole or in part by (without limitation) (a) requiring the Grantee to make a cash payment, (b) withholding from the Grantee’s wages or other cash compensation paid to the Grantee by the Company or any Affiliate; (c) withholding from the Shares otherwise issuable pursuant to a Grant; (d) permitting the Grantee to deliver to the Company already-owned Shares or (e) withholding from the proceeds of the sale of otherwise deliverable Shares acquired pursuant to a Grant either through a voluntary sale or through a mandatory sale arranged by the Company. By adoption of the Plan, the Committee delegates to the Plan Administrator the authority to adopt policies and procedures, in consultation with the Company’s tax accountants and legal advisors, to determine the Fair Market Value of the Shares solely for purposes of withholding and reporting Tax-Related Items related to Grants granted under the Plan.</w:t>
      </w:r>
    </w:p>
    <w:p>
      <w:pPr>
        <w:spacing w:after="0" w:line="188"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10.3 Withholding Tax Rates</w:t>
      </w:r>
      <w:r>
        <w:rPr>
          <w:rFonts w:ascii="Times New Roman" w:cs="Times New Roman" w:eastAsia="Times New Roman" w:hAnsi="Times New Roman"/>
          <w:sz w:val="18"/>
          <w:szCs w:val="18"/>
          <w:color w:val="auto"/>
        </w:rPr>
        <w:t>. The Company or an Affiliate may withhold or account for Tax-Related Items by considering applicable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statutory withholding amounts or other applicable withholding rates, including up to the maximum applicable rate in the Grantee’s jurisdiction. If the obligation for Tax-Related Items is satisfied by withholding a number of Shares, for tax purposes, a Grantee is deemed to have been issued the full number of Shares, notwithstanding that a number of the Shares is held back solely for the purpose of paying the Tax-Related Items. In the event the Company withholds less than it is obligated to withhold in connection with a Grant, the Grantee will indemnify and hold the Company harmless from any liability for Tax-Related Items.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 Restrictions on Grants and Shares.</w:t>
      </w:r>
    </w:p>
    <w:p>
      <w:pPr>
        <w:spacing w:after="0" w:line="117"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11.1 Transferability of Grants</w:t>
      </w:r>
      <w:r>
        <w:rPr>
          <w:rFonts w:ascii="Times New Roman" w:cs="Times New Roman" w:eastAsia="Times New Roman" w:hAnsi="Times New Roman"/>
          <w:sz w:val="18"/>
          <w:szCs w:val="18"/>
          <w:color w:val="auto"/>
        </w:rPr>
        <w:t>. Except as expressly provided in the Plan or an applicable Grant Agreement, or otherwise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the Plan Administrator, Grants granted under the Plan will not be transferable or assignable by the Grantee, other than by will or by the laws of descent and distribution. Any Options, Stock Appreciation Rights or Other Grants that are exercisable may only be exercised: (a) during the Grantee’s lifetime only by (i) the Grantee, or (ii) the Grantee’s guardian or legal representative; (b) after the Grantee’s death, by the legal representative of the Grantee’s heirs or legatees. The Committee or the Plan Administrator may permit transfer of Grants in a manner that is not prohibited by Applicable Law.</w:t>
      </w:r>
    </w:p>
    <w:p>
      <w:pPr>
        <w:spacing w:after="0" w:line="182"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11.2 Stockholder Rights</w:t>
      </w:r>
      <w:r>
        <w:rPr>
          <w:rFonts w:ascii="Times New Roman" w:cs="Times New Roman" w:eastAsia="Times New Roman" w:hAnsi="Times New Roman"/>
          <w:sz w:val="18"/>
          <w:szCs w:val="18"/>
          <w:color w:val="auto"/>
        </w:rPr>
        <w:t>. No Grantee will have any of the rights of a stockholder with respect to any Shares until the Shares are issued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except for any Dividend Equivalent Rights permitted by an applicable Grant Agreement. After Shares are issued to the Grantee, the Grantee will be a stockholder and have all the rights of a stockholder with respect to such Shares, including the right to vote and receive all dividends or other distributions made or paid with respect to such Shares, subject to any repurchase or forfeiture provisions in any Restricted Stock Grant, the terms of the Trading Policy, and Applicable Law.</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11.3 Escrow; Pledge of Shares</w:t>
      </w:r>
      <w:r>
        <w:rPr>
          <w:rFonts w:ascii="Times New Roman" w:cs="Times New Roman" w:eastAsia="Times New Roman" w:hAnsi="Times New Roman"/>
          <w:sz w:val="18"/>
          <w:szCs w:val="18"/>
          <w:color w:val="auto"/>
        </w:rPr>
        <w:t>. To enforce any restrictions on a Grantee’s Shares, the Committee may:</w:t>
      </w:r>
    </w:p>
    <w:p>
      <w:pPr>
        <w:spacing w:after="0" w:line="229" w:lineRule="exact"/>
        <w:rPr>
          <w:sz w:val="20"/>
          <w:szCs w:val="20"/>
          <w:color w:val="auto"/>
        </w:rPr>
      </w:pPr>
    </w:p>
    <w:p>
      <w:pPr>
        <w:ind w:right="400" w:firstLine="987"/>
        <w:spacing w:after="0" w:line="261" w:lineRule="auto"/>
        <w:tabs>
          <w:tab w:leader="none" w:pos="124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 the Grantee to deposit all written or electronic certificate(s) representing Shares, together with stock powers or other instruments of transfer approved by the Plan Administrator, with the Company or an agent designated by the Company to hold in escrow until such restrictions have lapsed or terminated, and the Plan Administrator may cause a legend or legends referencing such restrictions to be placed on the certificate(s); or</w:t>
      </w:r>
    </w:p>
    <w:p>
      <w:pPr>
        <w:spacing w:after="0" w:line="179" w:lineRule="exact"/>
        <w:rPr>
          <w:rFonts w:ascii="Times New Roman" w:cs="Times New Roman" w:eastAsia="Times New Roman" w:hAnsi="Times New Roman"/>
          <w:sz w:val="18"/>
          <w:szCs w:val="18"/>
          <w:b w:val="1"/>
          <w:bCs w:val="1"/>
          <w:color w:val="auto"/>
        </w:rPr>
      </w:pPr>
    </w:p>
    <w:p>
      <w:pPr>
        <w:jc w:val="both"/>
        <w:ind w:right="240" w:firstLine="987"/>
        <w:spacing w:after="0" w:line="266" w:lineRule="auto"/>
        <w:tabs>
          <w:tab w:leader="none" w:pos="125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Grantee’s Shares are converted to CDIs, require a holding lock (i.e. the equivalent of a stop transfer order) to be applied to the CDIs, and by participating in the Plan each Grantee is deemed to have consented and agreed to the application of a holding lock to the relevant CDIs until the Grantee’s Shares are no longer subject to the relevant restrictions.</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Any Grantee who is permitted to execute a promissory note as partial or full consideration for the purchase of Shares under this Plan may be required to pledge and deposit with the Company all or part of the Shares so purchased as collateral to secure the payment of Grantee’s obligation to the Company under the promissory note.</w:t>
      </w:r>
    </w:p>
    <w:p>
      <w:pPr>
        <w:spacing w:after="0" w:line="17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11.4 Exchange and Buyout of Grants</w:t>
      </w:r>
      <w:r>
        <w:rPr>
          <w:rFonts w:ascii="Times New Roman" w:cs="Times New Roman" w:eastAsia="Times New Roman" w:hAnsi="Times New Roman"/>
          <w:sz w:val="18"/>
          <w:szCs w:val="18"/>
          <w:color w:val="auto"/>
        </w:rPr>
        <w:t>. Subject to the next sentence, the Committee may conduct an Exchange Program, subject to the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affected Grantee (unless not required in connection with a repricing pursuant to Section 4.12 of the Plan, or under the terms of a Grant Agreement) and compliance with and only to the extent permitted by Applicable Law. Notwithstanding the foregoing or any other provision of the Plan or otherwise, except pursuant to the provisions relating to Capitalization Adjustments and Substitute Awards, in no event shall the Committee take any of the following actions without stockholder approval and then only to the extent permitted by Applicable Law: (A) lowering or reducing the Exercise Price of an outstanding Option and/or outstanding Stock Appreciation Right, (B) cancelling, exchanging or surrendering any outstanding Option and/or outstanding Stock Appreciation Right in exchange for cash or another award for the purpose of lowering or reducing the Exercise Price of the outstanding Option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9" w:name="page20"/>
    <w:bookmarkEnd w:id="1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and/or outstanding Stock Appreciation Right; (C) cancelling, exchanging or surrendering any outstanding Option and/or outstanding Stock Appreciation Right in exchange for an Option or Stock Appreciation Right with an Exercise Price that is less than the Exercise Price of the original Option or Stock Appreciation Right; and (D) any other action in respect of any Grant that is treated as a repricing under U.S. generally accepted accounting principles. This Section 11.4 may not be amended without stockholder approval.</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11.5 Conditions Upon Issuance of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Securities Matters</w:t>
      </w:r>
      <w:r>
        <w:rPr>
          <w:rFonts w:ascii="Times New Roman" w:cs="Times New Roman" w:eastAsia="Times New Roman" w:hAnsi="Times New Roman"/>
          <w:sz w:val="18"/>
          <w:szCs w:val="18"/>
          <w:color w:val="auto"/>
        </w:rPr>
        <w:t>. The Company will be under no obligation to effect the registration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of any Shares to be issued hereunder or to effect similar compliance under any state, local or non-U.S. laws. Notwithstanding any other provision of the Plan or any Grant Agreement, the Company will not be obligated, and will have no liability for failure, to issue or deliver any Shares under the Plan unless such issuance or delivery would comply with Applicable Laws, with such compliance determined by the Company in consultation with its legal counsel. The Plan Administrator may require, as a condition to the issuance of Shares pursuant to the terms hereof, that the recipient of such Shares make such covenants, agreements and representations, and that any related certificates representing such Shares bear such legends, as the Plan Administrator, in its sole discretion, deems necessary or desirable. This may include a requirement that the person exercising an Option or purchasing or receiving any other Grant must represent and warrant at the time of such exercise, purchase, receipt or settlement that the Shares are being purchased or received only for investment purposes and without a present intention to sell or distribute such Shares if, in the opinion of counsel for the Company, such a representation and warranty is advisable or required by Applicable Law. The exercise or settlement of any Grant granted hereunder will only be effective at such time as counsel to the Company shall have determined that the issuance and delivery of Shares pursuant to such exercise or settlement is in compliance with Applicable Laws. The Company may, in its sole discretion, defer the effectiveness of any exercise or settlement of a Grant granted hereunder in order to allow the issuance of Shares pursuant thereto to be made pursuant to registration or an exemption from registration or other methods for compliance available under U.S. federal, state, local or non-U.S. securities laws. The Company will inform the Grantee in writing of its decision to defer the effectiveness of the exercise or settlement of a Grant granted hereunder. During the period that the effectiveness of the exercise of a Grant has been deferred, the Grantee may, by written notice, withdraw such exercise and obtain the refund of any amount paid with respect thereto.</w:t>
      </w:r>
    </w:p>
    <w:p>
      <w:pPr>
        <w:spacing w:after="0" w:line="193" w:lineRule="exact"/>
        <w:rPr>
          <w:sz w:val="20"/>
          <w:szCs w:val="20"/>
          <w:color w:val="auto"/>
        </w:rPr>
      </w:pPr>
    </w:p>
    <w:p>
      <w:pPr>
        <w:ind w:right="3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11.6 Clawback/Recovery Policy</w:t>
      </w:r>
      <w:r>
        <w:rPr>
          <w:rFonts w:ascii="Times New Roman" w:cs="Times New Roman" w:eastAsia="Times New Roman" w:hAnsi="Times New Roman"/>
          <w:sz w:val="18"/>
          <w:szCs w:val="18"/>
          <w:color w:val="auto"/>
        </w:rPr>
        <w:t>. All Grants granted under the Plan will be subject to clawback or recoupment under any clawback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In addition, the Committee may impose such other clawback, recovery or recoupment provisions in a Grant Agreement as the Committee determines necessary or appropriate provided they are in compliance with Applicable Law.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 General Provisions Applicable to Grants.</w:t>
      </w:r>
    </w:p>
    <w:p>
      <w:pPr>
        <w:spacing w:after="0" w:line="22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12.1 Vesting</w:t>
      </w:r>
      <w:r>
        <w:rPr>
          <w:rFonts w:ascii="Times New Roman" w:cs="Times New Roman" w:eastAsia="Times New Roman" w:hAnsi="Times New Roman"/>
          <w:sz w:val="18"/>
          <w:szCs w:val="18"/>
          <w:color w:val="auto"/>
        </w:rPr>
        <w:t>. The total number of Shares subject to a Grant may vest in periodic installments that may or may not be equal.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 such restrictions on or conditions to the vesting and/or exercisability of a Grant as determined by the Committee, and which may vary.</w:t>
      </w:r>
    </w:p>
    <w:p>
      <w:pPr>
        <w:spacing w:after="0" w:line="15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12.2 Termination of Continuous Service Status</w:t>
      </w:r>
      <w:r>
        <w:rPr>
          <w:rFonts w:ascii="Times New Roman" w:cs="Times New Roman" w:eastAsia="Times New Roman" w:hAnsi="Times New Roman"/>
          <w:sz w:val="18"/>
          <w:szCs w:val="18"/>
          <w:color w:val="auto"/>
        </w:rPr>
        <w:t>. Except as otherwise provided in the applicable Grant Agreement or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if a Grantee’s Continuous Service Status terminates for any reason, vesting of a Grant will cease and such portion of a Grant that has not vested will be forfeited, and the Grantee will have no further right, title or interest in any then-unvested portion of the Grant. In addition, the Company may receive through a forfeiture condition or a repurchase right any or all of the Shares held by the Grantee under a Restricted Stock Grant that have not vested as of the date of such termination, subject to the terms of the applicable Grant Agreement.</w:t>
      </w:r>
    </w:p>
    <w:p>
      <w:pPr>
        <w:spacing w:after="0" w:line="179"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12.3 No Employment or Other Service Rights</w:t>
      </w:r>
      <w:r>
        <w:rPr>
          <w:rFonts w:ascii="Times New Roman" w:cs="Times New Roman" w:eastAsia="Times New Roman" w:hAnsi="Times New Roman"/>
          <w:sz w:val="18"/>
          <w:szCs w:val="18"/>
          <w:color w:val="auto"/>
        </w:rPr>
        <w:t>. Nothing in this Plan or any Grant granted under this Plan will confer or be deemed to confer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Grantee any right to continue in the employ of, or to continue any other relationship with, the Company or an Affiliate or limit in any way the right of the Company or an Affiliate to terminate Grantee’s employment or other relationship at any time. Furthermore, to the extent the Company is not the employer of a Grantee, the grant of a Grant will not establish or amend an employment or other service relationship between the Company and the Grantee. Nothing in the Plan or any Grant will constitute any promise or commitment by the Company or an Affiliate regarding future work assignments, future compensation or any other term or condition of employment or service.</w:t>
      </w:r>
    </w:p>
    <w:p>
      <w:pPr>
        <w:spacing w:after="0" w:line="182"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12.4 Effect on Other Employee Benefit Plans</w:t>
      </w:r>
      <w:r>
        <w:rPr>
          <w:rFonts w:ascii="Times New Roman" w:cs="Times New Roman" w:eastAsia="Times New Roman" w:hAnsi="Times New Roman"/>
          <w:sz w:val="18"/>
          <w:szCs w:val="18"/>
          <w:color w:val="auto"/>
        </w:rPr>
        <w:t>. The value of and income from any Grant granted under the Plan, as determined upon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or settlement, shall not be included as compensation, earnings, salaries, or other similar terms used when calculating any Grantee’s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6"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12.5 Leaves of Absence</w:t>
      </w:r>
      <w:r>
        <w:rPr>
          <w:rFonts w:ascii="Times New Roman" w:cs="Times New Roman" w:eastAsia="Times New Roman" w:hAnsi="Times New Roman"/>
          <w:sz w:val="18"/>
          <w:szCs w:val="18"/>
          <w:color w:val="auto"/>
        </w:rPr>
        <w:t>. To the extent permitted by Applicable Law, the Committee or the Plan Administrator, in that party’s sole discretion,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whether Continuous Service Status will be considered interrupted in the case of any leave of absence. Continuous Service Status as an Employee for purposes of Incentive Stock Options shall not be considered interrupted or terminated in the case of: (a) Company approved sick leave;</w:t>
      </w:r>
    </w:p>
    <w:p>
      <w:pPr>
        <w:ind w:left="4" w:hanging="4"/>
        <w:spacing w:after="0" w:line="253"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leave; (c) any other bona fide leave of absence approved by the Company, provided that such leave is for a period of not more than ninety (90) days, unless reemployment upon the expiration of such leave is guaranteed by contract or statute, or unless provided otherwise pursuant to a written Company policy. In the case of an approved leave of absence, the Plan Administrator may make such provisions respecting suspension of vesting and crediting of service (including pursuant to a formal policy adopted from time to time by the Company) as it may deem appropriate, except that in no event may an Option or Stock Appreciation Right be exercised after the expiration of the term set forth in the Grant Agreement.</w:t>
      </w:r>
    </w:p>
    <w:p>
      <w:pPr>
        <w:spacing w:after="0" w:line="183"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12.6 Change in Time Commitment</w:t>
      </w:r>
      <w:r>
        <w:rPr>
          <w:rFonts w:ascii="Times New Roman" w:cs="Times New Roman" w:eastAsia="Times New Roman" w:hAnsi="Times New Roman"/>
          <w:sz w:val="18"/>
          <w:szCs w:val="18"/>
          <w:color w:val="auto"/>
        </w:rPr>
        <w:t>. In the event a Grantee’s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Affiliates is reduced</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66" w:right="47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example, and without limitation, if the Grantee is an Employee of the Company and the Employee has a change in status from full-time to part-time or takes an extended leave of absence) after the date of grant of any Grant, the Committee or the Plan Administrator, in that party’s sole discretion but subject to and only to the extent permitted by Applicable Law, may (x) make a corresponding reduction in the number of Shares or cash amount subject to any portion of such Grant that is scheduled to vest or become payable after the date of such change in time commitment, and (y) in lieu of or in combination with such a reduction, extend the vesting schedule applicable to such Grant (in accordance with Section 409A of the Code, as applicable). In the event of any such reduction, the Grantee will have no right with respect to any portion of the Grant that is so amended.</w:t>
      </w:r>
    </w:p>
    <w:p>
      <w:pPr>
        <w:spacing w:after="0" w:line="183"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12.7 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filed publicly at www.sec.gov (or any successor website thereto) or posted on the Company’s intranet (or other shared electronic medium controlled by the Company to which the Grantee has access).</w:t>
      </w:r>
    </w:p>
    <w:p>
      <w:pPr>
        <w:spacing w:after="0" w:line="171"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12.8 Deferrals</w:t>
      </w:r>
      <w:r>
        <w:rPr>
          <w:rFonts w:ascii="Times New Roman" w:cs="Times New Roman" w:eastAsia="Times New Roman" w:hAnsi="Times New Roman"/>
          <w:sz w:val="18"/>
          <w:szCs w:val="18"/>
          <w:color w:val="auto"/>
        </w:rPr>
        <w:t>. To the extent permitted by Applicable Law, the Committee, in its sole discretion, may determine that the delivery of Shares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cash, upon the exercise, vesting or settlement of all or a portion of any Grant may be deferred and may establish programs and procedures for deferral elections to be made by Grantees. Deferrals by Grantees will be made in accordance with Section 409A of the Code, if applicable, and any other Applicable Law.</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12.9 Compliance with Section 409A of the Code</w:t>
      </w:r>
      <w:r>
        <w:rPr>
          <w:rFonts w:ascii="Times New Roman" w:cs="Times New Roman" w:eastAsia="Times New Roman" w:hAnsi="Times New Roman"/>
          <w:sz w:val="18"/>
          <w:szCs w:val="18"/>
          <w:color w:val="auto"/>
        </w:rPr>
        <w:t>. Unless otherwise expressly provided in a Grant Agreement, the Plan and Grant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interpreted to the greatest extent possible in a manner that makes the Plan and the Grants granted hereunder exempt from Section 409A of the Code, and, to the extent not so exempt, in compliance with Section 409A of the Code. If the Committee determines that any Grant granted hereunder is not exempt from and is therefore subject to Section 409A of the Code, the Grant Agreement evidencing such Grant will incorporate the terms and conditions necessary to avoid the consequences specified in Section 409A(a)(1) of the Code, and to the extent a Grant Agreement is silent on terms necessary for compliance, such terms are hereby incorporated by reference into the Grant Agreement. To the extent that any amount constituting deferred compensation under Section 409A of the Code would become payable under this Plan by reason of a Change in Control, such amount shall become payable only if the event constituting a Change in Control would also qualify as a change in ownership or effective control of the Company or a change in the ownership of a substantial portion of the assets of the Company within the meaning of Code Section 409A. If a Grantee holding a Grant that constitutes deferred compensation under Section 409A of the Code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a Grant Agreement is intended to constitute a separate payment for purposes of Treasury Regulation</w:t>
      </w:r>
    </w:p>
    <w:p>
      <w:pPr>
        <w:spacing w:after="0" w:line="2" w:lineRule="exact"/>
        <w:rPr>
          <w:sz w:val="20"/>
          <w:szCs w:val="20"/>
          <w:color w:val="auto"/>
        </w:rPr>
      </w:pPr>
    </w:p>
    <w:p>
      <w:pPr>
        <w:jc w:val="right"/>
        <w:ind w:right="5360"/>
        <w:spacing w:after="0" w:line="433" w:lineRule="auto"/>
        <w:rPr>
          <w:sz w:val="20"/>
          <w:szCs w:val="20"/>
          <w:color w:val="auto"/>
        </w:rPr>
      </w:pPr>
      <w:r>
        <w:rPr>
          <w:rFonts w:ascii="Times New Roman" w:cs="Times New Roman" w:eastAsia="Times New Roman" w:hAnsi="Times New Roman"/>
          <w:sz w:val="18"/>
          <w:szCs w:val="18"/>
          <w:color w:val="auto"/>
        </w:rPr>
        <w:t>Section 1.409A-2(b)(2). In no event will any Grantee have a right to payment 14</w:t>
      </w:r>
    </w:p>
    <w:p>
      <w:pPr>
        <w:sectPr>
          <w:pgSz w:w="11900" w:h="16838" w:orient="portrait"/>
          <w:cols w:equalWidth="0" w:num="1">
            <w:col w:w="10960"/>
          </w:cols>
          <w:pgMar w:left="440" w:top="270" w:right="499" w:bottom="1440" w:gutter="0" w:footer="0" w:header="0"/>
        </w:sectPr>
      </w:pPr>
    </w:p>
    <w:bookmarkStart w:id="22" w:name="page23"/>
    <w:bookmarkEnd w:id="22"/>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reimbursement or otherwise from the Company or its Affiliates, or their successors or assigns, for any taxes imposed or other costs incurred as a result of Section 409A of the Code.</w:t>
      </w:r>
    </w:p>
    <w:p>
      <w:pPr>
        <w:spacing w:after="0" w:line="158"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12.10 Execution of Additional Documents</w:t>
      </w:r>
      <w:r>
        <w:rPr>
          <w:rFonts w:ascii="Times New Roman" w:cs="Times New Roman" w:eastAsia="Times New Roman" w:hAnsi="Times New Roman"/>
          <w:sz w:val="18"/>
          <w:szCs w:val="18"/>
          <w:color w:val="auto"/>
        </w:rPr>
        <w:t>. The Company may require a Grantee to execute any additional documents or instruments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desirable, as determined by the Plan Administrator, to carry out the purposes or intent of the Grant, or facilitate compliance with securities, tax and/or other regulatory requirements, at the Plan Administrator’s request.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Corporate Events.</w:t>
      </w:r>
    </w:p>
    <w:p>
      <w:pPr>
        <w:spacing w:after="0" w:line="117"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13.1 Change in Control</w:t>
      </w:r>
      <w:r>
        <w:rPr>
          <w:rFonts w:ascii="Times New Roman" w:cs="Times New Roman" w:eastAsia="Times New Roman" w:hAnsi="Times New Roman"/>
          <w:sz w:val="18"/>
          <w:szCs w:val="18"/>
          <w:color w:val="auto"/>
        </w:rPr>
        <w:t>. In the event that the Company is subject to a Change in Control, outstanding Grants acquired under the Plan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agreement evidencing the Change in Control, which need not treat all outstanding Grants in an identical manner. Such agreement, without the Grantee’s consent, shall provide for one or more of the following with respect to all outstanding Grants as of the effective date of such Change in Control:</w:t>
      </w:r>
    </w:p>
    <w:p>
      <w:pPr>
        <w:spacing w:after="0" w:line="180" w:lineRule="exact"/>
        <w:rPr>
          <w:sz w:val="20"/>
          <w:szCs w:val="20"/>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continuation of an outstanding Grant by the Company (if the Company is the successor entity).</w:t>
      </w:r>
    </w:p>
    <w:p>
      <w:pPr>
        <w:spacing w:after="0" w:line="225" w:lineRule="exact"/>
        <w:rPr>
          <w:rFonts w:ascii="Times New Roman" w:cs="Times New Roman" w:eastAsia="Times New Roman" w:hAnsi="Times New Roman"/>
          <w:sz w:val="18"/>
          <w:szCs w:val="18"/>
          <w:b w:val="1"/>
          <w:bCs w:val="1"/>
          <w:color w:val="auto"/>
        </w:rPr>
      </w:pPr>
    </w:p>
    <w:p>
      <w:pPr>
        <w:jc w:val="both"/>
        <w:ind w:right="40" w:firstLine="987"/>
        <w:spacing w:after="0" w:line="261" w:lineRule="auto"/>
        <w:tabs>
          <w:tab w:leader="none" w:pos="125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assumption of an outstanding Grant by the successor or acquiring entity (if any) of such Change in Control (or by its parents, if any), which assumption will be binding on all selected Grantees; provided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spacing w:after="0" w:line="179" w:lineRule="exact"/>
        <w:rPr>
          <w:rFonts w:ascii="Times New Roman" w:cs="Times New Roman" w:eastAsia="Times New Roman" w:hAnsi="Times New Roman"/>
          <w:sz w:val="18"/>
          <w:szCs w:val="18"/>
          <w:b w:val="1"/>
          <w:bCs w:val="1"/>
          <w:color w:val="auto"/>
        </w:rPr>
      </w:pPr>
    </w:p>
    <w:p>
      <w:pPr>
        <w:ind w:right="160" w:firstLine="987"/>
        <w:spacing w:after="0" w:line="261" w:lineRule="auto"/>
        <w:tabs>
          <w:tab w:leader="none" w:pos="123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substitution by the successor or acquiring entity in such Change in Control (or by its parents, if any) of equivalent awards with substantially the same terms for such outstanding Grants (except that the Exercise Price and the number and nature of shares issuable upon exercise of any Option or Stock Appreciation Right, or any award that is subject to Section 409A of the Code, will be adjusted appropriately pursuant to Section 424(a) of the Code and/or Section 409A of the Code, as applicable).</w:t>
      </w:r>
    </w:p>
    <w:p>
      <w:pPr>
        <w:spacing w:after="0" w:line="179" w:lineRule="exact"/>
        <w:rPr>
          <w:rFonts w:ascii="Times New Roman" w:cs="Times New Roman" w:eastAsia="Times New Roman" w:hAnsi="Times New Roman"/>
          <w:sz w:val="18"/>
          <w:szCs w:val="18"/>
          <w:b w:val="1"/>
          <w:bCs w:val="1"/>
          <w:color w:val="auto"/>
        </w:rPr>
      </w:pPr>
    </w:p>
    <w:p>
      <w:pPr>
        <w:ind w:right="280" w:firstLine="987"/>
        <w:spacing w:after="0" w:line="312" w:lineRule="auto"/>
        <w:tabs>
          <w:tab w:leader="none" w:pos="1256"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full or partial acceleration of exercisability or vesting and accelerated expiration of an outstanding Grant and lapse of the Company’s right to repurchase or re-acquire shares acquired under a Grant or lapse of forfeiture rights with respect to shares acquired under a Grant.</w:t>
      </w:r>
    </w:p>
    <w:p>
      <w:pPr>
        <w:spacing w:after="0" w:line="139" w:lineRule="exact"/>
        <w:rPr>
          <w:rFonts w:ascii="Times New Roman" w:cs="Times New Roman" w:eastAsia="Times New Roman" w:hAnsi="Times New Roman"/>
          <w:sz w:val="17"/>
          <w:szCs w:val="17"/>
          <w:b w:val="1"/>
          <w:bCs w:val="1"/>
          <w:color w:val="auto"/>
        </w:rPr>
      </w:pPr>
    </w:p>
    <w:p>
      <w:pPr>
        <w:ind w:firstLine="987"/>
        <w:spacing w:after="0" w:line="255" w:lineRule="auto"/>
        <w:tabs>
          <w:tab w:leader="none" w:pos="123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settlement of such outstanding Grant (whether or not then vested or exercisable) in cash, cash equivalents, or securities of the successor entity (or its parent, if any) with a Fair Market Value equal to the required amount provided in the definitive agreement evidencing the Change in Control, followed by the cancellation of such Grants; provided however, that such Grant may be cancelled without consideration if such Grant has no value, as determined by the Committee in its sole discretion. Subject to compliance with Section 409A of the Code, such payment may be made in installments and may be deferred until the date or dates the Grant would have become exercisable or vested. Such payment may be subject to vesting based on the Grantee’s Continuous Service Status, provided that the vesting schedule shall not be less favorable to the Grantee than the schedule under which the Grant would have become vested or exercisable.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3" w:name="page24"/>
    <w:bookmarkEnd w:id="23"/>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paragraph, the Fair Market Value of any security shall be determined without regard to any vesting conditions that may apply to such security.</w:t>
      </w:r>
    </w:p>
    <w:p>
      <w:pPr>
        <w:spacing w:after="0" w:line="162" w:lineRule="exact"/>
        <w:rPr>
          <w:sz w:val="20"/>
          <w:szCs w:val="20"/>
          <w:color w:val="auto"/>
        </w:rPr>
      </w:pPr>
    </w:p>
    <w:p>
      <w:pPr>
        <w:ind w:left="1220" w:hanging="233"/>
        <w:spacing w:after="0"/>
        <w:tabs>
          <w:tab w:leader="none" w:pos="12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cancellation of outstanding Grants in exchange for no consideration.</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Board shall have full power and authority to assign the Company’s right to repurchase or re-acquire or forfeiture rights to such successor or acquiring corporation. In addition, in the event such successor or acquiring corporation (if any) refuses to assume, convert, replace or substitute Grants, as provided above, pursuant to a Change in Control, the Committee will notify the Grantee in writing or electronically that such Grant will be exercisable (to the extent vested and exercisable pursuant to its terms) for a period of time determined by the Committee in its sole discretion, and such Grant will terminate upon the expiration of such period.</w:t>
      </w:r>
    </w:p>
    <w:p>
      <w:pPr>
        <w:spacing w:after="0" w:line="1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13.2 Assumption of Grants by the Company</w:t>
      </w:r>
      <w:r>
        <w:rPr>
          <w:rFonts w:ascii="Times New Roman" w:cs="Times New Roman" w:eastAsia="Times New Roman" w:hAnsi="Times New Roman"/>
          <w:sz w:val="18"/>
          <w:szCs w:val="18"/>
          <w:color w:val="auto"/>
        </w:rPr>
        <w:t>. The Company, from time to time, may substitute or assume outstanding awards granted by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whether in connection with an acquisition of such other company or otherwise, by either (a) granting a Grant under this Plan in substitution of such other company’s award; or (b) assuming such award as if it had been granted under this Plan if the terms of such assumed award could be applied to a Grant granted under this Plan (a “</w:t>
      </w:r>
      <w:r>
        <w:rPr>
          <w:rFonts w:ascii="Times New Roman" w:cs="Times New Roman" w:eastAsia="Times New Roman" w:hAnsi="Times New Roman"/>
          <w:sz w:val="18"/>
          <w:szCs w:val="18"/>
          <w:b w:val="1"/>
          <w:bCs w:val="1"/>
          <w:color w:val="auto"/>
        </w:rPr>
        <w:t>Substitute Grant</w:t>
      </w:r>
      <w:r>
        <w:rPr>
          <w:rFonts w:ascii="Times New Roman" w:cs="Times New Roman" w:eastAsia="Times New Roman" w:hAnsi="Times New Roman"/>
          <w:sz w:val="18"/>
          <w:szCs w:val="18"/>
          <w:color w:val="auto"/>
        </w:rPr>
        <w:t>”). Such substitution or assumption will be permissible if the holder of the Substitute Grant would have been eligible to be granted a Grant under this Plan if the other company had applied the rules of this Plan to such grant. The Exercise Price and the number and nature of Shares issuable upon exercise or settlement of any such Substitute Grant will be adjusted appropriately pursuant to Section 424(a) of the Code and/or Section 409A of the Code, as applicable.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Administration.</w:t>
      </w:r>
    </w:p>
    <w:p>
      <w:pPr>
        <w:spacing w:after="0" w:line="117" w:lineRule="exact"/>
        <w:rPr>
          <w:sz w:val="20"/>
          <w:szCs w:val="20"/>
          <w:color w:val="auto"/>
        </w:rPr>
      </w:pPr>
    </w:p>
    <w:p>
      <w:pPr>
        <w:ind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14.1 Committee Authority</w:t>
      </w:r>
      <w:r>
        <w:rPr>
          <w:rFonts w:ascii="Times New Roman" w:cs="Times New Roman" w:eastAsia="Times New Roman" w:hAnsi="Times New Roman"/>
          <w:sz w:val="18"/>
          <w:szCs w:val="18"/>
          <w:color w:val="auto"/>
        </w:rPr>
        <w:t>. This Plan will be administered by the Committee or by the Board acting as the Committee. Subject to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terms and conditions of this Plan, Applicable Law and any charter adopted by the Board governing the actions of the Committee, the Committee will have full power to implement and carry out this Plan. Without limitation, the Committee will have the authority to, subject to the preceding sentence:</w:t>
      </w:r>
    </w:p>
    <w:p>
      <w:pPr>
        <w:spacing w:after="0" w:line="180" w:lineRule="exact"/>
        <w:rPr>
          <w:sz w:val="20"/>
          <w:szCs w:val="20"/>
          <w:color w:val="auto"/>
        </w:rPr>
      </w:pPr>
    </w:p>
    <w:p>
      <w:pPr>
        <w:ind w:left="1240" w:hanging="253"/>
        <w:spacing w:after="0"/>
        <w:tabs>
          <w:tab w:leader="none" w:pos="12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construe and interpret this Plan, any Grant Agreement and any other agreement or document executed pursuant to this Plan;</w:t>
      </w:r>
    </w:p>
    <w:p>
      <w:pPr>
        <w:spacing w:after="0" w:line="225" w:lineRule="exact"/>
        <w:rPr>
          <w:rFonts w:ascii="Times New Roman" w:cs="Times New Roman" w:eastAsia="Times New Roman" w:hAnsi="Times New Roman"/>
          <w:sz w:val="18"/>
          <w:szCs w:val="18"/>
          <w:b w:val="1"/>
          <w:bCs w:val="1"/>
          <w:color w:val="auto"/>
        </w:rPr>
      </w:pPr>
    </w:p>
    <w:p>
      <w:pPr>
        <w:ind w:right="60" w:firstLine="987"/>
        <w:spacing w:after="0" w:line="282" w:lineRule="auto"/>
        <w:tabs>
          <w:tab w:leader="none" w:pos="125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prescribe, amend, expand, modify and rescind or terminate rules and regulations relating to this Plan or any Grant (including the terms or conditions of any Grant);</w:t>
      </w:r>
    </w:p>
    <w:p>
      <w:pPr>
        <w:spacing w:after="0" w:line="161"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approve persons to receive Grants;</w:t>
      </w:r>
    </w:p>
    <w:p>
      <w:pPr>
        <w:spacing w:after="0" w:line="225"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form, terms and conditions of Grants;</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number of Shares or other consideration subject to Grants;</w:t>
      </w:r>
    </w:p>
    <w:p>
      <w:pPr>
        <w:spacing w:after="0" w:line="225" w:lineRule="exact"/>
        <w:rPr>
          <w:rFonts w:ascii="Times New Roman" w:cs="Times New Roman" w:eastAsia="Times New Roman" w:hAnsi="Times New Roman"/>
          <w:sz w:val="18"/>
          <w:szCs w:val="18"/>
          <w:b w:val="1"/>
          <w:bCs w:val="1"/>
          <w:color w:val="auto"/>
        </w:rPr>
      </w:pPr>
    </w:p>
    <w:p>
      <w:pPr>
        <w:ind w:right="400" w:firstLine="987"/>
        <w:spacing w:after="0" w:line="282" w:lineRule="auto"/>
        <w:tabs>
          <w:tab w:leader="none" w:pos="121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4" w:name="page25"/>
    <w:bookmarkEnd w:id="24"/>
    <w:p>
      <w:pPr>
        <w:ind w:left="4" w:right="300" w:firstLine="987"/>
        <w:spacing w:after="0" w:line="282" w:lineRule="auto"/>
        <w:tabs>
          <w:tab w:leader="none" w:pos="125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 whether Grants will be granted singly, in combination with, in tandem with, in replacement of, or as alternatives to, other Grants under this Plan or awards under any other incentive or compensation plan of the Company or any Affiliate;</w:t>
      </w:r>
    </w:p>
    <w:p>
      <w:pPr>
        <w:spacing w:after="0" w:line="161"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waivers of any conditions of this Plan or any Grant;</w:t>
      </w:r>
    </w:p>
    <w:p>
      <w:pPr>
        <w:spacing w:after="0" w:line="225"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vesting, exercisability and payment of Grants;</w:t>
      </w:r>
    </w:p>
    <w:p>
      <w:pPr>
        <w:spacing w:after="0" w:line="225" w:lineRule="exact"/>
        <w:rPr>
          <w:rFonts w:ascii="Times New Roman" w:cs="Times New Roman" w:eastAsia="Times New Roman" w:hAnsi="Times New Roman"/>
          <w:sz w:val="18"/>
          <w:szCs w:val="18"/>
          <w:b w:val="1"/>
          <w:bCs w:val="1"/>
          <w:color w:val="auto"/>
        </w:rPr>
      </w:pPr>
    </w:p>
    <w:p>
      <w:pPr>
        <w:ind w:left="1224" w:hanging="233"/>
        <w:spacing w:after="0"/>
        <w:tabs>
          <w:tab w:leader="none" w:pos="12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correct any defect, supply any omission or reconcile any inconsistency in this Plan, any Grant or any Grant Agreement;</w:t>
      </w:r>
    </w:p>
    <w:p>
      <w:pPr>
        <w:spacing w:after="0" w:line="225"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whether a Grant has been earned or has vested;</w:t>
      </w:r>
    </w:p>
    <w:p>
      <w:pPr>
        <w:spacing w:after="0" w:line="225"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the terms and conditions of, and to institute, any Exchange Program;</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61" w:lineRule="auto"/>
        <w:tabs>
          <w:tab w:leader="none" w:pos="131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adopt or revise rules and/or procedures (including the adoption or revision of any subplan under this Plan) relating to the operation and administration of the Plan to facilitate compliance with requirements of local law and procedures outside the United States (provided that Board approval will not be necessary for immaterial modifications to the Plan or any Grant Agreement made to ensure or facilitate compliance with the laws or regulations of the relevant foreign jurisdiction);</w:t>
      </w:r>
    </w:p>
    <w:p>
      <w:pPr>
        <w:spacing w:after="0" w:line="179" w:lineRule="exact"/>
        <w:rPr>
          <w:rFonts w:ascii="Times New Roman" w:cs="Times New Roman" w:eastAsia="Times New Roman" w:hAnsi="Times New Roman"/>
          <w:sz w:val="18"/>
          <w:szCs w:val="18"/>
          <w:b w:val="1"/>
          <w:bCs w:val="1"/>
          <w:color w:val="auto"/>
        </w:rPr>
      </w:pPr>
    </w:p>
    <w:p>
      <w:pPr>
        <w:ind w:left="4" w:right="560" w:firstLine="987"/>
        <w:spacing w:after="0" w:line="282" w:lineRule="auto"/>
        <w:tabs>
          <w:tab w:leader="none" w:pos="12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delegate any of the foregoing to one or more Officers pursuant to a specific delegation as permitted by the terms of the Plan and Applicable Law, including Section 157(c) of the Delaware General Corporation Law; and</w:t>
      </w:r>
    </w:p>
    <w:p>
      <w:pPr>
        <w:spacing w:after="0" w:line="161"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all other determinations necessary or advisable in connection with the administration of this Plan.</w:t>
      </w:r>
    </w:p>
    <w:p>
      <w:pPr>
        <w:spacing w:after="0" w:line="221" w:lineRule="exact"/>
        <w:rPr>
          <w:sz w:val="20"/>
          <w:szCs w:val="20"/>
          <w:color w:val="auto"/>
        </w:rPr>
      </w:pPr>
    </w:p>
    <w:p>
      <w:pPr>
        <w:ind w:left="4" w:right="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14.2 Indemnification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maximum extent permitted by Applicable Laws, each member of the Committee (including officers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an Affiliate of the Company, if applicable), or of the Board, as applicable, shall be indemnified and held harmless by the Company against and from</w:t>
      </w:r>
    </w:p>
    <w:p>
      <w:pPr>
        <w:spacing w:after="0" w:line="1" w:lineRule="exact"/>
        <w:rPr>
          <w:sz w:val="20"/>
          <w:szCs w:val="20"/>
          <w:color w:val="auto"/>
        </w:rPr>
      </w:pPr>
    </w:p>
    <w:p>
      <w:pPr>
        <w:ind w:left="4" w:right="20" w:hanging="4"/>
        <w:spacing w:after="0" w:line="251"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Grant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25" w:name="page26"/>
    <w:bookmarkEnd w:id="25"/>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14.3 Committee Interpretation and Discretion</w:t>
      </w:r>
      <w:r>
        <w:rPr>
          <w:rFonts w:ascii="Times New Roman" w:cs="Times New Roman" w:eastAsia="Times New Roman" w:hAnsi="Times New Roman"/>
          <w:sz w:val="18"/>
          <w:szCs w:val="18"/>
          <w:color w:val="auto"/>
        </w:rPr>
        <w:t>. Any determination made by the Committee with respect to any Grant shall be made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at the time of grant of the Grant or, unless in contravention of any express term of the Plan or Grant or Applicable Law, at any later time, and such determination shall be final and binding on the Company and all persons having an interest in any Grant under the Plan. Any dispute regarding the interpretation of the Plan or any Grant Agreement shall be submitted by the Grantee or Company to the Committee for review. The resolution of such a dispute by the Committee shall be final and binding on the Company and the Grantee. The Committee may delegate to the Plan Administrator or one or more Officers the authority to review and resolve disputes with respect to Grants held by Grantees who are not Insiders, and such resolution shall be final and binding on the Company and the Grantee.</w:t>
      </w:r>
    </w:p>
    <w:p>
      <w:pPr>
        <w:spacing w:after="0" w:line="183"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14.4 Section 16 of the Exchange Act</w:t>
      </w:r>
      <w:r>
        <w:rPr>
          <w:rFonts w:ascii="Times New Roman" w:cs="Times New Roman" w:eastAsia="Times New Roman" w:hAnsi="Times New Roman"/>
          <w:sz w:val="18"/>
          <w:szCs w:val="18"/>
          <w:color w:val="auto"/>
        </w:rPr>
        <w:t>. Grants granted to Grantees who are subject to Section 16 of the Exchange Act must be approved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that at all times consists solely of two or more Non-Employee Directors. Nothing herein shall create an inference that a Grant is not validly granted under the Plan in the event Grants are not granted under the Plan by a committee of the Board that does not at all times consist solely of two or more Non-Employee Directors.</w:t>
      </w:r>
    </w:p>
    <w:p>
      <w:pPr>
        <w:spacing w:after="0" w:line="176"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14.5 Plan Administrator</w:t>
      </w:r>
      <w:r>
        <w:rPr>
          <w:rFonts w:ascii="Times New Roman" w:cs="Times New Roman" w:eastAsia="Times New Roman" w:hAnsi="Times New Roman"/>
          <w:sz w:val="18"/>
          <w:szCs w:val="18"/>
          <w:color w:val="auto"/>
        </w:rPr>
        <w:t>. The Committee may appoint a Plan Administrator, who will have the authority to administer the day-to-day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and to make certain ministerial decisions without Committee approval as provided in the Plan or pursuant to resolutions adopted by the Committee. The Plan Administrator may not grant Grants.</w:t>
      </w:r>
    </w:p>
    <w:p>
      <w:pPr>
        <w:spacing w:after="0" w:line="171"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14.6 Failure to Comply</w:t>
      </w:r>
      <w:r>
        <w:rPr>
          <w:rFonts w:ascii="Times New Roman" w:cs="Times New Roman" w:eastAsia="Times New Roman" w:hAnsi="Times New Roman"/>
          <w:sz w:val="18"/>
          <w:szCs w:val="18"/>
          <w:color w:val="auto"/>
        </w:rPr>
        <w:t>. In addition to the remedies of the Company elsewhere provided for herein, failure by a Grantee to comply with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the Plan or any Grant Agreement, unless such failure is remedied by such Grantee within ten (10) days after having been notified of such failure by the Plan Administrator, shall be grounds for the cancellation and forfeiture of such Grant, in whole or in part, as the Committee, in its sole discretion, may determine.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14.7 Foreign Grant Recipients</w:t>
      </w:r>
      <w:r>
        <w:rPr>
          <w:rFonts w:ascii="Times New Roman" w:cs="Times New Roman" w:eastAsia="Times New Roman" w:hAnsi="Times New Roman"/>
          <w:sz w:val="18"/>
          <w:szCs w:val="18"/>
          <w:color w:val="auto"/>
        </w:rPr>
        <w:t>. Notwithstanding any provision of the Plan to the contrary, in order to facilitate compliance with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Laws and practices in other countries in which the Company and its Affiliates operate or have Employees or other persons eligible for Grants, the Committee, in its sole discretion, will have the power and authority to: (a) determine which Affiliates will be covered by the Plan; (b) determine which individuals outside the United States are eligible to participate in the Plan, which may include individuals who provide services to the Company or an Affiliate under an agreement with a foreign nation or agency; (c) modify the terms and conditions of any Grant granted to individuals outside the United States or foreign nationals to comply with Applicable Laws or foreign policies, customs and practices; (d) establish sub-plans, modify exercise procedures and adopt other rules and/or procedures relating to the operation and administration of the Plan in jurisdictions other than the United States (including to qualify Grants for special tax treatment under laws of jurisdictions other than the United States); provided, however, that no such sub-plans and/or modifications will increase the share limitations contained in Section 2.1; and (e) take any action, before or after a Grant is made, that the Committee determines to be necessary or advisable to obtain approval or comply with any local governmental regulatory exemptions or approvals. Notwithstanding the foregoing, the Committee may not take any actions hereunder, and no Grants will be granted, that would violate any Applicable Law in the United States or that would contravene the ASX Listing Rules or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26" w:name="page27"/>
    <w:bookmarkEnd w:id="26"/>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14.8 Non-Exclusivity of the Plan</w:t>
      </w:r>
      <w:r>
        <w:rPr>
          <w:rFonts w:ascii="Times New Roman" w:cs="Times New Roman" w:eastAsia="Times New Roman" w:hAnsi="Times New Roman"/>
          <w:sz w:val="18"/>
          <w:szCs w:val="18"/>
          <w:color w:val="auto"/>
        </w:rPr>
        <w:t>. Neither the adoption of this Plan by the Board, the submission of this Plan to the stockholders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14.9 Severability</w:t>
      </w:r>
      <w:r>
        <w:rPr>
          <w:rFonts w:ascii="Times New Roman" w:cs="Times New Roman" w:eastAsia="Times New Roman" w:hAnsi="Times New Roman"/>
          <w:sz w:val="18"/>
          <w:szCs w:val="18"/>
          <w:color w:val="auto"/>
        </w:rPr>
        <w:t>. If all or any part of this Plan or a Grant Agreement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will not serve to invalidate any portion of this Plan not declared to be unlawful or invalid. Any Section or part of a Section so declared to be unlawful or invalid will, if possible, be construed in a manner that will give effect to the terms of such Section or part of a Section to the fullest extent possible while remaining lawful and valid.</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14.10 Corporate Action Constituting Grant of Grants</w:t>
      </w:r>
      <w:r>
        <w:rPr>
          <w:rFonts w:ascii="Times New Roman" w:cs="Times New Roman" w:eastAsia="Times New Roman" w:hAnsi="Times New Roman"/>
          <w:sz w:val="18"/>
          <w:szCs w:val="18"/>
          <w:color w:val="auto"/>
        </w:rPr>
        <w:t>. Corporate action constituting a grant by the Company of a Grant to any Grantee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completed as of the date of such corporate action, unless otherwise determined by the Plan Administrator, regardless of when the instrument, certificate, or letter evidencing the Grant is communicated to, or actually received or accepted by, the Grantee. In the event that the corporate records (e.g., Board consents, resolutions or minutes) documenting the corporate action constituting the Grant contain terms (e.g., Exercise Price, Purchase Price, vesting schedule or number of Shares) are inconsistent with those in the Grant Agreement or related grant documents as a result of a clerical error in the preparation of the Grant Agreement or related grant documentation, the corporate records will control, and the Grantee will have no legally binding right to the incorrect term in the Grant Agreement or related grant documentation.</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14.11 Expenses and Receipts</w:t>
      </w:r>
      <w:r>
        <w:rPr>
          <w:rFonts w:ascii="Times New Roman" w:cs="Times New Roman" w:eastAsia="Times New Roman" w:hAnsi="Times New Roman"/>
          <w:sz w:val="18"/>
          <w:szCs w:val="18"/>
          <w:color w:val="auto"/>
        </w:rPr>
        <w:t>. The expenses of the Plan will be paid by the Company. Any proceeds received by the Company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Grant will be used for general corporate purposes.</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14.12 Governing Law</w:t>
      </w:r>
      <w:r>
        <w:rPr>
          <w:rFonts w:ascii="Times New Roman" w:cs="Times New Roman" w:eastAsia="Times New Roman" w:hAnsi="Times New Roman"/>
          <w:sz w:val="18"/>
          <w:szCs w:val="18"/>
          <w:color w:val="auto"/>
        </w:rPr>
        <w:t>. This Plan and all Grants granted hereunder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unless provided otherwise in a Grant Agreement, without giving effect to that body of laws pertaining to conflict of laws.</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14.13 Headings</w:t>
      </w:r>
      <w:r>
        <w:rPr>
          <w:rFonts w:ascii="Times New Roman" w:cs="Times New Roman" w:eastAsia="Times New Roman" w:hAnsi="Times New Roman"/>
          <w:sz w:val="18"/>
          <w:szCs w:val="18"/>
          <w:color w:val="auto"/>
        </w:rPr>
        <w:t>. The headings in this Plan are included solely for convenience of reference and if there is any conflict between such headings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text of this Plan, the text shall control.</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Effectiveness, Amendment and Termination of the Plan.</w:t>
      </w:r>
    </w:p>
    <w:p>
      <w:pPr>
        <w:spacing w:after="0" w:line="117"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15.1 Adoption and Stockholder Approval</w:t>
      </w:r>
      <w:r>
        <w:rPr>
          <w:rFonts w:ascii="Times New Roman" w:cs="Times New Roman" w:eastAsia="Times New Roman" w:hAnsi="Times New Roman"/>
          <w:sz w:val="18"/>
          <w:szCs w:val="18"/>
          <w:color w:val="auto"/>
        </w:rPr>
        <w:t>. The Plan will come into existence on the date the Plan is approved by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No Grant may be granted prior to the Effective Date.</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15.2 Amendment of the Plan</w:t>
      </w:r>
      <w:r>
        <w:rPr>
          <w:rFonts w:ascii="Times New Roman" w:cs="Times New Roman" w:eastAsia="Times New Roman" w:hAnsi="Times New Roman"/>
          <w:sz w:val="18"/>
          <w:szCs w:val="18"/>
          <w:color w:val="auto"/>
        </w:rPr>
        <w:t>. The Committee may amend the Plan or any Grant in any respect the Committee deems necessary or advisable,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of Applicable Law</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6" w:right="479" w:bottom="1440" w:gutter="0" w:footer="0" w:header="0"/>
        </w:sectPr>
      </w:pPr>
    </w:p>
    <w:bookmarkStart w:id="27" w:name="page28"/>
    <w:bookmarkEnd w:id="2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this Section and Sections 15.4, 15.5, 15.6 and 15.7. If required by Applicable Law, the Company will seek stockholder approval of any amendment of the Plan that (a) materially increases the number of Shares available for issuance under the Plan (excluding any Capitalization Adjustment), (b) materially expands the class of individuals eligible to receive Grants under the Plan, (c) materially increases the benefits accruing to Grantees under the Plan, (d) materially reduces the price at which Shares may be issued or purchased under the Plan, (e) materially extends the term of the Plan, (f) materially expands the types of Grants available for issuance under the Plan, or (g) as otherwise required by Applicable Law.</w:t>
      </w:r>
    </w:p>
    <w:p>
      <w:pPr>
        <w:spacing w:after="0" w:line="179"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15.3 Suspension or Termination of the Plan</w:t>
      </w:r>
      <w:r>
        <w:rPr>
          <w:rFonts w:ascii="Times New Roman" w:cs="Times New Roman" w:eastAsia="Times New Roman" w:hAnsi="Times New Roman"/>
          <w:sz w:val="18"/>
          <w:szCs w:val="18"/>
          <w:color w:val="auto"/>
        </w:rPr>
        <w:t>. The Plan shall terminate automatically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Effective Date.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will be granted pursuant to the Plan after such date, but Grants previously granted may extend beyond that date. The Committee may suspend or terminate the Plan at any earlier date at any time. No Grants may be granted under the Plan while the Plan is suspended or after it is terminated.</w:t>
      </w:r>
    </w:p>
    <w:p>
      <w:pPr>
        <w:spacing w:after="0" w:line="17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15.4 No Impairment</w:t>
      </w:r>
      <w:r>
        <w:rPr>
          <w:rFonts w:ascii="Times New Roman" w:cs="Times New Roman" w:eastAsia="Times New Roman" w:hAnsi="Times New Roman"/>
          <w:sz w:val="18"/>
          <w:szCs w:val="18"/>
          <w:color w:val="auto"/>
        </w:rPr>
        <w:t>. No amendment, suspension or termination of the Plan or any Grant may materially impair a Grantee’s rights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Grant, except with the written consent of the affected Grantee or as otherwise expressly permitted in the Plan. Subject to the limitations of Applicable Law, if any, the Committee may amend the terms of any one or more Grants without the affected Grantee’s consent (a) to maintain the qualified status of the Grant as an Incentive Stock Option under Section 422 of the Code; (b) to change the terms of an Incentive Stock Option, if such change results in impairment of the Grant solely because it impairs the qualified status of the Grant as an Incentive Stock Option; (c) to clarify the manner of exemption from, or to bring the Grant into compliance with, Section 409A of the Code; or (d) to facilitate compliance with other Applicable Laws.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15.5 Compliance with ASX Listing Rules</w:t>
      </w:r>
      <w:r>
        <w:rPr>
          <w:rFonts w:ascii="Times New Roman" w:cs="Times New Roman" w:eastAsia="Times New Roman" w:hAnsi="Times New Roman"/>
          <w:sz w:val="18"/>
          <w:szCs w:val="18"/>
          <w:color w:val="auto"/>
        </w:rPr>
        <w:t>. Notwithstanding any other provision in this Plan, while the Company is listed on the ASX,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person holding Options and the terms of any such Options (and, to the extent required by the ASX Listing Rules, the rights of a recipient of other Grants and the terms of any other Grants) must be amended by the Company to the extent necessary to comply with the ASX Listing Rules applying to a reorganization of capital at the time of the reorganization, and each Option holder and recipient of any other Grant by participating in this Plan is deemed to have consented to any such amendments. To the extent that the terms of the relevant Option or other Grant do not permit the Option or Grant to be treated in accordance with the ASX Listing Rules, the terms of that Option or Grant must be amended so that the Option or Grant can be treated in accordance with the ASX Listing Rules.</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15.6 Compliance</w:t>
      </w:r>
      <w:r>
        <w:rPr>
          <w:rFonts w:ascii="Times New Roman" w:cs="Times New Roman" w:eastAsia="Times New Roman" w:hAnsi="Times New Roman"/>
          <w:sz w:val="18"/>
          <w:szCs w:val="18"/>
          <w:color w:val="auto"/>
        </w:rPr>
        <w:t>. No Option or Stock Appreciation Right shall be exercisable, no Restricted Stock Grant, RSU, Performance Grant,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 Right or any other Grant shall be granted or settled, no Grant shall be amended in any way, no Shares of Common Stock shall be issued, no certificates for Shares shall be delivered and no payment shall be made under this Plan except in compliance with all applicable federal and state laws and regulations (including, without limitation, withholding tax requirements), any listing agreement to which the Company is a party and the rules of all stock exchanges on which the Company’s securities may be listed (including, while the Company’s securities are listed on the ASX, the ASX Listing Rules). The Company shall have the right to rely on an opinion of its counsel as to such compliance. Any stock certificate evidencing Shares issued pursuant to a Grant may bear such legends and statements as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8" w:name="page29"/>
    <w:bookmarkEnd w:id="2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Committee may deem advisable to assure compliance with federal and state laws and regulations and to reflect any other restrictions applicable to such Shares as the Committee otherwise deems appropriate. No Option or Stock Appreciation Right shall be exercisable, no Restricted Stock Grant, RSU, Performance Grant, Dividend Equivalent Right or any other Grant shall be granted or settled, no Grant shall be amended in any way, no Shares shall be issued, no certificate for Shares shall be delivered and no payment shall be made under this Plan until the Company has obtained such consent, waiver or approval as the Committee may deem advisable from regulatory bodies having jurisdiction over such matters (including, while the Company’s securities are listed on the ASX, any consent, waiver or approvals required under the ASX Listing Rules).</w:t>
      </w:r>
    </w:p>
    <w:p>
      <w:pPr>
        <w:spacing w:after="0" w:line="183"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15.7 Listing Rules</w:t>
      </w:r>
      <w:r>
        <w:rPr>
          <w:rFonts w:ascii="Times New Roman" w:cs="Times New Roman" w:eastAsia="Times New Roman" w:hAnsi="Times New Roman"/>
          <w:sz w:val="18"/>
          <w:szCs w:val="18"/>
          <w:color w:val="auto"/>
        </w:rPr>
        <w:t>. While the Shares are listed for trading on any securities exchange or market (including, without limitation, ASX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Stock Market LLC), the Company and the Committee must not make any amendments to this Plan or any Grant or issue any Grants or take any other action unless such action complies with the relevant listing rules of such securities exchanges.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 Parent, a Subsidiary or any corporation or other Entity that, directly or indirectly through one or more intermediaries,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or is controlled by, or is under common control with,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ASX</w:t>
      </w:r>
      <w:r>
        <w:rPr>
          <w:rFonts w:ascii="Times New Roman" w:cs="Times New Roman" w:eastAsia="Times New Roman" w:hAnsi="Times New Roman"/>
          <w:sz w:val="18"/>
          <w:szCs w:val="18"/>
          <w:color w:val="auto"/>
        </w:rPr>
        <w:t>” means the ASX Limited (ABN 98 008 624 691), or the securities market which it operates, as the context requires.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ASX Listing Rules</w:t>
      </w:r>
      <w:r>
        <w:rPr>
          <w:rFonts w:ascii="Times New Roman" w:cs="Times New Roman" w:eastAsia="Times New Roman" w:hAnsi="Times New Roman"/>
          <w:sz w:val="18"/>
          <w:szCs w:val="18"/>
          <w:color w:val="auto"/>
        </w:rPr>
        <w:t>” means the official listing rules of the ASX.</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have the meaning ascribed to such term in any written agreement between the Grantee and the Company defining such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in the absence of such agreement, such term means, with respect to a Grantee, the occurrence of any of the following events: (a) Grantee’s unauthorized misuse of the Company’s trade secrets or proprietary information; (b) Grantee’s conviction of or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or a crime involving moral turpitude; (c) Grantee’s committing an act of fraud against the Company; or (d) Grantee’s gross negligence or willful misconduct in the performance of his or her duties that has had or is likely to have 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9" w:name="page30"/>
    <w:bookmarkEnd w:id="29"/>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material adverse effect on the Company. For purposes of this definition, the term “Company” will be interpreted to include any Subsidiary, Parent or Affiliate of the Company, as appropriate.</w:t>
      </w:r>
    </w:p>
    <w:p>
      <w:pPr>
        <w:spacing w:after="0" w:line="158"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CDI</w:t>
      </w:r>
      <w:r>
        <w:rPr>
          <w:rFonts w:ascii="Times New Roman" w:cs="Times New Roman" w:eastAsia="Times New Roman" w:hAnsi="Times New Roman"/>
          <w:sz w:val="18"/>
          <w:szCs w:val="18"/>
          <w:color w:val="auto"/>
        </w:rPr>
        <w:t>” means a CHESS Depositary Interest, being a unit of beneficial ownership in 1/5 of a share of Common Stock in the Company 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ratio as may be adopted by the Company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right="180" w:firstLine="987"/>
        <w:spacing w:after="0" w:line="261" w:lineRule="auto"/>
        <w:tabs>
          <w:tab w:leader="none" w:pos="124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any consolidation or merger of the Company with any other entity, other than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179" w:lineRule="exact"/>
        <w:rPr>
          <w:rFonts w:ascii="Times New Roman" w:cs="Times New Roman" w:eastAsia="Times New Roman" w:hAnsi="Times New Roman"/>
          <w:sz w:val="18"/>
          <w:szCs w:val="18"/>
          <w:b w:val="1"/>
          <w:bCs w:val="1"/>
          <w:color w:val="auto"/>
        </w:rPr>
      </w:pPr>
    </w:p>
    <w:p>
      <w:pPr>
        <w:ind w:right="60" w:firstLine="987"/>
        <w:spacing w:after="0" w:line="261" w:lineRule="auto"/>
        <w:tabs>
          <w:tab w:leader="none" w:pos="125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“beneficial owner” (as defined in Rule 13d-3of the Exchange Act), directly or indirectly, of securities of the Company representing more than fifty percent (50%) of the total voting power represented by the Company’s then-outstanding voting securities; provided, however, that for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179"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23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61" w:lineRule="exact"/>
        <w:rPr>
          <w:rFonts w:ascii="Times New Roman" w:cs="Times New Roman" w:eastAsia="Times New Roman" w:hAnsi="Times New Roman"/>
          <w:sz w:val="18"/>
          <w:szCs w:val="18"/>
          <w:b w:val="1"/>
          <w:bCs w:val="1"/>
          <w:color w:val="auto"/>
        </w:rPr>
      </w:pPr>
    </w:p>
    <w:p>
      <w:pPr>
        <w:ind w:firstLine="987"/>
        <w:spacing w:after="0" w:line="261" w:lineRule="auto"/>
        <w:tabs>
          <w:tab w:leader="none" w:pos="125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176"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16.9 </w:t>
      </w:r>
      <w:r>
        <w:rPr>
          <w:rFonts w:ascii="Times New Roman" w:cs="Times New Roman" w:eastAsia="Times New Roman" w:hAnsi="Times New Roman"/>
          <w:sz w:val="18"/>
          <w:szCs w:val="18"/>
          <w:color w:val="auto"/>
        </w:rPr>
        <w:t>For purposes of this definition, Persons will be considered to be acting as a group if they are owners of an Entity that enters into a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purchase or acquisition of stock, or similar business transaction with the Company.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of the Board, or those persons to whom administration of the Plan, or part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delegated as permitted by Applicable Law and in accordance with the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 and the common stock of any successor entity.</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0" w:name="page31"/>
    <w:bookmarkEnd w:id="30"/>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AVITA Therapeutics, Inc., a Delaware corporation, or any successor corporation.</w:t>
      </w:r>
    </w:p>
    <w:p>
      <w:pPr>
        <w:spacing w:after="0" w:line="22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natural person, including an advisor or independent contractor, that is engaged to render services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 Affiliate.</w:t>
      </w:r>
    </w:p>
    <w:p>
      <w:pPr>
        <w:spacing w:after="0" w:line="155"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 Status</w:t>
      </w:r>
      <w:r>
        <w:rPr>
          <w:rFonts w:ascii="Times New Roman" w:cs="Times New Roman" w:eastAsia="Times New Roman" w:hAnsi="Times New Roman"/>
          <w:sz w:val="18"/>
          <w:szCs w:val="18"/>
          <w:color w:val="auto"/>
        </w:rPr>
        <w:t>” means continued service as an Employee, Director or Consultant. Continuous Service Status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interrupted or terminated in the case of a transfer between locations of the Company or between the Company, its Affiliates, or their respective successors, or a change in status (for example, from an Employee to a Consultant). The Committee or the Plan Administrator, in that party’s sole discretion, shall determine whether a Grantee’s Continuous Service Status has ceased and the effective date of such termination.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in the case of Incentive Stock Options, total and permanent disability as defined in Section 22(e)(3) of the Code, and</w:t>
      </w:r>
    </w:p>
    <w:p>
      <w:pPr>
        <w:spacing w:after="0" w:line="31" w:lineRule="exact"/>
        <w:rPr>
          <w:sz w:val="20"/>
          <w:szCs w:val="20"/>
          <w:color w:val="auto"/>
        </w:rPr>
      </w:pPr>
    </w:p>
    <w:p>
      <w:pPr>
        <w:ind w:left="4" w:hanging="4"/>
        <w:spacing w:after="0" w:line="253"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other Grants, unless the applicable Grant Agreement provides otherwise, that the Grantee is unable to engage in any substantial gainful activity by reason of any medically determinable physical or mental impairment. The determination of whether an individual has a Disability shall be determined under procedures established by the Committee. Except in situations where the Committee is determining Disability for purposes of the term of an Incentive Stock Option, the Committee may rely on any determination that a Grantee is disabled for purposes of benefits under any long-term disability plan maintained by the Company or any Affiliate in which a Grantee participates.</w:t>
      </w:r>
    </w:p>
    <w:p>
      <w:pPr>
        <w:spacing w:after="0" w:line="183"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color w:val="auto"/>
        </w:rPr>
        <w:t>” means the right of a Grantee, granted at the discretion of the Committee or as otherwise provided by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 credit for the account of such Grantee in an amount equal to the cash, stock or other property dividends in amounts equal equivalent to cash, stock or other property dividends for each Share represented by a Grant held by such Grantee.</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the Plan is approved by the stockholders of the Company.</w:t>
      </w:r>
    </w:p>
    <w:p>
      <w:pPr>
        <w:spacing w:after="0" w:line="225"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any Affiliate, with the status of employment determined pursuant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as are deemed appropriate by the Plan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16.21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2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that “Exchange Act Person” will not include (i) the Company or any Subsidiary of the Company, (ii) any employee benefit plan of</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66" w:right="479" w:bottom="1440" w:gutter="0" w:footer="0" w:header="0"/>
        </w:sectPr>
      </w:pPr>
    </w:p>
    <w:bookmarkStart w:id="31" w:name="page32"/>
    <w:bookmarkEnd w:id="3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Program</w:t>
      </w:r>
      <w:r>
        <w:rPr>
          <w:rFonts w:ascii="Times New Roman" w:cs="Times New Roman" w:eastAsia="Times New Roman" w:hAnsi="Times New Roman"/>
          <w:sz w:val="18"/>
          <w:szCs w:val="18"/>
          <w:color w:val="auto"/>
        </w:rPr>
        <w:t>” means a program permitted under Applicable Law pursuant to which (a) outstanding Grants are surrendered,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cancelled or exchanged for cash, the same type of Grant or a different Grant (or combination thereof) or (b) the Exercise Price of an outstanding Grant is increased or reduced.</w:t>
      </w:r>
    </w:p>
    <w:p>
      <w:pPr>
        <w:spacing w:after="0" w:line="17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with respect to an Option, the price per Share at which a holder may purchase the Shares issuable upon exercise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Option, and with respect to a Stock Appreciation Right, the price per share at which the Stock Appreciation Right is granted to the holder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16.25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per Share value of the Common Stock determined as follows:</w:t>
      </w:r>
    </w:p>
    <w:p>
      <w:pPr>
        <w:spacing w:after="0" w:line="229" w:lineRule="exact"/>
        <w:rPr>
          <w:sz w:val="20"/>
          <w:szCs w:val="20"/>
          <w:color w:val="auto"/>
        </w:rPr>
      </w:pPr>
    </w:p>
    <w:p>
      <w:pPr>
        <w:jc w:val="both"/>
        <w:ind w:right="160" w:firstLine="987"/>
        <w:spacing w:after="0" w:line="261" w:lineRule="auto"/>
        <w:tabs>
          <w:tab w:leader="none" w:pos="124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or such other source as the Plan Administrator deems reliable, unless another method is approved by the Committee and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Law (including Section 409A of the Code).</w:t>
      </w:r>
    </w:p>
    <w:p>
      <w:pPr>
        <w:spacing w:after="0" w:line="179" w:lineRule="exact"/>
        <w:rPr>
          <w:rFonts w:ascii="Times New Roman" w:cs="Times New Roman" w:eastAsia="Times New Roman" w:hAnsi="Times New Roman"/>
          <w:sz w:val="18"/>
          <w:szCs w:val="18"/>
          <w:b w:val="1"/>
          <w:bCs w:val="1"/>
          <w:color w:val="auto"/>
        </w:rPr>
      </w:pPr>
    </w:p>
    <w:p>
      <w:pPr>
        <w:ind w:right="160" w:firstLine="987"/>
        <w:spacing w:after="0" w:line="261" w:lineRule="auto"/>
        <w:tabs>
          <w:tab w:leader="none" w:pos="125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179" w:lineRule="exact"/>
        <w:rPr>
          <w:rFonts w:ascii="Times New Roman" w:cs="Times New Roman" w:eastAsia="Times New Roman" w:hAnsi="Times New Roman"/>
          <w:sz w:val="18"/>
          <w:szCs w:val="18"/>
          <w:b w:val="1"/>
          <w:bCs w:val="1"/>
          <w:color w:val="auto"/>
        </w:rPr>
      </w:pPr>
    </w:p>
    <w:p>
      <w:pPr>
        <w:jc w:val="both"/>
        <w:ind w:right="420" w:firstLine="987"/>
        <w:spacing w:after="0" w:line="266" w:lineRule="auto"/>
        <w:tabs>
          <w:tab w:leader="none" w:pos="123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Plan Administrator deems reliable.</w:t>
      </w:r>
    </w:p>
    <w:p>
      <w:pPr>
        <w:spacing w:after="0" w:line="175"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none of the foregoing is applicable, by the Board or the Committee in good faith (and in accordance with Section 409A of the Code,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applicable).</w:t>
      </w:r>
    </w:p>
    <w:p>
      <w:pPr>
        <w:spacing w:after="0" w:line="203"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means any award granted under the Plan, including any Option, Restricted Stock Grant, Restricted Stock Unit Grant,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Performance Grant or Other Grant.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2" w:name="page33"/>
    <w:bookmarkEnd w:id="32"/>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Agreement</w:t>
      </w:r>
      <w:r>
        <w:rPr>
          <w:rFonts w:ascii="Times New Roman" w:cs="Times New Roman" w:eastAsia="Times New Roman" w:hAnsi="Times New Roman"/>
          <w:sz w:val="18"/>
          <w:szCs w:val="18"/>
          <w:color w:val="auto"/>
        </w:rPr>
        <w:t>” means a written or electronic agreement between the Company and a Grantee documenting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Grant. The term “Grant Agreement” will also include any other written agreement between the Company or an Affiliate and a Grantee containing additional terms and conditions of, or amendments to, a Grant.</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means a person to whom a Grant is granted pursuant to the Plan or, if applicable, such other person who holds an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the Plan that is intended to be, and qualifies as, an “incentive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meaning of Section 422 of the Code.</w:t>
      </w:r>
    </w:p>
    <w:p>
      <w:pPr>
        <w:spacing w:after="0" w:line="15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means an officer or Director of the Company or any other person whose transactions in the Common Stock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16 of the Exchange Act.</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is not an Employee of the Company or any Affiliate, and who satisfies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“non-employee director” within the meaning of Section 16 of the Exchange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the Plan that does not qualify as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contract right to purchase Shares at a fixed Exercise Price per share, subject to certain conditions, if applicable,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Grant</w:t>
      </w:r>
      <w:r>
        <w:rPr>
          <w:rFonts w:ascii="Times New Roman" w:cs="Times New Roman" w:eastAsia="Times New Roman" w:hAnsi="Times New Roman"/>
          <w:sz w:val="18"/>
          <w:szCs w:val="18"/>
          <w:color w:val="auto"/>
        </w:rPr>
        <w:t>” means a Grant based in whole or in part by reference to Shares that is granted pursuant to the terms and conditions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other than the Company owns stock possessing fifty percent (50%) or more of the total combined voting power of all classes of stock in one of the other corporations in such chain.</w:t>
      </w:r>
    </w:p>
    <w:p>
      <w:pPr>
        <w:spacing w:after="0" w:line="171"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Grant</w:t>
      </w:r>
      <w:r>
        <w:rPr>
          <w:rFonts w:ascii="Times New Roman" w:cs="Times New Roman" w:eastAsia="Times New Roman" w:hAnsi="Times New Roman"/>
          <w:sz w:val="18"/>
          <w:szCs w:val="18"/>
          <w:color w:val="auto"/>
        </w:rPr>
        <w:t>” means an award that may vest or may be earned or exercised, in whole or in part, contingent upon the attainment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 Performance Period of one or more Performance Goals and which is granted pursuant to the terms and conditions of the Plan.</w:t>
      </w:r>
    </w:p>
    <w:p>
      <w:pPr>
        <w:spacing w:after="0" w:line="15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objective or subjective criteria either individually, alternatively or in any combination applied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Grantee, the Company, any business unit or Subsidiary, that the Committee selects for purposes of establishing the Performance Goals for a Performance Period.</w:t>
      </w:r>
    </w:p>
    <w:p>
      <w:pPr>
        <w:spacing w:after="0" w:line="17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Committee for the Performance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upon the Performance Criteria. Performance Goals may be based on a Company-wide basis, with respect to one or more business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units, divisions, Affiliates, or business segments, and in either absolute terms or relative to the performance of one or more comparable companies or the performance of one or more relevant indices.</w:t>
      </w:r>
    </w:p>
    <w:p>
      <w:pPr>
        <w:spacing w:after="0" w:line="158"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Committee over which the attainment of one or more Performance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measured for the purpose of determining a Grantee’s right to vesting, exercise and/or settlement of a Grant. Performance Periods may be of varying and overlapping duration, at the sole discretion of the Committee.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Company 2020 Omnibus Incentive Plan, as it may be amended from time to time.</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one or more Officers or Employees designated by the Committee to administer the day-to-day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and the Company’s other equity incentive programs.</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price to be paid for Shares acquired under the Plan, other than Shares acquired upon exercise of an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Grant</w:t>
      </w:r>
      <w:r>
        <w:rPr>
          <w:rFonts w:ascii="Times New Roman" w:cs="Times New Roman" w:eastAsia="Times New Roman" w:hAnsi="Times New Roman"/>
          <w:sz w:val="18"/>
          <w:szCs w:val="18"/>
          <w:color w:val="auto"/>
        </w:rPr>
        <w:t>” means an award of Shares that is granted pursuant to the terms and conditions of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Grant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 Grant</w:t>
      </w:r>
      <w:r>
        <w:rPr>
          <w:rFonts w:ascii="Times New Roman" w:cs="Times New Roman" w:eastAsia="Times New Roman" w:hAnsi="Times New Roman"/>
          <w:sz w:val="18"/>
          <w:szCs w:val="18"/>
          <w:color w:val="auto"/>
        </w:rPr>
        <w:t>” means a right to receive Shares that is granted pursuant to the terms and conditions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16.47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right to receive the appreciation value on the Shares subject to the Grant that is granted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the Plan.</w:t>
      </w:r>
    </w:p>
    <w:p>
      <w:pPr>
        <w:spacing w:after="0" w:line="15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(other than the Company) in an unbroken chain of Entities beginning with the Company if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other than the last corporation in the unbroken chain owns stock possessing fifty percent (50%) or more of the total combined voting power of all classes of stock in one of the other corporation in such chain.</w:t>
      </w:r>
    </w:p>
    <w:p>
      <w:pPr>
        <w:spacing w:after="0" w:line="171" w:lineRule="exact"/>
        <w:rPr>
          <w:sz w:val="20"/>
          <w:szCs w:val="20"/>
          <w:color w:val="auto"/>
        </w:rPr>
      </w:pPr>
    </w:p>
    <w:p>
      <w:pPr>
        <w:jc w:val="both"/>
        <w:ind w:right="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16.50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Policy</w:t>
      </w:r>
      <w:r>
        <w:rPr>
          <w:rFonts w:ascii="Times New Roman" w:cs="Times New Roman" w:eastAsia="Times New Roman" w:hAnsi="Times New Roman"/>
          <w:sz w:val="17"/>
          <w:szCs w:val="17"/>
          <w:color w:val="auto"/>
        </w:rPr>
        <w:t>” means the Company’s policy permitting certain individuals to sell Company shares only during certain “window” periods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and/or otherwise restricts the ability of certain individuals to transfer or encumber shares of the Company’s capital stock, as in effect from time to time.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285875" cy="1139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13982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24,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28159 Avenue Stanford, Suite 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Valencia, CA 91355</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have acted as your counsel in connection with the Registration Statement on Form S-8 (the “Registration Statement”) filed with the Securities and Exchange Commission under the Securities Act of 1933 (the “1933 Act”) for the registration of 1,750,000 shares (the “Shares”) of the common stock, par value $0.0001 per share, of AVITA Therapeutics, Inc., a Delaware corporation (the “Company”), issuable under the Company’s 2020 Omnibus Incentive Plan (the “Plan”).</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You have requested our opinion as to the matters set forth below in connection with the Registration Statement. For purposes of rendering that opinion, we have examined the Registration Statement, the Company’s Certificate of Incorporation, as amended, and Bylaws, the Plan, and the corporate action of the Company that provides for the issuance of the Shares, and we have made such other investigation as we have deemed appropriate. We have also relied on a certificate of an officer of the Company. In rendering our opinion, we also have made the assumptions that are customary in opinion letters of this kind. We have not verified any of those assumptions.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opinion set forth below is limited to the Delaware General Corporation Law.</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the Shares have been duly authorized for issuance by the Company and, when and if issued and delivered against payment therefor in accordance with the Plan and the terms of the individual award agreements, will be validly issued, fully paid and nonassessable.</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our consent we do not thereby admit that we are in the category of persons whose consent is required under Section 7 of the 1933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K&amp;L GATES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K&amp;L GATES LLP</w:t>
      </w:r>
    </w:p>
    <w:p>
      <w:pPr>
        <w:sectPr>
          <w:pgSz w:w="11900" w:h="16838" w:orient="portrait"/>
          <w:cols w:equalWidth="0" w:num="1">
            <w:col w:w="11020"/>
          </w:cols>
          <w:pgMar w:left="440" w:top="1440"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issued our report dated August 27, 2020 with respect to the consolidated financial statements of Avita Therapeutics, Inc., included in the Annual Report on Form 10-K for the year ended June 30, 2020, which are incorporated by reference in this Registration Statement. We consent to the incorporation by reference of the aforementioned report in this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lowerLetter"/>
      <w:start w:val="1"/>
    </w:lvl>
    <w:lvl w:ilvl="1">
      <w:lvlJc w:val="left"/>
      <w:lvlText w:val="(%2)"/>
      <w:numFmt w:val="decimal"/>
      <w:start w:val="3"/>
    </w:lvl>
  </w:abstractNum>
  <w:abstractNum w:abstractNumId="5">
    <w:nsid w:val="41A7C4C9"/>
    <w:multiLevelType w:val="hybridMultilevel"/>
    <w:lvl w:ilvl="0">
      <w:lvlJc w:val="left"/>
      <w:lvlText w:val="(%1)"/>
      <w:numFmt w:val="lowerLetter"/>
      <w:start w:val="2"/>
    </w:lvl>
    <w:lvl w:ilvl="1">
      <w:lvlJc w:val="left"/>
      <w:lvlText w:val="%2"/>
      <w:numFmt w:val="decimal"/>
      <w:start w:val="1"/>
    </w:lvl>
  </w:abstractNum>
  <w:abstractNum w:abstractNumId="6">
    <w:nsid w:val="6B68079A"/>
    <w:multiLevelType w:val="hybridMultilevel"/>
    <w:lvl w:ilvl="0">
      <w:lvlJc w:val="left"/>
      <w:lvlText w:val="(%1)"/>
      <w:numFmt w:val="lowerLetter"/>
      <w:start w:val="2"/>
    </w:lvl>
  </w:abstractNum>
  <w:abstractNum w:abstractNumId="7">
    <w:nsid w:val="4E6AFB66"/>
    <w:multiLevelType w:val="hybridMultilevel"/>
    <w:lvl w:ilvl="0">
      <w:lvlJc w:val="left"/>
      <w:lvlText w:val="(%1)"/>
      <w:numFmt w:val="lowerLetter"/>
      <w:start w:val="2"/>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2"/>
    </w:lvl>
  </w:abstractNum>
  <w:abstractNum w:abstractNumId="11">
    <w:nsid w:val="3F2DBA31"/>
    <w:multiLevelType w:val="hybridMultilevel"/>
    <w:lvl w:ilvl="0">
      <w:lvlJc w:val="left"/>
      <w:lvlText w:val="(%1)"/>
      <w:numFmt w:val="decimal"/>
      <w:start w:val="30"/>
    </w:lvl>
  </w:abstractNum>
  <w:abstractNum w:abstractNumId="12">
    <w:nsid w:val="7C83E458"/>
    <w:multiLevelType w:val="hybridMultilevel"/>
    <w:lvl w:ilvl="0">
      <w:lvlJc w:val="left"/>
      <w:lvlText w:val="(%1)"/>
      <w:numFmt w:val="lowerLetter"/>
      <w:start w:val="2"/>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6"/>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6"/>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7"/>
    </w:lvl>
  </w:abstractNum>
  <w:abstractNum w:abstractNumId="21">
    <w:nsid w:val="6763845E"/>
    <w:multiLevelType w:val="hybridMultilevel"/>
    <w:lvl w:ilvl="0">
      <w:lvlJc w:val="left"/>
      <w:lvlText w:val="(%1)"/>
      <w:numFmt w:val="lowerRoman"/>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2"/>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jpeg"/><Relationship Id="rId19" Type="http://schemas.openxmlformats.org/officeDocument/2006/relationships/hyperlink" Target="http://www.sec.gov/Archives/edgar/data/1762303/000119312520233145/d80602d10k.htm" TargetMode="External"/><Relationship Id="rId20" Type="http://schemas.openxmlformats.org/officeDocument/2006/relationships/hyperlink" Target="http://www.sec.gov/Archives/edgar/data/1762303/000119312520183429/d75062d8k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2020-11-24T14:03:03Z</dcterms:created>
  <dcterms:modified xsi:type="dcterms:W3CDTF">2020-11-24T14:03:03Z</dcterms:modified>
</cp:coreProperties>
</file>