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1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5401945</wp:posOffset>
            </wp:positionH>
            <wp:positionV relativeFrom="paragraph">
              <wp:posOffset>-625475</wp:posOffset>
            </wp:positionV>
            <wp:extent cx="825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-633730</wp:posOffset>
            </wp:positionV>
            <wp:extent cx="825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-608330</wp:posOffset>
            </wp:positionV>
            <wp:extent cx="126936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-1518920</wp:posOffset>
            </wp:positionH>
            <wp:positionV relativeFrom="paragraph">
              <wp:posOffset>40640</wp:posOffset>
            </wp:positionV>
            <wp:extent cx="6964045" cy="180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20" w:space="280"/>
            <w:col w:w="8680"/>
          </w:cols>
          <w:pgMar w:left="460" w:top="219" w:right="359" w:bottom="4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PERRY MICHAEL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0"/>
        <w:spacing w:after="0" w:line="334" w:lineRule="auto"/>
        <w:rPr>
          <w:sz w:val="20"/>
          <w:szCs w:val="20"/>
          <w:color w:val="auto"/>
        </w:rPr>
      </w:pPr>
      <w:r>
        <w:rPr>
          <w:rFonts w:ascii="Times New Roman" w:cs="Times New Roman" w:eastAsia="Times New Roman" w:hAnsi="Times New Roman"/>
          <w:sz w:val="17"/>
          <w:szCs w:val="17"/>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Avita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09/14/2019</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6" w:lineRule="exact"/>
        <w:rPr>
          <w:sz w:val="24"/>
          <w:szCs w:val="24"/>
          <w:color w:val="auto"/>
        </w:rPr>
      </w:pPr>
    </w:p>
    <w:p>
      <w:pPr>
        <w:sectPr>
          <w:pgSz w:w="11900" w:h="16838" w:orient="portrait"/>
          <w:cols w:equalWidth="0" w:num="3">
            <w:col w:w="3200" w:space="720"/>
            <w:col w:w="3095" w:space="720"/>
            <w:col w:w="3345"/>
          </w:cols>
          <w:pgMar w:left="460" w:top="219" w:right="359" w:bottom="466"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VALENCIA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785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4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w w:val="97"/>
              </w:rPr>
              <w:t>09/14/2020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68,504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472,948</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09/14/2020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15,092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26.99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457,856</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09/15/2020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23,769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27.23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434,087</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09/16/2020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27.41</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425,087</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jc w:val="center"/>
              <w:ind w:right="321"/>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issued in connection with the vesting of Restricted Stock Units ("RSUs"), which were originally granted on November 26, 2019, upon the satisfaction of a performance-based vesting condition.</w:t>
      </w:r>
    </w:p>
    <w:p>
      <w:pPr>
        <w:spacing w:after="0" w:line="7"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1,266,125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1,266,125 CDIs, which translate into 253,225 of the shares of Common Stock set forth above.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95,014 unvested RSUs, each representing a contingent right to be issued one share of Common Stock, that are subject to time-based vesting criteria. These RSUs were originally rights to receive ordinary shares of AVITA Medical, Ltd., an Australian public company and predecessor to the Issuer ("Predecessor"). Pursuant to a scheme of arrangement, completed on June 30, 2020, the RSUs became rights to be issued shares of Common Stock of the Issuer in the ratio of one share of Common Stock for every 100 ordinary shares of Predecessor to which the holder would otherwise have been entitled. The RSUs vest in two equal installments on June 1, 2021 and 2022.</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order to pay withholding taxes due in connection with the vesting of RSUs.</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$26.40 to $27.07.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$27.11 to $27.64.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$27.30 to $28.20.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09/16/2020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2020-09-16T18:16:27Z</dcterms:created>
  <dcterms:modified xsi:type="dcterms:W3CDTF">2020-09-16T18:16:27Z</dcterms:modified>
</cp:coreProperties>
</file>