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ectPr>
          <w:pgSz w:w="11900" w:h="16838" w:orient="portrait"/>
          <w:cols w:equalWidth="0" w:num="1">
            <w:col w:w="10944"/>
          </w:cols>
          <w:pgMar w:left="436" w:top="225" w:right="519" w:bottom="1440" w:gutter="0" w:footer="0" w:header="0"/>
        </w:sectPr>
      </w:pPr>
    </w:p>
    <w:p>
      <w:pPr>
        <w:spacing w:after="0" w:line="234" w:lineRule="exact"/>
        <w:rPr>
          <w:sz w:val="24"/>
          <w:szCs w:val="24"/>
          <w:color w:val="auto"/>
        </w:rPr>
      </w:pPr>
    </w:p>
    <w:p>
      <w:pPr>
        <w:ind w:left="184"/>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84"/>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2">
            <w:col w:w="10064" w:space="720"/>
            <w:col w:w="160"/>
          </w:cols>
          <w:pgMar w:left="436" w:top="225" w:right="519" w:bottom="1440" w:gutter="0" w:footer="0" w:header="0"/>
          <w:type w:val="continuous"/>
        </w:sectPr>
      </w:pPr>
    </w:p>
    <w:p>
      <w:pPr>
        <w:spacing w:after="0" w:line="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10944"/>
          </w:cols>
          <w:pgMar w:left="436" w:top="225" w:right="519" w:bottom="1440" w:gutter="0" w:footer="0" w:header="0"/>
          <w:type w:val="continuous"/>
        </w:sectPr>
      </w:pPr>
    </w:p>
    <w:p>
      <w:pPr>
        <w:spacing w:after="0" w:line="264" w:lineRule="exact"/>
        <w:rPr>
          <w:sz w:val="24"/>
          <w:szCs w:val="24"/>
          <w:color w:val="auto"/>
        </w:rPr>
      </w:pPr>
    </w:p>
    <w:p>
      <w:pPr>
        <w:ind w:left="764" w:hanging="211"/>
        <w:spacing w:after="0"/>
        <w:tabs>
          <w:tab w:leader="none" w:pos="7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764" w:hanging="211"/>
        <w:spacing w:after="0"/>
        <w:tabs>
          <w:tab w:leader="none" w:pos="7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764" w:hanging="211"/>
        <w:spacing w:after="0"/>
        <w:tabs>
          <w:tab w:leader="none" w:pos="7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764" w:hanging="211"/>
        <w:spacing w:after="0"/>
        <w:tabs>
          <w:tab w:leader="none" w:pos="7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764" w:hanging="211"/>
        <w:spacing w:after="0"/>
        <w:tabs>
          <w:tab w:leader="none" w:pos="7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7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u w:val="single" w:color="auto"/>
          <w:color w:val="auto"/>
        </w:rPr>
        <w:t>AVITA THERAPEUTICS, INC.</w:t>
      </w:r>
    </w:p>
    <w:p>
      <w:pPr>
        <w:spacing w:after="0" w:line="1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044"/>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(1)Title of each class of securities to which transaction applies:</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(2)Aggregate number of securities to which transaction applies:</w:t>
      </w:r>
    </w:p>
    <w:p>
      <w:pPr>
        <w:spacing w:after="0" w:line="117" w:lineRule="exact"/>
        <w:rPr>
          <w:rFonts w:ascii="MS PGothic" w:cs="MS PGothic" w:eastAsia="MS PGothic" w:hAnsi="MS PGothic"/>
          <w:sz w:val="18"/>
          <w:szCs w:val="18"/>
          <w:color w:val="auto"/>
        </w:rPr>
      </w:pPr>
    </w:p>
    <w:p>
      <w:pPr>
        <w:ind w:left="744" w:right="340" w:hanging="1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(3)Per unit price or other underlying value of transaction computed pursuant to Exchange Act Rule 0-11 (Set forth the amount on which the filing fee is calculated and state how it was determined):</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(4)Proposed maximum aggregate value of transaction:</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(5)Total fee paid:</w:t>
      </w:r>
    </w:p>
    <w:p>
      <w:pPr>
        <w:spacing w:after="0" w:line="117" w:lineRule="exact"/>
        <w:rPr>
          <w:rFonts w:ascii="MS PGothic" w:cs="MS PGothic" w:eastAsia="MS PGothic" w:hAnsi="MS PGothic"/>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64" w:right="220" w:hanging="564"/>
        <w:spacing w:after="0" w:line="282" w:lineRule="auto"/>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(1)Amount Previously Paid:</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(2)Form, Schedule or Registration Statement No.:</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(3)Filing Party:</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(4)Date Filed:</w:t>
      </w:r>
    </w:p>
    <w:p>
      <w:pPr>
        <w:sectPr>
          <w:pgSz w:w="11900" w:h="16838" w:orient="portrait"/>
          <w:cols w:equalWidth="0" w:num="1">
            <w:col w:w="10944"/>
          </w:cols>
          <w:pgMar w:left="436" w:top="225"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226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To the Security 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2020 Annual Meeting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Security 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are cordially invited to attend AVITA Therapeutics, Inc.’s (the “Company”) 2020 Annual Meeting of Stockholders being held on</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October , 2020 at 1:00 p.m. Pacific Time (being , October , 2020 at 7:00am Australian Eastern Daylight Time). We are very pleased that this year’s Annual Meeting will be a completely virtual meeting conducted via live webcast. You will be able to attend the Annual Meeting online</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by visiting http://www.meetingcenter.io/ . Holders of Common Stock will be able to vote their shares electronically at the Annual Meeting and submit questions. CHESS Depositary Interest holders will not be able to vote electronically at the Annual Meeting, or submit questions, but will be able to attend as guests.</w:t>
      </w:r>
    </w:p>
    <w:p>
      <w:pPr>
        <w:spacing w:after="0" w:line="18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formal notice of the meeting follows on the next page. Details regarding how to attend the meeting online and the business to be conducted at the Annual Meeting are more fully described in the accompanying Notice of Annual Meeting and Proxy Statement.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stockholders and holders of the Company’s CHESS Depositary Interests (“CDIs”) are invited to virtually attend the Annual Meeting and the Company hopes you will be able to virtually attend the meeting. Whether or not you expect to virtually attend the Annual Meeting, you are urged to vote or submit your proxy card or CDI Voting Instruction Form as soon as possible after you have finished reading the Notice of Meeting and Proxy Statement so that your shares of common stock (“Common Stock”) (or shares of Common Stock underlying your CDIs) can be voted at the Annual Meeting in accordance with your instructions. You may vote your shares of Common Stock (or direct CHESS Depositary Nominees Pty Ltd (“CDN”) to vote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w:t>
      </w:r>
    </w:p>
    <w:p>
      <w:pPr>
        <w:spacing w:after="0" w:line="19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Some of our directors and officers will be available before and after the meeting to speak with you. At the meeting, our directors, officers and auditor will be available to answer your questions about our business affairs and the matters explained in the Notice of Meeting and Proxy Statement that follow.</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Please vote, sign and return the enclosed proxy card or CDI Voting Instruction Form (as applicable) as soon as possible, whether or not you plan to attend the Annual Meeting. Your vote is important.</w:t>
      </w:r>
    </w:p>
    <w:p>
      <w:pPr>
        <w:spacing w:after="0" w:line="18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5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-127635</wp:posOffset>
            </wp:positionV>
            <wp:extent cx="2785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020"/>
          </w:cols>
          <w:pgMar w:left="440" w:top="1269" w:right="439" w:bottom="1440" w:gutter="0" w:footer="0" w:header="0"/>
        </w:sectPr>
      </w:pPr>
    </w:p>
    <w:bookmarkStart w:id="2" w:name="page3"/>
    <w:bookmarkEnd w:id="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2268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NOTICE OF ANNUAL MEETING OF STOCKHOLDERS TO BE HELD ON OCTOBER   , 2020 (PACIFIC TIME) (BEING OCTOBER   , 2020 (AUSTRALIAN EASTERN DAYLIGHT TIME (“AEDT”))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IS HEREBY GIVEN that the Annual Meeting of Stockholders of AVITA Therapeutics, Inc. (the “Company”), a Delaware corporation,</w:t>
      </w:r>
    </w:p>
    <w:p>
      <w:pPr>
        <w:spacing w:after="0" w:line="27"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will be held on , October , 2020 at 1:00 p.m. Pacific Time (being , October , 2020 at 7:00am AEDT), via webcast at http://www.meetingcenter.io/ , for the following purposes:</w:t>
      </w:r>
    </w:p>
    <w:p>
      <w:pPr>
        <w:spacing w:after="0" w:line="208"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June 30, 2021;</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AVITA Therapeutics, Inc. 2020 Omnibus Incentive Plan (the “Plan”), the terms of which are summarized in this Proxy Statement; and (b) for the purposes of ASX Listing Rule 7.2 Exception 13(b) and for all other purposes, the issue of equity securities in the Company under and subject to the terms of the Plan for three years commencing on the date that the Plan is approved by the Company’s stockholders;</w:t>
      </w:r>
    </w:p>
    <w:p>
      <w:pPr>
        <w:spacing w:after="0" w:line="85"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the purposes of ASX Listing Rule 10.17, the Company’s Amended and Restated Bylaws and for all other purposes, that the maximum aggregate annual cash fee pool from which non-executive directors of the Company may be paid for their service as a member of the board of directors of the Company be increased from A$450,000 per annum to US$600,000 per annum;</w:t>
      </w:r>
    </w:p>
    <w:p>
      <w:pPr>
        <w:spacing w:after="0" w:line="81"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Panaccio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Professor Suzanne Crowe (or her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her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Drapeau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ectPr>
          <w:pgSz w:w="11900" w:h="16838" w:orient="portrait"/>
          <w:cols w:equalWidth="0" w:num="1">
            <w:col w:w="11000"/>
          </w:cols>
          <w:pgMar w:left="440" w:top="1265" w:right="459" w:bottom="1440" w:gutter="0" w:footer="0" w:header="0"/>
        </w:sectPr>
      </w:pPr>
    </w:p>
    <w:bookmarkStart w:id="3" w:name="page4"/>
    <w:bookmarkEnd w:id="3"/>
    <w:p>
      <w:pPr>
        <w:ind w:left="96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2268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t>To approve, subject to the passing of Proposal No. 3, the issue of shares of common stock or CHESS Depositary Interests in the Company to Mr. Jeremy Curnock Cook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frequency of future advisory votes to approve of executive compensation;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fixed 5 p.m. on September 10, 2020 (Pacific Time) (being 10 a.m. on September 11, 2020 (AEDT)) as the record date for the meeting and only record holders of shares of the Company’s Common Stock at that time will be entitled to notice of and to vote at the Annual Meeting of Stockholders or any adjournment or adjournments thereof. This Proxy Statement and the accompanying proxy and CDI Voting Instruction Form will be mailed on or about September , 2020.</w:t>
      </w:r>
    </w:p>
    <w:p>
      <w:pPr>
        <w:spacing w:after="0" w:line="20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-127635</wp:posOffset>
            </wp:positionV>
            <wp:extent cx="2785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20"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Valencia, CA September</w:t>
      </w:r>
      <w:r>
        <w:rPr>
          <w:sz w:val="20"/>
          <w:szCs w:val="20"/>
          <w:color w:val="auto"/>
        </w:rPr>
        <w:tab/>
      </w:r>
      <w:r>
        <w:rPr>
          <w:rFonts w:ascii="Times New Roman" w:cs="Times New Roman" w:eastAsia="Times New Roman" w:hAnsi="Times New Roman"/>
          <w:sz w:val="17"/>
          <w:szCs w:val="17"/>
          <w:color w:val="auto"/>
        </w:rPr>
        <w:t>, 2020</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540" w:right="20"/>
        <w:spacing w:after="0" w:line="278" w:lineRule="auto"/>
        <w:rPr>
          <w:sz w:val="20"/>
          <w:szCs w:val="20"/>
          <w:color w:val="auto"/>
        </w:rPr>
      </w:pPr>
      <w:r>
        <w:rPr>
          <w:rFonts w:ascii="Times New Roman" w:cs="Times New Roman" w:eastAsia="Times New Roman" w:hAnsi="Times New Roman"/>
          <w:sz w:val="17"/>
          <w:szCs w:val="17"/>
          <w:b w:val="1"/>
          <w:bCs w:val="1"/>
          <w:color w:val="auto"/>
        </w:rPr>
        <w:t>THE 2020 ANNUAL MEETING WILL BE HELD VIRTUALLY AND NO ONE WILL PHYSICALLY ATTEND THE MEETING. IT IS REQUESTED THAT YOU INDICATE YOUR VOTE ON THE ISSUES INCLUDED ON THE ENCLOSED PROXY CARD OR CDI VOTING INSTRUCTION FORM (AS APPLICABLE) AND DATE, SIGN AND MAIL IT IN THE ENCLOSED SELF-ADDRESSED ENVELOPE WHICH REQUIRES NO POSTAGE IF MAILED IN THE UNITED STATES (IN RELATION TO THE PROXY CARD) AND WHICH REQUIRES NO POSTAGE IF MAILED IN AUSTRALIA (IN RELATION TO THE CDI VOTING INSTRUCTION FORM)</w:t>
      </w:r>
    </w:p>
    <w:p>
      <w:pPr>
        <w:spacing w:after="0" w:line="164" w:lineRule="exact"/>
        <w:rPr>
          <w:sz w:val="20"/>
          <w:szCs w:val="20"/>
          <w:color w:val="auto"/>
        </w:rPr>
      </w:pPr>
    </w:p>
    <w:p>
      <w:pPr>
        <w:jc w:val="center"/>
        <w:ind w:left="5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HELD ON OCTOBER   , 2020: </w:t>
      </w:r>
      <w:r>
        <w:rPr>
          <w:rFonts w:ascii="Times New Roman" w:cs="Times New Roman" w:eastAsia="Times New Roman" w:hAnsi="Times New Roman"/>
          <w:sz w:val="18"/>
          <w:szCs w:val="18"/>
          <w:color w:val="auto"/>
        </w:rPr>
        <w:t>The Notice of Annual Meeting of Stockholders, Proxy Statement and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 to Stockholders are available on the following website: </w:t>
      </w:r>
      <w:r>
        <w:rPr>
          <w:rFonts w:ascii="Times New Roman" w:cs="Times New Roman" w:eastAsia="Times New Roman" w:hAnsi="Times New Roman"/>
          <w:sz w:val="18"/>
          <w:szCs w:val="18"/>
          <w:b w:val="1"/>
          <w:bCs w:val="1"/>
          <w:i w:val="1"/>
          <w:iCs w:val="1"/>
          <w:color w:val="auto"/>
        </w:rPr>
        <w:t>www.avitamedical.com/2020proxy</w:t>
      </w:r>
    </w:p>
    <w:p>
      <w:pPr>
        <w:sectPr>
          <w:pgSz w:w="11900" w:h="16838" w:orient="portrait"/>
          <w:cols w:equalWidth="0" w:num="1">
            <w:col w:w="10920"/>
          </w:cols>
          <w:pgMar w:left="440" w:top="1053" w:right="539" w:bottom="1440" w:gutter="0" w:footer="0" w:header="0"/>
        </w:sectPr>
      </w:pPr>
    </w:p>
    <w:bookmarkStart w:id="4" w:name="page5"/>
    <w:bookmarkEnd w:id="4"/>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3216910</wp:posOffset>
            </wp:positionH>
            <wp:positionV relativeFrom="page">
              <wp:posOffset>183515</wp:posOffset>
            </wp:positionV>
            <wp:extent cx="112331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23315" cy="4972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3200"/>
        <w:spacing w:after="0"/>
        <w:tabs>
          <w:tab w:leader="none" w:pos="5280" w:val="left"/>
          <w:tab w:leader="none" w:pos="6220" w:val="left"/>
        </w:tabs>
        <w:rPr>
          <w:sz w:val="20"/>
          <w:szCs w:val="20"/>
          <w:color w:val="auto"/>
        </w:rPr>
      </w:pPr>
      <w:r>
        <w:rPr>
          <w:rFonts w:ascii="Times New Roman" w:cs="Times New Roman" w:eastAsia="Times New Roman" w:hAnsi="Times New Roman"/>
          <w:sz w:val="18"/>
          <w:szCs w:val="18"/>
          <w:b w:val="1"/>
          <w:bCs w:val="1"/>
          <w:color w:val="auto"/>
        </w:rPr>
        <w:t>to be held on</w:t>
      </w:r>
      <w:r>
        <w:rPr>
          <w:sz w:val="20"/>
          <w:szCs w:val="20"/>
          <w:color w:val="auto"/>
        </w:rPr>
        <w:tab/>
      </w:r>
      <w:r>
        <w:rPr>
          <w:rFonts w:ascii="Times New Roman" w:cs="Times New Roman" w:eastAsia="Times New Roman" w:hAnsi="Times New Roman"/>
          <w:sz w:val="18"/>
          <w:szCs w:val="18"/>
          <w:b w:val="1"/>
          <w:bCs w:val="1"/>
          <w:color w:val="auto"/>
        </w:rPr>
        <w:t>, October</w:t>
      </w:r>
      <w:r>
        <w:rPr>
          <w:sz w:val="20"/>
          <w:szCs w:val="20"/>
          <w:color w:val="auto"/>
        </w:rPr>
        <w:tab/>
      </w:r>
      <w:r>
        <w:rPr>
          <w:rFonts w:ascii="Times New Roman" w:cs="Times New Roman" w:eastAsia="Times New Roman" w:hAnsi="Times New Roman"/>
          <w:sz w:val="17"/>
          <w:szCs w:val="17"/>
          <w:b w:val="1"/>
          <w:bCs w:val="1"/>
          <w:color w:val="auto"/>
        </w:rPr>
        <w:t>, 2020 (Pacific Time)</w:t>
      </w:r>
    </w:p>
    <w:p>
      <w:pPr>
        <w:spacing w:after="0" w:line="9"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(being October</w:t>
      </w:r>
      <w:r>
        <w:rPr>
          <w:sz w:val="20"/>
          <w:szCs w:val="20"/>
          <w:color w:val="auto"/>
        </w:rPr>
        <w:tab/>
      </w:r>
      <w:r>
        <w:rPr>
          <w:rFonts w:ascii="Times New Roman" w:cs="Times New Roman" w:eastAsia="Times New Roman" w:hAnsi="Times New Roman"/>
          <w:sz w:val="17"/>
          <w:szCs w:val="17"/>
          <w:b w:val="1"/>
          <w:bCs w:val="1"/>
          <w:color w:val="auto"/>
        </w:rPr>
        <w:t>, 2020 (Australian Eastern Daylight Time (“AEDT”))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7"/>
          <w:szCs w:val="17"/>
          <w:color w:val="auto"/>
        </w:rPr>
        <w:t>The accompanying proxy is solicited on behalf of the board of directors (the “Board of Directors”) of AVITA Therapeutics, Inc., a Delaware corporation (“AVITA” or the “Company”), for use at the annual meeting of stockholders of the Company (the “Annual Meeting”) to be held at 1:00 p.m.</w:t>
      </w:r>
    </w:p>
    <w:p>
      <w:pPr>
        <w:spacing w:after="0" w:line="1"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Pacific Time on , October , 2020 (being , October , 2020 at 7:00am AEDT) via webcast at http://www.meetingcenter.io/ . This Proxy Statement contains information about the matters to be considered at the meeting or any</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6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has set 5 p.m. on September 10, 2020 Pacific Time (being 10 a.m. on September 11, 2020 AEDT) as the record date (the “Record Date”) to determine those holders of record of Common Stock, par value US$0.0001 who are entitled to notice of, and to vote at, the Annual Meeting and those holders of CHESS Depositary Interests (“CDIs”) (representing the underlying shares of Common Stock) who are entitled to notice of, and to attend, the Annual Meeting. Each share of Common Stock (including the underlying shares of Common Stock represented by CDIs, with five CDIs representing one share of Common Stock) entitles its owner to one vote. On the Record Date, there were 21,551,827 shares outstanding (including the underlying shares of Common Stock represented by CDIs). On or about September , 2020, this Proxy Statement, the proxy card (the “Proxy Card” or “Proxy”) and the CDI Voting Instruction Form (as applicable) are being mailed to stockholders and CDI holders of record as of the Record Date.</w:t>
      </w:r>
    </w:p>
    <w:p>
      <w:pPr>
        <w:spacing w:after="0" w:line="185" w:lineRule="exact"/>
        <w:rPr>
          <w:sz w:val="20"/>
          <w:szCs w:val="20"/>
          <w:color w:val="auto"/>
        </w:rPr>
      </w:pPr>
    </w:p>
    <w:p>
      <w:pPr>
        <w:jc w:val="both"/>
        <w:ind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Annual Meeting virtually,</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you may choose to vote via the online platform at http://www.meetingcenter.io/ if you qualify to do so, even if you have previously voted your shares of Common Stock, except that CDI holders may only instruct CDN to vote on their behalf by completing and signing the CDI Voting Instruction Form and may not vote virtually at the Annual Meeting.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44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THE MEETING</w:t>
      </w:r>
    </w:p>
    <w:p>
      <w:pPr>
        <w:spacing w:after="0" w:line="225"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17"/>
          <w:szCs w:val="17"/>
          <w:b w:val="1"/>
          <w:bCs w:val="1"/>
          <w:i w:val="1"/>
          <w:iCs w:val="1"/>
          <w:color w:val="auto"/>
        </w:rPr>
        <w:t>What is being considered at the meeting?</w:t>
      </w:r>
    </w:p>
    <w:p>
      <w:pPr>
        <w:spacing w:after="0" w:line="133"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each to serve until the next annual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Grant Thornton LLP, as our independent public accountants for the 2020—2021 fiscal year;</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AVITA Therapeutics, Inc. 2020 Omnibus Incentive Plan (the “Plan”), the terms of which are summarized in this Proxy Statement; and (b) for the purposes of ASX Listing Rule 7.2 Exception 13(b) and for all other purposes, the issue of equity securities in the Company under and subject to the terms of the Plan for three years commencing on the date that the Plan is approved by the Company’s stockholders;</w:t>
      </w:r>
    </w:p>
    <w:p>
      <w:pPr>
        <w:spacing w:after="0" w:line="85"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the purposes of ASX Listing Rule 10.17, the Company’s Amended and Restated Bylaws and for all other purposes, that the maximum aggregate annual cash fee pool from which non-executive directors of the Company may be paid for their service as a member of the board of directors of the Company be increased from A$450,000 per annum to US$600,000 per annum;</w:t>
      </w:r>
    </w:p>
    <w:p>
      <w:pPr>
        <w:spacing w:after="0" w:line="81"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Panaccio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Professor Suzanne Crowe (or her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her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Louis Drapeau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subject to the passing of Proposal No. 3, the issue of shares of common stock or CHESS Depositary Interests in the Company to Mr. Jeremy Curnock Cook (or his nominee) up to a value of US$8,333 in each fiscal year during the three year period from the date of this Annual Meeting (being in aggregate up to a value of US$24,999) under the Company’s 2020 Omnibus Incentive Plan, in lieu of the equivalent amount of directors fees otherwise payable to him by the Company, on the terms and conditions as set out in this Proxy Statement, pursuant to and for the purposes of ASX Listing Rule 10.14;</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frequency of future advisory votes to approve of executive compensation.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 is entitled to vote at the meeting?</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on the Record Date. Each share of Common Stock is entitled to one vote. Each CDI holder is entitled to direct CDN to vote one vote for every five CDIs held by such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our Annual Meeting. As the beneficial owner, you have the right to direct CDN or its custodian on how to vote the shares in your account. As a beneficial owner, you are invited to attend the Annual Meeting. However, because you are not a shareholder of record, if you personally want to vote the shares of Common Stock underlying your CDIs at the Annual Meeting, you must request and obtain a valid proxy from CDN or its custodian giving you that right.</w:t>
      </w:r>
    </w:p>
    <w:p>
      <w:pPr>
        <w:spacing w:after="0" w:line="18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your vote will be counted by completing the enclosed CDI Voting Instruction Form and returning it to the address specified on that 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right="260" w:firstLine="440"/>
        <w:spacing w:after="0" w:line="276" w:lineRule="auto"/>
        <w:rPr>
          <w:sz w:val="20"/>
          <w:szCs w:val="20"/>
          <w:color w:val="auto"/>
        </w:rPr>
      </w:pPr>
      <w:r>
        <w:rPr>
          <w:rFonts w:ascii="Times New Roman" w:cs="Times New Roman" w:eastAsia="Times New Roman" w:hAnsi="Times New Roman"/>
          <w:sz w:val="17"/>
          <w:szCs w:val="17"/>
          <w:color w:val="auto"/>
        </w:rPr>
        <w:t>Your shares are counted as present at the meeting if you attend the meeting and vote in person or if you properly return a Proxy or CDI Voting Instruction Form by mail. To conduct our meeting, a majority of the combined voting power of our Common Stock as of September10, 2020 must be</w:t>
      </w:r>
    </w:p>
    <w:p>
      <w:pPr>
        <w:spacing w:after="0" w:line="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present at the meeting. This is referred to as a quorum. We believe that on September 10, 2020, there were outstanding shares of Common Stock entitled to vote.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can vote in two ways:</w:t>
      </w:r>
    </w:p>
    <w:p>
      <w:pPr>
        <w:spacing w:after="0" w:line="131" w:lineRule="exact"/>
        <w:rPr>
          <w:sz w:val="20"/>
          <w:szCs w:val="20"/>
          <w:color w:val="auto"/>
        </w:rPr>
      </w:pPr>
    </w:p>
    <w:p>
      <w:pPr>
        <w:jc w:val="both"/>
        <w:ind w:left="96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by visiting the website http://www.meetingcenter.io/________ and using the 16-digit Control Number provided in the Notice to log in to this website, and beneficial owners of shares held in street name will need to follow the instructions provided by the broker, bank or other nominee that holds their shares;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Each CDI holder is entitled to direct CDN to vote one vote for every five CDIs held by such holder. Those persons holding CDIs are entitled to receive notice of, and to virtually attend, the Annual Meeting and any adjournment or postponement thereof, and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so that it is received by</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Computershare no later than in accordance with the instructions on such form. Doing so permits CDI holders to instruct CDN to vote on their behalf in accordance with their written directions.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Alternatively, CDI holders have the following options in order to vote at the Annual Meeting:</w:t>
      </w:r>
    </w:p>
    <w:p>
      <w:pPr>
        <w:spacing w:after="0" w:line="131" w:lineRule="exact"/>
        <w:rPr>
          <w:sz w:val="20"/>
          <w:szCs w:val="20"/>
          <w:color w:val="auto"/>
        </w:rPr>
      </w:pPr>
    </w:p>
    <w:p>
      <w:pPr>
        <w:ind w:left="960" w:right="4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Company that they wish to nominate themselves or another person to be appointed as CDN’s proxy for the purposes of virtually attending and voting at the Annual Meeting;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7" w:name="page8"/>
    <w:bookmarkEnd w:id="7"/>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converting their CDIs into a holding of shares of Common Stock and voting them using the online platform at</w:t>
      </w:r>
    </w:p>
    <w:p>
      <w:pPr>
        <w:spacing w:after="0" w:line="27" w:lineRule="exact"/>
        <w:rPr>
          <w:sz w:val="20"/>
          <w:szCs w:val="20"/>
          <w:color w:val="auto"/>
        </w:rPr>
      </w:pPr>
    </w:p>
    <w:p>
      <w:pPr>
        <w:ind w:left="964" w:right="80"/>
        <w:spacing w:after="0" w:line="255" w:lineRule="auto"/>
        <w:rPr>
          <w:sz w:val="20"/>
          <w:szCs w:val="20"/>
          <w:color w:val="auto"/>
        </w:rPr>
      </w:pPr>
      <w:r>
        <w:rPr>
          <w:rFonts w:ascii="Times New Roman" w:cs="Times New Roman" w:eastAsia="Times New Roman" w:hAnsi="Times New Roman"/>
          <w:sz w:val="18"/>
          <w:szCs w:val="18"/>
          <w:color w:val="auto"/>
        </w:rPr>
        <w:t>http://www.meetingcenter.io/ during the meeting (however, if thereafter the former CDI holder wishes to sell their investment on the ASX, it would be necessary to convert shares of Common Stock back into CDIs). This conversion into Common Stock must have been done prior to the Record Date for the Annual Meeting.</w:t>
      </w:r>
    </w:p>
    <w:p>
      <w:pPr>
        <w:spacing w:after="0" w:line="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Holders of CDIs must comply with one of the instructions above if they wish to have their votes cast at the Annual Meeting.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4" w:right="140" w:hanging="4"/>
        <w:spacing w:after="0" w:line="290" w:lineRule="auto"/>
        <w:tabs>
          <w:tab w:leader="none" w:pos="25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another Proxy with a later date and submitting it in the same manner as the prior Proxy was submitted; (2) if you hold your shares in your name, voting again at the meeting; or (3) if you hold your shares in street name, arranging with your broker to vote your shares at the Annual Meeting.</w:t>
      </w:r>
    </w:p>
    <w:p>
      <w:pPr>
        <w:spacing w:after="0" w:line="157" w:lineRule="exact"/>
        <w:rPr>
          <w:sz w:val="20"/>
          <w:szCs w:val="20"/>
          <w:color w:val="auto"/>
        </w:rPr>
      </w:pPr>
    </w:p>
    <w:p>
      <w:pPr>
        <w:ind w:left="4" w:right="260" w:firstLine="440"/>
        <w:spacing w:after="0" w:line="276" w:lineRule="auto"/>
        <w:rPr>
          <w:sz w:val="20"/>
          <w:szCs w:val="20"/>
          <w:color w:val="auto"/>
        </w:rPr>
      </w:pPr>
      <w:r>
        <w:rPr>
          <w:rFonts w:ascii="Times New Roman" w:cs="Times New Roman" w:eastAsia="Times New Roman" w:hAnsi="Times New Roman"/>
          <w:sz w:val="17"/>
          <w:szCs w:val="17"/>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w:t>
      </w:r>
    </w:p>
    <w:p>
      <w:pPr>
        <w:spacing w:after="0" w:line="1" w:lineRule="exact"/>
        <w:rPr>
          <w:sz w:val="20"/>
          <w:szCs w:val="20"/>
          <w:color w:val="auto"/>
        </w:rPr>
      </w:pPr>
    </w:p>
    <w:p>
      <w:pPr>
        <w:ind w:left="4"/>
        <w:spacing w:after="0"/>
        <w:tabs>
          <w:tab w:leader="none" w:pos="5824" w:val="left"/>
        </w:tabs>
        <w:rPr>
          <w:sz w:val="20"/>
          <w:szCs w:val="20"/>
          <w:color w:val="auto"/>
        </w:rPr>
      </w:pPr>
      <w:r>
        <w:rPr>
          <w:rFonts w:ascii="Times New Roman" w:cs="Times New Roman" w:eastAsia="Times New Roman" w:hAnsi="Times New Roman"/>
          <w:sz w:val="18"/>
          <w:szCs w:val="18"/>
          <w:color w:val="auto"/>
        </w:rPr>
        <w:t>notice must be received by Computershare Australia no later than</w:t>
      </w:r>
      <w:r>
        <w:rPr>
          <w:sz w:val="20"/>
          <w:szCs w:val="20"/>
          <w:color w:val="auto"/>
        </w:rPr>
        <w:tab/>
      </w:r>
      <w:r>
        <w:rPr>
          <w:rFonts w:ascii="Times New Roman" w:cs="Times New Roman" w:eastAsia="Times New Roman" w:hAnsi="Times New Roman"/>
          <w:sz w:val="16"/>
          <w:szCs w:val="16"/>
          <w:color w:val="auto"/>
        </w:rPr>
        <w: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approval of the appointment of our independent public accountants, FOR the approval of the Company’s 2020 Omnibus Incentive Plan, FOR the approval of the increase to the non-executive directors maximum aggregate annual cash fee pool and FOR the approval of the issue of Shares or CDIs to each non-executive director, but they will not be voted with respect to the advisory votes in relation to executive compensation and the frequency of such votes.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w:t>
      </w:r>
    </w:p>
    <w:p>
      <w:pPr>
        <w:spacing w:after="0" w:line="27" w:lineRule="exact"/>
        <w:rPr>
          <w:sz w:val="20"/>
          <w:szCs w:val="20"/>
          <w:color w:val="auto"/>
        </w:rPr>
      </w:pPr>
    </w:p>
    <w:p>
      <w:pPr>
        <w:ind w:left="4" w:right="220"/>
        <w:spacing w:after="0" w:line="260" w:lineRule="auto"/>
        <w:rPr>
          <w:sz w:val="20"/>
          <w:szCs w:val="20"/>
          <w:color w:val="auto"/>
        </w:rPr>
      </w:pPr>
      <w:r>
        <w:rPr>
          <w:rFonts w:ascii="Times New Roman" w:cs="Times New Roman" w:eastAsia="Times New Roman" w:hAnsi="Times New Roman"/>
          <w:sz w:val="18"/>
          <w:szCs w:val="18"/>
          <w:color w:val="auto"/>
        </w:rPr>
        <w:t>relevant cut-off date, being . If a CDI holder does not include voting instructions in the CDI Voting Instruction Form no vote will be cast on the proposal for that CDI holder.</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w:t>
      </w:r>
    </w:p>
    <w:p>
      <w:pPr>
        <w:spacing w:after="0" w:line="17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(overseas callers) or 1300 850 505 (for calls within Australia).</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If you hold your shares directly in your own name, they will not be voted if you do not provide a Proxy unless you personally vote at the meeting. Your shares may be voted under certain circumstances if they are held in the name of a brokerage firm. Brokerage firms generally have the authority to vote customers’ unvoted shares on certain “routine” matters, including approval of the appointment of independent public accountants. When a brokerage firm votes its customer’s unvoted shares, these shares are counted for purposes of establishing a</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 w:name="page9"/>
    <w:bookmarkEnd w:id="8"/>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quorum. At our meeting, these shares will be counted as voted by the brokerage firm in the approval of the appointment of our independent public accountants.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w:t>
      </w:r>
    </w:p>
    <w:p>
      <w:pPr>
        <w:spacing w:after="0" w:line="27"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8"/>
          <w:szCs w:val="18"/>
          <w:color w:val="auto"/>
        </w:rPr>
        <w:t>relevant cut-off date, being</w:t>
      </w:r>
      <w:r>
        <w:rPr>
          <w:sz w:val="20"/>
          <w:szCs w:val="20"/>
          <w:color w:val="auto"/>
        </w:rPr>
        <w:tab/>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approval of the election of directors, the affirmative vote of a majority of the votes cast is required for (i) the ratification of the appointment of our independent public accountants, (ii) the approval of our 2020 Omnibus Incentive Plan, (iii) the approval of the increase to the non-executive director maximum aggregate annual cash fee pool; and (iv) each approval to issue Common Stock or CDIs to the non-executive directors of the Company under our 2020 Omnibus Incentive Plan. The advisory vote to approve executive compensation will be approved, on a non-binding, advisory basis, on the affirmative vote of a majority of the votes cast at the Annual Meeting. The advisory vote on frequency of approval of executive compensation will be determined, on a non-binding, advisory basis, by the option (every one year, two years, or three years) that receives the most votes.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and will also report the results on a current report on Form 8-K filed with the U.S.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we currently have, or do we intend to submit for stockholder approval, any anti-takeover device?</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other corporate documents do not contain any provisions that contain material anti-takeover aspects. We have no plans or proposals to submit any other amendments to the Certificate of Incorporation or Bylaws, or other measures in the future that have anti-takeover effects.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Could emerging developments regarding the coronavirus — or COVID-19 — affect our ability to hold an in-person annual meeting?</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been monitoring the COVID-19 situation closely and have determined that holding an in-person annual meeting could pose a risk to the health and safety of our stockholders, employees, and directors, or otherwise be counter to public health directives. Accordingly, the Company has decided to instead hold a virtual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attend and participate in the virtual Annual Meeting, stockholders of record will need to access the live audio webcast of the meeting. To do so,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please visit http://www.meetingcenter.io/ and use the 16-digit Control Number provided in the Notice to log in to this website, and beneficial owners of shares held in street name will need to follow the instructions provided by the broker, bank or other nominee that holds their shares. We would encourage security holders to log in to this website and access the webcast before the virtual Annual Meeting’s start time.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elect the nominees identified below.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3"/>
                <w:szCs w:val="13"/>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80" w:type="dxa"/>
            <w:vAlign w:val="bottom"/>
          </w:tcPr>
          <w:p>
            <w:pPr>
              <w:spacing w:after="0"/>
              <w:rPr>
                <w:sz w:val="13"/>
                <w:szCs w:val="13"/>
                <w:color w:val="auto"/>
              </w:rPr>
            </w:pPr>
          </w:p>
        </w:tc>
        <w:tc>
          <w:tcPr>
            <w:tcW w:w="4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2"/>
                <w:szCs w:val="12"/>
                <w:b w:val="1"/>
                <w:bCs w:val="1"/>
                <w:color w:val="auto"/>
              </w:rPr>
              <w:t>(1)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4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2016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right="100" w:hanging="4"/>
        <w:spacing w:after="0" w:line="28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directors’ service on our board of directors, prior to June 30, 2020, was as a member of the board of AVITA Medical Limited, our predecessor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each director as of September 14, 2020:</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vMerge w:val="restart"/>
          </w:tcPr>
          <w:p>
            <w:pPr>
              <w:spacing w:after="0"/>
              <w:rPr>
                <w:sz w:val="13"/>
                <w:szCs w:val="13"/>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3"/>
                <w:szCs w:val="13"/>
                <w:color w:val="auto"/>
              </w:rPr>
            </w:pPr>
          </w:p>
        </w:tc>
        <w:tc>
          <w:tcPr>
            <w:tcW w:w="3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Held Office</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Current Board</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4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McDonald(1)</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4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4" w:right="440" w:hanging="4"/>
        <w:spacing w:after="0" w:line="28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2020, Mr. McDonald notified the board that for personal reasons he did not intend to stand for re-election at this year’s annual meeting of stockholders and will be resigning from the board immediately prior to such meeting.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4" w:right="10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Louis Panaccio </w:t>
      </w:r>
      <w:r>
        <w:rPr>
          <w:rFonts w:ascii="Times New Roman" w:cs="Times New Roman" w:eastAsia="Times New Roman" w:hAnsi="Times New Roman"/>
          <w:sz w:val="17"/>
          <w:szCs w:val="17"/>
          <w:color w:val="auto"/>
        </w:rPr>
        <w:t>has served as Non-Executive Chairman of the Board of Directors since July 2014. Mr. Panaccio is a successful healthcare businessman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w:t>
      </w:r>
    </w:p>
    <w:p>
      <w:pPr>
        <w:spacing w:after="0" w:line="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a Non-Executive Director of ASX50 company and one of the world’s largest medical diagnostics companies, Sonic Healthcare Limited, where he has served since 2005. In addition, Mr. Panaccio is a Non-Executive Director of Unison Housing Limited, was Non-Executive Chairman of Genera Biosystems Limited until June 2019, and a Non-Executive Director of Rhythm Biosciences Limited, a publicly listed (ASX) development-stage medical diagnostics company.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Dr. Michael Perry </w:t>
      </w:r>
      <w:r>
        <w:rPr>
          <w:rFonts w:ascii="Times New Roman" w:cs="Times New Roman" w:eastAsia="Times New Roman" w:hAnsi="Times New Roman"/>
          <w:sz w:val="18"/>
          <w:szCs w:val="18"/>
          <w:color w:val="auto"/>
        </w:rPr>
        <w:t>was appointed Chief Executive Officer and Executive Director in June 2017. Prior to this appointment, Dr. Perry served as</w:t>
      </w:r>
    </w:p>
    <w:p>
      <w:pPr>
        <w:spacing w:after="0" w:line="31" w:lineRule="exact"/>
        <w:rPr>
          <w:sz w:val="20"/>
          <w:szCs w:val="20"/>
          <w:color w:val="auto"/>
        </w:rPr>
      </w:pPr>
    </w:p>
    <w:p>
      <w:pPr>
        <w:ind w:left="4" w:right="80"/>
        <w:spacing w:after="0" w:line="260" w:lineRule="auto"/>
        <w:rPr>
          <w:sz w:val="20"/>
          <w:szCs w:val="20"/>
          <w:color w:val="auto"/>
        </w:rPr>
      </w:pPr>
      <w:r>
        <w:rPr>
          <w:rFonts w:ascii="Times New Roman" w:cs="Times New Roman" w:eastAsia="Times New Roman" w:hAnsi="Times New Roman"/>
          <w:sz w:val="18"/>
          <w:szCs w:val="18"/>
          <w:color w:val="auto"/>
        </w:rPr>
        <w:t>a Non-Executive Director commencing in February 2013. From 2016 to 2017, he served as Senior Vice President and Chief Scientific Officer of Global Business Development and Licensing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10" w:name="page11"/>
    <w:bookmarkEnd w:id="1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that treat intractable diseases by silencing genes. He is also a Director at BioScience Managers Pty Ltd.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of the Board since October 2012. Mr. Curnock Cook is currently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Bioscience Managers Pty Ltd, which formerly was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also serves as a Director for Sea Dragon Limited, a public (NZX) company processing fish oils into marine bioactive compounds. Mr. Curnock Cook previously served as a Non-Executive Director of Phylogica Limited, a public (ASX) company developing next generation intracellular biological therapeutics.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Louis Drapeau </w:t>
      </w:r>
      <w:r>
        <w:rPr>
          <w:rFonts w:ascii="Times New Roman" w:cs="Times New Roman" w:eastAsia="Times New Roman" w:hAnsi="Times New Roman"/>
          <w:sz w:val="18"/>
          <w:szCs w:val="18"/>
          <w:color w:val="auto"/>
        </w:rPr>
        <w:t>has served as a Non-Executive Director of our board since January 2016. Mr. Drapeau has considerable expertise in both the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biotech sector and with 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AM </w:t>
      </w:r>
      <w:r>
        <w:rPr>
          <w:rFonts w:ascii="Times New Roman" w:cs="Times New Roman" w:eastAsia="Times New Roman" w:hAnsi="Times New Roman"/>
          <w:sz w:val="18"/>
          <w:szCs w:val="18"/>
          <w:color w:val="auto"/>
        </w:rPr>
        <w:t>has served as a Non-Executive Director since January 2016. Australian-based, she is a physician-scientist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Board Meetings</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2020, the Board of Directors met a total of twelve times (July 29, 2019, September 10, 2019, October 30, 2019, November 4, 2019, February 13, 2020, March 9, 2020, April 8, 2020, April 16, 2020, April 19, 2020, May 4, 2020, May 29, 2020, and June 22, 2020) and had full attendance of each member of the Board of Directors (six Board of Directors members) at nine of those meetings, as well as attendance by at least four members of the Board of Directors at all twelve meetings.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Louis Panaccio, who is an independent director under Nasdaq listing standards and for the purposes of the ASX Listing Rules and the ASX Corporate Governance Council’s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Edition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directors, and each of the committees of the Board of Directors is comprised solely of independent directors. The Company does not have a policy mandating an independent lead director. The independent directors meet at least annually in executive session without the presence of non-independent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 to 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214"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our capital structure;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 broadly, risks are considered in virtually every business decision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mergers and acquisitions, credit and liquidity, and business conduct compliance. Our Compensation Committee considers the risks associated with our compensation policies and practices with respect to both executive compensation and employee compensation generally. Our Nominating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9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June 30, 2021.</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virtually held Annual Meeting of stockholders with the opportunity to make a statement if they desire to do so and will be available to respond to appropriate questions.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Prior Auditor</w:t>
      </w:r>
    </w:p>
    <w:p>
      <w:pPr>
        <w:spacing w:after="0" w:line="121"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Grant Thornton Audit Pty Ltd (“GT Australia”), an independent registered public accounting firm and a member firm of Grant Thornton International Ltd., had been the independent registered public accounting firm of AVITA Medical Limited, our predecessor company (“Avita Australia”), since 2011.</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on June 29, 2020 of the redomiciliation of the Avita group of companies (the “Avita Group”) from Australia to the State of Delaware whereby the Company became the successor issuer to Avita Australia and the ultimate parent company of the Avita Group (the “Redomiciliation”), and in consideration of the principal auditor rule, the Company’s board of directors (the “Board”) has concluded that a U.S.-based independent registered public accounting firm should be the Company’s independent auditor. Accordingly, the Board, with the recommendation of the Audit Committee, approved of the replacement of GT Australia with Grant Thornton LLP (“GT US”) as the Company’s independent public accounting firm for the fiscal year ending June 30, 2020 and dismissed GT Australia as the Company’s independent registered public accounting firm, with such appointment and dismissal each effective as of June 30, 2020. Avita Australia engaged GT US on April 9, 2020 in anticipation of the completion of the Redomiciliation, and the date of GT US’s appointment and engagement as the Company’s principal independent auditor was June 30, 2020, upon completion of the Redomiciliation.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votes cast by the holders of our shares of Common Stock entitled to vote on the proposal, with abstentions counting as votes against the proposal.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recommends a vote FOR the ratification of the appointment of Grant Thornton. LLP.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OUR 2020 OMNIBUS INCENTIVE PLAN</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 September , 2020, upon recommendation by the Compensation Committee, our Board unanimously approved and adopted, subject to the approval of our stockholders at the Annual Meeting, the AVITA Therapeutics, Inc. 2020 Omnibus Incentive Plan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Board recommends that the Company’s stockholders vote to approve the Plan. The Plan will allow the Company to grant equity-based compensation to advance the interests and long-term success of the Company and its stockholders by encouraging stock ownership among employees, consultants and non-employee directors. If the Plan is approved by our stockholders, it will be effective as of the day of the Annual Meeting. If the Plan is not approved by the Company’s stockholders, no awards will be made under the Plan including the proposed issue of equity to the Company’s non-executive directors referred to in Proposal No’s. 5 -8 (inclusive).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ASX Listing Rule 7.1 provides that a company must not, subject to specified exceptions, issue or agree to issue more equity securities during any 12 month period than that amount which represents 15% of the number of fully paid ordinary securities on issue at the commencement of that 12 month period without stockholder approval. ASX Listing Rule 7.2 sets out a number of exceptions to ASX Listing Rule 7.1. Exception 13 in ASX Listing Rule 7.2 provides an exception to ASX Listing Rule 7.1, being an issue of securities under an employee incentive scheme if, within three years before the date of issue, the stockholders of the Company approved the issue of equity securities under the scheme.</w:t>
      </w:r>
    </w:p>
    <w:p>
      <w:pPr>
        <w:spacing w:after="0" w:line="183"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of Proposal No. 3 is obtained, the Plan will be approved and for the next three years the issue of equity-based compensation under the Plan will not reduce the Company’s 15% placement capacity under ASX Listing Rule 7.1.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Why You Should Vote for this Proposal</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Company’s success depends in part on its ability to retain high quality employees, consultants and directors. Providing equity-based compensation is critical to this success. We would be disadvantaged if we could not use equity-based compensation to retain our employees, directors and consultants. Equity-based compensation is also critical because it links compensation with stockholder value creation.</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of September 10, 2020, no shares of our Common Stock (“Shares”) remained available for issuance under existing equity awards. If the Plan is not approved, the Company will have no equity plan available for use in attracting and keeping employees and directors. As a result, the Company may have to significantly increase cash-based compensation, which may not necessarily link compensation with stockholder value creation and may also use cash that could be better utilized if reinvested in the Company’s business.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includes aggregated information regarding overhang and dilution as of September 10, 2020:</w:t>
      </w:r>
    </w:p>
    <w:p>
      <w:pPr>
        <w:spacing w:after="0" w:line="131" w:lineRule="exact"/>
        <w:rPr>
          <w:sz w:val="20"/>
          <w:szCs w:val="20"/>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21,551,827 Shares outstanding (including those Shares represented by CDIs);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subject to outstanding awards (1,259,662 Shares) represents an overhang percentage of 5.84%;</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subject to long term incentive awards (349,632 Shares) represents an overhang percentage of 1.62%;</w:t>
      </w:r>
    </w:p>
    <w:p>
      <w:pPr>
        <w:spacing w:after="0" w:line="130" w:lineRule="exact"/>
        <w:rPr>
          <w:rFonts w:ascii="Times New Roman" w:cs="Times New Roman" w:eastAsia="Times New Roman" w:hAnsi="Times New Roman"/>
          <w:sz w:val="18"/>
          <w:szCs w:val="18"/>
          <w:color w:val="auto"/>
        </w:rPr>
      </w:pPr>
    </w:p>
    <w:p>
      <w:pPr>
        <w:ind w:left="5420" w:right="1000" w:hanging="5316"/>
        <w:spacing w:after="0" w:line="454" w:lineRule="auto"/>
        <w:tabs>
          <w:tab w:leader="none" w:pos="4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additional Shares available for awards under the Plan (1,750,000 Shares) represents an overhang percentage of 8.12%; and 10</w:t>
      </w:r>
    </w:p>
    <w:p>
      <w:pPr>
        <w:sectPr>
          <w:pgSz w:w="11900" w:h="16838" w:orient="portrait"/>
          <w:cols w:equalWidth="0" w:num="1">
            <w:col w:w="10980"/>
          </w:cols>
          <w:pgMar w:left="440" w:top="266" w:right="479" w:bottom="1440" w:gutter="0" w:footer="0" w:header="0"/>
        </w:sectPr>
      </w:pPr>
    </w:p>
    <w:bookmarkStart w:id="14" w:name="page15"/>
    <w:bookmarkEnd w:id="14"/>
    <w:p>
      <w:pPr>
        <w:ind w:left="420" w:right="120" w:hanging="316"/>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Total number of Shares subject to outstanding awards (1,609,294 Shares)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proposed additional Shares available for awards under the Plan (1,750,000 Shares) represents an overhang percentage of 15.59%.</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closing price of our Shares as reported by the NASDAQ Stock Market LLC on September 11, 2020 of US$26.21 per Share, the aggregate market value as of September 11, 2020 of the 1,750,000 Shares requested under the Plan was US$45,867,500.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number of proposed Shares to be made available under the Plan, we evaluated a number of factors, including our historical and recent share usage and also criteria expected to be utilized by institutional proxy advisory firms in evaluating our proposal.</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anticipate that the Shares requested in connection with the approval of the Plan will last for about six years. If approval of Proposal No. 3 is obtained, the approval in relation to ASX Listing Rule 7.2, Exception 13 has a three year life span. Accordingly, it is the intention of the Company to seek to refresh the approval for the purposes of ASX Listing Rule 7.2, Exception 13, in three years’ time so that the issue of securities under the Plan will not reduce the Company’s 15% placement capacity for a further three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 7.2, Exception 13, we confirm the following information:</w:t>
      </w:r>
    </w:p>
    <w:p>
      <w:pPr>
        <w:spacing w:after="0" w:line="131" w:lineRule="exact"/>
        <w:rPr>
          <w:sz w:val="20"/>
          <w:szCs w:val="20"/>
          <w:color w:val="auto"/>
        </w:rPr>
      </w:pPr>
    </w:p>
    <w:p>
      <w:pPr>
        <w:ind w:left="420" w:hanging="316"/>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terms of the Plan is set out below;</w:t>
      </w:r>
    </w:p>
    <w:p>
      <w:pPr>
        <w:spacing w:after="0" w:line="130" w:lineRule="exact"/>
        <w:rPr>
          <w:rFonts w:ascii="Times New Roman" w:cs="Times New Roman" w:eastAsia="Times New Roman" w:hAnsi="Times New Roman"/>
          <w:sz w:val="18"/>
          <w:szCs w:val="18"/>
          <w:color w:val="auto"/>
        </w:rPr>
      </w:pPr>
    </w:p>
    <w:p>
      <w:pPr>
        <w:ind w:left="420" w:right="80" w:hanging="316"/>
        <w:spacing w:after="0" w:line="254"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Plan is a new incentive plan to be adopted by the Company, there have been no securities issued under the Plan since the Company was listed on the ASX. However, the Company’s predecessor, AVITA Medical Limited, issued 1,259,662 options under AVITA Medical Limited’s Employee Incentive Option Plan since that plan was last approved by the shareholders of AVITA Medical Limited at its 2019 annual general meeting on November 26, 2019. As a result of the Avita Group’s redomiciliation to the United States, the options in AVITA Medical Limited that remain on issue entitle the holders of those securities, upon vesting of their conversion rights, to be issued shares of Common Stock (or CDIs representing the underlying shares of Common Stock) in the Company rather than shares in AVITA Medical Limited on a 100:1 consolidation ratio in accordance with, and pursuant to, their terms of issue and the deed poll entered into by the Company on or about May 6, 2020 in favor of, amongst others, the holders of those securities;</w:t>
      </w:r>
    </w:p>
    <w:p>
      <w:pPr>
        <w:spacing w:after="0" w:line="97" w:lineRule="exact"/>
        <w:rPr>
          <w:rFonts w:ascii="Times New Roman" w:cs="Times New Roman" w:eastAsia="Times New Roman" w:hAnsi="Times New Roman"/>
          <w:sz w:val="18"/>
          <w:szCs w:val="18"/>
          <w:color w:val="auto"/>
        </w:rPr>
      </w:pPr>
    </w:p>
    <w:p>
      <w:pPr>
        <w:ind w:left="420" w:right="620" w:hanging="316"/>
        <w:spacing w:after="0" w:line="266"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the Company will be entitled to issue under the Plan as a result of the issue of awards under the Plan following approval of this Proposal No. 3 is 1,750,000 Shares (subject to any capitalization adjustment (as described below) and any other applicable provisions in the Plan); and</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3 is set out below.</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noted below, the Committee retains discretion under the Plan to determine the number and amount of awards to be granted, and the future benefits that may be received by participants under the Plan are not determinable at this time.</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are cognizant of the fact that equity-based compensation dilutes stockholders’ equity and have carefully managed our equity-based compensation with that fact in mind. Our equity-based compensation program is intended to be competitive and to link compensation with stockholder value creation.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Plan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is only a summary of its principal terms and provisions. The summary is qualified in its entirety by reference to the Plan, a copy of which is attached as Annex A to this Proxy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Types of Awards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Awards may be made under the Plan in the form of (a) incentive stock options, (b) nonstatutory stock options, (c) stock appreciation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restricted stock awards, (e) restricted stock unit awards, (f) performance awards, and (g) certain other awards (as described below).</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Plan will be administered by the Compensation Committee of the Board, or those persons to whom administration of the Plan, or part of the Plan, has been delegated, or by the Board (such administrator, the “Committee”). Subject to the general purposes, terms and conditions of the Plan, any charter adopted by the Board governing the actions of the Committee and applicable laws (including the ASX Listing Rules), the Committee will have full power to implement and carry out the Plan. Without limitation, the Committee will have the authority to, subject to the preceding sentence: construe and interpret the Plan, any award agreement and any other agreement or document executed pursuant to the Plan; prescribe, amend, expand, modify and rescind or terminate rules and regulations relating to the Plan or any award (including the terms or conditions of any award); approve persons to receive awards; determine the form, terms and conditions of awards; determine the number of Shares, CDIs or other consideration subject to awards; where required, determine the fair market value in good faith and interpret the applicable provisions of the Plan and the definition of fair market value in connection with circumstances that impact the fair market value, if necessary; determine whether awards will be granted singly, in combination with, in tandem with, in replacement of, or as alternatives to, other awards under the Plan or awards under any other incentive or compensation plan of the Company or any affiliate; grant waivers of any conditions of the Plan or any award; determine the vesting, exercisability and payment of awards; correct any defect, supply any omission or reconcile any inconsistency in the Plan, any award or any award agreement; determine whether an award has been earned or has vested; determine the terms and conditions of, and to institute, any exchange program (as defined below, and subject to the terms of the Plan related to exchange programs); adopt or revise rules and/or procedures (including the adoption or revision of any subplan under the Plan) relating to the operation and administration of the Plan to facilitate compliance with requirements of local law and procedures outside the United States (provided that Board approval will not be necessary for immaterial modifications to the Plan or any award agreement made to ensure or facilitate compliance with the laws or regulations of the relevant foreign jurisdiction); delegate any of the foregoing to one or more officers pursuant to a specific delegation as permitted by the terms of the Plan and applicable law; and make all other determinations necessary or advisable in connection with the administration of the Plan.</w:t>
      </w:r>
    </w:p>
    <w:p>
      <w:pPr>
        <w:spacing w:after="0" w:line="19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Any determination made by the Committee with respect to any award will be made in its sole discretion at the time of award of the award or, unless in contravention of any express term of the Plan or award or applicable law, at any later time, and such determination will be final and binding on the Company and all persons having an interest in any award under the Plan. Any dispute regarding the interpretation of the Plan or any award agreement will be submitted by the grantee or Company to the Committee for review. The resolution of such a dispute by the Committee will be final and binding on the Company and the grantee. The Committee may delegate to the plan administrator (as defined below) or one or more officers the authority to review and resolve disputes with respect to awards held by grantees who are not “insiders” (as defined in the Plan), and such resolution will be final and binding on the Company and the grantee.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grant awards.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Incentive stock options may be awarded only to employees of the Company, its parent and any subsidiary of the Company. All other awards may be awarded to employees, consultants and directors, provided such consultants and directors render bona fide services not in connection with the offer and sale of securities in a capital-raising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16" w:name="page17"/>
    <w:bookmarkEnd w:id="16"/>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persons eligible to participate in the Plan are employees of the Company or any parent or subsidiary of the Company, non-employee members of our Board or non-employee members of the board of directors of any parent or subsidiary of the Company, and consultants and other independent advisors who provide services to the Company (or any parent or subsidiary of the Company). As of September 13, 2020, approximately 100 employees, 5 non-employee members of our Board, and zero consultants and other personal service providers of the Company and its subsidiaries were eligible to participate in the Plan. The basis for such participation is that such participation would align their interests with those of the Company’s stockholders.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Subject to the Plan; Non-Employee Director Limitation</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any capitalization adjustment (as described below) and any other applicable provisions in the Plan, the total number of Shares reserved and available for award and issuance pursuant to the Plan will not exceed 1,750,000 Shares. Subject to the provisions relating to capitalization adjustment (as described below), the maximum number of Shares that may be issued pursuant to the exercise of incentive stock options is the share reserve set forth in the preceding sentence.</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maximum number of Shares subject to awards (and of cash subject to cash-settled awards) awarded under the Plan or otherwise during any one fiscal year to any non-employee director for service on the Board, taken together with any cash fees paid by the Company to such non-employee director during such fiscal year for service on the Board, will not exceed US$150,000 in total value (calculating the value of any such awards based on the award date fair value of such awards for financial reporting purposes).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Shares subject to an outstanding award will be returned to the share reserve and will be available for issuance in connection with subsequent awards under the Plan to the extent such Shares: are cancelled, forfeited, or settled in cash; are used to pay the exercise price of such award or any taxes arising in connection with vesting, exercise or settlement of such award; are surrendered pursuant to an exchange program (as described below); expire by their terms at any time; or are reacquired by the Company pursuant to a forfeiture provision or repurchase right by the Company. To the extent permitted by applicable law, Shares subject to substitute awards (as described below) will not be deducted from the share reserve.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the number of outstanding Shares is changed or the value of the Shares is otherwise affected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“capitalization adjustment”), then the maximum number and class of Shares or type of security reserved for issuance and future award under the Plan; the exercise price, purchase price, and number and class of Shares or type of security subject to outstanding awards; and (c) the number and class of Shares subject to the incentive stock option limit set forth above, will be proportionately adjusted or adjusted in such other manner as the Committee determines to be equitably required, subject to any required action by the Board or the stockholders of the Company and subject to compliance with, and to the extent permitted by, applicable laws (including the ASX Listing Rules).</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substitute or assume outstanding awards awarded by another company, whether in connection with an acquisition of such other company or otherwise, by either awarding an award under the Plan in substitution of such other company’s award; or assuming such award as if it had been awarded under the Plan if the terms of such assumed award could be applied to an award awarded under the Plan (a “substitute award”).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 and Stock Appreciation Rights</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option or stock appreciation right will be in such form and will contain such terms and conditions as the Committee deems appropriate. Each stock appreciation right will be denominated in share equivalents.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7" w:name="page18"/>
    <w:bookmarkEnd w:id="17"/>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of separate options or stock appreciation rights need not be identical; provided, however, that each award agreement will conform (through incorporation of provisions by reference in the applicable award agreement or otherwise) to the substance of the Plan. Dividend equivalent rights will not be awarded in connection with an option or stock appreciation right.</w:t>
      </w:r>
    </w:p>
    <w:p>
      <w:pPr>
        <w:spacing w:after="0" w:line="176"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Options and stock appreciation rights may be exercisable within the times or upon the events determined by the Committee and as set forth in the award agreement governing such award. No option or stock appreciation right will be exercisable after the expiration of ten (10) years from the date the option or stock appreciation right is awarded, or such shorter period specified in the award agreement. In addition, in the case of an incentive stock option awarded to a person who, at the time the incentive stock option is awarded, directly or by attribution owns more than ten percent (10%) of the total combined voting power of all classes of stock of the Company or of any parent or subsidiary (“Ten Percent Holder”), such option may not be exercisable after the expiration of five (5) years from the date the incentive stock option is awarded. The Committee also may provide for options or stock appreciation rights to become exercisable at one time or from time to time, periodically or otherwise, in such number of Shares or percentage of Shares as the Committee determines.</w:t>
      </w:r>
    </w:p>
    <w:p>
      <w:pPr>
        <w:spacing w:after="0" w:line="192"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exercise price of an option or stock appreciation right will be such price as is determined by the Committee and set forth in the award agreement; provided that (a) in the case of an incentive stock option (i) awarded to a Ten Percent Holder, the exercise price will be no less than one hundred ten percent (110%) of the fair market value on the date of award and (ii) awarded to any other employee, the exercise price will be no less than one hundred percent (100%) of the fair market value on the date of award, and (b) in the case of a nonstatutory stock option or stock appreciation right, the exercise price will be such price as is determined by the Committee, provided that, if the exercise price is less than one hundred percent (100%) of the fair market value on the date of award, it will otherwise comply with all applicable laws, including Section 409A of the Code. Notwithstanding the foregoing, an option or stock appreciation right may be awarded with an exercise price lower than one hundred percent (100%) of the fair market value in connection with substitute awards.</w:t>
      </w:r>
    </w:p>
    <w:p>
      <w:pPr>
        <w:spacing w:after="0" w:line="19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Upon exercise of a stock appreciation right, a grantee will be entitled to receive payment from 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Unless explicitly provided otherwise in a grantee’s award agreement, if a grantee’s continuous service is terminated, the grantee (or his or her legal representative, in the case of death) may exercise his or her option or stock appreciation right (to the extent such award was exercisable on the termination date) within the following period of time following the termination of the grantee’s continuous service: three (3) months following a termination of a grantee’s continuous service by the Company without cause (as defined in the Plan) or by the grantee for any reason (other than due to death or disability (as defined in the Plan)); six (6) months following a termination due to the grantee’s disability (as defined in the Plan); twelve</w:t>
      </w:r>
    </w:p>
    <w:p>
      <w:pPr>
        <w:spacing w:after="0" w:line="3" w:lineRule="exact"/>
        <w:rPr>
          <w:sz w:val="20"/>
          <w:szCs w:val="20"/>
          <w:color w:val="auto"/>
        </w:rPr>
      </w:pPr>
    </w:p>
    <w:p>
      <w:pPr>
        <w:ind w:left="4" w:right="40" w:hanging="4"/>
        <w:spacing w:after="0" w:line="260"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termination due to the grantee’s death; and twelve (12) months following the grantee’s death, if such death occurs following the date of such termination but during the period such award is otherwise exercisable.</w:t>
      </w:r>
    </w:p>
    <w:p>
      <w:pPr>
        <w:spacing w:after="0" w:line="181"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If a grantee’s continuous service is terminated for cause (as defined in the Plan), the grantee’s options or stock appreciation rights will terminate and be forfeited immediately upon such grantee’s termination of continuous service, and the grantee will be prohibited from exercising any portion (including any vested portion) of such awards on and after the date of such termination.</w:t>
      </w:r>
    </w:p>
    <w:p>
      <w:pPr>
        <w:spacing w:after="0" w:line="176" w:lineRule="exact"/>
        <w:rPr>
          <w:sz w:val="20"/>
          <w:szCs w:val="20"/>
          <w:color w:val="auto"/>
        </w:rPr>
      </w:pPr>
    </w:p>
    <w:p>
      <w:pPr>
        <w:jc w:val="both"/>
        <w:ind w:left="4" w:right="240" w:firstLine="440"/>
        <w:spacing w:after="0" w:line="289" w:lineRule="auto"/>
        <w:rPr>
          <w:sz w:val="20"/>
          <w:szCs w:val="20"/>
          <w:color w:val="auto"/>
        </w:rPr>
      </w:pPr>
      <w:r>
        <w:rPr>
          <w:rFonts w:ascii="Times New Roman" w:cs="Times New Roman" w:eastAsia="Times New Roman" w:hAnsi="Times New Roman"/>
          <w:sz w:val="17"/>
          <w:szCs w:val="17"/>
          <w:color w:val="auto"/>
        </w:rPr>
        <w:t>Except as otherwise provided in the award agreement and to the extent permitted by applicable law, if a grantee’s continuous service terminates for any reason other than for cause (as defined in the Plan) and, at any time during the last thirty (30) days of the applicable post-termination exercise period: the exercise of the grantee’s option or stock appreciation right would be prohibited solely because the issuance of Shares upon such</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would violate applicable law; or the immediate sale of any Shares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Each restricted stock award will be in such form and will contain such terms and conditions as the Committee deems appropriate. The terms and conditions of restricted stock awards may change from time to time, and the terms and conditions of separate award agreements need not be identical, but each award agreement will conform to (through incorporation of the provisions of the Plan by reference in the applicable award agreement or otherwise) the substance of the Plan. The purchase price for Shares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 Grantees holding restricted stock awards will be entitled to receive all dividends and other distributions paid with respect to such Shares, unless the Committee provides otherwise at the time the award is awarded. Any such dividends or distributions will be subject to the same restrictions on transferability and forfeitability as the restricted stock awards with respect to which they were paid.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Each restricted stock unit award will be in such form and will contain such terms and conditions as the Committee deems appropriate. The terms and conditions of restricted stock unit awards may change from time to time, and the terms and conditions of separate award agreements need not be identical, but each restricted stock unit award will conform to (through incorporation of the provisions of the Plan by reference in the award agreement or otherwise) the substance of the Plan. Unless otherwise determined by the Committee, no purchase price will apply to a restricted stock unit settled in Shares. The Committee, in its sole discretion, may settle vested restricted stock units in cash, Shares, or a combination of both. The Committee may permit grantees holding restricted stock units to receive dividend equivalent rights on outstanding restricted stock units if, and when, dividends are paid to stockholders on Shares. Any such dividend equivalent rights will be subject to the same vesting or performance requirements as the restricted stock units. If the Committee permits dividend equivalent rights to be made on restricted stock units, the terms and conditions for such dividend equivalent rights will be set forth in the applicable award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performance award is an award that may be awarded, may vest or may become eligible to vest contingent upon the attainment during a performance period of certain performance goals. Performance awards may be awarded as options, stock appreciation rights, restricted stock, restricted stock units or other awards, including cash-based awards. Performance awards will be based on the attainment of performance goals that are established by the Committee for the relevant performance period. Prior to the award of any performance award, the Committee will determine and each award agreement will set forth the terms of each performance award, including, without limitation: the nature, length and starting date of any performance period; the performance criteria and performance goals that will be used to determine the time and extent to which a performance award has been earned; amount of any cash bonus, or the number of Shares deemed subject to a performance award; and the effect of a termination of a grantee’s continuous service on a performance award. Grantees may participate simultaneously with respect to performance awards that are subject to different performance periods and performance goals. A performance award may but need not require the grantee’s completion of a specified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19" w:name="page20"/>
    <w:bookmarkEnd w:id="1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of service. The Committee will determine the extent to which a performance award has been earned in its sole discretion, including the manner of calculating the performance criteria and the measure of whether and to what degree such performance goals have been attained subject to compliance with, and to the extent permitted by, applicable law. The Committee may, subject to compliance with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under applicable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Awards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Shares, including the appreciation in value thereof may be awarded either alone or in addition to other awards provided for in the Plan. Subject to the provisions of the Plan and applicable law, the Committee may determine the persons to whom and the time or times at which such other awards will be awarded, the number of Shares (or the cash equivalent thereof) to be awarded pursuant to such other awards and all other terms and conditions of such other awards.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for Purchases and Exercises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Payment from a grantee for Shares acquired pursuant to the Plan may be made in cash or cash equivalents or, where approved for the grantee by the Committee and where permitted by applicable law (and set forth in the applicable award agreement): by cancellation of indebtedness of the Company owed to the grantee; by surrender of Shares held by the grantee that are clear of all liens, claims, encumbrances or security interests and that have a fair market value on the date of surrender equal to the aggregate payment required; by waiver of compensation due or accrued to the grantee for services rendered or to be rendered to the Company or an affiliate; by consideration received by the Company pursuant to a broker-assisted or other form of cashless exercise program implemented by the plan administrator in connection with the Plan; by any combination of the foregoing; or by any other method of payment as is permitted by applicable law.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Tax Withholdings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Regardless of any action taken by the Company or any affiliate, the ultimate liability for all income tax, social insurance, payroll tax, fringe benefits tax, payment on account, employment tax, stamp tax or other tax-related items related to the grantee’s participation in the Plan and legally applicable to the grantee, including any employer liability for which the grantee is liable, is the grantee’s responsibility. Unless otherwise provided in the grantee’s award agreement, the Committee, or its delegate(s), as permitted by applicable law, in its sole discretion and pursuant to such procedures as it may specify from time to time and subject to limitations of applicable law, may require or permit a grantee to satisfy any applicable withholding obligations for taxes, in whole or in part by (without limitation): requiring the grantee to make a cash payment; withholding from the grantee’s wages or other cash compensation paid to the grantee by the Company or any affiliate; withholding from the Shares otherwise issuable pursuant to an award; permitting the grantee to deliver to the Company already-owned Shares; or withholding from the proceeds of the sale of otherwise deliverable Shares acquired pursuant to an award either through a voluntary sale or through a mandatory sale arranged by the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11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expressly provided in the Plan or an applicable award agreement, or otherwise determined by the Committee or the plan administrator, awards awarded under the Plan will not be transferable or assignable by the grantee, other than by will or by the laws of descent and distribution. Any options, stock appreciation rights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0" w:name="page21"/>
    <w:bookmarkEnd w:id="20"/>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awards that are exercisable may only be exercised: during the grantee’s lifetime only by (i) the grantee, or (ii) the grantee’s guardian or legal representative; and after the grantee’s death, by the legal representative of the grantee’s heirs or legatees. The Committee or the plan administrator may permit transfer of awards in a manner that is not prohibited by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Rights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grantee will have any of the rights of a stockholder with respect to any Shares until the Shares are issued to the grantee, except for any dividend equivalent rights permitted by an applicable award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award, the terms of the Company’s Trading Policy, and applicable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and Buyout of Awards; Repricings</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Subject to the next sentence, the Committee may conduct an exchange program, which means a program pursuant to which outstanding awards are surrendered, cancelled or exchanged for cash, the same type of award or a different award (or combination thereof) or the exercise price of an outstanding award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cancelling, exchanging or surrendering any outstanding option and/or outstanding stock appreciation right in exchange for cash or another award for the purpose of lowering or reducing the exercise price of the outstanding option and/or outstanding stock appreciation right; cancelling,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 The foregoing stockholder approval requirement may not be amended without stockholder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Clawback/Recovery Policy</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All awards awarded under the Plan will be subject to clawback or recoupment under any clawback or recoupment policy adopted by the Board or the Committee or required by applicable law during the term of grantee’s employment or other service with the Company that is applicable to officers, 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Provisions Applicable to Awards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subject to an award may vest in periodic installments that may or may not be equal. The Committee may impose such restrictions on or conditions to the vesting and/or exercisability of an award as determined by the Committee, and which may vary. Except as otherwise provided in the applicable award agreement or as determined by the Committee, if a grantee’s continuous service terminates for any reason, vesting of an award will cease and such portion of an award that has not vested will be forfeited, and the grantee will have no further right, title or interest in any then-unvested portion of the award. In addition, the Company may receive through a forfeiture condition or a repurchase right any or all of the Shares held by the grantee under a restricted stock award that have not vested as of the date of such termination, subject to the terms of the applicable award agreement. To the extent permitted by applicable law, the Committee or the plan administrator, in that party’s sole discretion, may determine whether continuous service will be considered interrupted in the case of any leave of absence.</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70" w:right="539" w:bottom="1440" w:gutter="0" w:footer="0" w:header="0"/>
        </w:sectPr>
      </w:pPr>
    </w:p>
    <w:bookmarkStart w:id="21" w:name="page22"/>
    <w:bookmarkEnd w:id="21"/>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the Plan, “fair market value” means, as of any date, the per share value of the Shares determined as follows: if the Shares are publicly traded and listed on a national securities exchange in the United States, the closing price on the date of determination on the principal national securities exchange on which the Shares are listed or admitted to trading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plan administrator deems reliable, unless another method is approved by the Committee and subject to compliance with applicable law; or if the Shares are publicly traded only on the official list of the ASX in the form of CDIs, the closing price of a CDI as reported on the ASX on such date, adjusted as necessary to reflect the CDI / per Share ratio, or if the CDIs are not traded on the ASX on such date, then on the next preceding day that the CDIs are traded on the ASX, as reported on the ASX on such date, unless another method is approved by the Committee and subject to compliance with applicable law; or if the Shares are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 or if none of the foregoing is applicable, by the Board or the Committee in good faith (and in accordance with Section 409A of the Code, as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the Committee, in its sole discretion, may determine that the delivery of Shares or the payment of cash, upon the exercise, vesting or settlement of all or a portion of any award may be deferred and may establish programs and procedures for deferral elections to be made by grantees. Deferrals by grantees will be made in accordance with Section 409A of the Code, if applicable, and any other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of the Company</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that the Company is subject to a Change in Control, outstanding awards acquired under the Plan will be subject to the agreement evidencing the Change in Control, which need not treat all outstanding awards in an identical manner. Such agreement, without the grantee’s consent, will provide for one or more of the following with respect to all outstanding awards as of the effective date of such Change in Control: the continuation of an outstanding award by the Company (if the Company is the successor entity); the assumption of an outstanding award by the successor or acquiring entity (if any) of such Change in Control (or by its parents, if any), which assumption, will be binding on all selected grantees; the substitution by the successor or acquiring entity in such Change in Control (or by its parents, if any) of equivalent awards with substantially the same terms for such outstanding awards;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the settlement of such outstanding award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awards; or the cancellation of outstanding awards in exchange for no consideration. The Board will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Change in Control, the Committee will notify the grantee in writing or electronically that such award will be exercisable (to the extent vested and exercisable pursuant to its terms) for a period of time determined by the Committee in its sole discretion, and such award will terminate upon the expiration of such period.</w:t>
      </w:r>
    </w:p>
    <w:p>
      <w:pPr>
        <w:spacing w:after="0" w:line="19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Plan, a Change in Control will occur upon: 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immediately after such consolidation or merger; any exchange act person (as defined in the Plan) becoming the “beneficial owner” (as defined in applicable laws), directly or indirectly, of securities of the Company representing more than fifty percent (50%) of the total voting power represented by the Company’s then-outstanding voting securities; provided, however, that the acquisition of additional securities by any one person who is considered to own more than fifty percent (50%) of the total voting power of the securities of the Company will not be considered a Change in Control; the consummation of the sale or disposition by the Company of all or substantially all of the Company’s assets, except where such sale, lease, transfer or other disposition is made to the Company or one or more wholly owned subsidiaries of the Company; or 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(however, if any person is considered to be in effective control of the Company, the acquisition of additional control of the Company by the same person will not be considered a Change in Control).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Effectiveness, Amendment and Termination of the Plan</w:t>
      </w:r>
    </w:p>
    <w:p>
      <w:pPr>
        <w:spacing w:after="0" w:line="11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Plan will come into existence on the date the Plan is approved by the stockholders of the Company. No award may be awarded prior to such date. The Committee may amend the Plan or any award in any respect the Committee deems necessary or advisable, subject to the limitations of applicable law and the following restrictions. If required by applicable law, the Company will seek stockholder approval of any amendment of the Plan that materially increases the number of Shares available for issuance under the Plan (excluding any capitalization adjustment); materially expands the class of individuals eligible to receive awards under the Plan; materially increases the benefits accruing to grantees under the Plan; materially reduces the price at which Shares may be issued or purchased under the Plan; materially extends the term of the Plan; materially expands the types of awards available for issuance under the Plan; or as otherwise required by applicable law. The Plan will terminate automatically on the tenth (10th) anniversary of its effectiveness. No award will be awarded pursuant to the Plan after such date, but awards previously awarded may extend beyond that date. The Committee may suspend or terminate the Plan at any earlier date at any time. No awards may be awarded under the Plan while the Plan is suspended or after it is terminated. Subject to certain exceptions set forth in the Plan, no amendment, suspension or termination of the Plan or any award may materially impair a grantee’s rights under any outstanding award, except with the written consent of the affected grantee or as otherwise expressly permitted in the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Jurisdictions</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the Plan to the contrary, in order to facilitate compliance with the applicable laws and practices in other countries in which the Company and its affiliates operate or have employees or other persons eligible for awards, the Committee, in its sole discretion, will have the power and authority to: determine which affiliates will be covered by the Plan; determine which individuals outside the United States are eligible to participate in the Plan, which may include individuals who provide services to the Company or an affiliate under an agreement with a foreign nation or agency; modify the terms and conditions of any award awarded to individuals outside the United States or foreign nationals to comply with applicable laws or foreign policies, customs and practices; establish sub-plans, modify exercise procedures and adopt other rules and/or procedures relating to the operation and administration of the Plan in jurisdictions other than the United States (including to qualify awards for special tax treatment under laws of jurisdictions other than the United States); provided, however, that no such sub-plans and/or modifications will increase the share limitations contained in the Plan; and take any action, before or after an award is made, that the Committee determines to be necessary or advisable to obtain approval or comply with any local governmental regulatory exemptions or approvals.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US Federal Income Tax Consequences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Plan participants,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us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spacing w:after="0" w:line="180"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If a participant disposes of Shares acquired by exercising an incentive stock option before satisfying the one and two-year holding periods described above (a “disqualifying disposition”), then: (a) if the proceeds received exceed the exercise price, the participant will (i) realize ordinary income equal to the excess, if any, of the lesser of the proceeds received or the fair market value of the Shares on the date of exercise over the exercise price, and (ii) realize capital gain equal to the excess, if any, of the proceeds received over the fair market value of the Shares on the date of exercise; or</w:t>
      </w:r>
    </w:p>
    <w:p>
      <w:pPr>
        <w:spacing w:after="0" w:line="3" w:lineRule="exact"/>
        <w:rPr>
          <w:sz w:val="20"/>
          <w:szCs w:val="20"/>
          <w:color w:val="auto"/>
        </w:rPr>
      </w:pPr>
    </w:p>
    <w:p>
      <w:pPr>
        <w:ind w:left="4" w:right="160" w:hanging="4"/>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received are less than the exercise price of the incentive stock option, the participant will realize a capital loss equal to the excess of the exercise price over the proceeds received.</w:t>
      </w:r>
    </w:p>
    <w:p>
      <w:pPr>
        <w:spacing w:after="0" w:line="18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When a stock appreciation right is granted, there are no US income tax consequences for us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24" w:name="page25"/>
    <w:bookmarkEnd w:id="24"/>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units will not have US tax consequences for us or the recipient at the time of grant. Income will be realized when the awards vest and are paid in cash or Shares. At that time, the participant will realize ordinary income equal to the fair market value of the Shares or cash paid to the participant. Upon the sale of Shares received in settlement of restricted stock units, the participant will realize a capital gain or loss equal to the difference between the sale proceeds and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Participants who receive awards of dividend equivalent rights will be required to recognize ordinary income in the amount distributed to the participant pursuant to the award.</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Plan Benefits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 awards under the Plan have been granted or will be granted unless and until the Plan is approved by the Company’s stockholders at the Annual Meeting. If approved, grants of awards under the Plan will be in the discretion of the plan administrator. Accordingly, it is not possible as of the date of this Proxy Statement to determine the nature or amount of any awards under the Plan that may be subject to future grants to employees, officers and directors of the Company and its subsidiaries or affiliates who will be eligible to participate in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Plan or the terms of any grant made under it and no grant can be made under the Plan or any other action taken under the Plan unless such relevant action complies with the ASX Listing Rules (to the extent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right="620" w:firstLine="440"/>
        <w:spacing w:after="0" w:line="312" w:lineRule="auto"/>
        <w:rPr>
          <w:sz w:val="20"/>
          <w:szCs w:val="20"/>
          <w:color w:val="auto"/>
        </w:rPr>
      </w:pPr>
      <w:r>
        <w:rPr>
          <w:rFonts w:ascii="Times New Roman" w:cs="Times New Roman" w:eastAsia="Times New Roman" w:hAnsi="Times New Roman"/>
          <w:sz w:val="17"/>
          <w:szCs w:val="17"/>
          <w:color w:val="auto"/>
        </w:rPr>
        <w:t>We intend to file a Registration Statement on Form S-8 relating to the issuance of Shares under the Plan with the Securities and Exchange Commission pursuant to the Securities Act of 1933, as amended, as soon as practicable after approval of the Plan by our stockholders.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our shares of Common Stock entitled to vote on the Proposal, with abstentions counting as votes against the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Recommendation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recommends that our stockholders approve this Proposal No. 3 because appropriate equity incentives are important to attract and retain high quality service providers, to link compensation to Company performance, to encourage employee and director ownership in our Company, and to align the interests of participants to those of our stockholders.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5" w:name="page26"/>
    <w:bookmarkEnd w:id="25"/>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our Board recommends that our stockholders authorize the issue of equity securities in the Company under and subject to the terms of the Plan for the purposes of ASX Listing Rule 7.2 Exception 13(b) so that the issue of securities under the Plan will not reduce the Company’s 15% placement capacity under ASX Listing Rule 7.1 for the next three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Proposal No. 3 by or on behalf of any person who is eligible to participate in the Plan or an associate of those persons.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the resolution by:</w:t>
      </w:r>
    </w:p>
    <w:p>
      <w:pPr>
        <w:spacing w:after="0" w:line="131" w:lineRule="exact"/>
        <w:rPr>
          <w:sz w:val="20"/>
          <w:szCs w:val="20"/>
          <w:color w:val="auto"/>
        </w:rPr>
      </w:pPr>
    </w:p>
    <w:p>
      <w:pPr>
        <w:ind w:left="420" w:right="6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420" w:right="12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420" w:right="10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APPROVAL TO INCREASE MAXIMUM AGGREGATE ANNUAL CASH FEE POOL FOR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ASX Listing Rule 10.17 and section 2.10 of the Company’s Amended and Restated Bylaws, any proposed increase to the maximum aggregate annual cash fee pool from which non-executive directors of the Company may be paid for their service as a member of the Board of Directors must be approved by stockholders at an annual or special meeting of the stockholders.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There are currently five non-executive directors of the Company – Mr. Louis Panaccio, Mr. Jeremy Curnock Cook, Mr. Louis Drapeau, Professor Suzanne Crowe and Mr. Damien McDonald. On September 6, 2020, Mr. McDonald informed the Board of Directors that he does not intend to stand for re-election and will be resigning prior to the Annual Meeting.</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current maximum aggregate annual cash fee pool from which non-executive directors of the Company may be paid for their service as a member of the Board of Directors is A$450,000. The remuneration of each non-executive director for the year ended June 30, 2020 is detailed in the Company’s Annual Report on Form 10-K dated August 27, 2020.</w:t>
      </w:r>
    </w:p>
    <w:p>
      <w:pPr>
        <w:spacing w:after="0" w:line="176" w:lineRule="exact"/>
        <w:rPr>
          <w:sz w:val="20"/>
          <w:szCs w:val="20"/>
          <w:color w:val="auto"/>
        </w:rPr>
      </w:pPr>
    </w:p>
    <w:p>
      <w:pPr>
        <w:ind w:right="320" w:firstLine="440"/>
        <w:spacing w:after="0" w:line="281" w:lineRule="auto"/>
        <w:rPr>
          <w:sz w:val="20"/>
          <w:szCs w:val="20"/>
          <w:color w:val="auto"/>
        </w:rPr>
      </w:pPr>
      <w:r>
        <w:rPr>
          <w:rFonts w:ascii="Times New Roman" w:cs="Times New Roman" w:eastAsia="Times New Roman" w:hAnsi="Times New Roman"/>
          <w:sz w:val="17"/>
          <w:szCs w:val="17"/>
          <w:color w:val="auto"/>
        </w:rPr>
        <w:t>The purpose of this Proposal No. 4 is to approve an increase in the maximum aggregate annual cash fee pool from A$450,000 per annum to US$600,000 per annum. This would represent an increase to the current annual cash fee pool of approximately A$380,449 (based on the A$ / US$ exchange rate published by the Reserve Bank of Australia on September 9, 2020). If approved, the amount of US$600,000 would be the total annual amount that could be divided amongst all of the non-executive directors and would not be the amount payable to each non-executive director.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Reasons for the proposed increase</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current maximum aggregate annual cash fee pool amount is A$450,000, which was the amount that was approved by the shareholders of the Company’s predecessor, AVITA Medical Limited (previously known as Clinical Cell Culture Ltd), in 2005. The total annual cash fee pool has not been increased since that time.</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consider that it is reasonable and appropriate at this time to seek stockholder approval for an increase in the maximum aggregate annual cash fee pool as these extra funds will assist the Company to attract and retain members of the Board of Directors in an increasingly competitive environment for the recruitment of non-executive directors.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the Board of Directors consider that it is appropriate for the maximum aggregate annual cash fee pool amount to be represented in US dollars rather than Australian dollars given that the Avita Group is now domiciled in the United States.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this Proposal No. 4 is passed, the maximum aggregate annual cash fee pool from which non-executive directors may be paid for their services as a member of the Board of Directors will be US$600,000.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issued to non-executive directors under ASX Listing Rule 10.11 or 10.14</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required by ASX Listing Rule 10.17, the Company confirms that no securities have been issued by the Company to any non-executive director under ASX Listing Rule 10.11 or 10.14 with stockholder approval within the past three years. If, however, Proposal No.’s 3 and 5 – 8 (inclusive) are approved, Common Stock or CDIs of the Company may be issued to certain non-executive directors of the Company on the terms set out in this Proxy Statement in respect of those Proposals.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27" w:name="page28"/>
    <w:bookmarkEnd w:id="2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Also, the Company’s predecessor, AVITA Medical Limited, obtained approval at the annual general meeting of its shareholders on 29 November 2016, for the purposes of section 195(4) and section 208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ASX Listing Rule 10.14 and for all other purposes, to issue a number of shares in AVITA Medical Limited over the following three years (being the 2017, 2018 and 2019 financial years) under its employee share plan to each of its non-executive directors, namely Mr. Louis Panaccio, Mr. Jeremy Curnock Cook, Mr. Louis Drapeau, Professor Suzanne Crowe and Mr. Damien McDonald (who are also non-executive directors of the Company) and Dr. Michael Perry (who at the time was a non-executive director of AVITA Medical Limited, but is now an executive director of the Company) in exchange for all or part of the directors’ fees otherwise payable to them.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that approval, shares in AVITA Medical Limited were issued to the non-executive directors during 2017, 2018 and 2019 as set out in the table below. No other securities in AVITA Medical Limited have been issued to non-executive directors under ASX Listing Rule 10.14 in the last three years. Share amounts below are in ordinary shares of Avita Medical Limited, which in the redomicile were adjusted in a reverse split of 1:100.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Shareholding*</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Date issued</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56,540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Louis Panaccio</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162,559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28</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December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(held indirectly by Tercus Pty Ltd ATF The Panaccio</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345,024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 August 2019</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Superannuation Fund)</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12,948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23 August 2019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Nil</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33,938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27,589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2017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(held jointly by Suzanne Crowe and John Mills)</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79,321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28</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December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168,301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 August 2019</w:t>
            </w:r>
          </w:p>
        </w:tc>
      </w:tr>
      <w:tr>
        <w:trPr>
          <w:trHeight w:val="229"/>
        </w:trPr>
        <w:tc>
          <w:tcPr>
            <w:tcW w:w="394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6,316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23 August 2019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123,307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455,095 ordinary shares</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28</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December 2017</w:t>
            </w:r>
          </w:p>
        </w:tc>
      </w:tr>
      <w:tr>
        <w:trPr>
          <w:trHeight w:val="216"/>
        </w:trPr>
        <w:tc>
          <w:tcPr>
            <w:tcW w:w="394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1,011,003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 August 2019</w:t>
            </w:r>
          </w:p>
        </w:tc>
      </w:tr>
      <w:tr>
        <w:trPr>
          <w:trHeight w:val="229"/>
        </w:trPr>
        <w:tc>
          <w:tcPr>
            <w:tcW w:w="394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41,669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23 August 2019</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61,654 ordinary shares</w:t>
            </w:r>
          </w:p>
        </w:tc>
        <w:tc>
          <w:tcPr>
            <w:tcW w:w="2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May 19, 2017</w:t>
            </w:r>
          </w:p>
        </w:tc>
      </w:tr>
    </w:tbl>
    <w:p>
      <w:pPr>
        <w:spacing w:after="0" w:line="19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As a result of the redomiciliation of the Avita Group from Australia to the United States, the abovementioned securities were exchanged for equivalent securities in the Company in accordance with the exchange ratios detailed in AVITA Medical Limited’s Scheme Booklet dated 11 May 2020. The current interests of each of the directors of the Company have been disclosed to ASX and are available on ASX’s website (www.asx.com.au).</w:t>
      </w:r>
    </w:p>
    <w:p>
      <w:pPr>
        <w:spacing w:after="0" w:line="1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 securities in AVITA Medical Limited have been issued to any of its non-executive directors under ASX Listing Rule 10.11 with the approval of shareholders within the last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recommends that stockholders vote FOR Proposal No. 4 for the reasons set out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our shares of Common Stock entitled to vote on the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disregard any votes cast in favor of Proposal No. 4 by or on behalf of any director of the Company or their associates.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 the Company need not disregard a vote cast in favor of the resolution by:</w:t>
      </w:r>
    </w:p>
    <w:p>
      <w:pPr>
        <w:spacing w:after="0" w:line="131" w:lineRule="exact"/>
        <w:rPr>
          <w:sz w:val="20"/>
          <w:szCs w:val="20"/>
          <w:color w:val="auto"/>
        </w:rPr>
      </w:pPr>
    </w:p>
    <w:p>
      <w:pPr>
        <w:ind w:left="520" w:right="380" w:hanging="424"/>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520" w:right="240" w:hanging="424"/>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520" w:right="660" w:hanging="424"/>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80" w:hanging="331"/>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No’s 5 - 8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ISSUE OF SECURITIES TO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Proposal No’s 5 - 8 (inclusive) seek the approval of stockholders under ASX Listing Rule 10.14 to:</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(a) permit each of Mr. Louis Panaccio, Mr. Jeremy Curnock Cook, Mr. Louis Drapeau and Professor Suzanne Crowe, in their capacity as non-executive directors of the Company (each an “Eligible Director” and together the “Eligible Directors”), to elect to receive up to US$8,333 of their directors’ fees in each fiscal year during the three year period from the date of this Annual Meeting (being in aggregate up to US$24,999 in the three year period) in the form of Common Stock (or CDIs) of the Company (“Director Shares”) rather than in the form of a cash payment of that amount, pursuant to the terms of the Company’s 2020 Omnibus Incentive Plan; and</w:t>
      </w:r>
    </w:p>
    <w:p>
      <w:pPr>
        <w:spacing w:after="0" w:line="183" w:lineRule="exact"/>
        <w:rPr>
          <w:sz w:val="20"/>
          <w:szCs w:val="20"/>
          <w:color w:val="auto"/>
        </w:rPr>
      </w:pPr>
    </w:p>
    <w:p>
      <w:pPr>
        <w:ind w:right="200" w:firstLine="436"/>
        <w:spacing w:after="0" w:line="28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Company issuing such Director Shares to the Eligible Directors (or their respective nominees) during the three year period from the date of this Annual Meeting.</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Director Shares will be issued under and subject to the terms and conditions of the Company’s 2020 Omnibus Incentive Plan (assuming Proposal No. 3 is approved).</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purpose of allowing the Eligible Directors to elect to be issued Director Shares is to promote ownership in the Company by the Eligible Directors and align their interests with those of stockholders by linking part of their remuneration to the long term success of the Company and its financial performance. If the Eligible Directors elect to be issued Director Shares it will also reduce the cash component of the directors fees that the Company will need to provide to the Eligible Directors and thereby increase the Company’s funds that are available for working capital.</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ASX Listing Rule 10.14 provides that the Company must not permit a director or an associate of a director to acquire securities under an employee incentive scheme without the prior approval of the stockholders of the Company. The 2020 Omnibus Incentive Plan is an ‘employee incentive scheme’ for the purposes of the ASX Listing Rules.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Further, ASX Listing Rule 7.1 prohibits a listed entity from issuing in any 12 month period new shares, or securities convertible to shares, which are equivalent in number to more than 15% of the total number of ordinary securities on issue at the beginning of the 12 month period without the prior approval of stockholders, unless the issue of equity securities is subject to an exception. ASX Listing Rule 7.2 Exception 14 provides that where an issue of securities is approved by the stockholders for the purposes of ASX Listing Rule 10.14, it will be exempt from the Company’s 15% placement capacity restriction.</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If Proposal No’s. 3 and 5 - 8 (inclusive) are approved, the Company will be able to issue the Director Shares to the Eligible Directors (or their respective nominees) over a period of three years from the date of the Annual Meeting without:</w:t>
      </w:r>
    </w:p>
    <w:p>
      <w:pPr>
        <w:spacing w:after="0" w:line="189"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needing to obtain additional stockholder approval under Chapter 10 of the ASX Listing Rules for each issue of Director Shares; or</w:t>
      </w:r>
    </w:p>
    <w:p>
      <w:pPr>
        <w:spacing w:after="0" w:line="25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impacting the Company’s 15% placement capacity limit under ASX Listing Rule 7.1.</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Proposal No’s. 5 - 8 (inclusive) are subject to Proposal No. 3 being approved by the stockholders of the Company. If Proposal No. 3 is not approved, Proposal No’s. 5 - 8 (inclusive) will not be considered at the Annual Meeting and no Director Shares will be able to be issued to the Eligible Directors (or their respective nominees).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0" w:name="page31"/>
    <w:bookmarkEnd w:id="30"/>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No’s. 5 - 8 (inclusive) are not interdependent Proposals. Accordingly, if only some of Proposal No’s. 5 - 8 are approved by stockholders, those Proposals that are approved will remain valid even if certain of Proposal No’s. 5 - 8 are not approved by stockholders. If this occurs, those Eligible Directors who have the issue of Director Shares to them (or their respective nominees) approved will be entitled to elect to be issued Director Shares whereas those Eligible Directors who do not have the issue of Director Shares to them (or their respective nominees) approved will not be entitled to be issued Director Shares.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any of Proposal No’s. 5 - 8 are approved by stockholders, there is, however, no obligation on the relevant Eligible Director to elect to be issued Director Shares and in such circumstances he or she will receive the relevant amount of their directors’ fees by way of a cash payment in the normal course.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Number of Director Shares to be Issued</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three year period contemplated by Proposal No’s 5 - 8 (inclusive), each Eligible Director (or their nominee) will be entitled to be issued Director Shares up to the value of US$8,333 per fiscal year. An Eligible Director may elect by delivering notice to the Company’s secretary to be issued Director Shares in a single tranche or multiple tranches throughout each fiscal year (up to the maximum aggregate value of US$8,333 per fiscal year).</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number of Director Shares to be issued to an Eligible Director (or their nominee) at a particular time will be determined in accordance with the following formula (“Formula”):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DS=A/B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27" w:lineRule="exact"/>
        <w:rPr>
          <w:sz w:val="20"/>
          <w:szCs w:val="20"/>
          <w:color w:val="auto"/>
        </w:rPr>
      </w:pPr>
    </w:p>
    <w:p>
      <w:pPr>
        <w:ind w:left="1740" w:hanging="539"/>
        <w:spacing w:after="0" w:line="282"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DS</w:t>
      </w:r>
      <w:r>
        <w:rPr>
          <w:sz w:val="20"/>
          <w:szCs w:val="20"/>
          <w:color w:val="auto"/>
        </w:rPr>
        <w:tab/>
      </w:r>
      <w:r>
        <w:rPr>
          <w:rFonts w:ascii="Times New Roman" w:cs="Times New Roman" w:eastAsia="Times New Roman" w:hAnsi="Times New Roman"/>
          <w:sz w:val="18"/>
          <w:szCs w:val="18"/>
          <w:color w:val="auto"/>
        </w:rPr>
        <w:t>means the number of Director Shares to be issued to the Eligible Director (or their nominee), rounded down to the nearest whole share of Common Stock</w:t>
      </w:r>
    </w:p>
    <w:p>
      <w:pPr>
        <w:spacing w:after="0" w:line="71" w:lineRule="exact"/>
        <w:rPr>
          <w:sz w:val="20"/>
          <w:szCs w:val="20"/>
          <w:color w:val="auto"/>
        </w:rPr>
      </w:pPr>
    </w:p>
    <w:p>
      <w:pPr>
        <w:ind w:left="1740" w:right="160" w:hanging="543"/>
        <w:spacing w:after="0" w:line="282" w:lineRule="auto"/>
        <w:tabs>
          <w:tab w:leader="none" w:pos="17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directors fees that an Eligible Director has elected to receive in the form of Director Shares rather than in cash</w:t>
      </w:r>
    </w:p>
    <w:p>
      <w:pPr>
        <w:spacing w:after="0" w:line="67" w:lineRule="exact"/>
        <w:rPr>
          <w:sz w:val="20"/>
          <w:szCs w:val="20"/>
          <w:color w:val="auto"/>
        </w:rPr>
      </w:pPr>
    </w:p>
    <w:p>
      <w:pPr>
        <w:ind w:left="1740" w:right="220" w:hanging="543"/>
        <w:spacing w:after="0" w:line="266" w:lineRule="auto"/>
        <w:tabs>
          <w:tab w:leader="none" w:pos="17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volume weighted average market price of the Company’s Common Stock trading on The NASDAQ Stock Market LLC over the ten trading days immediately before the date on which the Eligible Director advises the Company that he or she wishes to apply a specified portion of his or her directors fees to be issued Director Shares (“10 Day VWAP”).</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Set out below are example calculations of the number of Director Shares that may be issued to an Eligible Director (or their nominee) during any given fiscal year, based on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6998970" cy="1538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If, by way of example, an Eligible Director (or their nominee) was to be issued Director Shares equal to their maximum annual entitlement (i.e. US$8,333) in one tranche and the election to be issued such Director Shares was made on September 11, 2020, the number of Director Shares that would be issued to the Eligible Director (or their nominee) in respect of the fiscal year ending June 30, 2021 would be calculated in accordance with the Formula as follows:</w:t>
      </w:r>
    </w:p>
    <w:p>
      <w:pPr>
        <w:spacing w:after="0" w:line="85" w:lineRule="exact"/>
        <w:rPr>
          <w:sz w:val="20"/>
          <w:szCs w:val="20"/>
          <w:color w:val="auto"/>
        </w:rPr>
      </w:pPr>
    </w:p>
    <w:p>
      <w:pPr>
        <w:ind w:left="440" w:hanging="323"/>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US$8,333</w:t>
      </w:r>
    </w:p>
    <w:p>
      <w:pPr>
        <w:spacing w:after="0" w:line="130"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US$26.03, being the 10 Day VWAP calculated as at September 10, 2020</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DS = 320 shares of Common Stock / 1,600 CDIs rounded down to the nearest whole share of Common Stock (being the result of dividing A by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836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836795"/>
                    </a:xfrm>
                    <a:prstGeom prst="rect">
                      <a:avLst/>
                    </a:prstGeom>
                    <a:noFill/>
                  </pic:spPr>
                </pic:pic>
              </a:graphicData>
            </a:graphic>
          </wp:anchor>
        </w:drawing>
        <w:t>Example 2:</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by way of example, the Eligible Director (or their nominee) was issued Director Shares equal to the maximum annual entitlement (i.e. US$8,333) pursuant to multiple tranches throughout the fiscal year ending June 30, 2021, the number of Director Shares that would be issued to the Eligible Director (or their nominee) for that fiscal year would be calculated in accordance with the Formula as follows:</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tranche – December 2020</w:t>
      </w:r>
    </w:p>
    <w:p>
      <w:pPr>
        <w:spacing w:after="0" w:line="133" w:lineRule="exact"/>
        <w:rPr>
          <w:sz w:val="20"/>
          <w:szCs w:val="20"/>
          <w:color w:val="auto"/>
        </w:rPr>
      </w:pPr>
    </w:p>
    <w:p>
      <w:pPr>
        <w:ind w:left="440" w:hanging="323"/>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US$26.00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76 shares of Common Stock / 380 CDIs rounded down to the nearest whole share of Common Stock (being the result of dividing A by B) </w:t>
      </w:r>
      <w:r>
        <w:rPr>
          <w:rFonts w:ascii="Times New Roman" w:cs="Times New Roman" w:eastAsia="Times New Roman" w:hAnsi="Times New Roman"/>
          <w:sz w:val="18"/>
          <w:szCs w:val="18"/>
          <w:i w:val="1"/>
          <w:iCs w:val="1"/>
          <w:color w:val="auto"/>
        </w:rPr>
        <w:t>Second tranche – March 2021</w:t>
      </w:r>
    </w:p>
    <w:p>
      <w:pPr>
        <w:spacing w:after="0" w:line="1" w:lineRule="exact"/>
        <w:rPr>
          <w:sz w:val="20"/>
          <w:szCs w:val="20"/>
          <w:color w:val="auto"/>
        </w:rPr>
      </w:pPr>
    </w:p>
    <w:p>
      <w:pPr>
        <w:ind w:left="440" w:hanging="323"/>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US$25.00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80 shares of Common Stock / 400 CDIs rounded down to the nearest whole share of Common Stock (being the result of dividing A by B) </w:t>
      </w:r>
      <w:r>
        <w:rPr>
          <w:rFonts w:ascii="Times New Roman" w:cs="Times New Roman" w:eastAsia="Times New Roman" w:hAnsi="Times New Roman"/>
          <w:sz w:val="18"/>
          <w:szCs w:val="18"/>
          <w:i w:val="1"/>
          <w:iCs w:val="1"/>
          <w:color w:val="auto"/>
        </w:rPr>
        <w:t>Third tranche – May 2021</w:t>
      </w:r>
    </w:p>
    <w:p>
      <w:pPr>
        <w:spacing w:after="0" w:line="1" w:lineRule="exact"/>
        <w:rPr>
          <w:sz w:val="20"/>
          <w:szCs w:val="20"/>
          <w:color w:val="auto"/>
        </w:rPr>
      </w:pPr>
    </w:p>
    <w:p>
      <w:pPr>
        <w:ind w:left="440" w:hanging="323"/>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US$2,000</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US$27.00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right="440"/>
        <w:spacing w:after="0" w:line="383" w:lineRule="auto"/>
        <w:rPr>
          <w:sz w:val="20"/>
          <w:szCs w:val="20"/>
          <w:color w:val="auto"/>
        </w:rPr>
      </w:pPr>
      <w:r>
        <w:rPr>
          <w:rFonts w:ascii="Times New Roman" w:cs="Times New Roman" w:eastAsia="Times New Roman" w:hAnsi="Times New Roman"/>
          <w:sz w:val="18"/>
          <w:szCs w:val="18"/>
          <w:color w:val="auto"/>
        </w:rPr>
        <w:t xml:space="preserve">DS = 74 shares of Common Stock / 370 CDIs rounded down to the nearest whole share of Common Stock (being the result of dividing A by B) </w:t>
      </w:r>
      <w:r>
        <w:rPr>
          <w:rFonts w:ascii="Times New Roman" w:cs="Times New Roman" w:eastAsia="Times New Roman" w:hAnsi="Times New Roman"/>
          <w:sz w:val="18"/>
          <w:szCs w:val="18"/>
          <w:i w:val="1"/>
          <w:iCs w:val="1"/>
          <w:color w:val="auto"/>
        </w:rPr>
        <w:t>Fourth tranche – June 2021</w:t>
      </w:r>
    </w:p>
    <w:p>
      <w:pPr>
        <w:spacing w:after="0" w:line="1" w:lineRule="exact"/>
        <w:rPr>
          <w:sz w:val="20"/>
          <w:szCs w:val="20"/>
          <w:color w:val="auto"/>
        </w:rPr>
      </w:pPr>
    </w:p>
    <w:p>
      <w:pPr>
        <w:ind w:left="440" w:hanging="323"/>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US$2,333</w:t>
      </w:r>
    </w:p>
    <w:p>
      <w:pPr>
        <w:spacing w:after="0" w:line="128" w:lineRule="exact"/>
        <w:rPr>
          <w:rFonts w:ascii="Times New Roman" w:cs="Times New Roman" w:eastAsia="Times New Roman" w:hAnsi="Times New Roman"/>
          <w:sz w:val="18"/>
          <w:szCs w:val="18"/>
          <w:color w:val="auto"/>
        </w:rPr>
      </w:pPr>
    </w:p>
    <w:p>
      <w:pPr>
        <w:ind w:left="440" w:hanging="323"/>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 US$30.00 </w:t>
      </w:r>
      <w:r>
        <w:rPr>
          <w:rFonts w:ascii="Times New Roman" w:cs="Times New Roman" w:eastAsia="Times New Roman" w:hAnsi="Times New Roman"/>
          <w:sz w:val="18"/>
          <w:szCs w:val="18"/>
          <w:i w:val="1"/>
          <w:iCs w:val="1"/>
          <w:color w:val="auto"/>
        </w:rPr>
        <w:t>(this is an example 10 Day VWAP only)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DS = 77 shares of Common Stock / 385 CDIs rounded down to the nearest whole share of Common Stock (being the result of dividing A by B)</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a result, the aggregate number of Director Shares to be issued to the Eligible Director (or their nominee) over the course of the fiscal year ending June 30, 2021 would be 307 shares of Common Stock / 1,535 CDIs</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It is important that stockholders note that the above calculations are examples only and the number of Director Shares issued will depend on the actual 10 Day VWAP when the relevant Eligible Director elects to be issued Director Shares and, as a result, the number of Director Shares actually issued may vary materially from the numbers set out above.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required under ASX Listing Rules 10.14 and 10.15</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ASX Listing Rules 10.14 and 10.15, the following information is provided:</w:t>
      </w:r>
    </w:p>
    <w:p>
      <w:pPr>
        <w:spacing w:after="0" w:line="129" w:lineRule="exact"/>
        <w:rPr>
          <w:sz w:val="20"/>
          <w:szCs w:val="20"/>
          <w:color w:val="auto"/>
        </w:rPr>
      </w:pPr>
    </w:p>
    <w:p>
      <w:pPr>
        <w:ind w:left="420" w:right="360" w:hanging="316"/>
        <w:spacing w:after="0" w:line="284"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 </w:t>
      </w:r>
      <w:r>
        <w:rPr>
          <w:rFonts w:ascii="Times New Roman" w:cs="Times New Roman" w:eastAsia="Times New Roman" w:hAnsi="Times New Roman"/>
          <w:sz w:val="18"/>
          <w:szCs w:val="18"/>
          <w:color w:val="auto"/>
        </w:rPr>
        <w:t>The Director Shares are proposed to be issued to the Eligible Directors, namely Mr. Louis Panaccio, Mr. Jeremy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Curnock Cook, Mr. Louis Drapeau, and Professor Suzanne Crowe (or their respective nominees).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440" w:top="320" w:right="559" w:bottom="1440" w:gutter="0" w:footer="0" w:header="0"/>
        </w:sectPr>
      </w:pPr>
    </w:p>
    <w:bookmarkStart w:id="32" w:name="page33"/>
    <w:bookmarkEnd w:id="32"/>
    <w:p>
      <w:pPr>
        <w:ind w:left="420" w:right="620" w:hanging="316"/>
        <w:spacing w:after="0" w:line="284"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(ASX Listing Rule 10.15.2): </w:t>
      </w:r>
      <w:r>
        <w:rPr>
          <w:rFonts w:ascii="Times New Roman" w:cs="Times New Roman" w:eastAsia="Times New Roman" w:hAnsi="Times New Roman"/>
          <w:sz w:val="18"/>
          <w:szCs w:val="18"/>
          <w:color w:val="auto"/>
        </w:rPr>
        <w:t>Each of Mr. Louis Panaccio, Mr. Jeremy Curnock Cook, Mr. Louis Drapeau and Professor Suzanne Crowe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and therefore fall into the category under ASX Listing Rule 10.14.1.</w:t>
      </w:r>
    </w:p>
    <w:p>
      <w:pPr>
        <w:spacing w:after="0" w:line="63" w:lineRule="exact"/>
        <w:rPr>
          <w:rFonts w:ascii="Times New Roman" w:cs="Times New Roman" w:eastAsia="Times New Roman" w:hAnsi="Times New Roman"/>
          <w:sz w:val="18"/>
          <w:szCs w:val="18"/>
          <w:color w:val="auto"/>
        </w:rPr>
      </w:pPr>
    </w:p>
    <w:p>
      <w:pPr>
        <w:ind w:left="420" w:right="40" w:hanging="316"/>
        <w:spacing w:after="0" w:line="258"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10.15.3): </w:t>
      </w:r>
      <w:r>
        <w:rPr>
          <w:rFonts w:ascii="Times New Roman" w:cs="Times New Roman" w:eastAsia="Times New Roman" w:hAnsi="Times New Roman"/>
          <w:sz w:val="18"/>
          <w:szCs w:val="18"/>
          <w:color w:val="auto"/>
        </w:rPr>
        <w:t>The maximum number of shares of Common Stock (or CDIs representing the underlying Common Stock)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each of the Eligible Directors (or their respective nominees) under the 2020 Omnibus Incentive Plan pursuant to Proposal No’s. 5 - 8 will be determined in accordance with the Formula set out above. Over the three year approval period, this amounts to that number of shares of Common Stock (or CDIs) that is equal in value to US$24,999 per Eligible Director or US$99,996 for all of the Eligible Directors in aggregate applying the above Formula.</w:t>
      </w:r>
    </w:p>
    <w:p>
      <w:pPr>
        <w:spacing w:after="0" w:line="210" w:lineRule="exact"/>
        <w:rPr>
          <w:rFonts w:ascii="Times New Roman" w:cs="Times New Roman" w:eastAsia="Times New Roman" w:hAnsi="Times New Roman"/>
          <w:sz w:val="18"/>
          <w:szCs w:val="18"/>
          <w:color w:val="auto"/>
        </w:rPr>
      </w:pPr>
    </w:p>
    <w:p>
      <w:pPr>
        <w:ind w:left="420" w:right="200" w:hanging="316"/>
        <w:spacing w:after="0" w:line="284" w:lineRule="auto"/>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10.15.4): </w:t>
      </w:r>
      <w:r>
        <w:rPr>
          <w:rFonts w:ascii="Times New Roman" w:cs="Times New Roman" w:eastAsia="Times New Roman" w:hAnsi="Times New Roman"/>
          <w:sz w:val="18"/>
          <w:szCs w:val="18"/>
          <w:color w:val="auto"/>
        </w:rPr>
        <w:t>The details of each Eligible Director’s current remuneration package, as set out in the Company’s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dated August 27, 2020, is set out below:</w:t>
      </w:r>
    </w:p>
    <w:p>
      <w:pPr>
        <w:sectPr>
          <w:pgSz w:w="11900" w:h="16838" w:orient="portrait"/>
          <w:cols w:equalWidth="0" w:num="1">
            <w:col w:w="11020"/>
          </w:cols>
          <w:pgMar w:left="440" w:top="268" w:right="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Panaccio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Jeremy Curnock Cook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 Drapeau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Crowe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Eligible Director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Current total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US$57,963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US$37,546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US$43,600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US$41,030 per annum</w:t>
      </w:r>
    </w:p>
    <w:p>
      <w:pPr>
        <w:spacing w:after="0" w:line="200" w:lineRule="exact"/>
        <w:rPr>
          <w:sz w:val="20"/>
          <w:szCs w:val="20"/>
          <w:color w:val="auto"/>
        </w:rPr>
      </w:pPr>
    </w:p>
    <w:p>
      <w:pPr>
        <w:sectPr>
          <w:pgSz w:w="11900" w:h="16838" w:orient="portrait"/>
          <w:cols w:equalWidth="0" w:num="3">
            <w:col w:w="1620" w:space="560"/>
            <w:col w:w="2940" w:space="720"/>
            <w:col w:w="5180"/>
          </w:cols>
          <w:pgMar w:left="440" w:top="268" w:right="439" w:bottom="1440" w:gutter="0" w:footer="0" w:header="0"/>
          <w:type w:val="continuous"/>
        </w:sectPr>
      </w:pPr>
    </w:p>
    <w:p>
      <w:pPr>
        <w:spacing w:after="0" w:line="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(ASX Listing Rule 10.15.5): </w:t>
      </w:r>
      <w:r>
        <w:rPr>
          <w:rFonts w:ascii="Times New Roman" w:cs="Times New Roman" w:eastAsia="Times New Roman" w:hAnsi="Times New Roman"/>
          <w:sz w:val="18"/>
          <w:szCs w:val="18"/>
          <w:color w:val="auto"/>
        </w:rPr>
        <w:t>No securities have previously been issued to any person under the 2020 Omnibus Incentive Plan. However,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predecessor, AVITA Medical Limited, obtained approval at the annual general meeting of its shareholders on 29 November 2016, for the purposes of section 195(4) and section 208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and ASX Listing Rule 10.14 and for all other purposes, to issue a number of shares in AVITA Medical Limited over the following three years (being the 2017, 2018 and 2019 financial years) under its employee share plan to each of its non-executive directors, namely Mr. Louis Panaccio, Mr. Jeremy Curnock Cook, Mr. Louis Drapeau, Professor Suzanne Crowe and</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Damien McDonald (who are also now non-executive directors of the Company) and Dr. Michael Perry (who at the time was a non-executive director of AVITA Medical Limited, but is now an executive director of the Company) in exchange for all or part of the directors’ fees otherwise payable to them.</w:t>
      </w:r>
    </w:p>
    <w:p>
      <w:pPr>
        <w:spacing w:after="0" w:line="18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that approval, shares in AVITA Medical Limited were issued to the Eligible Directors during 2017, 2018 and 2019 as set out in the table below. No other securities in AVITA Medical Limited have previously been issued to the Eligible Directors under the AVITA Medical Limited employee share option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Eligible Director</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Shareholding</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Louis Panaccio</w:t>
            </w:r>
          </w:p>
        </w:tc>
        <w:tc>
          <w:tcPr>
            <w:tcW w:w="192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(held indirectly by Tercus Pty Ltd ATF The Panaccio Superannuation Fund)</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577,071 ordinary shares</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33,938 ordinary shares</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1920" w:type="dxa"/>
            <w:vAlign w:val="bottom"/>
          </w:tcPr>
          <w:p>
            <w:pPr>
              <w:spacing w:after="0"/>
              <w:rPr>
                <w:sz w:val="18"/>
                <w:szCs w:val="18"/>
                <w:color w:val="auto"/>
              </w:rPr>
            </w:pPr>
          </w:p>
        </w:tc>
      </w:tr>
      <w:tr>
        <w:trPr>
          <w:trHeight w:val="248"/>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(held jointly by Suzanne Crowe and John Mills)</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281,527 ordinary shares</w:t>
            </w:r>
          </w:p>
        </w:tc>
      </w:tr>
    </w:tbl>
    <w:p>
      <w:pPr>
        <w:spacing w:after="0" w:line="19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above shares in AVITA Medical Limited were issued to the Eligible Directors for no cash consideration as they were issued to satisfy the obligation of AVITA Medical Limited to pay an equivalent amount of directors’ fees to those directors.</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redomiciliation of the Avita Group from Australia to the United States, the abovementioned securities were exchanged for equivalent securities in the Company in accordance with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8" w:right="439" w:bottom="1440" w:gutter="0" w:footer="0" w:header="0"/>
          <w:type w:val="continuous"/>
        </w:sectPr>
      </w:pPr>
    </w:p>
    <w:bookmarkStart w:id="33" w:name="page34"/>
    <w:bookmarkEnd w:id="3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ratios detailed in AVITA Medical Limited’s Scheme Booklet dated 11 May 2020. The current interests of each of the directors of the Company have been disclosed to ASX and are available on ASX’s website (www.asx.com.au).</w:t>
      </w:r>
    </w:p>
    <w:p>
      <w:pPr>
        <w:spacing w:after="0" w:line="65" w:lineRule="exact"/>
        <w:rPr>
          <w:sz w:val="20"/>
          <w:szCs w:val="20"/>
          <w:color w:val="auto"/>
        </w:rPr>
      </w:pPr>
    </w:p>
    <w:p>
      <w:pPr>
        <w:ind w:left="420" w:hanging="316"/>
        <w:spacing w:after="0" w:line="284"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10.15.6): </w:t>
      </w:r>
      <w:r>
        <w:rPr>
          <w:rFonts w:ascii="Times New Roman" w:cs="Times New Roman" w:eastAsia="Times New Roman" w:hAnsi="Times New Roman"/>
          <w:sz w:val="18"/>
          <w:szCs w:val="18"/>
          <w:color w:val="auto"/>
        </w:rPr>
        <w:t>The securities proposed to be issued to the Eligible Directors (or their respective nominees) under Proposal No’s. 5 –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are fully paid shares of Common Stock (or fully paid CDIs) in the Company.</w:t>
      </w:r>
    </w:p>
    <w:p>
      <w:pPr>
        <w:spacing w:after="0" w:line="63" w:lineRule="exact"/>
        <w:rPr>
          <w:rFonts w:ascii="Times New Roman" w:cs="Times New Roman" w:eastAsia="Times New Roman" w:hAnsi="Times New Roman"/>
          <w:sz w:val="18"/>
          <w:szCs w:val="18"/>
          <w:color w:val="auto"/>
        </w:rPr>
      </w:pPr>
    </w:p>
    <w:p>
      <w:pPr>
        <w:ind w:left="420" w:right="160" w:hanging="316"/>
        <w:spacing w:after="0" w:line="284"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10.15.7): </w:t>
      </w:r>
      <w:r>
        <w:rPr>
          <w:rFonts w:ascii="Times New Roman" w:cs="Times New Roman" w:eastAsia="Times New Roman" w:hAnsi="Times New Roman"/>
          <w:sz w:val="18"/>
          <w:szCs w:val="18"/>
          <w:color w:val="auto"/>
        </w:rPr>
        <w:t>Any Director Shares to be issued to the Eligible Directors (or their respective nominees), if approved under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No’s. 5 - 8, will be issued no later than three years after the date of the Annual Meeting.</w:t>
      </w:r>
    </w:p>
    <w:p>
      <w:pPr>
        <w:spacing w:after="0" w:line="63" w:lineRule="exact"/>
        <w:rPr>
          <w:rFonts w:ascii="Times New Roman" w:cs="Times New Roman" w:eastAsia="Times New Roman" w:hAnsi="Times New Roman"/>
          <w:sz w:val="18"/>
          <w:szCs w:val="18"/>
          <w:color w:val="auto"/>
        </w:rPr>
      </w:pPr>
    </w:p>
    <w:p>
      <w:pPr>
        <w:ind w:left="420" w:right="200" w:hanging="316"/>
        <w:spacing w:after="0" w:line="315" w:lineRule="auto"/>
        <w:tabs>
          <w:tab w:leader="none" w:pos="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(ASX Listing Rule 10.15.8): </w:t>
      </w:r>
      <w:r>
        <w:rPr>
          <w:rFonts w:ascii="Times New Roman" w:cs="Times New Roman" w:eastAsia="Times New Roman" w:hAnsi="Times New Roman"/>
          <w:sz w:val="17"/>
          <w:szCs w:val="17"/>
          <w:color w:val="auto"/>
        </w:rPr>
        <w:t>The Director Shares to be issued to Eligible Directors (or their respective nominees) will be issued for no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(as they will be issued to satisfy the Company’s obligation to pay an equivalent amount of directors fees to the Eligible Directors).</w:t>
      </w:r>
    </w:p>
    <w:p>
      <w:pPr>
        <w:spacing w:after="0" w:line="40" w:lineRule="exact"/>
        <w:rPr>
          <w:rFonts w:ascii="Times New Roman" w:cs="Times New Roman" w:eastAsia="Times New Roman" w:hAnsi="Times New Roman"/>
          <w:sz w:val="17"/>
          <w:szCs w:val="17"/>
          <w:color w:val="auto"/>
        </w:rPr>
      </w:pPr>
    </w:p>
    <w:p>
      <w:pPr>
        <w:ind w:left="420" w:right="140" w:hanging="316"/>
        <w:spacing w:after="0" w:line="284"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10.15.9): </w:t>
      </w:r>
      <w:r>
        <w:rPr>
          <w:rFonts w:ascii="Times New Roman" w:cs="Times New Roman" w:eastAsia="Times New Roman" w:hAnsi="Times New Roman"/>
          <w:sz w:val="18"/>
          <w:szCs w:val="18"/>
          <w:color w:val="auto"/>
        </w:rPr>
        <w:t>A summary of the material terms of the 2020 Omnibus Incentive Plan is set out in this Proxy Statement in relation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No. 3. A copy of the 2020 Omnibus Incentive Plan is annexed to this Proxy Statement at Annex 1.</w:t>
      </w:r>
    </w:p>
    <w:p>
      <w:pPr>
        <w:spacing w:after="0" w:line="63" w:lineRule="exact"/>
        <w:rPr>
          <w:rFonts w:ascii="Times New Roman" w:cs="Times New Roman" w:eastAsia="Times New Roman" w:hAnsi="Times New Roman"/>
          <w:sz w:val="18"/>
          <w:szCs w:val="18"/>
          <w:color w:val="auto"/>
        </w:rPr>
      </w:pPr>
    </w:p>
    <w:p>
      <w:pPr>
        <w:ind w:left="420" w:right="360" w:hanging="316"/>
        <w:spacing w:after="0" w:line="284"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10.15.10): </w:t>
      </w:r>
      <w:r>
        <w:rPr>
          <w:rFonts w:ascii="Times New Roman" w:cs="Times New Roman" w:eastAsia="Times New Roman" w:hAnsi="Times New Roman"/>
          <w:sz w:val="18"/>
          <w:szCs w:val="18"/>
          <w:color w:val="auto"/>
        </w:rPr>
        <w:t>No loans will be provided to any of the Eligible Directors in relation to the proposed issue of Director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approval is sought under Proposal No’s. 5 - 8 (inclusive).</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10.15.11): </w:t>
      </w:r>
      <w:r>
        <w:rPr>
          <w:rFonts w:ascii="Times New Roman" w:cs="Times New Roman" w:eastAsia="Times New Roman" w:hAnsi="Times New Roman"/>
          <w:sz w:val="18"/>
          <w:szCs w:val="18"/>
          <w:color w:val="auto"/>
        </w:rPr>
        <w:t>The Company confirms the following:</w:t>
      </w:r>
    </w:p>
    <w:p>
      <w:pPr>
        <w:spacing w:after="0" w:line="132" w:lineRule="exact"/>
        <w:rPr>
          <w:rFonts w:ascii="Times New Roman" w:cs="Times New Roman" w:eastAsia="Times New Roman" w:hAnsi="Times New Roman"/>
          <w:sz w:val="18"/>
          <w:szCs w:val="18"/>
          <w:color w:val="auto"/>
        </w:rPr>
      </w:pPr>
    </w:p>
    <w:p>
      <w:pPr>
        <w:ind w:left="960" w:right="380" w:hanging="424"/>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Director Shares issued under the 2020 Omnibus Incentive Plan will be published in the annual report of the Company relating to the period in which such Director Shares were issued, along with a statement that approval for the issue was obtained under ASX Listing Rule 10.14.</w:t>
      </w:r>
    </w:p>
    <w:p>
      <w:pPr>
        <w:spacing w:after="0" w:line="81"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persons covered by ASX Listing Rule 10.14 who become entitled to participate in an issue of Director Shares under the 2020 Omnibus Incentive Plan after some or all of Proposal No’s. 5 – 8 are approved and who were not named in this Proxy Statement will not participate until approval is obtained under ASX Listing Rule 10.14 in respect of that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Louis Panaccio, who abstains given his personal interest in Proposal No. 5) recommends that stockholders vote FOR Proposal No. 5.</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Professor Suzanne Crowe, who abstains given her personal interest in Proposal No. 6) recommends that stockholders vote FOR Proposal No. 6.</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Louis Drapeau, who abstains given his personal interest in Proposal No. 7) recommends that stockholders vote FOR Proposal No. 7.</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Board (other than Mr. Jeremy Curnock Cook, who abstains given his personal interest in Proposal No. 8) recommends that stockholders vote FOR Proposal No. 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Approval of Proposal No’s 5 - 8 requires a number of “FOR” votes that is a majority of the votes cast by the holders of our shares of Common Stock entitled to vote on each Proposal.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Exclusion Statement</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Proposal No’s. 5 - 8 (inclusive) by or on behalf of any director of the Company or their associates.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the resolution by:</w:t>
      </w:r>
    </w:p>
    <w:p>
      <w:pPr>
        <w:spacing w:after="0" w:line="131" w:lineRule="exact"/>
        <w:rPr>
          <w:sz w:val="20"/>
          <w:szCs w:val="20"/>
          <w:color w:val="auto"/>
        </w:rPr>
      </w:pPr>
    </w:p>
    <w:p>
      <w:pPr>
        <w:ind w:left="420" w:hanging="316"/>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40" w:top="266" w:right="5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 AS DISCLOSED IN THIS PROXY STATEMENT UNDER “EXECUTIVE COMPENSATION”</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on August 27, 2020 (the “10-K”), we believe that our compensation program is designed to support our long-term business strategies and creation of stockholder value by emphasizing long-term alignment with our stockholders and pay-for-performance. You are encouraged to read the Executive Compensation discussion section of the 10-K for additional details on our executive compensation, including our philosophy and objectives and the 2020 compensation of our named executive officers. This non-binding advisory “say-on-pay” vote gives you as a stockholder the opportunity to endorse our executive compensation program through the following resolution:</w:t>
      </w:r>
    </w:p>
    <w:p>
      <w:pPr>
        <w:spacing w:after="0" w:line="192" w:lineRule="exact"/>
        <w:rPr>
          <w:sz w:val="20"/>
          <w:szCs w:val="20"/>
          <w:color w:val="auto"/>
        </w:rPr>
      </w:pPr>
    </w:p>
    <w:p>
      <w:pPr>
        <w:ind w:right="520" w:firstLine="440"/>
        <w:spacing w:after="0" w:line="312"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Item 402 of Regulation S-K, including the Executive Compensation discussion, compensation tables and narrative discussion contained in our 10-K is hereby APPROVED.”</w:t>
      </w:r>
    </w:p>
    <w:p>
      <w:pPr>
        <w:spacing w:after="0" w:line="14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“FOR” the advisory approval of the compensation of our named executive officers as disclosed in this 10-K under the heading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10-K requires the affirmative vote of a majority of the shares of the Company’s Common Stock present in person or represented by proxy at the annual meeting. Abstentions will have the same effect as votes “AGAINST” this proposal, whereas “broker non-votes” will not be counted for purposes of determining whether this advisory proposal has been approved.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SAY ON FREQUENCY</w:t>
      </w:r>
    </w:p>
    <w:p>
      <w:pPr>
        <w:spacing w:after="0" w:line="225" w:lineRule="exact"/>
        <w:rPr>
          <w:sz w:val="20"/>
          <w:szCs w:val="20"/>
          <w:color w:val="auto"/>
        </w:rPr>
      </w:pPr>
    </w:p>
    <w:p>
      <w:pPr>
        <w:jc w:val="center"/>
        <w:ind w:left="460" w:right="8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ON THE FREQUENCY (EVERY ONE, TWO, OR THREE YEARS) OF FUTURE ADVISORY VOTES TO APPROVE OF EXECUTIVE COMPENSATION.</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Dodd-Frank Act also provides stockholders with the opportunity to vote, on an advisory basis, as to the frequency of stockholder advisory “say-on-pay” votes such as that detailed in Proposal No. 9 above. You may abstain from voting, or you may select a recommendation as to the frequency of such votes: every one year, two years, or three years. This non-binding advisory vote gives you as a stockholder the opportunity to select a frequency of “say-on-pay” votes.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determining the frequency of “say-on-pay” votes. Nevertheless, the Board of Directors may decide to hold a non-binding advisory vote on future compensation of future named executive officers more or less frequently than the option voted by the shareholders.</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considered this matter and has determined that a non-binding advisory vote on executive compensation every year is appropriate to provide stockholders the opportunity to inform the Company of their opinion of our approach to compensation policies and practices, after having sufficient time to observe its impact on our business.</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of “ONE YEAR” with respect to the advisory vote on the frequency of future advisory votes to approve of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this non-binding advisory vote on the frequency of future non-binding advisory votes on named executive officer compensation, stockholders will be able to specify one of four choices for this proposal on the proxy card or voting instruction: ONE YEAR, TWO YEARS, THREE YEARS, or ABSTAIN. The option receiving the vote of a plurality of the shares of the Company’s Common Stock present in person or represented by proxy at the Annual Meeting will be approved on a non-binding, advisory basis. Abstentions and “broker non-votes” will not be counted for purposes of determining the result of this non-binding advisory vote.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MATTERS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Our annual report to stockholders concerning our operations during the fiscal year ended June 30, 2020, including audited financial statements, has been distributed to all stockholders as of the Record Date. The annual report is not incorporated in the proxy statement and is not to be considered a part of the soliciting material.</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UPON WRITTEN REQUEST, WE WILL PROVIDE, WITHOUT CHARGE, A COPY OF OUR ANNUAL REPORT ON FORM 10-K FOR THE FISCAL YEAR ENDED JUNE 30, 2020, TO EACH STOCKHOLDER OF RECORD, TO EACH HOLDER OF CDIS OR TO EACH STOCKHOLDER WHO OWNED OUR COMMON STOCK LISTED IN THE NAME OF A BANK OR BROKER, AS NOMINEE, AT THE CLOSE OF BUSINESS ON SEPTEMBER 10, 2020 (PACIFIC TIME). ANY REQUEST BY A STOCKHOLDER OR CDI HOLDER FOR OUR ANNUAL REPORT ON FORM 10-K SHOULD BE SENT TO INVESTOR RELATIONS AT AVITA THERAPEUTICS, INC., 28159 AVENUE STANFORD, SUITE 220, VALENCIA, CA 91355.</w:t>
      </w:r>
    </w:p>
    <w:p>
      <w:pPr>
        <w:spacing w:after="0" w:line="39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2021 ANNUAL MEETING OF STOCKHOLDERS</w:t>
      </w:r>
    </w:p>
    <w:p>
      <w:pPr>
        <w:spacing w:after="0" w:line="15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Stockholders’ proposals intended to be presented at next year’s Annual Meeting of Stockholders must be submitted in writing to General Counsel at AVITA Therapeutics, Inc., 28159 Avenue Stanford, Suite 220, Valencia, CA 91355 no later than May __, 2021 for inclusion in the Company’s proxy statement and form of proxy for that meeting. In addition, all proposals will need to comply with Rule 14a-8 of the Exchange Act, which lists the requirements for the inclusion of stockholder proposals in Company-sponsored proxy materials.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2021 Annual Meeting of Stockholders will confer discretionary authority on the Company’s proxies to vote on any proposal presented by a stockholder at that meeting for which the Company has not been provided with notice on or prior to September 1, 2021.</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SEPTEMBER __,</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2020. STOCKHOLDERS AND CDI HOLDERS SHOULD NOT ASSUME THAT THE INFORMATION CONTAINED IN THIS PROXY STATEMENT IS ACCURATE AS OF ANY DATE OTHER THAN THAT DATE.</w:t>
      </w:r>
    </w:p>
    <w:p>
      <w:pPr>
        <w:spacing w:after="0" w:line="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-127635</wp:posOffset>
            </wp:positionV>
            <wp:extent cx="2785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80"/>
          </w:cols>
          <w:pgMar w:left="440" w:top="270" w:right="1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7"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 Purpose</w:t>
      </w:r>
      <w:r>
        <w:rPr>
          <w:rFonts w:ascii="Times New Roman" w:cs="Times New Roman" w:eastAsia="Times New Roman" w:hAnsi="Times New Roman"/>
          <w:sz w:val="18"/>
          <w:szCs w:val="18"/>
          <w:color w:val="auto"/>
        </w:rPr>
        <w:t>. The purposes of this Plan are to attract and retain the best available personnel for the Company and its Affiliates,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incentives to such personnel and to promote the success of the business of the Company and its Affiliates. Capitalized terms not defined in the text are defined in Section 16.</w:t>
      </w:r>
    </w:p>
    <w:p>
      <w:pPr>
        <w:spacing w:after="0" w:line="171" w:lineRule="exact"/>
        <w:rPr>
          <w:sz w:val="20"/>
          <w:szCs w:val="20"/>
          <w:color w:val="auto"/>
        </w:rPr>
      </w:pPr>
    </w:p>
    <w:p>
      <w:pPr>
        <w:ind w:left="4" w:right="4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1.2 Available Grants</w:t>
      </w:r>
      <w:r>
        <w:rPr>
          <w:rFonts w:ascii="Times New Roman" w:cs="Times New Roman" w:eastAsia="Times New Roman" w:hAnsi="Times New Roman"/>
          <w:sz w:val="17"/>
          <w:szCs w:val="17"/>
          <w:color w:val="auto"/>
        </w:rPr>
        <w:t>. The Plan provides for the grant of the following Grants: (a) Incentive Stock Options, (b) Nonstatutory Stock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 Stock Appreciation Rights, (d) Restricted Stock Grants, (e) Restricted Stock Unit Grants, (f) Performance Grants, and (g) Other Grants.</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Shares Subject to the Plan.</w:t>
      </w:r>
    </w:p>
    <w:p>
      <w:pPr>
        <w:spacing w:after="0" w:line="117"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 Number of Shares Available</w:t>
      </w:r>
      <w:r>
        <w:rPr>
          <w:rFonts w:ascii="Times New Roman" w:cs="Times New Roman" w:eastAsia="Times New Roman" w:hAnsi="Times New Roman"/>
          <w:sz w:val="18"/>
          <w:szCs w:val="18"/>
          <w:color w:val="auto"/>
        </w:rPr>
        <w:t>. 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1,750,000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2.2 Share Recycling</w:t>
      </w:r>
      <w:r>
        <w:rPr>
          <w:rFonts w:ascii="Times New Roman" w:cs="Times New Roman" w:eastAsia="Times New Roman" w:hAnsi="Times New Roman"/>
          <w:sz w:val="18"/>
          <w:szCs w:val="18"/>
          <w:color w:val="auto"/>
        </w:rPr>
        <w:t>. Following the Effective Date, any Shares subject to an outstanding Grant will be returned to the Share Reserve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issuance in connection with subsequent Grants under this Plan to the extent such Shares: (a) are cancelled, forfeited, or settled in cash;</w:t>
      </w:r>
    </w:p>
    <w:p>
      <w:pPr>
        <w:spacing w:after="0" w:line="1" w:lineRule="exact"/>
        <w:rPr>
          <w:sz w:val="20"/>
          <w:szCs w:val="20"/>
          <w:color w:val="auto"/>
        </w:rPr>
      </w:pP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to pay the Exercise Price of such Grant or any Tax-Related Items arising in connection with vesting, exercise or settlement of such Grant;</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surrendered pursuant to an Exchange Program; (d) expire by their terms at any time; or (e) are reacquired by the Company pursuant to a forfeiture provision or repurchase right by the Company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 (i) 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spacing w:after="0" w:line="184"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 Incentive Stock Option Limit</w:t>
      </w:r>
      <w:r>
        <w:rPr>
          <w:rFonts w:ascii="Times New Roman" w:cs="Times New Roman" w:eastAsia="Times New Roman" w:hAnsi="Times New Roman"/>
          <w:sz w:val="18"/>
          <w:szCs w:val="18"/>
          <w:color w:val="auto"/>
        </w:rPr>
        <w:t>. Subject to the provisions relating to Capitalization Adjustments, the maximum number of Shares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exercise of Incentive Stock Options is the Share Reserve set forth in Section 2.1 (the “</w:t>
      </w:r>
      <w:r>
        <w:rPr>
          <w:rFonts w:ascii="Times New Roman" w:cs="Times New Roman" w:eastAsia="Times New Roman" w:hAnsi="Times New Roman"/>
          <w:sz w:val="18"/>
          <w:szCs w:val="18"/>
          <w:b w:val="1"/>
          <w:bCs w:val="1"/>
          <w:i w:val="1"/>
          <w:iCs w:val="1"/>
          <w:color w:val="auto"/>
        </w:rPr>
        <w:t>Incentive Stock Option Limit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2.4 Adjustment of Shares</w:t>
      </w:r>
      <w:r>
        <w:rPr>
          <w:rFonts w:ascii="Times New Roman" w:cs="Times New Roman" w:eastAsia="Times New Roman" w:hAnsi="Times New Roman"/>
          <w:sz w:val="18"/>
          <w:szCs w:val="18"/>
          <w:color w:val="auto"/>
        </w:rPr>
        <w:t>. If the number of outstanding Shares is changed or the value of the Shares is otherwise affected by a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subject to any required action by the Board or the stockholders of the Company and subject to compliance with, and to the extent permitted by, all Applicable Laws be proportionately adjusted or adjusted in such other manner as the Committee determines to be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sectPr>
      </w:pPr>
    </w:p>
    <w:bookmarkStart w:id="40" w:name="page41"/>
    <w:bookmarkEnd w:id="40"/>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the Exercise Price or Purchase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2.5 Source of Shares; Use of Proceeds</w:t>
      </w:r>
      <w:r>
        <w:rPr>
          <w:rFonts w:ascii="Times New Roman" w:cs="Times New Roman" w:eastAsia="Times New Roman" w:hAnsi="Times New Roman"/>
          <w:sz w:val="18"/>
          <w:szCs w:val="18"/>
          <w:color w:val="auto"/>
        </w:rPr>
        <w:t>. The Shares issuable under the Plan will be authorized but unissued or forfeited shares, treasury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General</w:t>
      </w:r>
      <w:r>
        <w:rPr>
          <w:rFonts w:ascii="Times New Roman" w:cs="Times New Roman" w:eastAsia="Times New Roman" w:hAnsi="Times New Roman"/>
          <w:sz w:val="18"/>
          <w:szCs w:val="18"/>
          <w:color w:val="auto"/>
        </w:rPr>
        <w:t>. Incentive Stock Options may be granted only to Employees of the Company, its Parent and any Subsidiary. All other Grants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Employees, Consultants and Directors, provided such Consultants and Directors render bona fide services not in connection with the offer and sale of securities in a capital-raising transaction.</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3.2 Limitation on Grants to Non-Employee Directors</w:t>
      </w:r>
      <w:r>
        <w:rPr>
          <w:rFonts w:ascii="Times New Roman" w:cs="Times New Roman" w:eastAsia="Times New Roman" w:hAnsi="Times New Roman"/>
          <w:sz w:val="18"/>
          <w:szCs w:val="18"/>
          <w:color w:val="auto"/>
        </w:rPr>
        <w:t>. The maximum number of Shares subject to Grants (and of cash subject to cash-settled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granted under the Plan or otherwise during any one fiscal year to any Non-Employee Director for service on the Board, taken together with any cash fees paid by the Company to such Non-Employee Director during such fiscal year for service on the Board, will not exceed $150,000 in total value (calculating the value of any such Grants based on the grant date fair value of such Grants for financial reporting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Options and Stock Appreciation Rights.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spacing w:after="0" w:line="18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At all times while the Company is subject to the ASX Listing Rules, the Company may not issue Options if to do so would result in there being more Options on issue than underlying Shares in the Company, except as permitted under the ASX Listing Rules.</w:t>
      </w:r>
    </w:p>
    <w:p>
      <w:pPr>
        <w:spacing w:after="0" w:line="15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 Type of Option Grant</w:t>
      </w:r>
      <w:r>
        <w:rPr>
          <w:rFonts w:ascii="Times New Roman" w:cs="Times New Roman" w:eastAsia="Times New Roman" w:hAnsi="Times New Roman"/>
          <w:sz w:val="18"/>
          <w:szCs w:val="18"/>
          <w:color w:val="auto"/>
        </w:rPr>
        <w:t>. All Options will be separately designated as Incentive Stock Options or Nonstatutory Stock Options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 Stock Option under Applicable Law, then the Option (or portion thereof) will be a Nonstatutory Stock Option. At all times while the Company is subject to the ASX Listing Rules, no Option can be exercisable over a percentage of the Company’s capital.</w:t>
      </w:r>
    </w:p>
    <w:p>
      <w:pPr>
        <w:spacing w:after="0" w:line="179"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4.2 Exercise Period; Term</w:t>
      </w:r>
      <w:r>
        <w:rPr>
          <w:rFonts w:ascii="Times New Roman" w:cs="Times New Roman" w:eastAsia="Times New Roman" w:hAnsi="Times New Roman"/>
          <w:sz w:val="18"/>
          <w:szCs w:val="18"/>
          <w:color w:val="auto"/>
        </w:rPr>
        <w:t>. Options and Stock Appreciation Rights may be exercisable within the times or upon the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as set forth in the Grant Agreement governing such Grant. No Option or Stock Appreciation Right will be exercisable after the expiration of ten (10) years from the date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70" w:right="439" w:bottom="1440" w:gutter="0" w:footer="0" w:header="0"/>
        </w:sectPr>
      </w:pPr>
    </w:p>
    <w:bookmarkStart w:id="41" w:name="page42"/>
    <w:bookmarkEnd w:id="4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 Percent Holder</w:t>
      </w:r>
      <w:r>
        <w:rPr>
          <w:rFonts w:ascii="Times New Roman" w:cs="Times New Roman" w:eastAsia="Times New Roman" w:hAnsi="Times New Roman"/>
          <w:sz w:val="18"/>
          <w:szCs w:val="18"/>
          <w:color w:val="auto"/>
        </w:rPr>
        <w:t>”), such Option may not be exercisable after the expiration of five (5) years from the date the Incentive Stock Option is granted. The Committee also may provide for Options or Stock Appreciation Rights to become exercisable at one time or from time to time, periodically or otherwise, in such number of Shares or percentage of Shares as the Committee determines.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4.3 Exercise Price</w:t>
      </w:r>
      <w:r>
        <w:rPr>
          <w:rFonts w:ascii="Times New Roman" w:cs="Times New Roman" w:eastAsia="Times New Roman" w:hAnsi="Times New Roman"/>
          <w:sz w:val="18"/>
          <w:szCs w:val="18"/>
          <w:color w:val="auto"/>
        </w:rPr>
        <w:t>. The Exercise Price of an Option or Stock Appreciation Right will be such price as is determined by the Committee and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Agreement; provided that (a) 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 13.2 of the Plan.</w:t>
      </w:r>
    </w:p>
    <w:p>
      <w:pPr>
        <w:spacing w:after="0" w:line="18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4.4 Method of Exercise</w:t>
      </w:r>
      <w:r>
        <w:rPr>
          <w:rFonts w:ascii="Times New Roman" w:cs="Times New Roman" w:eastAsia="Times New Roman" w:hAnsi="Times New Roman"/>
          <w:sz w:val="18"/>
          <w:szCs w:val="18"/>
          <w:color w:val="auto"/>
        </w:rPr>
        <w:t>. An Option or Stock Appreciation Right will be deemed exercised only when the Company receives: (a)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(in such form as the Plan Administrator may specify from time to time, including via electronic execution through an authorized third-party administrator) from the person entitled to exercise the Option or Stock Appreciation Right; (b) 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4.5 Settlement of a Stock Appreciation Right</w:t>
      </w:r>
      <w:r>
        <w:rPr>
          <w:rFonts w:ascii="Times New Roman" w:cs="Times New Roman" w:eastAsia="Times New Roman" w:hAnsi="Times New Roman"/>
          <w:sz w:val="18"/>
          <w:szCs w:val="18"/>
          <w:color w:val="auto"/>
        </w:rPr>
        <w:t>. Upon exercise of a Stock Appreciation Right, a Grantee will be entitled to receive payment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 No fractional Share will be deliverable upon the exercise of a Stock Appreciation Right but a cash payment will be made in lieu thereof. No Grantee shall, as a result of receiving a Stock Appreciation Right, have any rights as a stockholder of the Company or any Affiliate until the date that the Stock Appreciation Right is exercised and then only to the extent that the Stock Appreciation Right is settled by the issuance of Shares and the Grantee being registered as the holder of Shares received on settlement of the Stock Appreciation Right.</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4.6 Post-Termination Exercise Period</w:t>
      </w:r>
      <w:r>
        <w:rPr>
          <w:rFonts w:ascii="Times New Roman" w:cs="Times New Roman" w:eastAsia="Times New Roman" w:hAnsi="Times New Roman"/>
          <w:sz w:val="18"/>
          <w:szCs w:val="18"/>
          <w:color w:val="auto"/>
        </w:rPr>
        <w:t>. Unless explicitly provided otherwise in a Grantee’s Grant Agreement, if a Grantee’s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spacing w:after="0" w:line="180" w:lineRule="exact"/>
        <w:rPr>
          <w:sz w:val="20"/>
          <w:szCs w:val="20"/>
          <w:color w:val="auto"/>
        </w:rPr>
      </w:pPr>
    </w:p>
    <w:p>
      <w:pPr>
        <w:ind w:right="220" w:firstLine="987"/>
        <w:spacing w:after="0" w:line="282" w:lineRule="auto"/>
        <w:tabs>
          <w:tab w:leader="none" w:pos="124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(3) months following a termination of a Grantee’s Continuous Service Status by the Company without Cause or by the Grantee for any reason (other than due to death or Disability);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42" w:name="page43"/>
    <w:bookmarkEnd w:id="42"/>
    <w:p>
      <w:pPr>
        <w:ind w:left="1260" w:hanging="273"/>
        <w:spacing w:after="0"/>
        <w:tabs>
          <w:tab w:leader="none" w:pos="12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six (6) months following a termination due to the Grantee’s Disability;</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a termination due to the Grantee’s death; and</w:t>
      </w:r>
    </w:p>
    <w:p>
      <w:pPr>
        <w:spacing w:after="0" w:line="225"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56"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the Grantee’s death, if such death occurs following the date of such termination but during the period such Grant is otherwise exercisable (as provided in clauses (a) or (b) above).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Following the termination date, to the extent the Grantee does not exercise such Grant within the applicable post-termination exercise period (or, if earlier, prior to the expiration of the maximum term of such Grant), such unexercised portion of the Grant will terminate, and the Grantee will have no further right, title or interest in the terminated Grant.</w:t>
      </w:r>
    </w:p>
    <w:p>
      <w:pPr>
        <w:spacing w:after="0" w:line="17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4.7 Termination for Cause</w:t>
      </w:r>
      <w:r>
        <w:rPr>
          <w:rFonts w:ascii="Times New Roman" w:cs="Times New Roman" w:eastAsia="Times New Roman" w:hAnsi="Times New Roman"/>
          <w:sz w:val="18"/>
          <w:szCs w:val="18"/>
          <w:color w:val="auto"/>
        </w:rPr>
        <w:t>. If a Grantee’s Continuous Service Status is terminated for Cause, the Grantee’s Options or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terminate and be forfeited immediately upon such Grantee’s termination of Continuous Service Status, and the Grantee will 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4.8 Automatic Extension of Termination Date</w:t>
      </w:r>
      <w:r>
        <w:rPr>
          <w:rFonts w:ascii="Times New Roman" w:cs="Times New Roman" w:eastAsia="Times New Roman" w:hAnsi="Times New Roman"/>
          <w:sz w:val="18"/>
          <w:szCs w:val="18"/>
          <w:color w:val="auto"/>
        </w:rPr>
        <w:t>. Except as otherwise provided in the Grant Agreement and to the extent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if a Grantee’s Continuous Service Status terminates for any reason other than for Cause and, at any time during the last thirty (30)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Grant be exercised after the expiration of its maximum term.</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4.9 Non-Exempt Employees</w:t>
      </w:r>
      <w:r>
        <w:rPr>
          <w:rFonts w:ascii="Times New Roman" w:cs="Times New Roman" w:eastAsia="Times New Roman" w:hAnsi="Times New Roman"/>
          <w:sz w:val="18"/>
          <w:szCs w:val="18"/>
          <w:color w:val="auto"/>
        </w:rPr>
        <w:t>. If an Option or Stock Appreciation Right is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spacing w:after="0" w:line="188"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4.10 Limitations on Exercise</w:t>
      </w:r>
      <w:r>
        <w:rPr>
          <w:rFonts w:ascii="Times New Roman" w:cs="Times New Roman" w:eastAsia="Times New Roman" w:hAnsi="Times New Roman"/>
          <w:sz w:val="18"/>
          <w:szCs w:val="18"/>
          <w:color w:val="auto"/>
        </w:rPr>
        <w:t>. Options and Stock Appreciation Rights may be exercised only with respect to whole Shares.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43" w:name="page44"/>
    <w:bookmarkEnd w:id="4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consummation of any pending Capitalization Adjustment or Change in Control, or any other change affecting the Shares or the Fair Market Value, for reasons of administrative convenience.</w:t>
      </w:r>
    </w:p>
    <w:p>
      <w:pPr>
        <w:spacing w:after="0" w:line="158"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4.11 Limitations on Incentive Stock Options</w:t>
      </w:r>
      <w:r>
        <w:rPr>
          <w:rFonts w:ascii="Times New Roman" w:cs="Times New Roman" w:eastAsia="Times New Roman" w:hAnsi="Times New Roman"/>
          <w:sz w:val="18"/>
          <w:szCs w:val="18"/>
          <w:color w:val="auto"/>
        </w:rPr>
        <w:t>. To the extent that the aggregate Fair Market Value of Shares with respect to which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4.12 Modification, Extension or Renewal</w:t>
      </w:r>
      <w:r>
        <w:rPr>
          <w:rFonts w:ascii="Times New Roman" w:cs="Times New Roman" w:eastAsia="Times New Roman" w:hAnsi="Times New Roman"/>
          <w:sz w:val="18"/>
          <w:szCs w:val="18"/>
          <w:color w:val="auto"/>
        </w:rPr>
        <w:t>. To the extent permitted by Applicable Law, the Committee may modify, extend or renew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or Stock Appreciation Rights, and authorize the grant of new Options or Stock Appreciation Rights in substitution therefor, including in connection with an Exchange Program, in all cases subject to Section 11.4 and where applicable Section 4.16. Any such action may not, without the written consent of a Grantee, materially impair any of such Grantee’s rights under any Grant previously granted, except that the Committee may, to the extent permitted by Applicable Law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 Exercise Price. Any outstanding Incentive Stock Option that is modified, extended, renewed or otherwise altered will be treated in accordance with Section 424(h) of the Code.</w:t>
      </w:r>
    </w:p>
    <w:p>
      <w:pPr>
        <w:spacing w:after="0" w:line="18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4.13 Stockholder Rights – Options. </w:t>
      </w:r>
      <w:r>
        <w:rPr>
          <w:rFonts w:ascii="Times New Roman" w:cs="Times New Roman" w:eastAsia="Times New Roman" w:hAnsi="Times New Roman"/>
          <w:sz w:val="18"/>
          <w:szCs w:val="18"/>
          <w:color w:val="auto"/>
        </w:rPr>
        <w:t>No Grantee shall have any rights as a stockholder with respect to Shares subject to his or her Option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exercise of such Option and the issuance of the relevant Shares and the Grantee being registered as the holder of those Shares.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Settlement of Options. </w:t>
      </w:r>
      <w:r>
        <w:rPr>
          <w:rFonts w:ascii="Times New Roman" w:cs="Times New Roman" w:eastAsia="Times New Roman" w:hAnsi="Times New Roman"/>
          <w:sz w:val="18"/>
          <w:szCs w:val="18"/>
          <w:color w:val="auto"/>
        </w:rPr>
        <w:t>No fractional Share will be deliverable upon the exercise of an Option but a cash payment will be made in lieu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5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 New Issues – Options. </w:t>
      </w:r>
      <w:r>
        <w:rPr>
          <w:rFonts w:ascii="Times New Roman" w:cs="Times New Roman" w:eastAsia="Times New Roman" w:hAnsi="Times New Roman"/>
          <w:sz w:val="18"/>
          <w:szCs w:val="18"/>
          <w:color w:val="auto"/>
        </w:rPr>
        <w:t>No Grantee shall have the right to participate in new issues of Shares to existing holders of Shares (e.g. a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with respect to Shares subject to his or her Option, unless the Grantee has exercised the Option and is registered as the holder of the underlying Shares prior to the record date for the determination of entitlements to participate in the new issue.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4.16 Amendment or Cancellation of Options. </w:t>
      </w:r>
      <w:r>
        <w:rPr>
          <w:rFonts w:ascii="Times New Roman" w:cs="Times New Roman" w:eastAsia="Times New Roman" w:hAnsi="Times New Roman"/>
          <w:sz w:val="18"/>
          <w:szCs w:val="18"/>
          <w:color w:val="auto"/>
        </w:rPr>
        <w:t>While the Company is subject to the ASX Listing Rules:</w:t>
      </w:r>
    </w:p>
    <w:p>
      <w:pPr>
        <w:spacing w:after="0" w:line="229" w:lineRule="exact"/>
        <w:rPr>
          <w:sz w:val="20"/>
          <w:szCs w:val="20"/>
          <w:color w:val="auto"/>
        </w:rPr>
      </w:pPr>
    </w:p>
    <w:p>
      <w:pPr>
        <w:ind w:right="80" w:firstLine="987"/>
        <w:spacing w:after="0" w:line="256" w:lineRule="auto"/>
        <w:tabs>
          <w:tab w:leader="none" w:pos="124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the terms of any outstanding Option be amended or modified so as to have any of the following effects unless the amendment or modification is made to comply with the ASX Listing Rules or unless otherwise permitted by the ASX Listing Rules or by a waiver granted by the ASX: (1) reducing the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4.16(a)) can only be made with stockholder approval or on the provision of a waiver granted by ASX from the ASX Listing Rules.</w:t>
      </w:r>
    </w:p>
    <w:p>
      <w:pPr>
        <w:spacing w:after="0" w:line="187"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25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any amendment or modification be made to the terms of an Option which has the effect of cancelling the Option unless (1) stockholder approval has been obtained for the cancellation of the Option, (2) no consideration is provided to the Grantee in connection with the cancellation of the Option, or (3) the amendment or modification is made to comply with the ASX Listing Rules.</w:t>
      </w:r>
    </w:p>
    <w:p>
      <w:pPr>
        <w:spacing w:after="0" w:line="175"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3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Share exercise price for the Shares to be issued pursuant to the exercise of an Option and / or the number of Shares over which an Option can be exercised may be changed in accordance with rule 6.22.2, 6.22.2A and 6.22.3 of the ASX Listing Rules.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 Restricted Stock Grants.</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A Restricted Stock Grant is an offer by the Company to sell or issue (with no payment required, unless explicitly provided otherwise in a Grantee’s Grant Agreement) Shares to a Grantee that are subject to certain specified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Each Restricted Stock Grant will be in such form and will contain such terms and conditions as the Committee will 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spacing w:after="0" w:line="183" w:lineRule="exact"/>
        <w:rPr>
          <w:sz w:val="20"/>
          <w:szCs w:val="20"/>
          <w:color w:val="auto"/>
        </w:rPr>
      </w:pPr>
    </w:p>
    <w:p>
      <w:pPr>
        <w:ind w:left="4" w:right="4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5.1 Acceptance Procedures</w:t>
      </w:r>
      <w:r>
        <w:rPr>
          <w:rFonts w:ascii="Times New Roman" w:cs="Times New Roman" w:eastAsia="Times New Roman" w:hAnsi="Times New Roman"/>
          <w:sz w:val="17"/>
          <w:szCs w:val="17"/>
          <w:color w:val="auto"/>
        </w:rPr>
        <w:t>. Except as otherwise provided in a Grant Agreement, a Restricted Stock Grant will be accepted by the Grantee’s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and delivery of the Grant Agreement and full payment of the Purchase Price for the Shares to the Company (if applicable) within thirty</w:t>
      </w:r>
    </w:p>
    <w:p>
      <w:pPr>
        <w:spacing w:after="0" w:line="1" w:lineRule="exact"/>
        <w:rPr>
          <w:sz w:val="20"/>
          <w:szCs w:val="20"/>
          <w:color w:val="auto"/>
        </w:rPr>
      </w:pPr>
    </w:p>
    <w:p>
      <w:pPr>
        <w:ind w:left="4" w:right="20" w:hanging="4"/>
        <w:spacing w:after="0" w:line="255" w:lineRule="auto"/>
        <w:tabs>
          <w:tab w:leader="none" w:pos="3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spacing w:after="0" w:line="182"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 Purchase Price</w:t>
      </w:r>
      <w:r>
        <w:rPr>
          <w:rFonts w:ascii="Times New Roman" w:cs="Times New Roman" w:eastAsia="Times New Roman" w:hAnsi="Times New Roman"/>
          <w:sz w:val="18"/>
          <w:szCs w:val="18"/>
          <w:color w:val="auto"/>
        </w:rPr>
        <w:t>. The Purchase Price for Shares issued pursuant to a Restricted Stock Grant, if any, will be determined by the Committee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spacing w:after="0" w:line="176" w:lineRule="exact"/>
        <w:rPr>
          <w:sz w:val="20"/>
          <w:szCs w:val="20"/>
          <w:color w:val="auto"/>
        </w:rPr>
      </w:pPr>
    </w:p>
    <w:p>
      <w:pPr>
        <w:ind w:left="4"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5.3 Dividends and Other Distributions</w:t>
      </w:r>
      <w:r>
        <w:rPr>
          <w:rFonts w:ascii="Times New Roman" w:cs="Times New Roman" w:eastAsia="Times New Roman" w:hAnsi="Times New Roman"/>
          <w:sz w:val="17"/>
          <w:szCs w:val="17"/>
          <w:color w:val="auto"/>
        </w:rPr>
        <w:t>. Grantees holding Restricted Stock Grants will be entitled to receive all dividends and other distributions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Restricted Stock Unit Grants.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spacing w:after="0" w:line="176"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6.1 Purchase Price</w:t>
      </w:r>
      <w:r>
        <w:rPr>
          <w:rFonts w:ascii="Times New Roman" w:cs="Times New Roman" w:eastAsia="Times New Roman" w:hAnsi="Times New Roman"/>
          <w:sz w:val="18"/>
          <w:szCs w:val="18"/>
          <w:color w:val="auto"/>
        </w:rPr>
        <w:t>. Unless otherwise determined by the Committee, no Purchase Price shall apply to an RSU settled in Shares. Payment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if any, shall be made in accordance with Section 9 of the Plan and the applicable Grant Agreement.</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6.2 Form and Timing of Settlement</w:t>
      </w:r>
      <w:r>
        <w:rPr>
          <w:rFonts w:ascii="Times New Roman" w:cs="Times New Roman" w:eastAsia="Times New Roman" w:hAnsi="Times New Roman"/>
          <w:sz w:val="18"/>
          <w:szCs w:val="18"/>
          <w:color w:val="auto"/>
        </w:rPr>
        <w:t>. Payment of vested RSUs shall be made as soon as practicable after the date(s)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Grant Agreement. The Committee, in its sole discretion, may settle vested RSUs in cash, Shares, or a combination of both. A fractional Share shall not be deliverable when an RSU is earned, but a cash payment will be made in lieu thereof.</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6.3 Dividend Equivalent Rights and other rights</w:t>
      </w:r>
      <w:r>
        <w:rPr>
          <w:rFonts w:ascii="Times New Roman" w:cs="Times New Roman" w:eastAsia="Times New Roman" w:hAnsi="Times New Roman"/>
          <w:sz w:val="18"/>
          <w:szCs w:val="18"/>
          <w:color w:val="auto"/>
        </w:rPr>
        <w:t>. No Grantee shall, as a result of receiving a grant of RSUs, have any 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and then only to the extent that the RSUs are earned and settled in Shares and the Grantee being registered as the holder of the Shares received on settlement of the RSUs, nor shall any Grantee receive Dividend Equivalent Rights solely as a result of receiving a grant of RSUs. However, notwithstanding the foregoing, the Committee may, subject to Applicable Law, permit Grantees holding RSUs to receive Dividend Equivalent Rights on outstanding RSUs if and when dividends are paid to stockholders 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4"/>
          </w:cols>
          <w:pgMar w:left="436" w:top="266" w:right="459" w:bottom="1440" w:gutter="0" w:footer="0" w:header="0"/>
        </w:sectPr>
      </w:pPr>
    </w:p>
    <w:bookmarkStart w:id="45" w:name="page46"/>
    <w:bookmarkEnd w:id="45"/>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Performance Grants.</w:t>
      </w:r>
    </w:p>
    <w:p>
      <w:pPr>
        <w:spacing w:after="0" w:line="117" w:lineRule="exact"/>
        <w:rPr>
          <w:sz w:val="20"/>
          <w:szCs w:val="20"/>
          <w:color w:val="auto"/>
        </w:rPr>
      </w:pPr>
    </w:p>
    <w:p>
      <w:pPr>
        <w:jc w:val="both"/>
        <w:ind w:left="4"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 Types of Performance Grants</w:t>
      </w:r>
      <w:r>
        <w:rPr>
          <w:rFonts w:ascii="Times New Roman" w:cs="Times New Roman" w:eastAsia="Times New Roman" w:hAnsi="Times New Roman"/>
          <w:sz w:val="18"/>
          <w:szCs w:val="18"/>
          <w:color w:val="auto"/>
        </w:rPr>
        <w:t>. A Performance Grant is a Grant that may be granted, may vest or may become eligible to vest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attainment during a Performance Period of certain Performance Goals. Performance Grants may be granted as Options, Stock Appreciation Rights, Restricted Stock, RSUs or Other Grants, including cash-based Grants.</w:t>
      </w:r>
    </w:p>
    <w:p>
      <w:pPr>
        <w:spacing w:after="0" w:line="171" w:lineRule="exact"/>
        <w:rPr>
          <w:sz w:val="20"/>
          <w:szCs w:val="20"/>
          <w:color w:val="auto"/>
        </w:rPr>
      </w:pPr>
    </w:p>
    <w:p>
      <w:pPr>
        <w:ind w:left="4" w:right="1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7.2 Terms of Performance Grants</w:t>
      </w:r>
      <w:r>
        <w:rPr>
          <w:rFonts w:ascii="Times New Roman" w:cs="Times New Roman" w:eastAsia="Times New Roman" w:hAnsi="Times New Roman"/>
          <w:sz w:val="17"/>
          <w:szCs w:val="17"/>
          <w:color w:val="auto"/>
        </w:rPr>
        <w:t>. Performance Grants will be based on the attainment of Performance Goals that are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w:t>
      </w:r>
    </w:p>
    <w:p>
      <w:pPr>
        <w:spacing w:after="0" w:line="1" w:lineRule="exact"/>
        <w:rPr>
          <w:sz w:val="20"/>
          <w:szCs w:val="20"/>
          <w:color w:val="auto"/>
        </w:rPr>
      </w:pPr>
    </w:p>
    <w:p>
      <w:pPr>
        <w:ind w:left="264" w:hanging="264"/>
        <w:spacing w:after="0"/>
        <w:tabs>
          <w:tab w:leader="none" w:pos="2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Criteria and Performance Goals that shall be used to determine the time and extent to which a Performance Grant has been earned;</w:t>
      </w:r>
    </w:p>
    <w:p>
      <w:pPr>
        <w:spacing w:after="0" w:line="9" w:lineRule="exact"/>
        <w:rPr>
          <w:rFonts w:ascii="Times New Roman" w:cs="Times New Roman" w:eastAsia="Times New Roman" w:hAnsi="Times New Roman"/>
          <w:sz w:val="18"/>
          <w:szCs w:val="18"/>
          <w:color w:val="auto"/>
        </w:rPr>
      </w:pPr>
    </w:p>
    <w:p>
      <w:pPr>
        <w:ind w:left="4" w:right="60" w:hanging="4"/>
        <w:spacing w:after="0" w:line="253"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spacing w:after="0" w:line="18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7.3 Determination of Achievement</w:t>
      </w:r>
      <w:r>
        <w:rPr>
          <w:rFonts w:ascii="Times New Roman" w:cs="Times New Roman" w:eastAsia="Times New Roman" w:hAnsi="Times New Roman"/>
          <w:sz w:val="18"/>
          <w:szCs w:val="18"/>
          <w:color w:val="auto"/>
        </w:rPr>
        <w:t>. The Committee shall determine the extent to which a Performance Grant has been earned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Other Grants.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Other forms of Grants valued in whole or in part by reference to, or otherwise based on, Shares, including the appreciation in value thereof (e.g., options or stock rights with an Exercise Price or strike price less than 100% of the Fair 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Payment for Purchases and Exercises.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from a Grantee for Shares acquired pursuant to this Plan may be made in cash or cash equivalents or, where approved for the Grantee by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Committee and where permitted by Applicable Law (and set forth in the applicable Grant Agreement):</w:t>
      </w:r>
    </w:p>
    <w:p>
      <w:pPr>
        <w:spacing w:after="0" w:line="207" w:lineRule="exact"/>
        <w:rPr>
          <w:sz w:val="20"/>
          <w:szCs w:val="20"/>
          <w:color w:val="auto"/>
        </w:rPr>
      </w:pPr>
    </w:p>
    <w:p>
      <w:pPr>
        <w:ind w:left="1244" w:hanging="253"/>
        <w:spacing w:after="0"/>
        <w:tabs>
          <w:tab w:leader="none" w:pos="124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cancellation of indebtedness of the Company owed to the Grantee;</w:t>
      </w:r>
    </w:p>
    <w:p>
      <w:pPr>
        <w:spacing w:after="0" w:line="225" w:lineRule="exact"/>
        <w:rPr>
          <w:rFonts w:ascii="Times New Roman" w:cs="Times New Roman" w:eastAsia="Times New Roman" w:hAnsi="Times New Roman"/>
          <w:sz w:val="18"/>
          <w:szCs w:val="18"/>
          <w:b w:val="1"/>
          <w:bCs w:val="1"/>
          <w:color w:val="auto"/>
        </w:rPr>
      </w:pPr>
    </w:p>
    <w:p>
      <w:pPr>
        <w:ind w:left="4" w:right="300" w:firstLine="987"/>
        <w:spacing w:after="0" w:line="282" w:lineRule="auto"/>
        <w:tabs>
          <w:tab w:leader="none" w:pos="12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surrender of Shares held by the Grantee that are clear of all liens, claims, encumbrances or security interests and that have a Fair Market Value on the date of surrender equal to the aggregate payment required;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70" w:right="459" w:bottom="1440" w:gutter="0" w:footer="0" w:header="0"/>
        </w:sectPr>
      </w:pPr>
    </w:p>
    <w:bookmarkStart w:id="46" w:name="page47"/>
    <w:bookmarkEnd w:id="46"/>
    <w:p>
      <w:pPr>
        <w:ind w:left="1240" w:hanging="253"/>
        <w:spacing w:after="0"/>
        <w:tabs>
          <w:tab w:leader="none" w:pos="12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waiver of compensation due or accrued to the Grantee for services rendered or to be rendered to the Company or an Affiliate;</w:t>
      </w:r>
    </w:p>
    <w:p>
      <w:pPr>
        <w:spacing w:after="0" w:line="225" w:lineRule="exact"/>
        <w:rPr>
          <w:rFonts w:ascii="Times New Roman" w:cs="Times New Roman" w:eastAsia="Times New Roman" w:hAnsi="Times New Roman"/>
          <w:sz w:val="18"/>
          <w:szCs w:val="18"/>
          <w:b w:val="1"/>
          <w:bCs w:val="1"/>
          <w:color w:val="auto"/>
        </w:rPr>
      </w:pPr>
    </w:p>
    <w:p>
      <w:pPr>
        <w:ind w:right="220" w:firstLine="987"/>
        <w:spacing w:after="0" w:line="282" w:lineRule="auto"/>
        <w:tabs>
          <w:tab w:leader="none" w:pos="125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Plan Administrator in connection with the Plan;</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combination of the foregoing; or</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other method of payment as is permitted by Applicable Law.</w:t>
      </w:r>
    </w:p>
    <w:p>
      <w:pPr>
        <w:spacing w:after="0" w:line="225"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1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10.1 Responsibility for Taxes</w:t>
      </w:r>
      <w:r>
        <w:rPr>
          <w:rFonts w:ascii="Times New Roman" w:cs="Times New Roman" w:eastAsia="Times New Roman" w:hAnsi="Times New Roman"/>
          <w:sz w:val="18"/>
          <w:szCs w:val="18"/>
          <w:color w:val="auto"/>
        </w:rPr>
        <w:t>. Regardless of any action taken by the Company or any Affiliate, the ultimate liability for all income tax,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Items</w:t>
      </w:r>
      <w:r>
        <w:rPr>
          <w:rFonts w:ascii="Times New Roman" w:cs="Times New Roman" w:eastAsia="Times New Roman" w:hAnsi="Times New Roman"/>
          <w:sz w:val="18"/>
          <w:szCs w:val="18"/>
          <w:color w:val="auto"/>
        </w:rPr>
        <w:t>”) is the Grantee’s responsibility and may exceed the amount, if any, withheld by the Company or an Affiliate. If the Grantee is subject to Tax-Related Items in more than one jurisdiction, the Company or an Affiliate may be required to withhold or account for Tax-Related Items in more than one jurisdiction.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10.2 Withholding Methods</w:t>
      </w:r>
      <w:r>
        <w:rPr>
          <w:rFonts w:ascii="Times New Roman" w:cs="Times New Roman" w:eastAsia="Times New Roman" w:hAnsi="Times New Roman"/>
          <w:sz w:val="18"/>
          <w:szCs w:val="18"/>
          <w:color w:val="auto"/>
        </w:rPr>
        <w:t>. Unless otherwise provided in the Grantee’s Grant Agreement, the Committee, or its delegate(s),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 its sole discretion and pursuant to such procedures as it may specify from time to time and subject to any limitations imposed by Applicable Law, may require or permit a Grantee to satisfy any applicable withholding obligations for Tax-Related Items, in whole or in part by (without limitation) (a) requiring the Grantee to make a cash payment, (b) withholding from the Grantee’s wages or other cash compensation paid to the Grantee by the Company or any Affiliate; (c) withholding from the Shares otherwise issuable pursuant to a Grant; (d) permitting the Grantee to deliver to the Company already-owned Shares or (e) withholding from the proceeds of the sale of otherwise deliverable Shares acquired pursuant to a Grant either through a voluntary sale or through a mandatory sale arranged by the Company. By adoption of the Plan, the Committee delegates to the Plan Administrator the authority to adopt policies and procedures, in consultation with the Company’s tax accountants and legal advisors, to determine the Fair Market Value of the Shares solely for purposes of withholding and reporting Tax-Related Items related to Grants granted under the Plan.</w:t>
      </w:r>
    </w:p>
    <w:p>
      <w:pPr>
        <w:spacing w:after="0" w:line="188"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10.3 Withholding Tax Rates</w:t>
      </w:r>
      <w:r>
        <w:rPr>
          <w:rFonts w:ascii="Times New Roman" w:cs="Times New Roman" w:eastAsia="Times New Roman" w:hAnsi="Times New Roman"/>
          <w:sz w:val="18"/>
          <w:szCs w:val="18"/>
          <w:color w:val="auto"/>
        </w:rPr>
        <w:t>. The Company or an Affiliate may withhold or account for Tax-Related Items by considering applicable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Tax-Related Items. In the event the Company withholds less than it is obligated to withhold in connection with a Grant, the Grantee will indemnify and hold the Company harmless from any liability for Tax-Related Items.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Restrictions on Grants and Shares.</w:t>
      </w:r>
    </w:p>
    <w:p>
      <w:pPr>
        <w:spacing w:after="0" w:line="117"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11.1 Transferability of Grants</w:t>
      </w:r>
      <w:r>
        <w:rPr>
          <w:rFonts w:ascii="Times New Roman" w:cs="Times New Roman" w:eastAsia="Times New Roman" w:hAnsi="Times New Roman"/>
          <w:sz w:val="18"/>
          <w:szCs w:val="18"/>
          <w:color w:val="auto"/>
        </w:rPr>
        <w:t>. Except as expressly provided in the Plan or an applicable Grant Agreement, or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the Plan Administrator, Grants granted under the Plan will not be transferable or assignable by the Grantee, other than by will or by the laws of descent and distribution. Any Options, Stock Appreciation Rights or Other Grants that are exercisable may only be exercised: (a) during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47" w:name="page48"/>
    <w:bookmarkEnd w:id="47"/>
    <w:p>
      <w:pPr>
        <w:ind w:right="6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Grantee’s lifetime only by (i) the Grantee, or (ii) the Grantee’s guardian or legal representative; (b) after the Grantee’s death, by the legal representative of the Grantee’s heirs or legatees. The Committee or the Plan Administrator may permit transfer of Grants in a manner that is not prohibited by Applicable Law.</w:t>
      </w:r>
    </w:p>
    <w:p>
      <w:pPr>
        <w:spacing w:after="0" w:line="17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11.2 Stockholder Rights</w:t>
      </w:r>
      <w:r>
        <w:rPr>
          <w:rFonts w:ascii="Times New Roman" w:cs="Times New Roman" w:eastAsia="Times New Roman" w:hAnsi="Times New Roman"/>
          <w:sz w:val="18"/>
          <w:szCs w:val="18"/>
          <w:color w:val="auto"/>
        </w:rPr>
        <w:t>. No Grantee will have any of the rights of a stockholder with respect to any Shares until the Shares are issued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11.3 Escrow; Pledge of Shares</w:t>
      </w:r>
      <w:r>
        <w:rPr>
          <w:rFonts w:ascii="Times New Roman" w:cs="Times New Roman" w:eastAsia="Times New Roman" w:hAnsi="Times New Roman"/>
          <w:sz w:val="18"/>
          <w:szCs w:val="18"/>
          <w:color w:val="auto"/>
        </w:rPr>
        <w:t>. To enforce any restrictions on a Grantee’s Shares, the Committee may:</w:t>
      </w:r>
    </w:p>
    <w:p>
      <w:pPr>
        <w:spacing w:after="0" w:line="229" w:lineRule="exact"/>
        <w:rPr>
          <w:sz w:val="20"/>
          <w:szCs w:val="20"/>
          <w:color w:val="auto"/>
        </w:rPr>
      </w:pPr>
    </w:p>
    <w:p>
      <w:pPr>
        <w:ind w:right="400" w:firstLine="987"/>
        <w:spacing w:after="0" w:line="261" w:lineRule="auto"/>
        <w:tabs>
          <w:tab w:leader="none" w:pos="124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or</w:t>
      </w:r>
    </w:p>
    <w:p>
      <w:pPr>
        <w:spacing w:after="0" w:line="179" w:lineRule="exact"/>
        <w:rPr>
          <w:rFonts w:ascii="Times New Roman" w:cs="Times New Roman" w:eastAsia="Times New Roman" w:hAnsi="Times New Roman"/>
          <w:sz w:val="18"/>
          <w:szCs w:val="18"/>
          <w:b w:val="1"/>
          <w:bCs w:val="1"/>
          <w:color w:val="auto"/>
        </w:rPr>
      </w:pPr>
    </w:p>
    <w:p>
      <w:pPr>
        <w:jc w:val="both"/>
        <w:ind w:right="240" w:firstLine="987"/>
        <w:spacing w:after="0" w:line="266" w:lineRule="auto"/>
        <w:tabs>
          <w:tab w:leader="none" w:pos="125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Shares are converted to CDIs, require a holding lock (i.e. the equivalent of a stop transfer order) to be applied to the CDIs, and by participating in the Plan each Grantee is deemed to have consented and agreed to the application of a holding lock to the relevant CDIs until the Grantee’s Shares are no longer subject to the relevant restrictions.</w:t>
      </w:r>
    </w:p>
    <w:p>
      <w:pPr>
        <w:spacing w:after="0" w:line="176"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11.4 Exchange and Buyout of Grants</w:t>
      </w:r>
      <w:r>
        <w:rPr>
          <w:rFonts w:ascii="Times New Roman" w:cs="Times New Roman" w:eastAsia="Times New Roman" w:hAnsi="Times New Roman"/>
          <w:sz w:val="18"/>
          <w:szCs w:val="18"/>
          <w:color w:val="auto"/>
        </w:rPr>
        <w:t>. Subject to the next sentence, the Committee may conduct an Exchange Program, subject to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affected Grantee (unless not required in connection with a repricing pursuant to Section 4.12 of the Plan, or under the terms of a Grant Agreement) and compliance with and only to the extent permitted by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and then only to the extent permitted by Applicable Law: (A) lowering or reducing the Exercise Price of an outstanding Option and/or outstanding Stock Appreciation Right, (B) cancelling, exchanging or surrendering any outstanding Option and/or outstanding Stock Appreciation Right in exchange for cash or another award for the purpose of lowering or reducing the Exercise Price of the outstanding Option and/or outstanding Stock Appreciation Right; (C) cancelling,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in respect of any Grant that is treated as a repricing under U.S. generally accepted accounting principles. This Section 11.4 may not be amended without stockholder approval.</w:t>
      </w:r>
    </w:p>
    <w:p>
      <w:pPr>
        <w:spacing w:after="0" w:line="182"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11.5 Conditions Upon Issuance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 Matters</w:t>
      </w:r>
      <w:r>
        <w:rPr>
          <w:rFonts w:ascii="Times New Roman" w:cs="Times New Roman" w:eastAsia="Times New Roman" w:hAnsi="Times New Roman"/>
          <w:sz w:val="18"/>
          <w:szCs w:val="18"/>
          <w:color w:val="auto"/>
        </w:rPr>
        <w:t>. The Company will be under no obligation to effect the registration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70" w:right="45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such covenants, agreements and representations, and that any related certificates representing such Shares bear such legends, as the Plan Administrator, in its sole discretion, deems necessary or desirable. This may include a requirement that the person exercising an Option or purchasing or receiving any other Grant must represent and warrant at the time of such exercise, purchase, receipt or settlement that the Shares are being purchased or received only for investment purposes and without a present intention to sell or distribute such Shares if, in the opinion of counsel for the Company, such a representation and warranty is advisable or required by Applicable Law. The exercise or settlement of any Grant granted hereunder will only be effective at such time as counsel to the Company shall have determined that the issuance and delivery of Shares pursuant to such exercise or settlement is in compliance with Applicable Laws. The Company may, in its sole discretion, defer the effectiveness of any exercise or settlement of a Grant granted hereunder in order to allow the issuance of Shares pursuant thereto to be made pursuant to registration or an 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 a Grant has been deferred, the Grantee may, by written notice, withdraw such exercise and obtain the refund of any amount paid with respect thereto.</w:t>
      </w:r>
    </w:p>
    <w:p>
      <w:pPr>
        <w:spacing w:after="0" w:line="188"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11.6 Clawback/Recovery Policy</w:t>
      </w:r>
      <w:r>
        <w:rPr>
          <w:rFonts w:ascii="Times New Roman" w:cs="Times New Roman" w:eastAsia="Times New Roman" w:hAnsi="Times New Roman"/>
          <w:sz w:val="18"/>
          <w:szCs w:val="18"/>
          <w:color w:val="auto"/>
        </w:rPr>
        <w:t>. All Grants granted under the Plan will be subject to clawback or recoupment under any clawback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In addition, the Committee may impose such other clawback, recovery or recoupment provisions in a Grant Agreement as the Committee determines necessary or appropriate provided they are in compliance with Applicable Law.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General Provisions Applicable to Grants.</w:t>
      </w:r>
    </w:p>
    <w:p>
      <w:pPr>
        <w:spacing w:after="0" w:line="117"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12.1 Vesting</w:t>
      </w:r>
      <w:r>
        <w:rPr>
          <w:rFonts w:ascii="Times New Roman" w:cs="Times New Roman" w:eastAsia="Times New Roman" w:hAnsi="Times New Roman"/>
          <w:sz w:val="18"/>
          <w:szCs w:val="18"/>
          <w:color w:val="auto"/>
        </w:rPr>
        <w:t>. The total number of Shares subject to a Grant may vest in periodic installments that may or may not be equal.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on or conditions to the vesting and/or exercisability of a Grant as determined by the Committee, and which may vary.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12.2 Termination of Continuous Service Status</w:t>
      </w:r>
      <w:r>
        <w:rPr>
          <w:rFonts w:ascii="Times New Roman" w:cs="Times New Roman" w:eastAsia="Times New Roman" w:hAnsi="Times New Roman"/>
          <w:sz w:val="18"/>
          <w:szCs w:val="18"/>
          <w:color w:val="auto"/>
        </w:rPr>
        <w:t>. Except as otherwise provided in the applicable Grant Agreement or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if a Grantee’s Continuous Service Status terminates for any reason, vesting of a Grant will cease and such portion of a Grant that has not vested will be forfeited, and the Grantee will have no further right, title or interest in any then-unvested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spacing w:after="0" w:line="17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12.3 No Employment or Other Service Rights</w:t>
      </w:r>
      <w:r>
        <w:rPr>
          <w:rFonts w:ascii="Times New Roman" w:cs="Times New Roman" w:eastAsia="Times New Roman" w:hAnsi="Times New Roman"/>
          <w:sz w:val="18"/>
          <w:szCs w:val="18"/>
          <w:color w:val="auto"/>
        </w:rPr>
        <w:t>. Nothing in this Plan or any Grant granted under this Plan will confer or be deemed to confer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spacing w:after="0" w:line="182"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12.4 Effect on Other Employee Benefit Plans</w:t>
      </w:r>
      <w:r>
        <w:rPr>
          <w:rFonts w:ascii="Times New Roman" w:cs="Times New Roman" w:eastAsia="Times New Roman" w:hAnsi="Times New Roman"/>
          <w:sz w:val="18"/>
          <w:szCs w:val="18"/>
          <w:color w:val="auto"/>
        </w:rPr>
        <w:t>. The value of and income from any Grant granted under the Plan, as determined upon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shall not be included as compensation, earnings, salaries, or other similar terms used when calculating any Grantee’s benefits under any employee benefit plan sponsored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0"/>
          </w:cols>
          <w:pgMar w:left="440" w:top="270" w:right="479" w:bottom="1440" w:gutter="0" w:footer="0" w:header="0"/>
        </w:sectPr>
      </w:pPr>
    </w:p>
    <w:bookmarkStart w:id="49" w:name="page50"/>
    <w:bookmarkEnd w:id="49"/>
    <w:p>
      <w:pPr>
        <w:ind w:left="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the Company or any Affiliate, except as such plan otherwise expressly provides. The Company expressly reserves its rights to amend, modify, or terminate any of the Company’s or any Affiliate’s employee benefit plans.</w:t>
      </w:r>
    </w:p>
    <w:p>
      <w:pPr>
        <w:spacing w:after="0" w:line="158"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12.5 Leaves of Absence</w:t>
      </w:r>
      <w:r>
        <w:rPr>
          <w:rFonts w:ascii="Times New Roman" w:cs="Times New Roman" w:eastAsia="Times New Roman" w:hAnsi="Times New Roman"/>
          <w:sz w:val="18"/>
          <w:szCs w:val="18"/>
          <w:color w:val="auto"/>
        </w:rPr>
        <w:t>. To the extent permitted by Applicable Law, the Committee or the Plan Administrator, in that party’s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w:t>
      </w:r>
    </w:p>
    <w:p>
      <w:pPr>
        <w:ind w:left="4" w:hanging="4"/>
        <w:spacing w:after="0" w:line="253"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12.6 Change in Time Commitment</w:t>
      </w:r>
      <w:r>
        <w:rPr>
          <w:rFonts w:ascii="Times New Roman" w:cs="Times New Roman" w:eastAsia="Times New Roman" w:hAnsi="Times New Roman"/>
          <w:sz w:val="18"/>
          <w:szCs w:val="18"/>
          <w:color w:val="auto"/>
        </w:rPr>
        <w:t>. In the event a Grantee’s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Affiliates is reduced (for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but subject to and only to the extent permitted by Applicable Law, may (x) make a corresponding reduction 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spacing w:after="0" w:line="18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12.7 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Grantee has access).</w:t>
      </w:r>
    </w:p>
    <w:p>
      <w:pPr>
        <w:spacing w:after="0" w:line="171"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12.8 Deferrals</w:t>
      </w:r>
      <w:r>
        <w:rPr>
          <w:rFonts w:ascii="Times New Roman" w:cs="Times New Roman" w:eastAsia="Times New Roman" w:hAnsi="Times New Roman"/>
          <w:sz w:val="18"/>
          <w:szCs w:val="18"/>
          <w:color w:val="auto"/>
        </w:rPr>
        <w:t>. To the extent permitted by Applicable Law, the Committee, in its sole discretion, may determine that the delivery of Shares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12.9 Compliance with Section 409A of the Code</w:t>
      </w:r>
      <w:r>
        <w:rPr>
          <w:rFonts w:ascii="Times New Roman" w:cs="Times New Roman" w:eastAsia="Times New Roman" w:hAnsi="Times New Roman"/>
          <w:sz w:val="18"/>
          <w:szCs w:val="18"/>
          <w:color w:val="auto"/>
        </w:rPr>
        <w:t>. Unless otherwise expressly provided in a Grant Agreement, the Plan and Grant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 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84"/>
          </w:cols>
          <w:pgMar w:left="436" w:top="270" w:right="479" w:bottom="1440" w:gutter="0" w:footer="0" w:header="0"/>
        </w:sectPr>
      </w:pPr>
    </w:p>
    <w:bookmarkStart w:id="50" w:name="page51"/>
    <w:bookmarkEnd w:id="5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Section 1.409A-2(b)(2). In no event will any Grantee have a right to payment or reimbursement or otherwise from the Company or its Affiliates, or their successors or assigns, for any taxes imposed or other costs incurred as a result of Section 409A of the Code.</w:t>
      </w:r>
    </w:p>
    <w:p>
      <w:pPr>
        <w:spacing w:after="0" w:line="177"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12.10 Execution of Additional Documents</w:t>
      </w:r>
      <w:r>
        <w:rPr>
          <w:rFonts w:ascii="Times New Roman" w:cs="Times New Roman" w:eastAsia="Times New Roman" w:hAnsi="Times New Roman"/>
          <w:sz w:val="18"/>
          <w:szCs w:val="18"/>
          <w:color w:val="auto"/>
        </w:rPr>
        <w:t>. The Company may require a Grantee to execute any additional documents or instruments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desirable, as determined by the Plan Administrator, to carry out the purposes or intent of the Grant, or facilitate compliance with securities, tax and/or other regulatory requirements, at the Plan Administrator’s request.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Corporate Events.</w:t>
      </w:r>
    </w:p>
    <w:p>
      <w:pPr>
        <w:spacing w:after="0" w:line="117"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13.1 Change in Control</w:t>
      </w:r>
      <w:r>
        <w:rPr>
          <w:rFonts w:ascii="Times New Roman" w:cs="Times New Roman" w:eastAsia="Times New Roman" w:hAnsi="Times New Roman"/>
          <w:sz w:val="18"/>
          <w:szCs w:val="18"/>
          <w:color w:val="auto"/>
        </w:rPr>
        <w:t>. In the event that the Company is subject to a Change in Control, outstanding Grants acquired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agreement evidencing the Change in Control, which need not treat all outstanding Grants in an identical manner. Such agreement, without the Grantee’s consent, shall provide for one or more of the following with respect to all outstanding Grants as of the effective date of such Change in Control:</w:t>
      </w:r>
    </w:p>
    <w:p>
      <w:pPr>
        <w:spacing w:after="0" w:line="180" w:lineRule="exact"/>
        <w:rPr>
          <w:sz w:val="20"/>
          <w:szCs w:val="20"/>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continuation of an outstanding Grant by the Company (if the Company is the successor entity).</w:t>
      </w:r>
    </w:p>
    <w:p>
      <w:pPr>
        <w:spacing w:after="0" w:line="225" w:lineRule="exact"/>
        <w:rPr>
          <w:rFonts w:ascii="Times New Roman" w:cs="Times New Roman" w:eastAsia="Times New Roman" w:hAnsi="Times New Roman"/>
          <w:sz w:val="18"/>
          <w:szCs w:val="18"/>
          <w:b w:val="1"/>
          <w:bCs w:val="1"/>
          <w:color w:val="auto"/>
        </w:rPr>
      </w:pPr>
    </w:p>
    <w:p>
      <w:pPr>
        <w:jc w:val="both"/>
        <w:ind w:right="40" w:firstLine="987"/>
        <w:spacing w:after="0" w:line="261" w:lineRule="auto"/>
        <w:tabs>
          <w:tab w:leader="none" w:pos="125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160" w:firstLine="987"/>
        <w:spacing w:after="0" w:line="261" w:lineRule="auto"/>
        <w:tabs>
          <w:tab w:leader="none" w:pos="123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substitution by the successor or acquiring entity in such Change in Control (or by its 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280" w:firstLine="987"/>
        <w:spacing w:after="0" w:line="312" w:lineRule="auto"/>
        <w:tabs>
          <w:tab w:leader="none" w:pos="1256"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full or partial acceleration of exercisability or vesting and accelerated expiration of an outstanding Grant and lapse of the Company’s right to repurchase or re-acquire shares acquired under a Grant or lapse of forfeiture rights with respect to shares acquired under a Grant.</w:t>
      </w:r>
    </w:p>
    <w:p>
      <w:pPr>
        <w:spacing w:after="0" w:line="139" w:lineRule="exact"/>
        <w:rPr>
          <w:rFonts w:ascii="Times New Roman" w:cs="Times New Roman" w:eastAsia="Times New Roman" w:hAnsi="Times New Roman"/>
          <w:sz w:val="17"/>
          <w:szCs w:val="17"/>
          <w:b w:val="1"/>
          <w:bCs w:val="1"/>
          <w:color w:val="auto"/>
        </w:rPr>
      </w:pPr>
    </w:p>
    <w:p>
      <w:pPr>
        <w:ind w:firstLine="987"/>
        <w:spacing w:after="0" w:line="254" w:lineRule="auto"/>
        <w:tabs>
          <w:tab w:leader="none" w:pos="123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 For purposes of this paragraph, the Fair Market Value of any security shall be determined without regard to any vesting conditions that may apply to such security.</w:t>
      </w:r>
    </w:p>
    <w:p>
      <w:pPr>
        <w:spacing w:after="0" w:line="191"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cancellation of outstanding Grants in exchange for no consideration.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80"/>
          </w:cols>
          <w:pgMar w:left="440" w:top="270" w:right="479" w:bottom="1440" w:gutter="0" w:footer="0" w:header="0"/>
        </w:sectPr>
      </w:pPr>
    </w:p>
    <w:bookmarkStart w:id="51" w:name="page52"/>
    <w:bookmarkEnd w:id="5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13.2 Assumption of Grants by the Company</w:t>
      </w:r>
      <w:r>
        <w:rPr>
          <w:rFonts w:ascii="Times New Roman" w:cs="Times New Roman" w:eastAsia="Times New Roman" w:hAnsi="Times New Roman"/>
          <w:sz w:val="18"/>
          <w:szCs w:val="18"/>
          <w:color w:val="auto"/>
        </w:rPr>
        <w:t>. The Company, from time to time, may substitute or assume outstanding awards granted by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Times New Roman" w:cs="Times New Roman" w:eastAsia="Times New Roman" w:hAnsi="Times New Roman"/>
          <w:sz w:val="18"/>
          <w:szCs w:val="18"/>
          <w:b w:val="1"/>
          <w:bCs w:val="1"/>
          <w:color w:val="auto"/>
        </w:rPr>
        <w:t>Substitute Grant</w:t>
      </w:r>
      <w:r>
        <w:rPr>
          <w:rFonts w:ascii="Times New Roman" w:cs="Times New Roman" w:eastAsia="Times New Roman" w:hAnsi="Times New Roman"/>
          <w:sz w:val="18"/>
          <w:szCs w:val="18"/>
          <w:color w:val="auto"/>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Administration.</w:t>
      </w:r>
    </w:p>
    <w:p>
      <w:pPr>
        <w:spacing w:after="0" w:line="117"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14.1 Committee Authority</w:t>
      </w:r>
      <w:r>
        <w:rPr>
          <w:rFonts w:ascii="Times New Roman" w:cs="Times New Roman" w:eastAsia="Times New Roman" w:hAnsi="Times New Roman"/>
          <w:sz w:val="18"/>
          <w:szCs w:val="18"/>
          <w:color w:val="auto"/>
        </w:rPr>
        <w:t>. This Plan will be administered by the Committee or by the Board acting as the Committee. Subject to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terms and conditions of this Plan, Applicable Law and any charter adopted by the Board governing the actions of the Committee, the Committee will have full power to implement and carry out this Plan. Without limitation, the Committee will have the authority to, subject to the preceding sentence:</w:t>
      </w:r>
    </w:p>
    <w:p>
      <w:pPr>
        <w:spacing w:after="0" w:line="180" w:lineRule="exact"/>
        <w:rPr>
          <w:sz w:val="20"/>
          <w:szCs w:val="20"/>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construe and interpret this Plan, any Grant Agreement and any other agreement or document executed pursuant to this Plan;</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5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prescribe, amend, expand, modify and rescind or terminate rules and regulations relating to this Plan or any Grant (including the terms or conditions of any Grant);</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approve persons to receive Grants;</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form, terms and conditions of Grants;</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number of Shares or other consideration subject to Grants;</w:t>
      </w:r>
    </w:p>
    <w:p>
      <w:pPr>
        <w:spacing w:after="0" w:line="225" w:lineRule="exact"/>
        <w:rPr>
          <w:rFonts w:ascii="Times New Roman" w:cs="Times New Roman" w:eastAsia="Times New Roman" w:hAnsi="Times New Roman"/>
          <w:sz w:val="18"/>
          <w:szCs w:val="18"/>
          <w:b w:val="1"/>
          <w:bCs w:val="1"/>
          <w:color w:val="auto"/>
        </w:rPr>
      </w:pPr>
    </w:p>
    <w:p>
      <w:pPr>
        <w:ind w:right="400" w:firstLine="987"/>
        <w:spacing w:after="0" w:line="282" w:lineRule="auto"/>
        <w:tabs>
          <w:tab w:leader="none" w:pos="121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b w:val="1"/>
          <w:bCs w:val="1"/>
          <w:color w:val="auto"/>
        </w:rPr>
      </w:pPr>
    </w:p>
    <w:p>
      <w:pPr>
        <w:ind w:right="280" w:firstLine="987"/>
        <w:spacing w:after="0" w:line="282" w:lineRule="auto"/>
        <w:tabs>
          <w:tab w:leader="none" w:pos="124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Grants will be granted singly, in combination with, in tandem with, in replacement of, or as alternatives to, other Grants under this Plan or awards under any other incentive or compensation plan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waivers of any conditions of this Plan or any Grant;</w:t>
      </w:r>
    </w:p>
    <w:p>
      <w:pPr>
        <w:spacing w:after="0" w:line="225"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vesting, exercisability and payment of Grants;</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 any defect, supply any omission or reconcile any inconsistency in this Plan, any Grant or any Grant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70" w:right="459" w:bottom="1440" w:gutter="0" w:footer="0" w:header="0"/>
        </w:sectPr>
      </w:pPr>
    </w:p>
    <w:bookmarkStart w:id="52" w:name="page53"/>
    <w:bookmarkEnd w:id="52"/>
    <w:p>
      <w:pPr>
        <w:ind w:left="1264" w:hanging="273"/>
        <w:spacing w:after="0"/>
        <w:tabs>
          <w:tab w:leader="none" w:pos="126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whether a Grant has been earned or has vested;</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terms and conditions of, and to institute, any Exchange Program;</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31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4" w:right="560" w:firstLine="987"/>
        <w:spacing w:after="0" w:line="282" w:lineRule="auto"/>
        <w:tabs>
          <w:tab w:leader="none" w:pos="12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delegate any of the foregoing to one or more Officers pursuant to a specific delegation as permitted by the terms of the Plan and Applicable Law, including Section 157(c) of the Delaware General Corporation Law; and</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14.2 Indemnification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maximum extent permitted by Applicable Laws, each member of the Committee (including officers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 Affiliate of the Company, if applicable), or of the Board, as applicable, shall be indemnified and held harmless by the Company against and from</w:t>
      </w:r>
    </w:p>
    <w:p>
      <w:pPr>
        <w:spacing w:after="0" w:line="1" w:lineRule="exact"/>
        <w:rPr>
          <w:sz w:val="20"/>
          <w:szCs w:val="20"/>
          <w:color w:val="auto"/>
        </w:rPr>
      </w:pPr>
    </w:p>
    <w:p>
      <w:pPr>
        <w:ind w:left="4" w:right="20" w:hanging="4"/>
        <w:spacing w:after="0" w:line="251"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8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14.3 Committee Interpretation and Discretion</w:t>
      </w:r>
      <w:r>
        <w:rPr>
          <w:rFonts w:ascii="Times New Roman" w:cs="Times New Roman" w:eastAsia="Times New Roman" w:hAnsi="Times New Roman"/>
          <w:sz w:val="18"/>
          <w:szCs w:val="18"/>
          <w:color w:val="auto"/>
        </w:rPr>
        <w:t>. Any determination made by the Committee with respect to any Grant shall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Grant or, unless in contravention of any express term of the Plan or Grant or Applicable Law, at any later time, and such determination shall be final and binding on the Company and all persons having an interest in any Grant under the Plan. Any dispute regarding the interpretation of the Plan or any Grant Agreement shall be submitted by the Grantee or Company to the Committee for review. The resolution of such a dispute by the Committee shall be final and binding on the Company and the Grantee. The Committee may delegate to the Plan Administrator or one or more Officers the authority to review and resolve disputes with respect to Grants held by Grantees who are not Insiders, and such resolution shall be final and binding on the Company and the Grantee.</w:t>
      </w:r>
    </w:p>
    <w:p>
      <w:pPr>
        <w:spacing w:after="0" w:line="183"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14.4 Section 16 of the Exchange Act</w:t>
      </w:r>
      <w:r>
        <w:rPr>
          <w:rFonts w:ascii="Times New Roman" w:cs="Times New Roman" w:eastAsia="Times New Roman" w:hAnsi="Times New Roman"/>
          <w:sz w:val="18"/>
          <w:szCs w:val="18"/>
          <w:color w:val="auto"/>
        </w:rPr>
        <w:t>. Grants granted to Grantees who are subject to Section 16 of the Exchange Act must be approved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spacing w:after="0" w:line="176"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14.5 Plan Administrator</w:t>
      </w:r>
      <w:r>
        <w:rPr>
          <w:rFonts w:ascii="Times New Roman" w:cs="Times New Roman" w:eastAsia="Times New Roman" w:hAnsi="Times New Roman"/>
          <w:sz w:val="18"/>
          <w:szCs w:val="18"/>
          <w:color w:val="auto"/>
        </w:rPr>
        <w:t>. The Committee may appoint a Plan Administrator, who will have the authority to administer the day-to-day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and to make certain ministerial decisions without Committee approval as provided in the Plan or pursuant to resolutions adopted by the Committee. The Plan Administrator may not grant Grants.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24"/>
          </w:cols>
          <w:pgMar w:left="436" w:top="270" w:right="439" w:bottom="1440" w:gutter="0" w:footer="0" w:header="0"/>
        </w:sectPr>
      </w:pPr>
    </w:p>
    <w:bookmarkStart w:id="53" w:name="page54"/>
    <w:bookmarkEnd w:id="53"/>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14.6 Failure to Comply</w:t>
      </w:r>
      <w:r>
        <w:rPr>
          <w:rFonts w:ascii="Times New Roman" w:cs="Times New Roman" w:eastAsia="Times New Roman" w:hAnsi="Times New Roman"/>
          <w:sz w:val="18"/>
          <w:szCs w:val="18"/>
          <w:color w:val="auto"/>
        </w:rPr>
        <w:t>. In addition to the remedies of the Company elsewhere provided for herein, failure by a Grantee to comply with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14.7 Foreign Grant Recipients</w:t>
      </w:r>
      <w:r>
        <w:rPr>
          <w:rFonts w:ascii="Times New Roman" w:cs="Times New Roman" w:eastAsia="Times New Roman" w:hAnsi="Times New Roman"/>
          <w:sz w:val="18"/>
          <w:szCs w:val="18"/>
          <w:color w:val="auto"/>
        </w:rPr>
        <w:t>. Notwithstanding any provision of the Plan to the contrary, in order to facilitate compliance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and practices in other countries in which the Company and its Affiliates 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 or that would contravene the ASX Listing Rules or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90"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14.8 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14.9 Severability</w:t>
      </w:r>
      <w:r>
        <w:rPr>
          <w:rFonts w:ascii="Times New Roman" w:cs="Times New Roman" w:eastAsia="Times New Roman" w:hAnsi="Times New Roman"/>
          <w:sz w:val="18"/>
          <w:szCs w:val="18"/>
          <w:color w:val="auto"/>
        </w:rPr>
        <w:t>. If all or any part of this Plan or a Grant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14.10 Corporate Action Constituting Grant of Grants</w:t>
      </w:r>
      <w:r>
        <w:rPr>
          <w:rFonts w:ascii="Times New Roman" w:cs="Times New Roman" w:eastAsia="Times New Roman" w:hAnsi="Times New Roman"/>
          <w:sz w:val="18"/>
          <w:szCs w:val="18"/>
          <w:color w:val="auto"/>
        </w:rPr>
        <w:t>. Corporate action constituting a grant by the Company of a Grant to any Grantee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14.11 Expenses and Receipts</w:t>
      </w:r>
      <w:r>
        <w:rPr>
          <w:rFonts w:ascii="Times New Roman" w:cs="Times New Roman" w:eastAsia="Times New Roman" w:hAnsi="Times New Roman"/>
          <w:sz w:val="18"/>
          <w:szCs w:val="18"/>
          <w:color w:val="auto"/>
        </w:rPr>
        <w:t>. The expenses of the Plan will be paid by the Company. Any proceeds received by the Company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 will be used for general corporate purposes.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14.12 Governing Law</w:t>
      </w:r>
      <w:r>
        <w:rPr>
          <w:rFonts w:ascii="Times New Roman" w:cs="Times New Roman" w:eastAsia="Times New Roman" w:hAnsi="Times New Roman"/>
          <w:sz w:val="18"/>
          <w:szCs w:val="18"/>
          <w:color w:val="auto"/>
        </w:rPr>
        <w:t>. This Plan and all Grants granted hereunder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unless provided otherwise in a Grant Agreement, without giving effect to that body of laws pertaining to conflict of 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80"/>
          </w:cols>
          <w:pgMar w:left="440" w:top="266" w:right="479" w:bottom="1440" w:gutter="0" w:footer="0" w:header="0"/>
        </w:sectPr>
      </w:pPr>
    </w:p>
    <w:bookmarkStart w:id="54" w:name="page55"/>
    <w:bookmarkEnd w:id="54"/>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14.13 Headings</w:t>
      </w:r>
      <w:r>
        <w:rPr>
          <w:rFonts w:ascii="Times New Roman" w:cs="Times New Roman" w:eastAsia="Times New Roman" w:hAnsi="Times New Roman"/>
          <w:sz w:val="18"/>
          <w:szCs w:val="18"/>
          <w:color w:val="auto"/>
        </w:rPr>
        <w:t>. The headings in this Plan are included solely for convenience of reference and if there is any conflict between such 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text of this Plan, the text shall control.</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15. Effectiveness, Amendment and Termination of the Plan.</w:t>
      </w:r>
    </w:p>
    <w:p>
      <w:pPr>
        <w:spacing w:after="0" w:line="117"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15.1 Adoption and Stockholder Approval</w:t>
      </w:r>
      <w:r>
        <w:rPr>
          <w:rFonts w:ascii="Times New Roman" w:cs="Times New Roman" w:eastAsia="Times New Roman" w:hAnsi="Times New Roman"/>
          <w:sz w:val="18"/>
          <w:szCs w:val="18"/>
          <w:color w:val="auto"/>
        </w:rPr>
        <w:t>. The Plan will come into existence on the date the Plan is approved by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Grant may be granted prior to the Effective Date.</w:t>
      </w:r>
    </w:p>
    <w:p>
      <w:pPr>
        <w:spacing w:after="0" w:line="155" w:lineRule="exact"/>
        <w:rPr>
          <w:sz w:val="20"/>
          <w:szCs w:val="20"/>
          <w:color w:val="auto"/>
        </w:rPr>
      </w:pPr>
    </w:p>
    <w:p>
      <w:pPr>
        <w:ind w:left="4" w:right="16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15.2 Amendment of the Plan</w:t>
      </w:r>
      <w:r>
        <w:rPr>
          <w:rFonts w:ascii="Times New Roman" w:cs="Times New Roman" w:eastAsia="Times New Roman" w:hAnsi="Times New Roman"/>
          <w:sz w:val="17"/>
          <w:szCs w:val="17"/>
          <w:color w:val="auto"/>
        </w:rPr>
        <w:t>. The Committee may amend the Plan or any Grant in any respect the Committee deems necessary or advisable,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limitations of Applicable Law and this Section and Sections 15.4, 15.5, 15.6 and 15.7.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w:t>
      </w:r>
    </w:p>
    <w:p>
      <w:pPr>
        <w:spacing w:after="0" w:line="3" w:lineRule="exact"/>
        <w:rPr>
          <w:sz w:val="20"/>
          <w:szCs w:val="20"/>
          <w:color w:val="auto"/>
        </w:rPr>
      </w:pPr>
    </w:p>
    <w:p>
      <w:pPr>
        <w:ind w:left="4" w:right="120" w:hanging="4"/>
        <w:spacing w:after="0" w:line="260"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extends the term of the Plan, (f) materially expands the types of Grants available for issuance under the Plan, or (g) as otherwise required by Applicable Law.</w:t>
      </w:r>
    </w:p>
    <w:p>
      <w:pPr>
        <w:spacing w:after="0" w:line="177" w:lineRule="exact"/>
        <w:rPr>
          <w:sz w:val="20"/>
          <w:szCs w:val="20"/>
          <w:color w:val="auto"/>
        </w:rPr>
      </w:pPr>
    </w:p>
    <w:p>
      <w:pPr>
        <w:ind w:left="4" w:right="260" w:firstLine="440"/>
        <w:spacing w:after="0" w:line="265" w:lineRule="auto"/>
        <w:rPr>
          <w:sz w:val="20"/>
          <w:szCs w:val="20"/>
          <w:color w:val="auto"/>
        </w:rPr>
      </w:pPr>
      <w:r>
        <w:rPr>
          <w:rFonts w:ascii="Times New Roman" w:cs="Times New Roman" w:eastAsia="Times New Roman" w:hAnsi="Times New Roman"/>
          <w:sz w:val="18"/>
          <w:szCs w:val="18"/>
          <w:b w:val="1"/>
          <w:bCs w:val="1"/>
          <w:color w:val="auto"/>
        </w:rPr>
        <w:t>15.3 Suspension or Termination of the Plan</w:t>
      </w:r>
      <w:r>
        <w:rPr>
          <w:rFonts w:ascii="Times New Roman" w:cs="Times New Roman" w:eastAsia="Times New Roman" w:hAnsi="Times New Roman"/>
          <w:sz w:val="18"/>
          <w:szCs w:val="18"/>
          <w:color w:val="auto"/>
        </w:rPr>
        <w:t>. The Plan shall terminate automatically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No 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spacing w:after="0" w:line="394"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15.4 No Impairment</w:t>
      </w:r>
      <w:r>
        <w:rPr>
          <w:rFonts w:ascii="Times New Roman" w:cs="Times New Roman" w:eastAsia="Times New Roman" w:hAnsi="Times New Roman"/>
          <w:sz w:val="18"/>
          <w:szCs w:val="18"/>
          <w:color w:val="auto"/>
        </w:rPr>
        <w:t>. No amendment, suspension or termination of the Plan or any Grant may materially impair a Grantee’s rights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15.5 Compliance with ASX Listing Rules</w:t>
      </w:r>
      <w:r>
        <w:rPr>
          <w:rFonts w:ascii="Times New Roman" w:cs="Times New Roman" w:eastAsia="Times New Roman" w:hAnsi="Times New Roman"/>
          <w:sz w:val="18"/>
          <w:szCs w:val="18"/>
          <w:color w:val="auto"/>
        </w:rPr>
        <w:t>. 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Options (and, to the extent required by the ASX Listing Rules, the rights of a recipient of other Grants and the terms of any other Grants) must be amended by the Company to the extent necessary to comply with the ASX Listing Rules applying to a reorganization of capital at the time of the reorganization, and each Option holder and recipient of any other Grant by participating in this Plan is deemed to have consented to any such amendments. To the extent that the terms of the relevant Option or other Grant do not permit the Option or Grant to be treated in accordance with the ASX Listing Rules, the terms of that Option or Grant must be amended so that the Option or Grant can be treated in accordance with the ASX Listing Rules.</w:t>
      </w:r>
    </w:p>
    <w:p>
      <w:pPr>
        <w:spacing w:after="0" w:line="183"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15.6 Compliance</w:t>
      </w:r>
      <w:r>
        <w:rPr>
          <w:rFonts w:ascii="Times New Roman" w:cs="Times New Roman" w:eastAsia="Times New Roman" w:hAnsi="Times New Roman"/>
          <w:sz w:val="18"/>
          <w:szCs w:val="18"/>
          <w:color w:val="auto"/>
        </w:rPr>
        <w:t>. No Option or Stock Appreciation Right shall be exercisable, no Restricted Stock Grant, RSU, Performance Grant,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Right or any other Grant shall be granted or settled, no Grant shall be amended in any way, no Shares of Common Stock shall be issued, no certificates for Shares shall be delivered and no payment shall be made under this Plan except in compliance with all applicable federal and state laws and regulations (including, without limitation, withholding tax requirements), any listing agreement to which the Company is a party and the rules of all stock exchanges on which the Company’s securities may be listed (including, while the Company’s securities are listed on the ASX, the ASX Listing Rules). The Company shall have the right to rely on an opinion of its counsel as to such compliance. Any stock certificate evidencing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4"/>
          </w:cols>
          <w:pgMar w:left="436" w:top="266" w:right="459" w:bottom="1440" w:gutter="0" w:footer="0" w:header="0"/>
        </w:sectPr>
      </w:pPr>
    </w:p>
    <w:bookmarkStart w:id="55" w:name="page56"/>
    <w:bookmarkEnd w:id="5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issued pursuant to a Grant may bear such legends and statements as the Committee may deem advisable to assure compliance with federal and state laws and regulations and to reflect any other restrictions applicable to such Shares as the Committee otherwise deems appropriate. No Option or Stock Appreciation Right shall be exercisable, no Restricted Stock Grant, RSU, Performance Grant, Dividend Equivalent Right or any other Grant shall be granted or settled, no Grant shall be amended in any way, no Shares shall be issued, no certificate for Shares shall be delivered and no payment shall be made under this Plan until the Company has obtained such consent, waiver or approval as the Committee may deem advisable from regulatory bodies having jurisdiction over such matters (including, while the Company’s securities are listed on the ASX, any consent, waiver or approvals required under the ASX Listing Rules).</w:t>
      </w:r>
    </w:p>
    <w:p>
      <w:pPr>
        <w:spacing w:after="0" w:line="18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15.7 Listing Rules</w:t>
      </w:r>
      <w:r>
        <w:rPr>
          <w:rFonts w:ascii="Times New Roman" w:cs="Times New Roman" w:eastAsia="Times New Roman" w:hAnsi="Times New Roman"/>
          <w:sz w:val="18"/>
          <w:szCs w:val="18"/>
          <w:color w:val="auto"/>
        </w:rPr>
        <w:t>. While the Shares are listed for trading on any securities exchange or market (including, without limitation, ASX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the Company and the Committee must not make any amendments to this Plan or any Grant or issue any Grants or take any other action unless such action complies with the relevant listing rules of such securities exchanges.</w:t>
      </w:r>
    </w:p>
    <w:p>
      <w:pPr>
        <w:spacing w:after="0" w:line="171" w:lineRule="exact"/>
        <w:rPr>
          <w:sz w:val="20"/>
          <w:szCs w:val="20"/>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w:t>
      </w:r>
      <w:r>
        <w:rPr>
          <w:rFonts w:ascii="Times New Roman" w:cs="Times New Roman" w:eastAsia="Times New Roman" w:hAnsi="Times New Roman"/>
          <w:sz w:val="18"/>
          <w:szCs w:val="18"/>
          <w:color w:val="auto"/>
        </w:rPr>
        <w:t>” means the ASX Limited (ABN 98 008 624 691), or the securities market which it operates, as the context requires.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Grantee and the Company defining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in the absence of such agreement, such term means, with respect to a Grantee, the occurrence of any of the following events: (a) Grantee’s unauthorized misuse of the Company’s trade secrets or proprietary information; (b) Grantee’s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purposes of this definition, the term “Company” will be interpreted to include any Subsidiary, Parent or Affiliate of the Company, as appropriate.</w:t>
      </w:r>
    </w:p>
    <w:p>
      <w:pPr>
        <w:spacing w:after="0" w:line="182"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CDI</w:t>
      </w:r>
      <w:r>
        <w:rPr>
          <w:rFonts w:ascii="Times New Roman" w:cs="Times New Roman" w:eastAsia="Times New Roman" w:hAnsi="Times New Roman"/>
          <w:sz w:val="18"/>
          <w:szCs w:val="18"/>
          <w:color w:val="auto"/>
        </w:rPr>
        <w:t>” means a CHESS Depositary Interest, being a unit of beneficial ownership in 1/5 of a share of Common Stock in the Company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ratio as may be adopted by the Company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4" w:right="160" w:firstLine="987"/>
        <w:spacing w:after="0" w:line="266" w:lineRule="auto"/>
        <w:tabs>
          <w:tab w:leader="none" w:pos="125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84"/>
          </w:cols>
          <w:pgMar w:left="436" w:top="270" w:right="479" w:bottom="1440" w:gutter="0" w:footer="0" w:header="0"/>
        </w:sectPr>
      </w:pPr>
    </w:p>
    <w:bookmarkStart w:id="56" w:name="page57"/>
    <w:bookmarkEnd w:id="56"/>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surviving entity or its parent) at least fifty percent (50%) of the total voting power represented by the voting securities of the Company or such surviving entity or its parent outstanding immediately after such consolidation or merger;</w:t>
      </w:r>
    </w:p>
    <w:p>
      <w:pPr>
        <w:spacing w:after="0" w:line="162" w:lineRule="exact"/>
        <w:rPr>
          <w:sz w:val="20"/>
          <w:szCs w:val="20"/>
          <w:color w:val="auto"/>
        </w:rPr>
      </w:pPr>
    </w:p>
    <w:p>
      <w:pPr>
        <w:ind w:left="4" w:right="60" w:firstLine="987"/>
        <w:spacing w:after="0" w:line="261" w:lineRule="auto"/>
        <w:tabs>
          <w:tab w:leader="none" w:pos="1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“beneficial owner” (as defined in Rule 13d-3of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9" w:lineRule="exact"/>
        <w:rPr>
          <w:rFonts w:ascii="Times New Roman" w:cs="Times New Roman" w:eastAsia="Times New Roman" w:hAnsi="Times New Roman"/>
          <w:sz w:val="18"/>
          <w:szCs w:val="18"/>
          <w:b w:val="1"/>
          <w:bCs w:val="1"/>
          <w:color w:val="auto"/>
        </w:rPr>
      </w:pPr>
    </w:p>
    <w:p>
      <w:pPr>
        <w:ind w:left="4" w:right="20" w:firstLine="987"/>
        <w:spacing w:after="0" w:line="282" w:lineRule="auto"/>
        <w:tabs>
          <w:tab w:leader="none" w:pos="12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76" w:lineRule="exact"/>
        <w:rPr>
          <w:sz w:val="20"/>
          <w:szCs w:val="20"/>
          <w:color w:val="auto"/>
        </w:rPr>
      </w:pPr>
    </w:p>
    <w:p>
      <w:pPr>
        <w:jc w:val="both"/>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purchase or acquisition of stock, or similar business transaction with the Company.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71"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Applicable Law and in accordance with the Plan.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and the common stock of any successor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AVITA Therapeutics, Inc., a Delaware corporation, or any successor corporation.</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that is engaged to render services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Affiliate.</w:t>
      </w:r>
    </w:p>
    <w:p>
      <w:pPr>
        <w:spacing w:after="0" w:line="155"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 Status</w:t>
      </w:r>
      <w:r>
        <w:rPr>
          <w:rFonts w:ascii="Times New Roman" w:cs="Times New Roman" w:eastAsia="Times New Roman" w:hAnsi="Times New Roman"/>
          <w:sz w:val="18"/>
          <w:szCs w:val="18"/>
          <w:color w:val="auto"/>
        </w:rPr>
        <w:t>” means continued service as an Employee, Director or Consultant. Continuous Service Status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in the case of Incentive Stock Options, total and permanent disability as defined in Section 22(e)(3) of the Code, and</w:t>
      </w:r>
    </w:p>
    <w:p>
      <w:pPr>
        <w:spacing w:after="0" w:line="31" w:lineRule="exact"/>
        <w:rPr>
          <w:sz w:val="20"/>
          <w:szCs w:val="20"/>
          <w:color w:val="auto"/>
        </w:rPr>
      </w:pPr>
    </w:p>
    <w:p>
      <w:pPr>
        <w:ind w:left="4" w:right="40" w:hanging="4"/>
        <w:spacing w:after="0" w:line="260"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Grants, unless the applicable Grant Agreement provides otherwise, that the Grantee is unable to engage in any substantial gainful activity by reason of any medically determinable physical or mental impairment. The determination of whether an individual has 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4"/>
          </w:cols>
          <w:pgMar w:left="436" w:top="270" w:right="459" w:bottom="1440" w:gutter="0" w:footer="0" w:header="0"/>
        </w:sectPr>
      </w:pPr>
    </w:p>
    <w:bookmarkStart w:id="57" w:name="page58"/>
    <w:bookmarkEnd w:id="57"/>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spacing w:after="0" w:line="17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Grantee, granted at the discretion of the Committee or as otherwise provided by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 credit for the account of such Grantee in an amount equal to the cash, stock or other property dividends in amounts equal equivalent to cash, stock or other property dividends for each Share represented by a Grant held by such Grantee.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the Plan is approved by the stockholders of the Company.</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any Affiliate, with the status of employment determined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permitted under Applicable Law pursuant to which (a) outstanding Grants are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or exchanged for cash, the same type of Grant or a different Grant (or combination thereof) or (b) the Exercise Price of an outstanding Grant is increased or reduced.</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per Share at which a holder may purchase the Shares issuable upon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and with respect to a Stock Appreciation Right, the price per share at which the Stock Appreciation Right is granted to the holder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16.25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per Share value of the Common Stock determined as follows:</w:t>
      </w:r>
    </w:p>
    <w:p>
      <w:pPr>
        <w:spacing w:after="0" w:line="229" w:lineRule="exact"/>
        <w:rPr>
          <w:sz w:val="20"/>
          <w:szCs w:val="20"/>
          <w:color w:val="auto"/>
        </w:rPr>
      </w:pPr>
    </w:p>
    <w:p>
      <w:pPr>
        <w:jc w:val="both"/>
        <w:ind w:right="160" w:firstLine="987"/>
        <w:spacing w:after="0" w:line="261" w:lineRule="auto"/>
        <w:tabs>
          <w:tab w:leader="none" w:pos="124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Plan Administrator deems reliable, unless another method is approved by the Committee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Law (including Section 409A of the Code).</w:t>
      </w:r>
    </w:p>
    <w:p>
      <w:pPr>
        <w:spacing w:after="0" w:line="179"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25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and is only listed on the official list of the ASX in the form of CDIs, the closing price of a CDI as reported on the ASX on such date, adjusted as necessary to reflect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980"/>
          </w:cols>
          <w:pgMar w:left="440" w:top="270" w:right="479" w:bottom="1440" w:gutter="0" w:footer="0" w:header="0"/>
        </w:sectPr>
      </w:pPr>
    </w:p>
    <w:bookmarkStart w:id="58" w:name="page59"/>
    <w:bookmarkEnd w:id="5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76" w:lineRule="exact"/>
        <w:rPr>
          <w:sz w:val="20"/>
          <w:szCs w:val="20"/>
          <w:color w:val="auto"/>
        </w:rPr>
      </w:pPr>
    </w:p>
    <w:p>
      <w:pPr>
        <w:jc w:val="both"/>
        <w:ind w:right="440" w:firstLine="987"/>
        <w:spacing w:after="0" w:line="266" w:lineRule="auto"/>
        <w:tabs>
          <w:tab w:leader="none" w:pos="123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w:t>
      </w:r>
    </w:p>
    <w:p>
      <w:pPr>
        <w:spacing w:after="0" w:line="17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none of the foregoing is applicable, by the Board or the Committee in good faith (and in accordance with Section 409A of the Code,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w:t>
      </w:r>
    </w:p>
    <w:p>
      <w:pPr>
        <w:spacing w:after="0" w:line="203"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means any award granted under the Plan, including any Option, Restricted Stock Grant, Restricted Stock Unit Grant,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Performance Grant or Other Grant.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 means a written or electronic agreement between the Company and a Grantee documenting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Grant. The term “Grant Agreement” will also include any other written agreement between the Company or an Affiliate and a Grantee containing additional terms and conditions of, or amendments to, a Grant.</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means a person to whom a Grant is granted pursuant to the Plan or, if applicable, such other person who holds an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the Plan that is intended to be, and qualifies as,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Section 422 of the Code.</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the Common Stock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Exchange Act.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Affiliate, and who satisfies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“non-employee director” within the meaning of Section 16 of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the Plan that does not qualify as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contract right to purchase Shares at a fixed Exercise Price per share, subject to certain conditions, if applicable,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Grant</w:t>
      </w:r>
      <w:r>
        <w:rPr>
          <w:rFonts w:ascii="Times New Roman" w:cs="Times New Roman" w:eastAsia="Times New Roman" w:hAnsi="Times New Roman"/>
          <w:sz w:val="18"/>
          <w:szCs w:val="18"/>
          <w:color w:val="auto"/>
        </w:rPr>
        <w:t>” means a Grant based in whole or in part by reference to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Grant</w:t>
      </w:r>
      <w:r>
        <w:rPr>
          <w:rFonts w:ascii="Times New Roman" w:cs="Times New Roman" w:eastAsia="Times New Roman" w:hAnsi="Times New Roman"/>
          <w:sz w:val="18"/>
          <w:szCs w:val="18"/>
          <w:color w:val="auto"/>
        </w:rPr>
        <w:t>” means an award that may vest or may be earned or exercised, in whole or in part, contingent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Performance Period of one or more Performance Goals and which is granted pursuant to the terms and conditions of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000"/>
          </w:cols>
          <w:pgMar w:left="440" w:top="270" w:right="459" w:bottom="1440" w:gutter="0" w:footer="0" w:header="0"/>
        </w:sectPr>
      </w:pPr>
    </w:p>
    <w:bookmarkStart w:id="59" w:name="page60"/>
    <w:bookmarkEnd w:id="59"/>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objective or subjective criteria either individually, alternatively or in any combination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Grantee, the Company, any business unit or Subsidiary, that the Committee selects for purposes of establishing the Performance Goals for a Performance Period.</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Committee over which the attainment of one or more 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measured for the purpose of determining a Grantee’s right to vesting, exercise and/or settlement of a Grant. Performance Periods may be of varying and overlapping duration, at the sole discretion of the Committee.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Company 2020 Omnibus Incentive Plan, as it may be amended from time to time.</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Committee to administer the day-to-day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the Company’s other equity incentive programs.</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Grant</w:t>
      </w:r>
      <w:r>
        <w:rPr>
          <w:rFonts w:ascii="Times New Roman" w:cs="Times New Roman" w:eastAsia="Times New Roman" w:hAnsi="Times New Roman"/>
          <w:sz w:val="18"/>
          <w:szCs w:val="18"/>
          <w:color w:val="auto"/>
        </w:rPr>
        <w:t>” means an award of Shares that is granted pursuant to the terms and conditions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Grant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 Grant</w:t>
      </w:r>
      <w:r>
        <w:rPr>
          <w:rFonts w:ascii="Times New Roman" w:cs="Times New Roman" w:eastAsia="Times New Roman" w:hAnsi="Times New Roman"/>
          <w:sz w:val="18"/>
          <w:szCs w:val="18"/>
          <w:color w:val="auto"/>
        </w:rPr>
        <w:t>” means a right to receive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value on the Shares subject to the Grant that is granted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Entities beginning with the Company if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other than the last corporation in the unbroken chain owns stock possessing fifty percent (50%) or more of the total combined voting power of all classes of stock in one of the other corporation in such chain.</w:t>
      </w:r>
    </w:p>
    <w:p>
      <w:pPr>
        <w:spacing w:after="0" w:line="171" w:lineRule="exact"/>
        <w:rPr>
          <w:sz w:val="20"/>
          <w:szCs w:val="20"/>
          <w:color w:val="auto"/>
        </w:rPr>
      </w:pPr>
    </w:p>
    <w:p>
      <w:pPr>
        <w:jc w:val="both"/>
        <w:ind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16.50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Policy</w:t>
      </w:r>
      <w:r>
        <w:rPr>
          <w:rFonts w:ascii="Times New Roman" w:cs="Times New Roman" w:eastAsia="Times New Roman" w:hAnsi="Times New Roman"/>
          <w:sz w:val="17"/>
          <w:szCs w:val="17"/>
          <w:color w:val="auto"/>
        </w:rPr>
        <w:t>” means the Company’s policy permitting certain individuals to sell Company shares only during certain “window”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otherwise restricts the ability of certain individuals to transfer or encumber shares of the Company’s capital stock, as in effect from time to time.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A-21</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8"/>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2"/>
    </w:lvl>
  </w:abstractNum>
  <w:abstractNum w:abstractNumId="18">
    <w:nsid w:val="77465F01"/>
    <w:multiLevelType w:val="hybridMultilevel"/>
    <w:lvl w:ilvl="0">
      <w:lvlJc w:val="left"/>
      <w:lvlText w:val="(%1)"/>
      <w:numFmt w:val="lowerLetter"/>
      <w:start w:val="2"/>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
      <w:numFmt w:val="bullet"/>
      <w:start w:val="1"/>
    </w:lvl>
  </w:abstractNum>
  <w:abstractNum w:abstractNumId="21">
    <w:nsid w:val="2463B9EA"/>
    <w:multiLevelType w:val="hybridMultilevel"/>
    <w:lvl w:ilvl="0">
      <w:lvlJc w:val="left"/>
      <w:lvlText w:val="(%1)"/>
      <w:numFmt w:val="lowerLetter"/>
      <w:start w:val="2"/>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A"/>
      <w:numFmt w:val="bullet"/>
      <w:start w:val="1"/>
    </w:lvl>
  </w:abstractNum>
  <w:abstractNum w:abstractNumId="24">
    <w:nsid w:val="2D517796"/>
    <w:multiLevelType w:val="hybridMultilevel"/>
    <w:lvl w:ilvl="0">
      <w:lvlJc w:val="left"/>
      <w:lvlText w:val="B"/>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lvl w:ilvl="1">
      <w:lvlJc w:val="left"/>
      <w:lvlText w:val="•"/>
      <w:numFmt w:val="bullet"/>
      <w:start w:val="1"/>
    </w:lvl>
  </w:abstractNum>
  <w:abstractNum w:abstractNumId="33">
    <w:nsid w:val="2CD89A32"/>
    <w:multiLevelType w:val="hybridMultilevel"/>
    <w:lvl w:ilvl="0">
      <w:lvlJc w:val="left"/>
      <w:lvlText w:val="•"/>
      <w:numFmt w:val="bullet"/>
      <w:start w:val="1"/>
    </w:lvl>
    <w:lvl w:ilvl="1">
      <w:lvlJc w:val="left"/>
      <w:lvlText w:val="•"/>
      <w:numFmt w:val="bullet"/>
      <w:start w:val="1"/>
    </w:lvl>
  </w:abstractNum>
  <w:abstractNum w:abstractNumId="34">
    <w:nsid w:val="57E4CCAF"/>
    <w:multiLevelType w:val="hybridMultilevel"/>
    <w:lvl w:ilvl="0">
      <w:lvlJc w:val="left"/>
      <w:lvlText w:val="(%1)"/>
      <w:numFmt w:val="lowerLetter"/>
      <w:start w:val="2"/>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decimal"/>
      <w:start w:val="30"/>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1"/>
    </w:lvl>
  </w:abstractNum>
  <w:abstractNum w:abstractNumId="47">
    <w:nsid w:val="79A1DEAA"/>
    <w:multiLevelType w:val="hybridMultilevel"/>
    <w:lvl w:ilvl="0">
      <w:lvlJc w:val="left"/>
      <w:lvlText w:val="(%1)"/>
      <w:numFmt w:val="lowerRoman"/>
      <w:start w:val="1"/>
    </w:lvl>
  </w:abstractNum>
  <w:abstractNum w:abstractNumId="48">
    <w:nsid w:val="75C6C33A"/>
    <w:multiLevelType w:val="hybridMultilevel"/>
    <w:lvl w:ilvl="0">
      <w:lvlJc w:val="left"/>
      <w:lvlText w:val="(%1)"/>
      <w:numFmt w:val="lowerLetter"/>
      <w:start w:val="5"/>
    </w:lvl>
  </w:abstractNum>
  <w:abstractNum w:abstractNumId="49">
    <w:nsid w:val="12E685FB"/>
    <w:multiLevelType w:val="hybridMultilevel"/>
    <w:lvl w:ilvl="0">
      <w:lvlJc w:val="left"/>
      <w:lvlText w:val="%1."/>
      <w:numFmt w:val="decimal"/>
      <w:start w:val="16"/>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1)"/>
      <w:numFmt w:val="lowerLetter"/>
      <w:start w:val="2"/>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2020-09-14T16:20:57Z</dcterms:created>
  <dcterms:modified xsi:type="dcterms:W3CDTF">2020-09-14T16:20:57Z</dcterms:modified>
</cp:coreProperties>
</file>