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205740</wp:posOffset>
            </wp:positionH>
            <wp:positionV relativeFrom="page">
              <wp:posOffset>549910</wp:posOffset>
            </wp:positionV>
            <wp:extent cx="7138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566420</wp:posOffset>
            </wp:positionV>
            <wp:extent cx="7138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035"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128905</wp:posOffset>
            </wp:positionV>
            <wp:extent cx="1424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4305" cy="8255"/>
                    </a:xfrm>
                    <a:prstGeom prst="rect">
                      <a:avLst/>
                    </a:prstGeom>
                    <a:noFill/>
                  </pic:spPr>
                </pic:pic>
              </a:graphicData>
            </a:graphic>
          </wp:anchor>
        </w:drawing>
      </w:r>
    </w:p>
    <w:p>
      <w:pPr>
        <w:spacing w:after="0" w:line="3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157480</wp:posOffset>
            </wp:positionV>
            <wp:extent cx="1424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4305" cy="8255"/>
                    </a:xfrm>
                    <a:prstGeom prst="rect">
                      <a:avLst/>
                    </a:prstGeom>
                    <a:noFill/>
                  </pic:spPr>
                </pic:pic>
              </a:graphicData>
            </a:graphic>
          </wp:anchor>
        </w:drawing>
      </w:r>
    </w:p>
    <w:p>
      <w:pPr>
        <w:spacing w:after="0" w:line="3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March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210185</wp:posOffset>
            </wp:positionV>
            <wp:extent cx="1424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4305"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AVITA Medical, Inc.</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235585</wp:posOffset>
            </wp:positionV>
            <wp:extent cx="14243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4305"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tbl>
      <w:tblPr>
        <w:tblLayout w:type="fixed"/>
        <w:tblInd w:w="1200" w:type="dxa"/>
        <w:tblCellMar>
          <w:top w:w="0" w:type="dxa"/>
          <w:left w:w="0" w:type="dxa"/>
          <w:bottom w:w="0" w:type="dxa"/>
          <w:right w:w="0" w:type="dxa"/>
        </w:tblCellMar>
      </w:tblPr>
      <w:tr>
        <w:trPr>
          <w:trHeight w:val="213"/>
        </w:trPr>
        <w:tc>
          <w:tcPr>
            <w:tcW w:w="2940" w:type="dxa"/>
            <w:vAlign w:val="bottom"/>
          </w:tcPr>
          <w:p>
            <w:pPr>
              <w:jc w:val="center"/>
              <w:ind w:right="643"/>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3260" w:type="dxa"/>
            <w:vAlign w:val="bottom"/>
          </w:tcPr>
          <w:p>
            <w:pPr>
              <w:jc w:val="right"/>
              <w:ind w:right="1324"/>
              <w:spacing w:after="0"/>
              <w:rPr>
                <w:sz w:val="20"/>
                <w:szCs w:val="20"/>
                <w:color w:val="auto"/>
              </w:rPr>
            </w:pPr>
            <w:r>
              <w:rPr>
                <w:rFonts w:ascii="Times New Roman" w:cs="Times New Roman" w:eastAsia="Times New Roman" w:hAnsi="Times New Roman"/>
                <w:sz w:val="17"/>
                <w:szCs w:val="17"/>
                <w:b w:val="1"/>
                <w:bCs w:val="1"/>
                <w:color w:val="auto"/>
              </w:rPr>
              <w:t>001-39059</w:t>
            </w:r>
          </w:p>
        </w:tc>
        <w:tc>
          <w:tcPr>
            <w:tcW w:w="2060" w:type="dxa"/>
            <w:vAlign w:val="bottom"/>
          </w:tcPr>
          <w:p>
            <w:pPr>
              <w:jc w:val="right"/>
              <w:ind w:right="27"/>
              <w:spacing w:after="0"/>
              <w:rPr>
                <w:sz w:val="20"/>
                <w:szCs w:val="20"/>
                <w:color w:val="auto"/>
              </w:rPr>
            </w:pPr>
            <w:r>
              <w:rPr>
                <w:rFonts w:ascii="Times New Roman" w:cs="Times New Roman" w:eastAsia="Times New Roman" w:hAnsi="Times New Roman"/>
                <w:sz w:val="17"/>
                <w:szCs w:val="17"/>
                <w:b w:val="1"/>
                <w:bCs w:val="1"/>
                <w:color w:val="auto"/>
              </w:rPr>
              <w:t>85-1021707</w:t>
            </w:r>
          </w:p>
        </w:tc>
      </w:tr>
      <w:tr>
        <w:trPr>
          <w:trHeight w:val="143"/>
        </w:trPr>
        <w:tc>
          <w:tcPr>
            <w:tcW w:w="2940" w:type="dxa"/>
            <w:vAlign w:val="bottom"/>
          </w:tcPr>
          <w:p>
            <w:pPr>
              <w:jc w:val="center"/>
              <w:ind w:right="643"/>
              <w:spacing w:after="0" w:line="143" w:lineRule="exact"/>
              <w:rPr>
                <w:sz w:val="20"/>
                <w:szCs w:val="20"/>
                <w:color w:val="auto"/>
              </w:rPr>
            </w:pPr>
            <w:r>
              <w:rPr>
                <w:rFonts w:ascii="Times New Roman" w:cs="Times New Roman" w:eastAsia="Times New Roman" w:hAnsi="Times New Roman"/>
                <w:sz w:val="13"/>
                <w:szCs w:val="13"/>
                <w:b w:val="1"/>
                <w:bCs w:val="1"/>
                <w:color w:val="auto"/>
                <w:w w:val="99"/>
              </w:rPr>
              <w:t>(State or Other Jurisdiction</w:t>
            </w:r>
          </w:p>
        </w:tc>
        <w:tc>
          <w:tcPr>
            <w:tcW w:w="3260" w:type="dxa"/>
            <w:vAlign w:val="bottom"/>
          </w:tcPr>
          <w:p>
            <w:pPr>
              <w:jc w:val="center"/>
              <w:ind w:right="204"/>
              <w:spacing w:after="0" w:line="143" w:lineRule="exact"/>
              <w:rPr>
                <w:sz w:val="20"/>
                <w:szCs w:val="20"/>
                <w:color w:val="auto"/>
              </w:rPr>
            </w:pPr>
            <w:r>
              <w:rPr>
                <w:rFonts w:ascii="Times New Roman" w:cs="Times New Roman" w:eastAsia="Times New Roman" w:hAnsi="Times New Roman"/>
                <w:sz w:val="13"/>
                <w:szCs w:val="13"/>
                <w:b w:val="1"/>
                <w:bCs w:val="1"/>
                <w:color w:val="auto"/>
                <w:w w:val="99"/>
              </w:rPr>
              <w:t>(Commission File Number)</w:t>
            </w:r>
          </w:p>
        </w:tc>
        <w:tc>
          <w:tcPr>
            <w:tcW w:w="2060" w:type="dxa"/>
            <w:vAlign w:val="bottom"/>
          </w:tcPr>
          <w:p>
            <w:pPr>
              <w:jc w:val="center"/>
              <w:ind w:left="947"/>
              <w:spacing w:after="0" w:line="143" w:lineRule="exact"/>
              <w:rPr>
                <w:sz w:val="20"/>
                <w:szCs w:val="20"/>
                <w:color w:val="auto"/>
              </w:rPr>
            </w:pPr>
            <w:r>
              <w:rPr>
                <w:rFonts w:ascii="Times New Roman" w:cs="Times New Roman" w:eastAsia="Times New Roman" w:hAnsi="Times New Roman"/>
                <w:sz w:val="13"/>
                <w:szCs w:val="13"/>
                <w:b w:val="1"/>
                <w:bCs w:val="1"/>
                <w:color w:val="auto"/>
                <w:w w:val="99"/>
              </w:rPr>
              <w:t>(IRS Employer</w:t>
            </w:r>
          </w:p>
        </w:tc>
      </w:tr>
      <w:tr>
        <w:trPr>
          <w:trHeight w:val="170"/>
        </w:trPr>
        <w:tc>
          <w:tcPr>
            <w:tcW w:w="2940" w:type="dxa"/>
            <w:vAlign w:val="bottom"/>
          </w:tcPr>
          <w:p>
            <w:pPr>
              <w:jc w:val="center"/>
              <w:ind w:right="623"/>
              <w:spacing w:after="0"/>
              <w:rPr>
                <w:sz w:val="20"/>
                <w:szCs w:val="20"/>
                <w:color w:val="auto"/>
              </w:rPr>
            </w:pPr>
            <w:r>
              <w:rPr>
                <w:rFonts w:ascii="Times New Roman" w:cs="Times New Roman" w:eastAsia="Times New Roman" w:hAnsi="Times New Roman"/>
                <w:sz w:val="13"/>
                <w:szCs w:val="13"/>
                <w:b w:val="1"/>
                <w:bCs w:val="1"/>
                <w:color w:val="auto"/>
                <w:w w:val="99"/>
              </w:rPr>
              <w:t>of Incorporation)</w:t>
            </w:r>
          </w:p>
        </w:tc>
        <w:tc>
          <w:tcPr>
            <w:tcW w:w="3260" w:type="dxa"/>
            <w:vAlign w:val="bottom"/>
          </w:tcPr>
          <w:p>
            <w:pPr>
              <w:spacing w:after="0"/>
              <w:rPr>
                <w:sz w:val="14"/>
                <w:szCs w:val="14"/>
                <w:color w:val="auto"/>
              </w:rPr>
            </w:pPr>
          </w:p>
        </w:tc>
        <w:tc>
          <w:tcPr>
            <w:tcW w:w="2060" w:type="dxa"/>
            <w:vAlign w:val="bottom"/>
          </w:tcPr>
          <w:p>
            <w:pPr>
              <w:jc w:val="center"/>
              <w:ind w:left="967"/>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82"/>
        </w:trPr>
        <w:tc>
          <w:tcPr>
            <w:tcW w:w="2940" w:type="dxa"/>
            <w:vAlign w:val="bottom"/>
          </w:tcPr>
          <w:p>
            <w:pPr>
              <w:jc w:val="center"/>
              <w:ind w:right="643"/>
              <w:spacing w:after="0"/>
              <w:rPr>
                <w:sz w:val="20"/>
                <w:szCs w:val="20"/>
                <w:color w:val="auto"/>
              </w:rPr>
            </w:pPr>
            <w:r>
              <w:rPr>
                <w:rFonts w:ascii="Times New Roman" w:cs="Times New Roman" w:eastAsia="Times New Roman" w:hAnsi="Times New Roman"/>
                <w:sz w:val="17"/>
                <w:szCs w:val="17"/>
                <w:b w:val="1"/>
                <w:bCs w:val="1"/>
                <w:color w:val="auto"/>
              </w:rPr>
              <w:t>28159 Avenue Stanford</w:t>
            </w:r>
          </w:p>
        </w:tc>
        <w:tc>
          <w:tcPr>
            <w:tcW w:w="326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07"/>
        </w:trPr>
        <w:tc>
          <w:tcPr>
            <w:tcW w:w="2940" w:type="dxa"/>
            <w:vAlign w:val="bottom"/>
          </w:tcPr>
          <w:p>
            <w:pPr>
              <w:jc w:val="center"/>
              <w:ind w:right="643"/>
              <w:spacing w:after="0"/>
              <w:rPr>
                <w:sz w:val="20"/>
                <w:szCs w:val="20"/>
                <w:color w:val="auto"/>
              </w:rPr>
            </w:pPr>
            <w:r>
              <w:rPr>
                <w:rFonts w:ascii="Times New Roman" w:cs="Times New Roman" w:eastAsia="Times New Roman" w:hAnsi="Times New Roman"/>
                <w:sz w:val="17"/>
                <w:szCs w:val="17"/>
                <w:b w:val="1"/>
                <w:bCs w:val="1"/>
                <w:color w:val="auto"/>
                <w:w w:val="99"/>
              </w:rPr>
              <w:t>Suite 220</w:t>
            </w:r>
          </w:p>
        </w:tc>
        <w:tc>
          <w:tcPr>
            <w:tcW w:w="32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3"/>
        </w:trPr>
        <w:tc>
          <w:tcPr>
            <w:tcW w:w="2940" w:type="dxa"/>
            <w:vAlign w:val="bottom"/>
          </w:tcPr>
          <w:p>
            <w:pPr>
              <w:jc w:val="center"/>
              <w:ind w:right="643"/>
              <w:spacing w:after="0"/>
              <w:rPr>
                <w:sz w:val="20"/>
                <w:szCs w:val="20"/>
                <w:color w:val="auto"/>
              </w:rPr>
            </w:pPr>
            <w:r>
              <w:rPr>
                <w:rFonts w:ascii="Times New Roman" w:cs="Times New Roman" w:eastAsia="Times New Roman" w:hAnsi="Times New Roman"/>
                <w:sz w:val="17"/>
                <w:szCs w:val="17"/>
                <w:b w:val="1"/>
                <w:bCs w:val="1"/>
                <w:color w:val="auto"/>
              </w:rPr>
              <w:t>Valencia, California</w:t>
            </w:r>
          </w:p>
        </w:tc>
        <w:tc>
          <w:tcPr>
            <w:tcW w:w="3260" w:type="dxa"/>
            <w:vAlign w:val="bottom"/>
          </w:tcPr>
          <w:p>
            <w:pPr>
              <w:spacing w:after="0"/>
              <w:rPr>
                <w:sz w:val="18"/>
                <w:szCs w:val="18"/>
                <w:color w:val="auto"/>
              </w:rPr>
            </w:pPr>
          </w:p>
        </w:tc>
        <w:tc>
          <w:tcPr>
            <w:tcW w:w="2060" w:type="dxa"/>
            <w:vAlign w:val="bottom"/>
          </w:tcPr>
          <w:p>
            <w:pPr>
              <w:jc w:val="right"/>
              <w:ind w:right="227"/>
              <w:spacing w:after="0"/>
              <w:rPr>
                <w:sz w:val="20"/>
                <w:szCs w:val="20"/>
                <w:color w:val="auto"/>
              </w:rPr>
            </w:pPr>
            <w:r>
              <w:rPr>
                <w:rFonts w:ascii="Times New Roman" w:cs="Times New Roman" w:eastAsia="Times New Roman" w:hAnsi="Times New Roman"/>
                <w:sz w:val="17"/>
                <w:szCs w:val="17"/>
                <w:b w:val="1"/>
                <w:bCs w:val="1"/>
                <w:color w:val="auto"/>
              </w:rPr>
              <w:t>91355</w:t>
            </w:r>
          </w:p>
        </w:tc>
      </w:tr>
      <w:tr>
        <w:trPr>
          <w:trHeight w:val="170"/>
        </w:trPr>
        <w:tc>
          <w:tcPr>
            <w:tcW w:w="2940" w:type="dxa"/>
            <w:vAlign w:val="bottom"/>
          </w:tcPr>
          <w:p>
            <w:pPr>
              <w:jc w:val="center"/>
              <w:ind w:right="643"/>
              <w:spacing w:after="0"/>
              <w:rPr>
                <w:sz w:val="20"/>
                <w:szCs w:val="20"/>
                <w:color w:val="auto"/>
              </w:rPr>
            </w:pPr>
            <w:r>
              <w:rPr>
                <w:rFonts w:ascii="Times New Roman" w:cs="Times New Roman" w:eastAsia="Times New Roman" w:hAnsi="Times New Roman"/>
                <w:sz w:val="13"/>
                <w:szCs w:val="13"/>
                <w:b w:val="1"/>
                <w:bCs w:val="1"/>
                <w:color w:val="auto"/>
                <w:w w:val="99"/>
              </w:rPr>
              <w:t>(Address of Principal Executive Offices)</w:t>
            </w:r>
          </w:p>
        </w:tc>
        <w:tc>
          <w:tcPr>
            <w:tcW w:w="3260" w:type="dxa"/>
            <w:vAlign w:val="bottom"/>
          </w:tcPr>
          <w:p>
            <w:pPr>
              <w:spacing w:after="0"/>
              <w:rPr>
                <w:sz w:val="14"/>
                <w:szCs w:val="14"/>
                <w:color w:val="auto"/>
              </w:rPr>
            </w:pPr>
          </w:p>
        </w:tc>
        <w:tc>
          <w:tcPr>
            <w:tcW w:w="2060" w:type="dxa"/>
            <w:vAlign w:val="bottom"/>
          </w:tcPr>
          <w:p>
            <w:pPr>
              <w:jc w:val="center"/>
              <w:ind w:left="947"/>
              <w:spacing w:after="0"/>
              <w:rPr>
                <w:sz w:val="20"/>
                <w:szCs w:val="20"/>
                <w:color w:val="auto"/>
              </w:rPr>
            </w:pPr>
            <w:r>
              <w:rPr>
                <w:rFonts w:ascii="Times New Roman" w:cs="Times New Roman" w:eastAsia="Times New Roman" w:hAnsi="Times New Roman"/>
                <w:sz w:val="13"/>
                <w:szCs w:val="13"/>
                <w:b w:val="1"/>
                <w:bCs w:val="1"/>
                <w:color w:val="auto"/>
                <w:w w:val="99"/>
              </w:rPr>
              <w:t>(Zip Code)</w:t>
            </w:r>
          </w:p>
        </w:tc>
      </w:tr>
    </w:tbl>
    <w:p>
      <w:pPr>
        <w:spacing w:after="0" w:line="39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661 367-9170</w:t>
      </w:r>
    </w:p>
    <w:p>
      <w:pPr>
        <w:spacing w:after="0" w:line="200" w:lineRule="exact"/>
        <w:rPr>
          <w:sz w:val="24"/>
          <w:szCs w:val="24"/>
          <w:color w:val="auto"/>
        </w:rPr>
      </w:pPr>
    </w:p>
    <w:p>
      <w:pPr>
        <w:spacing w:after="0" w:line="3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243840</wp:posOffset>
            </wp:positionV>
            <wp:extent cx="14243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4305"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ind w:right="400"/>
        <w:spacing w:after="0" w:line="292"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95" w:lineRule="exact"/>
        <w:rPr>
          <w:sz w:val="24"/>
          <w:szCs w:val="24"/>
          <w:color w:val="auto"/>
        </w:rPr>
      </w:pPr>
    </w:p>
    <w:p>
      <w:pPr>
        <w:ind w:left="360" w:hanging="356"/>
        <w:spacing w:after="0"/>
        <w:tabs>
          <w:tab w:leader="none" w:pos="3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115" w:lineRule="exact"/>
        <w:rPr>
          <w:rFonts w:ascii="MS PGothic" w:cs="MS PGothic" w:eastAsia="MS PGothic" w:hAnsi="MS PGothic"/>
          <w:sz w:val="17"/>
          <w:szCs w:val="17"/>
          <w:color w:val="auto"/>
        </w:rPr>
      </w:pPr>
    </w:p>
    <w:p>
      <w:pPr>
        <w:ind w:left="360" w:hanging="356"/>
        <w:spacing w:after="0"/>
        <w:tabs>
          <w:tab w:leader="none" w:pos="3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115" w:lineRule="exact"/>
        <w:rPr>
          <w:rFonts w:ascii="MS PGothic" w:cs="MS PGothic" w:eastAsia="MS PGothic" w:hAnsi="MS PGothic"/>
          <w:sz w:val="17"/>
          <w:szCs w:val="17"/>
          <w:color w:val="auto"/>
        </w:rPr>
      </w:pPr>
    </w:p>
    <w:p>
      <w:pPr>
        <w:ind w:left="360" w:hanging="356"/>
        <w:spacing w:after="0"/>
        <w:tabs>
          <w:tab w:leader="none" w:pos="3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115" w:lineRule="exact"/>
        <w:rPr>
          <w:rFonts w:ascii="MS PGothic" w:cs="MS PGothic" w:eastAsia="MS PGothic" w:hAnsi="MS PGothic"/>
          <w:sz w:val="17"/>
          <w:szCs w:val="17"/>
          <w:color w:val="auto"/>
        </w:rPr>
      </w:pPr>
    </w:p>
    <w:p>
      <w:pPr>
        <w:ind w:left="360" w:hanging="356"/>
        <w:spacing w:after="0"/>
        <w:tabs>
          <w:tab w:leader="none" w:pos="3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Trading</w:t>
            </w:r>
          </w:p>
        </w:tc>
        <w:tc>
          <w:tcPr>
            <w:tcW w:w="100" w:type="dxa"/>
            <w:vAlign w:val="bottom"/>
          </w:tcPr>
          <w:p>
            <w:pPr>
              <w:spacing w:after="0"/>
              <w:rPr>
                <w:sz w:val="18"/>
                <w:szCs w:val="18"/>
                <w:color w:val="auto"/>
              </w:rPr>
            </w:pPr>
          </w:p>
        </w:tc>
        <w:tc>
          <w:tcPr>
            <w:tcW w:w="5060" w:type="dxa"/>
            <w:vAlign w:val="bottom"/>
          </w:tcPr>
          <w:p>
            <w:pPr>
              <w:spacing w:after="0"/>
              <w:rPr>
                <w:sz w:val="18"/>
                <w:szCs w:val="18"/>
                <w:color w:val="auto"/>
              </w:rPr>
            </w:pPr>
          </w:p>
        </w:tc>
      </w:tr>
      <w:tr>
        <w:trPr>
          <w:trHeight w:val="22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120" w:type="dxa"/>
            <w:vAlign w:val="bottom"/>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Symbol(s)</w:t>
            </w:r>
          </w:p>
        </w:tc>
        <w:tc>
          <w:tcPr>
            <w:tcW w:w="100" w:type="dxa"/>
            <w:vAlign w:val="bottom"/>
          </w:tcPr>
          <w:p>
            <w:pPr>
              <w:spacing w:after="0"/>
              <w:rPr>
                <w:sz w:val="19"/>
                <w:szCs w:val="19"/>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19"/>
        </w:trPr>
        <w:tc>
          <w:tcPr>
            <w:tcW w:w="42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RCEL</w:t>
            </w:r>
          </w:p>
        </w:tc>
        <w:tc>
          <w:tcPr>
            <w:tcW w:w="100" w:type="dxa"/>
            <w:vAlign w:val="bottom"/>
          </w:tcPr>
          <w:p>
            <w:pPr>
              <w:spacing w:after="0"/>
              <w:rPr>
                <w:sz w:val="19"/>
                <w:szCs w:val="19"/>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The Nasdaq Stock Market LLC</w:t>
            </w:r>
          </w:p>
        </w:tc>
      </w:tr>
    </w:tbl>
    <w:p>
      <w:pPr>
        <w:spacing w:after="0" w:line="170" w:lineRule="exact"/>
        <w:rPr>
          <w:sz w:val="24"/>
          <w:szCs w:val="24"/>
          <w:color w:val="auto"/>
        </w:rPr>
      </w:pPr>
    </w:p>
    <w:p>
      <w:pPr>
        <w:ind w:right="120"/>
        <w:spacing w:after="0" w:line="292"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6" w:lineRule="exact"/>
        <w:rPr>
          <w:sz w:val="24"/>
          <w:szCs w:val="24"/>
          <w:color w:val="auto"/>
        </w:rPr>
      </w:pPr>
    </w:p>
    <w:p>
      <w:pPr>
        <w:ind w:right="400"/>
        <w:spacing w:after="0" w:line="230"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114935</wp:posOffset>
            </wp:positionV>
            <wp:extent cx="7138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131445</wp:posOffset>
            </wp:positionV>
            <wp:extent cx="7138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588010</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1.01 Entry into a Material Definitive Agreement.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 Manufacturing Agreement</w:t>
      </w:r>
    </w:p>
    <w:p>
      <w:pPr>
        <w:spacing w:after="0" w:line="221"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7"/>
          <w:szCs w:val="17"/>
          <w:color w:val="auto"/>
        </w:rPr>
        <w:t>On March 17, 2025, AVITA Medical Americas, LLC (“AVITA Medical”), a wholly-owned subsidiary of AVITA Medical, Inc. (the “Company”), entered into a contract manufacturing agreement (the “Manufacturing Agreement”) with Stedical Scientific, Inc. (“Stedical Scientific”) to manufacture PermeaDerm® Biosynthetic Wound Matrix (“PermeaDerm”) in the United States. PermeaDerm is cleared by the Food and Drug Administration as a transparent biosynthetic wound matrix for use in the treatment of a variety of wound types until healing is achieved.</w:t>
      </w:r>
    </w:p>
    <w:p>
      <w:pPr>
        <w:spacing w:after="0" w:line="167" w:lineRule="exact"/>
        <w:rPr>
          <w:sz w:val="20"/>
          <w:szCs w:val="20"/>
          <w:color w:val="auto"/>
        </w:rPr>
      </w:pPr>
    </w:p>
    <w:p>
      <w:pPr>
        <w:jc w:val="both"/>
        <w:ind w:right="100"/>
        <w:spacing w:after="0" w:line="273" w:lineRule="auto"/>
        <w:rPr>
          <w:sz w:val="20"/>
          <w:szCs w:val="20"/>
          <w:color w:val="auto"/>
        </w:rPr>
      </w:pPr>
      <w:r>
        <w:rPr>
          <w:rFonts w:ascii="Times New Roman" w:cs="Times New Roman" w:eastAsia="Times New Roman" w:hAnsi="Times New Roman"/>
          <w:sz w:val="17"/>
          <w:szCs w:val="17"/>
          <w:color w:val="auto"/>
        </w:rPr>
        <w:t>Under the terms of the Manufacturing Agreement, AVITA Medical will manufacture PermeaDerm in the United States for the purposes of (i) sale in the United States under the terms of the existing Distribution Agreement (defined below) and (ii) sale to Stedical Scientific for sale or distribution outside the United States. The term of the Manufacturing Agreement is ten years.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Amendment Two to the Exclusive Distribution Agreement</w:t>
      </w:r>
    </w:p>
    <w:p>
      <w:pPr>
        <w:spacing w:after="0" w:line="221"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On March 17, 2025, AVITA Medical and Stedical Scientific entered into an Amendment Two (the “Amendment”) of their existing exclusive distribution agreement under which AVITA Medical distributes PermeaDerm in the United States (the “Distribution Agreement”).</w:t>
      </w:r>
    </w:p>
    <w:p>
      <w:pPr>
        <w:spacing w:after="0" w:line="147"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Under the terms of the Amendment, AVITA Medical's share of revenue from PermeaDerm sales increases from 50% to 60% and Stedical Scientific becomes eligible for certain milestone payments conditioned upon AVITA Medical's achievement of specified sales targets. The Amendment revises the initial term of the Distribution Agreement to ten years from the date of the Amendment.</w:t>
      </w:r>
    </w:p>
    <w:p>
      <w:pPr>
        <w:spacing w:after="0" w:line="16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7.01.</w:t>
        <w:tab/>
        <w:t>Regulation FD.</w:t>
      </w:r>
    </w:p>
    <w:p>
      <w:pPr>
        <w:spacing w:after="0" w:line="22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On March 17, 2025, the Company issued a press release announcing the entry into the Manufacturing Agreement and the Amendment. A copy of the press release is attached to this Current Report on Form 8-K as Exhibit 99.1.</w:t>
      </w:r>
    </w:p>
    <w:p>
      <w:pPr>
        <w:spacing w:after="0" w:line="1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information under Item 7.01 and Exhibit 99.1 is being furnished and shall not be deemed to be “filed” for purposes of Section 18 of the Securities Exchange Act of 1934, as amended, and shall not be deemed incorporated by reference into any filing made under the Securities Act of 1933 (except as expressly set forth by specific reference in such filing).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 Exhibits</w:t>
            </w:r>
          </w:p>
        </w:tc>
        <w:tc>
          <w:tcPr>
            <w:tcW w:w="7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396"/>
        </w:trPr>
        <w:tc>
          <w:tcPr>
            <w:tcW w:w="11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1008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Description of Exhibit</w:t>
            </w:r>
          </w:p>
        </w:tc>
      </w:tr>
      <w:tr>
        <w:trPr>
          <w:trHeight w:val="187"/>
        </w:trPr>
        <w:tc>
          <w:tcPr>
            <w:tcW w:w="1160" w:type="dxa"/>
            <w:vAlign w:val="bottom"/>
          </w:tcPr>
          <w:p>
            <w:pPr>
              <w:ind w:left="20"/>
              <w:spacing w:after="0" w:line="187" w:lineRule="exact"/>
              <w:rPr>
                <w:sz w:val="20"/>
                <w:szCs w:val="20"/>
                <w:color w:val="auto"/>
              </w:rPr>
            </w:pPr>
            <w:r>
              <w:rPr>
                <w:rFonts w:ascii="Times New Roman" w:cs="Times New Roman" w:eastAsia="Times New Roman" w:hAnsi="Times New Roman"/>
                <w:sz w:val="17"/>
                <w:szCs w:val="17"/>
                <w:color w:val="auto"/>
              </w:rPr>
              <w:t>10.1</w:t>
            </w:r>
          </w:p>
        </w:tc>
        <w:tc>
          <w:tcPr>
            <w:tcW w:w="10080" w:type="dxa"/>
            <w:vAlign w:val="bottom"/>
            <w:gridSpan w:val="4"/>
          </w:tcPr>
          <w:p>
            <w:pPr>
              <w:spacing w:after="0" w:line="187" w:lineRule="exact"/>
              <w:rPr>
                <w:sz w:val="20"/>
                <w:szCs w:val="20"/>
                <w:color w:val="auto"/>
              </w:rPr>
            </w:pPr>
            <w:r>
              <w:rPr>
                <w:rFonts w:ascii="Times New Roman" w:cs="Times New Roman" w:eastAsia="Times New Roman" w:hAnsi="Times New Roman"/>
                <w:sz w:val="17"/>
                <w:szCs w:val="17"/>
                <w:color w:val="0000FF"/>
              </w:rPr>
              <w:t>Contract Manufacturing Agreement between AVITA Medical and Stedical Scientific, Inc. dated March 17, 2025</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746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7"/>
        </w:trPr>
        <w:tc>
          <w:tcPr>
            <w:tcW w:w="1160" w:type="dxa"/>
            <w:vAlign w:val="bottom"/>
          </w:tcPr>
          <w:p>
            <w:pPr>
              <w:ind w:left="20"/>
              <w:spacing w:after="0" w:line="188" w:lineRule="exact"/>
              <w:rPr>
                <w:sz w:val="20"/>
                <w:szCs w:val="20"/>
                <w:color w:val="auto"/>
              </w:rPr>
            </w:pPr>
            <w:r>
              <w:rPr>
                <w:rFonts w:ascii="Times New Roman" w:cs="Times New Roman" w:eastAsia="Times New Roman" w:hAnsi="Times New Roman"/>
                <w:sz w:val="17"/>
                <w:szCs w:val="17"/>
                <w:color w:val="auto"/>
              </w:rPr>
              <w:t>10.2</w:t>
            </w:r>
          </w:p>
        </w:tc>
        <w:tc>
          <w:tcPr>
            <w:tcW w:w="10080" w:type="dxa"/>
            <w:vAlign w:val="bottom"/>
            <w:gridSpan w:val="4"/>
          </w:tcPr>
          <w:p>
            <w:pPr>
              <w:spacing w:after="0" w:line="188" w:lineRule="exact"/>
              <w:rPr>
                <w:sz w:val="20"/>
                <w:szCs w:val="20"/>
                <w:color w:val="auto"/>
              </w:rPr>
            </w:pPr>
            <w:r>
              <w:rPr>
                <w:rFonts w:ascii="Times New Roman" w:cs="Times New Roman" w:eastAsia="Times New Roman" w:hAnsi="Times New Roman"/>
                <w:sz w:val="17"/>
                <w:szCs w:val="17"/>
                <w:color w:val="0000FF"/>
              </w:rPr>
              <w:t>Amendment Two to the Exclusive Distribution Agreement between AVITA Medical and Stedical Scientific, Inc. dated March 17, 2025</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746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7"/>
        </w:trPr>
        <w:tc>
          <w:tcPr>
            <w:tcW w:w="1160" w:type="dxa"/>
            <w:vAlign w:val="bottom"/>
          </w:tcPr>
          <w:p>
            <w:pPr>
              <w:ind w:left="20"/>
              <w:spacing w:after="0" w:line="188" w:lineRule="exact"/>
              <w:rPr>
                <w:sz w:val="20"/>
                <w:szCs w:val="20"/>
                <w:color w:val="auto"/>
              </w:rPr>
            </w:pPr>
            <w:r>
              <w:rPr>
                <w:rFonts w:ascii="Times New Roman" w:cs="Times New Roman" w:eastAsia="Times New Roman" w:hAnsi="Times New Roman"/>
                <w:sz w:val="17"/>
                <w:szCs w:val="17"/>
                <w:color w:val="auto"/>
              </w:rPr>
              <w:t>99.1</w:t>
            </w:r>
          </w:p>
        </w:tc>
        <w:tc>
          <w:tcPr>
            <w:tcW w:w="10080" w:type="dxa"/>
            <w:vAlign w:val="bottom"/>
            <w:gridSpan w:val="4"/>
          </w:tcPr>
          <w:p>
            <w:pPr>
              <w:spacing w:after="0" w:line="188" w:lineRule="exact"/>
              <w:rPr>
                <w:sz w:val="20"/>
                <w:szCs w:val="20"/>
                <w:color w:val="auto"/>
              </w:rPr>
            </w:pPr>
            <w:r>
              <w:rPr>
                <w:rFonts w:ascii="Times New Roman" w:cs="Times New Roman" w:eastAsia="Times New Roman" w:hAnsi="Times New Roman"/>
                <w:sz w:val="17"/>
                <w:szCs w:val="17"/>
                <w:color w:val="0000FF"/>
              </w:rPr>
              <w:t>AVITA Medical Announces Exclusive Manufacturing and Distribution Agreements with Stedical Scientific</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7460" w:type="dxa"/>
            <w:vAlign w:val="bottom"/>
            <w:shd w:val="clear" w:color="auto" w:fill="0000FF"/>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r>
      <w:tr>
        <w:trPr>
          <w:trHeight w:val="226"/>
        </w:trPr>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100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r>
      <w:tr>
        <w:trPr>
          <w:trHeight w:val="939"/>
        </w:trPr>
        <w:tc>
          <w:tcPr>
            <w:tcW w:w="1160" w:type="dxa"/>
            <w:vAlign w:val="bottom"/>
            <w:tcBorders>
              <w:bottom w:val="single" w:sz="8" w:color="9A9A9A"/>
            </w:tcBorders>
          </w:tcPr>
          <w:p>
            <w:pPr>
              <w:spacing w:after="0"/>
              <w:rPr>
                <w:sz w:val="24"/>
                <w:szCs w:val="24"/>
                <w:color w:val="auto"/>
              </w:rPr>
            </w:pPr>
          </w:p>
        </w:tc>
        <w:tc>
          <w:tcPr>
            <w:tcW w:w="74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 w:name="page3"/>
    <w:bookmarkEnd w:id="2"/>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70"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AVITA Medical, Inc</w:t>
      </w:r>
    </w:p>
    <w:p>
      <w:pPr>
        <w:spacing w:after="0" w:line="362"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March 17, 2025</w:t>
      </w:r>
      <w:r>
        <w:rPr>
          <w:sz w:val="20"/>
          <w:szCs w:val="20"/>
          <w:color w:val="auto"/>
        </w:rPr>
        <w:tab/>
      </w:r>
      <w:r>
        <w:rPr>
          <w:rFonts w:ascii="Times New Roman" w:cs="Times New Roman" w:eastAsia="Times New Roman" w:hAnsi="Times New Roman"/>
          <w:sz w:val="17"/>
          <w:szCs w:val="17"/>
          <w:color w:val="auto"/>
        </w:rPr>
        <w:t>By:</w:t>
        <w:tab/>
        <w:t>/s/ David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3863340</wp:posOffset>
            </wp:positionH>
            <wp:positionV relativeFrom="paragraph">
              <wp:posOffset>19050</wp:posOffset>
            </wp:positionV>
            <wp:extent cx="32766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6600" cy="8255"/>
                    </a:xfrm>
                    <a:prstGeom prst="rect">
                      <a:avLst/>
                    </a:prstGeom>
                    <a:noFill/>
                  </pic:spPr>
                </pic:pic>
              </a:graphicData>
            </a:graphic>
          </wp:anchor>
        </w:drawing>
      </w:r>
    </w:p>
    <w:p>
      <w:pPr>
        <w:spacing w:after="0" w:line="1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David O'Toole</w:t>
      </w:r>
    </w:p>
    <w:p>
      <w:pPr>
        <w:spacing w:after="0" w:line="3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686435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760"/>
          </w:cols>
          <w:pgMar w:left="320" w:top="741" w:right="819" w:bottom="1440" w:gutter="0" w:footer="0" w:header="0"/>
        </w:sectPr>
      </w:pPr>
    </w:p>
    <w:bookmarkStart w:id="3" w:name="page4"/>
    <w:bookmarkEnd w:id="3"/>
    <w:p>
      <w:pPr>
        <w:ind w:left="10260"/>
        <w:spacing w:after="0"/>
        <w:rPr>
          <w:sz w:val="20"/>
          <w:szCs w:val="20"/>
          <w:color w:val="auto"/>
        </w:rPr>
      </w:pPr>
      <w:r>
        <w:rPr>
          <w:rFonts w:ascii="Times New Roman" w:cs="Times New Roman" w:eastAsia="Times New Roman" w:hAnsi="Times New Roman"/>
          <w:sz w:val="18"/>
          <w:szCs w:val="18"/>
          <w:b w:val="1"/>
          <w:bCs w:val="1"/>
          <w:color w:val="231F20"/>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106680</wp:posOffset>
            </wp:positionV>
            <wp:extent cx="494030" cy="5924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4030" cy="592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Contract Manufacturing Agreement</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This Contract Manufacturing Agreement, (the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is effective as of March 17, 2025 (the “</w:t>
      </w:r>
      <w:r>
        <w:rPr>
          <w:rFonts w:ascii="Times New Roman" w:cs="Times New Roman" w:eastAsia="Times New Roman" w:hAnsi="Times New Roman"/>
          <w:sz w:val="19"/>
          <w:szCs w:val="19"/>
          <w:b w:val="1"/>
          <w:bCs w:val="1"/>
          <w:color w:val="auto"/>
        </w:rPr>
        <w:t>Effective Date</w:t>
      </w:r>
      <w:r>
        <w:rPr>
          <w:rFonts w:ascii="Times New Roman" w:cs="Times New Roman" w:eastAsia="Times New Roman" w:hAnsi="Times New Roman"/>
          <w:sz w:val="19"/>
          <w:szCs w:val="19"/>
          <w:color w:val="auto"/>
        </w:rPr>
        <w:t>”) and is entered into by and between AVITA Medical Americas, LLC having its principle place of business at 28159 Avenue Stanford, Suite 220 Valencia, CA ("</w:t>
      </w:r>
      <w:r>
        <w:rPr>
          <w:rFonts w:ascii="Times New Roman" w:cs="Times New Roman" w:eastAsia="Times New Roman" w:hAnsi="Times New Roman"/>
          <w:sz w:val="19"/>
          <w:szCs w:val="19"/>
          <w:b w:val="1"/>
          <w:bCs w:val="1"/>
          <w:color w:val="auto"/>
        </w:rPr>
        <w:t>Seller</w:t>
      </w:r>
      <w:r>
        <w:rPr>
          <w:rFonts w:ascii="Times New Roman" w:cs="Times New Roman" w:eastAsia="Times New Roman" w:hAnsi="Times New Roman"/>
          <w:sz w:val="19"/>
          <w:szCs w:val="19"/>
          <w:color w:val="auto"/>
        </w:rPr>
        <w:t>"), and Stedical Scientific, Inc. having its principle place of business at 2888 Loker Avenue East, Suite 319 Carlsbad, CA 92010 ("</w:t>
      </w:r>
      <w:r>
        <w:rPr>
          <w:rFonts w:ascii="Times New Roman" w:cs="Times New Roman" w:eastAsia="Times New Roman" w:hAnsi="Times New Roman"/>
          <w:sz w:val="19"/>
          <w:szCs w:val="19"/>
          <w:b w:val="1"/>
          <w:bCs w:val="1"/>
          <w:color w:val="auto"/>
        </w:rPr>
        <w:t>Buyer</w:t>
      </w:r>
      <w:r>
        <w:rPr>
          <w:rFonts w:ascii="Times New Roman" w:cs="Times New Roman" w:eastAsia="Times New Roman" w:hAnsi="Times New Roman"/>
          <w:sz w:val="19"/>
          <w:szCs w:val="19"/>
          <w:color w:val="auto"/>
        </w:rPr>
        <w:t>", and together with Seller, the "</w:t>
      </w:r>
      <w:r>
        <w:rPr>
          <w:rFonts w:ascii="Times New Roman" w:cs="Times New Roman" w:eastAsia="Times New Roman" w:hAnsi="Times New Roman"/>
          <w:sz w:val="19"/>
          <w:szCs w:val="19"/>
          <w:b w:val="1"/>
          <w:bCs w:val="1"/>
          <w:color w:val="auto"/>
        </w:rPr>
        <w:t>Parties</w:t>
      </w:r>
      <w:r>
        <w:rPr>
          <w:rFonts w:ascii="Times New Roman" w:cs="Times New Roman" w:eastAsia="Times New Roman" w:hAnsi="Times New Roman"/>
          <w:sz w:val="19"/>
          <w:szCs w:val="19"/>
          <w:color w:val="auto"/>
        </w:rPr>
        <w:t>", and each, a "</w:t>
      </w:r>
      <w:r>
        <w:rPr>
          <w:rFonts w:ascii="Times New Roman" w:cs="Times New Roman" w:eastAsia="Times New Roman" w:hAnsi="Times New Roman"/>
          <w:sz w:val="19"/>
          <w:szCs w:val="19"/>
          <w:b w:val="1"/>
          <w:bCs w:val="1"/>
          <w:color w:val="auto"/>
        </w:rPr>
        <w:t>Party</w:t>
      </w:r>
      <w:r>
        <w:rPr>
          <w:rFonts w:ascii="Times New Roman" w:cs="Times New Roman" w:eastAsia="Times New Roman" w:hAnsi="Times New Roman"/>
          <w:sz w:val="19"/>
          <w:szCs w:val="19"/>
          <w:color w:val="auto"/>
        </w:rPr>
        <w: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WHEREAS, Seller is in the business of manufacturing and commercializing medical devices and supplies;</w:t>
      </w:r>
    </w:p>
    <w:p>
      <w:pPr>
        <w:spacing w:after="0" w:line="10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9"/>
          <w:szCs w:val="19"/>
          <w:color w:val="auto"/>
        </w:rPr>
        <w:t>WHEREAS, Seller currently distributes certain Goods (as defined below) in the Territory (as defined below) on behalf of Seller under an existing Distribution Agreement (as defined below);</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WHEREAS, Buyer wishes for Seller to now also manufacture such Goods;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WHEREAS, Buyer wishes to purchase Goods (as defined below) from Seller for the purpose of selling such Goods outside the Territory; and</w:t>
      </w:r>
    </w:p>
    <w:p>
      <w:pPr>
        <w:spacing w:after="0" w:line="10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9"/>
          <w:szCs w:val="19"/>
          <w:color w:val="auto"/>
        </w:rPr>
        <w:t>WHEREAS, Seller desires to manufacture the Goods for sale to Buyer for the purposes outlined above and for sale to Seller’s customers under the Distribution Agreement.</w:t>
      </w:r>
    </w:p>
    <w:p>
      <w:pPr>
        <w:spacing w:after="0" w:line="4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9"/>
          <w:szCs w:val="19"/>
          <w:color w:val="auto"/>
        </w:rPr>
        <w:t>NOW, THEREFORE, in consideration of the mutual covenants, terms and conditions set forth herein, and for other good and valuable consideration, the receipt and sufficiency of which are hereby acknowledged, the Parties agree as follows:</w:t>
      </w:r>
    </w:p>
    <w:p>
      <w:pPr>
        <w:spacing w:after="0" w:line="146" w:lineRule="exact"/>
        <w:rPr>
          <w:sz w:val="20"/>
          <w:szCs w:val="20"/>
          <w:color w:val="auto"/>
        </w:rPr>
      </w:pPr>
    </w:p>
    <w:p>
      <w:pPr>
        <w:ind w:firstLine="453"/>
        <w:spacing w:after="0" w:line="276" w:lineRule="auto"/>
        <w:tabs>
          <w:tab w:leader="none" w:pos="1019"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Definitions</w:t>
      </w:r>
      <w:r>
        <w:rPr>
          <w:rFonts w:ascii="Times New Roman" w:cs="Times New Roman" w:eastAsia="Times New Roman" w:hAnsi="Times New Roman"/>
          <w:sz w:val="19"/>
          <w:szCs w:val="19"/>
          <w:color w:val="auto"/>
        </w:rPr>
        <w:t>. Capitalized terms have either (1) the meanings set out or referred to in this Agreement; or (2) the meanings attributed to them in the Distribution Agreement (as defined below) if not defined in this Agreement.</w:t>
      </w:r>
    </w:p>
    <w:p>
      <w:pPr>
        <w:spacing w:after="0" w:line="144" w:lineRule="exact"/>
        <w:rPr>
          <w:sz w:val="20"/>
          <w:szCs w:val="20"/>
          <w:color w:val="auto"/>
        </w:rPr>
      </w:pPr>
    </w:p>
    <w:p>
      <w:pPr>
        <w:jc w:val="both"/>
        <w:ind w:left="460" w:firstLine="1349"/>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Action</w:t>
      </w:r>
      <w:r>
        <w:rPr>
          <w:rFonts w:ascii="Times New Roman" w:cs="Times New Roman" w:eastAsia="Times New Roman" w:hAnsi="Times New Roman"/>
          <w:sz w:val="19"/>
          <w:szCs w:val="19"/>
          <w:color w:val="auto"/>
        </w:rPr>
        <w:t>" means any claim, action, cause of action, demand, lawsuit, arbitration, inquiry, audit, notice of violation, proceeding, litigation, citation, summons, subpoena or investigation of any nature, civil, criminal, administrative, regulatory, or other, whether at law, in equity or otherwise.</w:t>
      </w:r>
    </w:p>
    <w:p>
      <w:pPr>
        <w:spacing w:after="0" w:line="159" w:lineRule="exact"/>
        <w:rPr>
          <w:sz w:val="20"/>
          <w:szCs w:val="20"/>
          <w:color w:val="auto"/>
        </w:rPr>
      </w:pPr>
    </w:p>
    <w:p>
      <w:pPr>
        <w:jc w:val="both"/>
        <w:ind w:left="460" w:firstLine="1349"/>
        <w:spacing w:after="0" w:line="27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Affiliate</w:t>
      </w:r>
      <w:r>
        <w:rPr>
          <w:rFonts w:ascii="Times New Roman" w:cs="Times New Roman" w:eastAsia="Times New Roman" w:hAnsi="Times New Roman"/>
          <w:sz w:val="19"/>
          <w:szCs w:val="19"/>
          <w:color w:val="auto"/>
        </w:rPr>
        <w:t>" of a Person means any other Person that directly or indirectly, through one or more intermediaries, Controls, is Controlled by, or is under common Control with, such Person.</w:t>
      </w:r>
    </w:p>
    <w:p>
      <w:pPr>
        <w:spacing w:after="0" w:line="142" w:lineRule="exact"/>
        <w:rPr>
          <w:sz w:val="20"/>
          <w:szCs w:val="20"/>
          <w:color w:val="auto"/>
        </w:rPr>
      </w:pPr>
    </w:p>
    <w:p>
      <w:pPr>
        <w:jc w:val="both"/>
        <w:ind w:left="460" w:firstLine="1349"/>
        <w:spacing w:after="0" w:line="26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Basic Purchase Order Terms</w:t>
      </w:r>
      <w:r>
        <w:rPr>
          <w:rFonts w:ascii="Times New Roman" w:cs="Times New Roman" w:eastAsia="Times New Roman" w:hAnsi="Times New Roman"/>
          <w:sz w:val="18"/>
          <w:szCs w:val="18"/>
          <w:color w:val="auto"/>
        </w:rPr>
        <w:t>" means, collectively, any one or more of the following terms specified by Buyer in a Purchase Order pursuant to Section 7.2: (a) a list of the Goods to be purchased, including SKU; (b) the quantity of each of the Goods ordered;</w:t>
      </w:r>
    </w:p>
    <w:p>
      <w:pPr>
        <w:spacing w:after="0" w:line="1" w:lineRule="exact"/>
        <w:rPr>
          <w:sz w:val="20"/>
          <w:szCs w:val="20"/>
          <w:color w:val="auto"/>
        </w:rPr>
      </w:pPr>
    </w:p>
    <w:p>
      <w:pPr>
        <w:jc w:val="both"/>
        <w:ind w:left="460" w:hanging="7"/>
        <w:spacing w:after="0" w:line="246" w:lineRule="auto"/>
        <w:tabs>
          <w:tab w:leader="none" w:pos="746"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Requested Delivery Date; (d) the unit Price for each of the Goods to be purchased; (e) the billing address; and (f) the Delivery Location. For the avoidance of doubt, the term "Basic Purchase Order Terms" does not include any general terms or conditions of any Purchase Order.</w:t>
      </w:r>
    </w:p>
    <w:p>
      <w:pPr>
        <w:spacing w:after="0" w:line="173" w:lineRule="exact"/>
        <w:rPr>
          <w:sz w:val="20"/>
          <w:szCs w:val="20"/>
          <w:color w:val="auto"/>
        </w:rPr>
      </w:pPr>
    </w:p>
    <w:p>
      <w:pPr>
        <w:ind w:left="460" w:firstLine="1349"/>
        <w:spacing w:after="0" w:line="27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Business Day</w:t>
      </w:r>
      <w:r>
        <w:rPr>
          <w:rFonts w:ascii="Times New Roman" w:cs="Times New Roman" w:eastAsia="Times New Roman" w:hAnsi="Times New Roman"/>
          <w:sz w:val="19"/>
          <w:szCs w:val="19"/>
          <w:color w:val="auto"/>
        </w:rPr>
        <w:t>" means any day except Saturday, Sunday, or any other day on which commercial banks located in California are authorized or required by Law to be closed for business.</w:t>
      </w:r>
    </w:p>
    <w:p>
      <w:pPr>
        <w:spacing w:after="0" w:line="14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Buyer</w:t>
      </w:r>
      <w:r>
        <w:rPr>
          <w:rFonts w:ascii="Times New Roman" w:cs="Times New Roman" w:eastAsia="Times New Roman" w:hAnsi="Times New Roman"/>
          <w:sz w:val="19"/>
          <w:szCs w:val="19"/>
          <w:color w:val="auto"/>
        </w:rPr>
        <w:t>" has the meaning set forth in the preamble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992505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491" w:right="339" w:bottom="1440" w:gutter="0" w:footer="0" w:header="0"/>
        </w:sectPr>
      </w:pPr>
    </w:p>
    <w:bookmarkStart w:id="4" w:name="page5"/>
    <w:bookmarkEnd w:id="4"/>
    <w:p>
      <w:pPr>
        <w:spacing w:after="0" w:line="1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327660</wp:posOffset>
            </wp:positionV>
            <wp:extent cx="494030" cy="5924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494030" cy="592455"/>
                    </a:xfrm>
                    <a:prstGeom prst="rect">
                      <a:avLst/>
                    </a:prstGeom>
                    <a:noFill/>
                  </pic:spPr>
                </pic:pic>
              </a:graphicData>
            </a:graphic>
          </wp:anchor>
        </w:drawing>
      </w:r>
    </w:p>
    <w:p>
      <w:pPr>
        <w:ind w:left="13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Buyer Contracts</w:t>
      </w:r>
      <w:r>
        <w:rPr>
          <w:rFonts w:ascii="Times New Roman" w:cs="Times New Roman" w:eastAsia="Times New Roman" w:hAnsi="Times New Roman"/>
          <w:sz w:val="19"/>
          <w:szCs w:val="19"/>
          <w:color w:val="auto"/>
        </w:rPr>
        <w:t>" means all contracts or agreements to which Buyer is a party or to which any of its material assets are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bound.</w:t>
      </w:r>
    </w:p>
    <w:p>
      <w:pPr>
        <w:spacing w:after="0" w:line="18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Buyer’s Intellectual Property Rights</w:t>
      </w:r>
      <w:r>
        <w:rPr>
          <w:rFonts w:ascii="Times New Roman" w:cs="Times New Roman" w:eastAsia="Times New Roman" w:hAnsi="Times New Roman"/>
          <w:sz w:val="19"/>
          <w:szCs w:val="19"/>
          <w:color w:val="auto"/>
        </w:rPr>
        <w:t>" means all Intellectual Property Rights owned by or licensed to Buyer.</w:t>
      </w:r>
    </w:p>
    <w:p>
      <w:pPr>
        <w:spacing w:after="0" w:line="209" w:lineRule="exact"/>
        <w:rPr>
          <w:sz w:val="20"/>
          <w:szCs w:val="20"/>
          <w:color w:val="auto"/>
        </w:rPr>
      </w:pPr>
    </w:p>
    <w:p>
      <w:pPr>
        <w:jc w:val="both"/>
        <w:ind w:firstLine="1349"/>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Control</w:t>
      </w:r>
      <w:r>
        <w:rPr>
          <w:rFonts w:ascii="Times New Roman" w:cs="Times New Roman" w:eastAsia="Times New Roman" w:hAnsi="Times New Roman"/>
          <w:sz w:val="19"/>
          <w:szCs w:val="19"/>
          <w:color w:val="auto"/>
        </w:rPr>
        <w:t>" (and with correlative meanings, the terms "Controlled by" and "under common Control with") means, with respect to any Person, the possession, directly or indirectly, of the power to direct or cause the direction of the management or policies of another Person, whether through the ownership of voting securities, by contract, or otherwise.</w:t>
      </w:r>
    </w:p>
    <w:p>
      <w:pPr>
        <w:spacing w:after="0" w:line="15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Defective</w:t>
      </w:r>
      <w:r>
        <w:rPr>
          <w:rFonts w:ascii="Times New Roman" w:cs="Times New Roman" w:eastAsia="Times New Roman" w:hAnsi="Times New Roman"/>
          <w:sz w:val="19"/>
          <w:szCs w:val="19"/>
          <w:color w:val="auto"/>
        </w:rPr>
        <w:t>" means not conforming to the Product Warranty.</w:t>
      </w:r>
    </w:p>
    <w:p>
      <w:pPr>
        <w:spacing w:after="0" w:line="20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Defective Goods</w:t>
      </w:r>
      <w:r>
        <w:rPr>
          <w:rFonts w:ascii="Times New Roman" w:cs="Times New Roman" w:eastAsia="Times New Roman" w:hAnsi="Times New Roman"/>
          <w:sz w:val="19"/>
          <w:szCs w:val="19"/>
          <w:color w:val="auto"/>
        </w:rPr>
        <w:t>" means goods shipped by Seller to Buyer pursuant to this Agreement that are Defective.</w:t>
      </w:r>
    </w:p>
    <w:p>
      <w:pPr>
        <w:spacing w:after="0" w:line="20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Delivery Location</w:t>
      </w:r>
      <w:r>
        <w:rPr>
          <w:rFonts w:ascii="Times New Roman" w:cs="Times New Roman" w:eastAsia="Times New Roman" w:hAnsi="Times New Roman"/>
          <w:sz w:val="19"/>
          <w:szCs w:val="19"/>
          <w:color w:val="auto"/>
        </w:rPr>
        <w:t>" means the street address within the Territory for delivery of the Goods specified in the applicable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Purchase Order.</w:t>
      </w:r>
    </w:p>
    <w:p>
      <w:pPr>
        <w:spacing w:after="0" w:line="185" w:lineRule="exact"/>
        <w:rPr>
          <w:sz w:val="20"/>
          <w:szCs w:val="20"/>
          <w:color w:val="auto"/>
        </w:rPr>
      </w:pPr>
    </w:p>
    <w:p>
      <w:pPr>
        <w:jc w:val="both"/>
        <w:ind w:firstLine="1349"/>
        <w:spacing w:after="0" w:line="27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Distribution Agreement</w:t>
      </w:r>
      <w:r>
        <w:rPr>
          <w:rFonts w:ascii="Times New Roman" w:cs="Times New Roman" w:eastAsia="Times New Roman" w:hAnsi="Times New Roman"/>
          <w:sz w:val="19"/>
          <w:szCs w:val="19"/>
          <w:color w:val="auto"/>
        </w:rPr>
        <w:t>" means that certain Distribution Agreement entered into between Buyer and Seller on January 10, 2024 as amended from time to time wherein Buyer is designated as “Seller” or “Stedical” and Seller is designated as the “Distributor”.</w:t>
      </w:r>
    </w:p>
    <w:p>
      <w:pPr>
        <w:spacing w:after="0" w:line="142" w:lineRule="exact"/>
        <w:rPr>
          <w:sz w:val="20"/>
          <w:szCs w:val="20"/>
          <w:color w:val="auto"/>
        </w:rPr>
      </w:pPr>
    </w:p>
    <w:p>
      <w:pPr>
        <w:jc w:val="both"/>
        <w:ind w:firstLine="1349"/>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Forecast</w:t>
      </w:r>
      <w:r>
        <w:rPr>
          <w:rFonts w:ascii="Times New Roman" w:cs="Times New Roman" w:eastAsia="Times New Roman" w:hAnsi="Times New Roman"/>
          <w:sz w:val="19"/>
          <w:szCs w:val="19"/>
          <w:color w:val="auto"/>
        </w:rPr>
        <w:t>" means, with respect to any calendar quarter, a good faith projection or estimate of Buyer's requirements for Goods during each month during the quarter, which approximates, as nearly as possible, based on information available at the time to Buyer, the quantity of Goods that Buyer may order for each such month.</w:t>
      </w:r>
    </w:p>
    <w:p>
      <w:pPr>
        <w:spacing w:after="0" w:line="15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Goods</w:t>
      </w:r>
      <w:r>
        <w:rPr>
          <w:rFonts w:ascii="Times New Roman" w:cs="Times New Roman" w:eastAsia="Times New Roman" w:hAnsi="Times New Roman"/>
          <w:sz w:val="19"/>
          <w:szCs w:val="19"/>
          <w:color w:val="auto"/>
        </w:rPr>
        <w:t>" means the goods identified on Schedule A and described in the Specifications.</w:t>
      </w:r>
    </w:p>
    <w:p>
      <w:pPr>
        <w:spacing w:after="0" w:line="209" w:lineRule="exact"/>
        <w:rPr>
          <w:sz w:val="20"/>
          <w:szCs w:val="20"/>
          <w:color w:val="auto"/>
        </w:rPr>
      </w:pPr>
    </w:p>
    <w:p>
      <w:pPr>
        <w:jc w:val="both"/>
        <w:ind w:firstLine="1349"/>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Governmental Authority</w:t>
      </w:r>
      <w:r>
        <w:rPr>
          <w:rFonts w:ascii="Times New Roman" w:cs="Times New Roman" w:eastAsia="Times New Roman" w:hAnsi="Times New Roman"/>
          <w:sz w:val="19"/>
          <w:szCs w:val="19"/>
          <w:color w:val="auto"/>
        </w:rPr>
        <w:t>" means any federal, state, local or foreign government or political subdivision thereof, or any agency or instrumentality of such government or political subdivision, or any self-regulated organization or other non-governmental regulatory authority or quasi-governmental authority (to the extent that the rules, regulations or orders of such organization or authority have the force of Law), or any arbitrator, court or tribunal of competent jurisdiction.</w:t>
      </w:r>
    </w:p>
    <w:p>
      <w:pPr>
        <w:spacing w:after="0" w:line="164" w:lineRule="exact"/>
        <w:rPr>
          <w:sz w:val="20"/>
          <w:szCs w:val="20"/>
          <w:color w:val="auto"/>
        </w:rPr>
      </w:pPr>
    </w:p>
    <w:p>
      <w:pPr>
        <w:jc w:val="both"/>
        <w:ind w:firstLine="1349"/>
        <w:spacing w:after="0" w:line="27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Governmental Order</w:t>
      </w:r>
      <w:r>
        <w:rPr>
          <w:rFonts w:ascii="Times New Roman" w:cs="Times New Roman" w:eastAsia="Times New Roman" w:hAnsi="Times New Roman"/>
          <w:sz w:val="19"/>
          <w:szCs w:val="19"/>
          <w:color w:val="auto"/>
        </w:rPr>
        <w:t>" means any order, writ, judgment, injunction, decree, stipulation, award, or determination entered by or with any Governmental Authority.</w:t>
      </w:r>
    </w:p>
    <w:p>
      <w:pPr>
        <w:spacing w:after="0" w:line="142" w:lineRule="exact"/>
        <w:rPr>
          <w:sz w:val="20"/>
          <w:szCs w:val="20"/>
          <w:color w:val="auto"/>
        </w:rPr>
      </w:pPr>
    </w:p>
    <w:p>
      <w:pPr>
        <w:jc w:val="both"/>
        <w:ind w:firstLine="1349"/>
        <w:spacing w:after="0" w:line="24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Intellectual Property Rights</w:t>
      </w:r>
      <w:r>
        <w:rPr>
          <w:rFonts w:ascii="Times New Roman" w:cs="Times New Roman" w:eastAsia="Times New Roman" w:hAnsi="Times New Roman"/>
          <w:sz w:val="19"/>
          <w:szCs w:val="19"/>
          <w:color w:val="auto"/>
        </w:rPr>
        <w:t>" means all industrial and other intellectual property rights comprising or relating to: (a) Patents; (b) Trademarks; (c) internet domain names, whether or not Trademarks, registered by any authorized private registrar or Governmental Authority, web addresses, web pages, website, and URLs; (d) works of authorship, expressions, designs, and design registrations, whether or not copyrightable, including copyrights and copyrightable works, data, data files, and databases and other specifications and documentation; (e) Trade Secrets; (f) know-how; and (g) all industrial and other intellectual property rights, and all rights, interests, and protections that are associated with, equivalent or similar to, or required for the exercise of, any of the foregoing, however arising, in each case whether registered or unregistered and including all registrations and applications for, and renewals or extensions of, such rights or forms of protection pursuant to the Laws of any jurisdiction throughout in any part of the world. For clarity and notwithstanding the foregoing, Buyer</w:t>
      </w: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2B3486"/>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558165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780"/>
          </w:cols>
          <w:pgMar w:left="780" w:top="1440" w:right="339" w:bottom="1440" w:gutter="0" w:footer="0" w:header="0"/>
        </w:sectPr>
      </w:pPr>
    </w:p>
    <w:bookmarkStart w:id="5" w:name="page6"/>
    <w:bookmarkEnd w:id="5"/>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327660</wp:posOffset>
            </wp:positionV>
            <wp:extent cx="494030" cy="5924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494030" cy="5924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9"/>
          <w:szCs w:val="19"/>
          <w:color w:val="auto"/>
        </w:rPr>
        <w:t>and Seller's ownership in and of their separate and pre-existing Intellectual Property Rights shall continue in full force and effect.</w:t>
      </w:r>
    </w:p>
    <w:p>
      <w:pPr>
        <w:spacing w:after="0" w:line="207" w:lineRule="exact"/>
        <w:rPr>
          <w:sz w:val="20"/>
          <w:szCs w:val="20"/>
          <w:color w:val="auto"/>
        </w:rPr>
      </w:pPr>
    </w:p>
    <w:p>
      <w:pPr>
        <w:jc w:val="both"/>
        <w:ind w:firstLine="1349"/>
        <w:spacing w:after="0" w:line="27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Law</w:t>
      </w:r>
      <w:r>
        <w:rPr>
          <w:rFonts w:ascii="Times New Roman" w:cs="Times New Roman" w:eastAsia="Times New Roman" w:hAnsi="Times New Roman"/>
          <w:sz w:val="19"/>
          <w:szCs w:val="19"/>
          <w:color w:val="auto"/>
        </w:rPr>
        <w:t>" means any statute, law, ordinance, regulation, rule, code, constitution, treaty, common law, Governmental Order, or other requirement or rule of law of any Governmental Authority.</w:t>
      </w:r>
    </w:p>
    <w:p>
      <w:pPr>
        <w:spacing w:after="0" w:line="14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Legacy Goods</w:t>
      </w:r>
      <w:r>
        <w:rPr>
          <w:rFonts w:ascii="Times New Roman" w:cs="Times New Roman" w:eastAsia="Times New Roman" w:hAnsi="Times New Roman"/>
          <w:sz w:val="19"/>
          <w:szCs w:val="19"/>
          <w:color w:val="auto"/>
        </w:rPr>
        <w:t>" means Goods manufactured in the Territory under any existing agreement entered into by Buyer as of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Effective Date.</w:t>
      </w:r>
    </w:p>
    <w:p>
      <w:pPr>
        <w:spacing w:after="0" w:line="185" w:lineRule="exact"/>
        <w:rPr>
          <w:sz w:val="20"/>
          <w:szCs w:val="20"/>
          <w:color w:val="auto"/>
        </w:rPr>
      </w:pPr>
    </w:p>
    <w:p>
      <w:pPr>
        <w:jc w:val="both"/>
        <w:ind w:firstLine="1349"/>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Nonconforming Goods</w:t>
      </w:r>
      <w:r>
        <w:rPr>
          <w:rFonts w:ascii="Times New Roman" w:cs="Times New Roman" w:eastAsia="Times New Roman" w:hAnsi="Times New Roman"/>
          <w:sz w:val="19"/>
          <w:szCs w:val="19"/>
          <w:color w:val="auto"/>
        </w:rPr>
        <w:t>" means any goods received by Buyer from Seller pursuant to a Purchase Order that: (a) do not conform to the SKUs listed in the applicable Purchase Order; (b) do not fully conform to the Specifications; or (c) materially exceed the quantity of Goods ordered by Buyer pursuant to this Agreement or any Purchase Order. Where the context requires, Nonconforming Goods are deemed to be Goods for purposes of this Agreement.</w:t>
      </w:r>
    </w:p>
    <w:p>
      <w:pPr>
        <w:spacing w:after="0" w:line="164" w:lineRule="exact"/>
        <w:rPr>
          <w:sz w:val="20"/>
          <w:szCs w:val="20"/>
          <w:color w:val="auto"/>
        </w:rPr>
      </w:pPr>
    </w:p>
    <w:p>
      <w:pPr>
        <w:jc w:val="both"/>
        <w:ind w:firstLine="1349"/>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Patents</w:t>
      </w:r>
      <w:r>
        <w:rPr>
          <w:rFonts w:ascii="Times New Roman" w:cs="Times New Roman" w:eastAsia="Times New Roman" w:hAnsi="Times New Roman"/>
          <w:sz w:val="19"/>
          <w:szCs w:val="19"/>
          <w:color w:val="auto"/>
        </w:rPr>
        <w:t>" means all patents (including all reissues, divisionals, provisionals, continuations and continuations-in-part, re-examinations, renewals, substitutions and extensions thereof), patent applications, and other patent rights and any other Governmental Authority-issued indicia of invention ownership (including inventor's certificates, petty patents, and patent utility models).</w:t>
      </w:r>
    </w:p>
    <w:p>
      <w:pPr>
        <w:spacing w:after="0" w:line="159" w:lineRule="exact"/>
        <w:rPr>
          <w:sz w:val="20"/>
          <w:szCs w:val="20"/>
          <w:color w:val="auto"/>
        </w:rPr>
      </w:pPr>
    </w:p>
    <w:p>
      <w:pPr>
        <w:jc w:val="both"/>
        <w:ind w:firstLine="1349"/>
        <w:spacing w:after="0" w:line="27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Person</w:t>
      </w:r>
      <w:r>
        <w:rPr>
          <w:rFonts w:ascii="Times New Roman" w:cs="Times New Roman" w:eastAsia="Times New Roman" w:hAnsi="Times New Roman"/>
          <w:sz w:val="19"/>
          <w:szCs w:val="19"/>
          <w:color w:val="auto"/>
        </w:rPr>
        <w:t>" means any individual, partnership, corporation, trust, limited liability entity, unincorporated organization, association, Governmental Authority, or any other entity.</w:t>
      </w:r>
    </w:p>
    <w:p>
      <w:pPr>
        <w:spacing w:after="0" w:line="14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Personnel</w:t>
      </w:r>
      <w:r>
        <w:rPr>
          <w:rFonts w:ascii="Times New Roman" w:cs="Times New Roman" w:eastAsia="Times New Roman" w:hAnsi="Times New Roman"/>
          <w:sz w:val="19"/>
          <w:szCs w:val="19"/>
          <w:color w:val="auto"/>
        </w:rPr>
        <w:t>" of a Party means any agents, employees, contractors, or subcontractors engaged or appointed by such Party.</w:t>
      </w:r>
    </w:p>
    <w:p>
      <w:pPr>
        <w:spacing w:after="0" w:line="20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Purchase Order</w:t>
      </w:r>
      <w:r>
        <w:rPr>
          <w:rFonts w:ascii="Times New Roman" w:cs="Times New Roman" w:eastAsia="Times New Roman" w:hAnsi="Times New Roman"/>
          <w:sz w:val="19"/>
          <w:szCs w:val="19"/>
          <w:color w:val="auto"/>
        </w:rPr>
        <w:t>" means Buyer's purchase order issued to Seller hereunder.</w:t>
      </w:r>
    </w:p>
    <w:p>
      <w:pPr>
        <w:spacing w:after="0" w:line="209" w:lineRule="exact"/>
        <w:rPr>
          <w:sz w:val="20"/>
          <w:szCs w:val="20"/>
          <w:color w:val="auto"/>
        </w:rPr>
      </w:pPr>
    </w:p>
    <w:p>
      <w:pPr>
        <w:jc w:val="both"/>
        <w:ind w:firstLine="1349"/>
        <w:spacing w:after="0" w:line="27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Quality Agreement</w:t>
      </w:r>
      <w:r>
        <w:rPr>
          <w:rFonts w:ascii="Times New Roman" w:cs="Times New Roman" w:eastAsia="Times New Roman" w:hAnsi="Times New Roman"/>
          <w:sz w:val="19"/>
          <w:szCs w:val="19"/>
          <w:color w:val="auto"/>
        </w:rPr>
        <w:t>” means a written document agreed to and signed by both Parties defining each Party’s respective obligations under relevant regulations and quality management standards pertaining to the manufacture of medical devices.</w:t>
      </w:r>
    </w:p>
    <w:p>
      <w:pPr>
        <w:spacing w:after="0" w:line="142" w:lineRule="exact"/>
        <w:rPr>
          <w:sz w:val="20"/>
          <w:szCs w:val="20"/>
          <w:color w:val="auto"/>
        </w:rPr>
      </w:pPr>
    </w:p>
    <w:p>
      <w:pPr>
        <w:jc w:val="both"/>
        <w:ind w:firstLine="1349"/>
        <w:spacing w:after="0" w:line="27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Representatives</w:t>
      </w:r>
      <w:r>
        <w:rPr>
          <w:rFonts w:ascii="Times New Roman" w:cs="Times New Roman" w:eastAsia="Times New Roman" w:hAnsi="Times New Roman"/>
          <w:sz w:val="19"/>
          <w:szCs w:val="19"/>
          <w:color w:val="auto"/>
        </w:rPr>
        <w:t>" means a Party's Affiliates and each of their respective Personnel, officers, directors, partners, shareholders, attorneys, third-party advisors, successors, and permitted assigns.</w:t>
      </w:r>
    </w:p>
    <w:p>
      <w:pPr>
        <w:spacing w:after="0" w:line="142" w:lineRule="exact"/>
        <w:rPr>
          <w:sz w:val="20"/>
          <w:szCs w:val="20"/>
          <w:color w:val="auto"/>
        </w:rPr>
      </w:pPr>
    </w:p>
    <w:p>
      <w:pPr>
        <w:jc w:val="both"/>
        <w:ind w:firstLine="1349"/>
        <w:spacing w:after="0" w:line="27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Requested Delivery Date</w:t>
      </w:r>
      <w:r>
        <w:rPr>
          <w:rFonts w:ascii="Times New Roman" w:cs="Times New Roman" w:eastAsia="Times New Roman" w:hAnsi="Times New Roman"/>
          <w:sz w:val="19"/>
          <w:szCs w:val="19"/>
          <w:color w:val="auto"/>
        </w:rPr>
        <w:t>" means the requested delivery date for Goods ordered hereunder that is set forth in a Purchase Order, which must be a Business Day no less than thirty days following delivery of the applicable Purchase Order to Seller.</w:t>
      </w:r>
    </w:p>
    <w:p>
      <w:pPr>
        <w:spacing w:after="0" w:line="14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Seller</w:t>
      </w:r>
      <w:r>
        <w:rPr>
          <w:rFonts w:ascii="Times New Roman" w:cs="Times New Roman" w:eastAsia="Times New Roman" w:hAnsi="Times New Roman"/>
          <w:sz w:val="19"/>
          <w:szCs w:val="19"/>
          <w:color w:val="auto"/>
        </w:rPr>
        <w:t>" has the meaning set forth in the preamble to this Agreement.</w:t>
      </w:r>
    </w:p>
    <w:p>
      <w:pPr>
        <w:spacing w:after="0" w:line="20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Seller Distributed Goods</w:t>
      </w:r>
      <w:r>
        <w:rPr>
          <w:rFonts w:ascii="Times New Roman" w:cs="Times New Roman" w:eastAsia="Times New Roman" w:hAnsi="Times New Roman"/>
          <w:sz w:val="19"/>
          <w:szCs w:val="19"/>
          <w:color w:val="auto"/>
        </w:rPr>
        <w:t>" means Goods manufactured by Seller for distribution in the Territory by the Seller.</w:t>
      </w:r>
    </w:p>
    <w:p>
      <w:pPr>
        <w:spacing w:after="0" w:line="20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Seller's Intellectual Property Rights</w:t>
      </w:r>
      <w:r>
        <w:rPr>
          <w:rFonts w:ascii="Times New Roman" w:cs="Times New Roman" w:eastAsia="Times New Roman" w:hAnsi="Times New Roman"/>
          <w:sz w:val="19"/>
          <w:szCs w:val="19"/>
          <w:color w:val="auto"/>
        </w:rPr>
        <w:t>" means all Intellectual Property Rights owned by or licensed to Seller.</w:t>
      </w: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2B3486"/>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558165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780"/>
          </w:cols>
          <w:pgMar w:left="780" w:top="1440" w:right="339" w:bottom="1440" w:gutter="0" w:footer="0" w:header="0"/>
        </w:sectPr>
      </w:pPr>
    </w:p>
    <w:bookmarkStart w:id="6" w:name="page7"/>
    <w:bookmarkEnd w:id="6"/>
    <w:p>
      <w:pPr>
        <w:spacing w:after="0" w:line="1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327660</wp:posOffset>
            </wp:positionV>
            <wp:extent cx="494030" cy="5924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494030" cy="592455"/>
                    </a:xfrm>
                    <a:prstGeom prst="rect">
                      <a:avLst/>
                    </a:prstGeom>
                    <a:noFill/>
                  </pic:spPr>
                </pic:pic>
              </a:graphicData>
            </a:graphic>
          </wp:anchor>
        </w:drawing>
      </w:r>
    </w:p>
    <w:p>
      <w:pPr>
        <w:ind w:left="18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Seller's Trademarks</w:t>
      </w:r>
      <w:r>
        <w:rPr>
          <w:rFonts w:ascii="Times New Roman" w:cs="Times New Roman" w:eastAsia="Times New Roman" w:hAnsi="Times New Roman"/>
          <w:sz w:val="19"/>
          <w:szCs w:val="19"/>
          <w:color w:val="auto"/>
        </w:rPr>
        <w:t>" means all Trademarks owned by or licensed to Seller.</w:t>
      </w:r>
    </w:p>
    <w:p>
      <w:pPr>
        <w:spacing w:after="0" w:line="209" w:lineRule="exact"/>
        <w:rPr>
          <w:sz w:val="20"/>
          <w:szCs w:val="20"/>
          <w:color w:val="auto"/>
        </w:rPr>
      </w:pPr>
    </w:p>
    <w:p>
      <w:pPr>
        <w:jc w:val="both"/>
        <w:ind w:left="460" w:firstLine="1349"/>
        <w:spacing w:after="0" w:line="27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Specifications</w:t>
      </w:r>
      <w:r>
        <w:rPr>
          <w:rFonts w:ascii="Times New Roman" w:cs="Times New Roman" w:eastAsia="Times New Roman" w:hAnsi="Times New Roman"/>
          <w:sz w:val="19"/>
          <w:szCs w:val="19"/>
          <w:color w:val="auto"/>
        </w:rPr>
        <w:t>" means the specifications for the manufacturing of Goods established by the Buyer and transmitted to Seller as modified from time to time by mutual agreement of the Parties, and subject to the applicable Quality Agreement(s).</w:t>
      </w:r>
    </w:p>
    <w:p>
      <w:pPr>
        <w:spacing w:after="0" w:line="142" w:lineRule="exact"/>
        <w:rPr>
          <w:sz w:val="20"/>
          <w:szCs w:val="20"/>
          <w:color w:val="auto"/>
        </w:rPr>
      </w:pPr>
    </w:p>
    <w:p>
      <w:pPr>
        <w:jc w:val="both"/>
        <w:ind w:left="460" w:firstLine="1349"/>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Taxes</w:t>
      </w:r>
      <w:r>
        <w:rPr>
          <w:rFonts w:ascii="Times New Roman" w:cs="Times New Roman" w:eastAsia="Times New Roman" w:hAnsi="Times New Roman"/>
          <w:sz w:val="19"/>
          <w:szCs w:val="19"/>
          <w:color w:val="auto"/>
        </w:rPr>
        <w:t>" means any and all present and future sales, income, stamp, and other taxes, levies, imposts, duties, deductions, charges, fees or withholdings imposed, levied, withheld, or assessed by any Governmental Authority, together with any interest or penalties imposed thereon.</w:t>
      </w:r>
    </w:p>
    <w:p>
      <w:pPr>
        <w:spacing w:after="0" w:line="15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Territory</w:t>
      </w:r>
      <w:r>
        <w:rPr>
          <w:rFonts w:ascii="Times New Roman" w:cs="Times New Roman" w:eastAsia="Times New Roman" w:hAnsi="Times New Roman"/>
          <w:sz w:val="19"/>
          <w:szCs w:val="19"/>
          <w:color w:val="auto"/>
        </w:rPr>
        <w:t>" means the US and its territories and possessions.</w:t>
      </w:r>
    </w:p>
    <w:p>
      <w:pPr>
        <w:spacing w:after="0" w:line="209" w:lineRule="exact"/>
        <w:rPr>
          <w:sz w:val="20"/>
          <w:szCs w:val="20"/>
          <w:color w:val="auto"/>
        </w:rPr>
      </w:pPr>
    </w:p>
    <w:p>
      <w:pPr>
        <w:jc w:val="both"/>
        <w:ind w:left="460" w:firstLine="1349"/>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Trademarks</w:t>
      </w:r>
      <w:r>
        <w:rPr>
          <w:rFonts w:ascii="Times New Roman" w:cs="Times New Roman" w:eastAsia="Times New Roman" w:hAnsi="Times New Roman"/>
          <w:sz w:val="19"/>
          <w:szCs w:val="19"/>
          <w:color w:val="auto"/>
        </w:rPr>
        <w:t>" means all rights in and to US and foreign trademarks, service marks, trade dress, trade names, brand names, logos, corporate names and domain names, and other similar designations of source, sponsorship, association, or origin, together with the goodwill symbolized by any of the foregoing, in each case whether registered or unregistered and including all registrations and applications for, and renewals or extensions of, such rights and all similar or equivalent rights or forms of protection in any part of the world.</w:t>
      </w:r>
    </w:p>
    <w:p>
      <w:pPr>
        <w:spacing w:after="0" w:line="164" w:lineRule="exact"/>
        <w:rPr>
          <w:sz w:val="20"/>
          <w:szCs w:val="20"/>
          <w:color w:val="auto"/>
        </w:rPr>
      </w:pPr>
    </w:p>
    <w:p>
      <w:pPr>
        <w:jc w:val="both"/>
        <w:ind w:left="460" w:firstLine="1349"/>
        <w:spacing w:after="0" w:line="27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Trade Secrets</w:t>
      </w:r>
      <w:r>
        <w:rPr>
          <w:rFonts w:ascii="Times New Roman" w:cs="Times New Roman" w:eastAsia="Times New Roman" w:hAnsi="Times New Roman"/>
          <w:sz w:val="19"/>
          <w:szCs w:val="19"/>
          <w:color w:val="auto"/>
        </w:rPr>
        <w:t>" means all inventions, discoveries, trade secrets, business and technical information and know-how, databases, data collections, patent disclosures, and other confidential and proprietary information and all rights therein.</w:t>
      </w:r>
    </w:p>
    <w:p>
      <w:pPr>
        <w:spacing w:after="0" w:line="14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US</w:t>
      </w:r>
      <w:r>
        <w:rPr>
          <w:rFonts w:ascii="Times New Roman" w:cs="Times New Roman" w:eastAsia="Times New Roman" w:hAnsi="Times New Roman"/>
          <w:sz w:val="19"/>
          <w:szCs w:val="19"/>
          <w:color w:val="auto"/>
        </w:rPr>
        <w:t>" means the United States of America.</w:t>
      </w:r>
    </w:p>
    <w:p>
      <w:pPr>
        <w:spacing w:after="0" w:line="211" w:lineRule="exact"/>
        <w:rPr>
          <w:sz w:val="20"/>
          <w:szCs w:val="20"/>
          <w:color w:val="auto"/>
        </w:rPr>
      </w:pPr>
    </w:p>
    <w:p>
      <w:pPr>
        <w:ind w:firstLine="453"/>
        <w:spacing w:after="0" w:line="276" w:lineRule="auto"/>
        <w:tabs>
          <w:tab w:leader="none" w:pos="1019"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Exclusive Appointment</w:t>
      </w:r>
      <w:r>
        <w:rPr>
          <w:rFonts w:ascii="Times New Roman" w:cs="Times New Roman" w:eastAsia="Times New Roman" w:hAnsi="Times New Roman"/>
          <w:sz w:val="19"/>
          <w:szCs w:val="19"/>
          <w:color w:val="auto"/>
        </w:rPr>
        <w:t>. Buyer appoints Seller as its exclusive authorized manufacturer of the Goods in the Territory, other than Legacy Goods, during the Term and Seller accepts such appointment.</w:t>
      </w:r>
    </w:p>
    <w:p>
      <w:pPr>
        <w:spacing w:after="0" w:line="145" w:lineRule="exact"/>
        <w:rPr>
          <w:rFonts w:ascii="Times New Roman" w:cs="Times New Roman" w:eastAsia="Times New Roman" w:hAnsi="Times New Roman"/>
          <w:sz w:val="19"/>
          <w:szCs w:val="19"/>
          <w:color w:val="auto"/>
        </w:rPr>
      </w:pPr>
    </w:p>
    <w:p>
      <w:pPr>
        <w:ind w:left="1020" w:hanging="567"/>
        <w:spacing w:after="0"/>
        <w:tabs>
          <w:tab w:leader="none" w:pos="10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Conduct of the Parties</w:t>
      </w:r>
      <w:r>
        <w:rPr>
          <w:rFonts w:ascii="Times New Roman" w:cs="Times New Roman" w:eastAsia="Times New Roman" w:hAnsi="Times New Roman"/>
          <w:sz w:val="19"/>
          <w:szCs w:val="19"/>
          <w:color w:val="auto"/>
        </w:rPr>
        <w:t>.</w:t>
      </w:r>
    </w:p>
    <w:p>
      <w:pPr>
        <w:spacing w:after="0" w:line="209" w:lineRule="exact"/>
        <w:rPr>
          <w:sz w:val="20"/>
          <w:szCs w:val="20"/>
          <w:color w:val="auto"/>
        </w:rPr>
      </w:pPr>
    </w:p>
    <w:p>
      <w:pPr>
        <w:ind w:left="1060"/>
        <w:spacing w:after="0"/>
        <w:tabs>
          <w:tab w:leader="none" w:pos="1520" w:val="left"/>
        </w:tabs>
        <w:rPr>
          <w:sz w:val="20"/>
          <w:szCs w:val="20"/>
          <w:color w:val="auto"/>
        </w:rPr>
      </w:pPr>
      <w:r>
        <w:rPr>
          <w:rFonts w:ascii="Times New Roman" w:cs="Times New Roman" w:eastAsia="Times New Roman" w:hAnsi="Times New Roman"/>
          <w:sz w:val="19"/>
          <w:szCs w:val="19"/>
          <w:color w:val="auto"/>
        </w:rPr>
        <w:t>3.1</w:t>
      </w:r>
      <w:r>
        <w:rPr>
          <w:sz w:val="20"/>
          <w:szCs w:val="20"/>
          <w:color w:val="auto"/>
        </w:rPr>
        <w:tab/>
      </w:r>
      <w:r>
        <w:rPr>
          <w:rFonts w:ascii="Times New Roman" w:cs="Times New Roman" w:eastAsia="Times New Roman" w:hAnsi="Times New Roman"/>
          <w:sz w:val="18"/>
          <w:szCs w:val="18"/>
          <w:color w:val="auto"/>
        </w:rPr>
        <w:t>Upon receipt of a reasonable request for a specific action, the receiving Party shall reply within five business days stating either</w:t>
      </w:r>
    </w:p>
    <w:p>
      <w:pPr>
        <w:spacing w:after="0" w:line="24" w:lineRule="exact"/>
        <w:rPr>
          <w:sz w:val="20"/>
          <w:szCs w:val="20"/>
          <w:color w:val="auto"/>
        </w:rPr>
      </w:pPr>
    </w:p>
    <w:p>
      <w:pPr>
        <w:ind w:left="460" w:hanging="7"/>
        <w:spacing w:after="0" w:line="251" w:lineRule="auto"/>
        <w:tabs>
          <w:tab w:leader="none" w:pos="694"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date upon which it will provide the corresponding deliverable, (ii) a counter proposal for achieving the same business goal, or (iii) its intent to not comply with the request.</w:t>
      </w:r>
    </w:p>
    <w:p>
      <w:pPr>
        <w:spacing w:after="0" w:line="169" w:lineRule="exact"/>
        <w:rPr>
          <w:sz w:val="20"/>
          <w:szCs w:val="20"/>
          <w:color w:val="auto"/>
        </w:rPr>
      </w:pPr>
    </w:p>
    <w:p>
      <w:pPr>
        <w:jc w:val="both"/>
        <w:ind w:left="460" w:firstLine="599"/>
        <w:spacing w:after="0" w:line="259" w:lineRule="auto"/>
        <w:rPr>
          <w:sz w:val="20"/>
          <w:szCs w:val="20"/>
          <w:color w:val="auto"/>
        </w:rPr>
      </w:pPr>
      <w:r>
        <w:rPr>
          <w:rFonts w:ascii="Times New Roman" w:cs="Times New Roman" w:eastAsia="Times New Roman" w:hAnsi="Times New Roman"/>
          <w:sz w:val="19"/>
          <w:szCs w:val="19"/>
          <w:color w:val="auto"/>
        </w:rPr>
        <w:t>3.2 Should any governmental entity with jurisdiction over the use or sale of the Goods in the Territory request information that is in the other Party’s possession, that Party shall have three business days from the date of receipt of such request to (i) provide the information to the requesting Party; or (ii) propose an alternative due date for the deliverable.</w:t>
      </w:r>
    </w:p>
    <w:p>
      <w:pPr>
        <w:spacing w:after="0" w:line="161" w:lineRule="exact"/>
        <w:rPr>
          <w:sz w:val="20"/>
          <w:szCs w:val="20"/>
          <w:color w:val="auto"/>
        </w:rPr>
      </w:pPr>
    </w:p>
    <w:p>
      <w:pPr>
        <w:jc w:val="both"/>
        <w:ind w:left="460" w:firstLine="599"/>
        <w:spacing w:after="0" w:line="276" w:lineRule="auto"/>
        <w:rPr>
          <w:sz w:val="20"/>
          <w:szCs w:val="20"/>
          <w:color w:val="auto"/>
        </w:rPr>
      </w:pPr>
      <w:r>
        <w:rPr>
          <w:rFonts w:ascii="Times New Roman" w:cs="Times New Roman" w:eastAsia="Times New Roman" w:hAnsi="Times New Roman"/>
          <w:sz w:val="19"/>
          <w:szCs w:val="19"/>
          <w:color w:val="auto"/>
        </w:rPr>
        <w:t>3.3 Should either Party experience difficulty in meeting the terms in this Section, that Party shall promptly communicate the difficulty to the other Party’s designated contact.</w:t>
      </w:r>
    </w:p>
    <w:p>
      <w:pPr>
        <w:spacing w:after="0" w:line="146" w:lineRule="exact"/>
        <w:rPr>
          <w:sz w:val="20"/>
          <w:szCs w:val="20"/>
          <w:color w:val="auto"/>
        </w:rPr>
      </w:pPr>
    </w:p>
    <w:p>
      <w:pPr>
        <w:jc w:val="both"/>
        <w:ind w:firstLine="453"/>
        <w:spacing w:after="0" w:line="250" w:lineRule="auto"/>
        <w:tabs>
          <w:tab w:leader="none" w:pos="1019"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Use of Buyer’s Intellectual Property</w:t>
      </w:r>
      <w:r>
        <w:rPr>
          <w:rFonts w:ascii="Times New Roman" w:cs="Times New Roman" w:eastAsia="Times New Roman" w:hAnsi="Times New Roman"/>
          <w:sz w:val="19"/>
          <w:szCs w:val="19"/>
          <w:color w:val="auto"/>
        </w:rPr>
        <w:t>. To enable the manufacture of Goods under this Agreement as well as their commercialization under the Distribution Agreement or otherwise, Buyer hereby grants to Seller an irrevocable, fully paid-up, and transferrable right to use all of Buyer’s Intellectual Property Rights, exclusive in the Territory, needed for Seller to manufacture, market, and sell the Goods in the Territory for so long as the Agreement is in effect (the “</w:t>
      </w:r>
      <w:r>
        <w:rPr>
          <w:rFonts w:ascii="Times New Roman" w:cs="Times New Roman" w:eastAsia="Times New Roman" w:hAnsi="Times New Roman"/>
          <w:sz w:val="19"/>
          <w:szCs w:val="19"/>
          <w:b w:val="1"/>
          <w:bCs w:val="1"/>
          <w:color w:val="auto"/>
        </w:rPr>
        <w:t>Buyer IP License</w:t>
      </w:r>
      <w:r>
        <w:rPr>
          <w:rFonts w:ascii="Times New Roman" w:cs="Times New Roman" w:eastAsia="Times New Roman" w:hAnsi="Times New Roman"/>
          <w:sz w:val="19"/>
          <w:szCs w:val="19"/>
          <w:color w:val="auto"/>
        </w:rPr>
        <w:t>”). For clarity, the Buyer IP License shall not include a grant of ownership in or to any of Buyer’s Intellectual Property Rights.</w:t>
      </w: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2B3486"/>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558165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327660</wp:posOffset>
            </wp:positionV>
            <wp:extent cx="494030" cy="5924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494030" cy="592455"/>
                    </a:xfrm>
                    <a:prstGeom prst="rect">
                      <a:avLst/>
                    </a:prstGeom>
                    <a:noFill/>
                  </pic:spPr>
                </pic:pic>
              </a:graphicData>
            </a:graphic>
          </wp:anchor>
        </w:drawing>
      </w:r>
    </w:p>
    <w:p>
      <w:pPr>
        <w:ind w:left="567" w:hanging="567"/>
        <w:spacing w:after="0"/>
        <w:tabs>
          <w:tab w:leader="none" w:pos="567"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Regulatory Obligations</w:t>
      </w:r>
      <w:r>
        <w:rPr>
          <w:rFonts w:ascii="Times New Roman" w:cs="Times New Roman" w:eastAsia="Times New Roman" w:hAnsi="Times New Roman"/>
          <w:sz w:val="19"/>
          <w:szCs w:val="19"/>
          <w:color w:val="auto"/>
        </w:rPr>
        <w:t>.</w:t>
      </w:r>
    </w:p>
    <w:p>
      <w:pPr>
        <w:spacing w:after="0" w:line="209" w:lineRule="exact"/>
        <w:rPr>
          <w:sz w:val="20"/>
          <w:szCs w:val="20"/>
          <w:color w:val="auto"/>
        </w:rPr>
      </w:pPr>
    </w:p>
    <w:p>
      <w:pPr>
        <w:ind w:left="607"/>
        <w:spacing w:after="0"/>
        <w:tabs>
          <w:tab w:leader="none" w:pos="1066" w:val="left"/>
        </w:tabs>
        <w:rPr>
          <w:sz w:val="20"/>
          <w:szCs w:val="20"/>
          <w:color w:val="auto"/>
        </w:rPr>
      </w:pPr>
      <w:r>
        <w:rPr>
          <w:rFonts w:ascii="Times New Roman" w:cs="Times New Roman" w:eastAsia="Times New Roman" w:hAnsi="Times New Roman"/>
          <w:sz w:val="19"/>
          <w:szCs w:val="19"/>
          <w:color w:val="auto"/>
        </w:rPr>
        <w:t>5.1</w:t>
      </w:r>
      <w:r>
        <w:rPr>
          <w:sz w:val="20"/>
          <w:szCs w:val="20"/>
          <w:color w:val="auto"/>
        </w:rPr>
        <w:tab/>
      </w:r>
      <w:r>
        <w:rPr>
          <w:rFonts w:ascii="Times New Roman" w:cs="Times New Roman" w:eastAsia="Times New Roman" w:hAnsi="Times New Roman"/>
          <w:sz w:val="18"/>
          <w:szCs w:val="18"/>
          <w:color w:val="auto"/>
        </w:rPr>
        <w:t>Seller shall modify the Goods only in accordance with the Specifications.</w:t>
      </w:r>
    </w:p>
    <w:p>
      <w:pPr>
        <w:spacing w:after="0" w:line="209" w:lineRule="exact"/>
        <w:rPr>
          <w:sz w:val="20"/>
          <w:szCs w:val="20"/>
          <w:color w:val="auto"/>
        </w:rPr>
      </w:pPr>
    </w:p>
    <w:p>
      <w:pPr>
        <w:ind w:left="7" w:right="140" w:firstLine="599"/>
        <w:spacing w:after="0" w:line="259" w:lineRule="auto"/>
        <w:rPr>
          <w:sz w:val="20"/>
          <w:szCs w:val="20"/>
          <w:color w:val="auto"/>
        </w:rPr>
      </w:pPr>
      <w:r>
        <w:rPr>
          <w:rFonts w:ascii="Times New Roman" w:cs="Times New Roman" w:eastAsia="Times New Roman" w:hAnsi="Times New Roman"/>
          <w:sz w:val="19"/>
          <w:szCs w:val="19"/>
          <w:color w:val="auto"/>
        </w:rPr>
        <w:t>5.2 The Parties shall specify their respective regulatory obligations with respect to the performance of this Agreement by entering into a separate Quality Agreement or an amendment to the existing Quality Agreement between the Parties prior to or contemporaneously with the execution of this Agreement and Amendment Two to the Distribution Agreement.</w:t>
      </w:r>
    </w:p>
    <w:p>
      <w:pPr>
        <w:spacing w:after="0" w:line="161" w:lineRule="exact"/>
        <w:rPr>
          <w:sz w:val="20"/>
          <w:szCs w:val="20"/>
          <w:color w:val="auto"/>
        </w:rPr>
      </w:pPr>
    </w:p>
    <w:p>
      <w:pPr>
        <w:ind w:left="567" w:hanging="567"/>
        <w:spacing w:after="0"/>
        <w:tabs>
          <w:tab w:leader="none" w:pos="567"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Purchase and Sale of Goods</w:t>
      </w:r>
      <w:r>
        <w:rPr>
          <w:rFonts w:ascii="Times New Roman" w:cs="Times New Roman" w:eastAsia="Times New Roman" w:hAnsi="Times New Roman"/>
          <w:sz w:val="19"/>
          <w:szCs w:val="19"/>
          <w:color w:val="auto"/>
        </w:rPr>
        <w:t>.</w:t>
      </w:r>
    </w:p>
    <w:p>
      <w:pPr>
        <w:spacing w:after="0" w:line="209" w:lineRule="exact"/>
        <w:rPr>
          <w:sz w:val="20"/>
          <w:szCs w:val="20"/>
          <w:color w:val="auto"/>
        </w:rPr>
      </w:pPr>
    </w:p>
    <w:p>
      <w:pPr>
        <w:jc w:val="both"/>
        <w:ind w:left="7" w:firstLine="599"/>
        <w:spacing w:after="0" w:line="250" w:lineRule="auto"/>
        <w:rPr>
          <w:sz w:val="20"/>
          <w:szCs w:val="20"/>
          <w:color w:val="auto"/>
        </w:rPr>
      </w:pPr>
      <w:r>
        <w:rPr>
          <w:rFonts w:ascii="Times New Roman" w:cs="Times New Roman" w:eastAsia="Times New Roman" w:hAnsi="Times New Roman"/>
          <w:sz w:val="19"/>
          <w:szCs w:val="19"/>
          <w:color w:val="auto"/>
        </w:rPr>
        <w:t xml:space="preserve">6.1 </w:t>
      </w:r>
      <w:r>
        <w:rPr>
          <w:rFonts w:ascii="Times New Roman" w:cs="Times New Roman" w:eastAsia="Times New Roman" w:hAnsi="Times New Roman"/>
          <w:sz w:val="19"/>
          <w:szCs w:val="19"/>
          <w:u w:val="single" w:color="auto"/>
          <w:color w:val="auto"/>
        </w:rPr>
        <w:t>Purchase and Sale</w:t>
      </w:r>
      <w:r>
        <w:rPr>
          <w:rFonts w:ascii="Times New Roman" w:cs="Times New Roman" w:eastAsia="Times New Roman" w:hAnsi="Times New Roman"/>
          <w:sz w:val="19"/>
          <w:szCs w:val="19"/>
          <w:color w:val="auto"/>
        </w:rPr>
        <w:t>. Subject to the terms and conditions of this Agreement, during the Term, Buyer shall purchase from Seller, and Seller shall manufacture and sell to Buyer, all Goods ordered by Buyer, subject to Section 7.1. Schedule A contains a description of the Goods to be manufactured and sold hereunder. The Parties may, from time to time, amend Schedule A to reflect any agreed revisions to any of the terms described above; provided that no such revisions will modify this Agreement or be binding on the Parties unless such revisions have been fully approved in a signed writing by authorized Representatives of both Parties.</w:t>
      </w:r>
    </w:p>
    <w:p>
      <w:pPr>
        <w:spacing w:after="0" w:line="172" w:lineRule="exact"/>
        <w:rPr>
          <w:sz w:val="20"/>
          <w:szCs w:val="20"/>
          <w:color w:val="auto"/>
        </w:rPr>
      </w:pPr>
    </w:p>
    <w:p>
      <w:pPr>
        <w:jc w:val="both"/>
        <w:ind w:left="7" w:firstLine="599"/>
        <w:spacing w:after="0" w:line="253" w:lineRule="auto"/>
        <w:rPr>
          <w:sz w:val="20"/>
          <w:szCs w:val="20"/>
          <w:color w:val="auto"/>
        </w:rPr>
      </w:pPr>
      <w:r>
        <w:rPr>
          <w:rFonts w:ascii="Times New Roman" w:cs="Times New Roman" w:eastAsia="Times New Roman" w:hAnsi="Times New Roman"/>
          <w:sz w:val="19"/>
          <w:szCs w:val="19"/>
          <w:color w:val="auto"/>
        </w:rPr>
        <w:t xml:space="preserve">6.2 </w:t>
      </w:r>
      <w:r>
        <w:rPr>
          <w:rFonts w:ascii="Times New Roman" w:cs="Times New Roman" w:eastAsia="Times New Roman" w:hAnsi="Times New Roman"/>
          <w:sz w:val="19"/>
          <w:szCs w:val="19"/>
          <w:u w:val="single" w:color="auto"/>
          <w:color w:val="auto"/>
        </w:rPr>
        <w:t>Terms of Agreement Prevail Over Buyer's Purchase Order</w:t>
      </w:r>
      <w:r>
        <w:rPr>
          <w:rFonts w:ascii="Times New Roman" w:cs="Times New Roman" w:eastAsia="Times New Roman" w:hAnsi="Times New Roman"/>
          <w:sz w:val="19"/>
          <w:szCs w:val="19"/>
          <w:color w:val="auto"/>
        </w:rPr>
        <w:t>. Any additional, contrary, or different terms contained in any Purchase Order or other request or communication by Buyer pertaining to the sale of Goods, and any attempt to modify, supersede, supplement or otherwise alter this Agreement, will not modify this Agreement or be binding on the Parties unless such terms have been fully approved in a signed writing by authorized Representatives of both Parties.</w:t>
      </w:r>
    </w:p>
    <w:p>
      <w:pPr>
        <w:spacing w:after="0" w:line="168" w:lineRule="exact"/>
        <w:rPr>
          <w:sz w:val="20"/>
          <w:szCs w:val="20"/>
          <w:color w:val="auto"/>
        </w:rPr>
      </w:pPr>
    </w:p>
    <w:p>
      <w:pPr>
        <w:ind w:left="567" w:hanging="567"/>
        <w:spacing w:after="0"/>
        <w:tabs>
          <w:tab w:leader="none" w:pos="567"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Ordering Procedure</w:t>
      </w:r>
      <w:r>
        <w:rPr>
          <w:rFonts w:ascii="Times New Roman" w:cs="Times New Roman" w:eastAsia="Times New Roman" w:hAnsi="Times New Roman"/>
          <w:sz w:val="19"/>
          <w:szCs w:val="19"/>
          <w:color w:val="auto"/>
        </w:rPr>
        <w:t>.</w:t>
      </w:r>
    </w:p>
    <w:p>
      <w:pPr>
        <w:spacing w:after="0" w:line="209" w:lineRule="exact"/>
        <w:rPr>
          <w:sz w:val="20"/>
          <w:szCs w:val="20"/>
          <w:color w:val="auto"/>
        </w:rPr>
      </w:pPr>
    </w:p>
    <w:p>
      <w:pPr>
        <w:jc w:val="both"/>
        <w:ind w:left="7" w:firstLine="599"/>
        <w:spacing w:after="0" w:line="248" w:lineRule="auto"/>
        <w:rPr>
          <w:sz w:val="20"/>
          <w:szCs w:val="20"/>
          <w:color w:val="auto"/>
        </w:rPr>
      </w:pPr>
      <w:r>
        <w:rPr>
          <w:rFonts w:ascii="Times New Roman" w:cs="Times New Roman" w:eastAsia="Times New Roman" w:hAnsi="Times New Roman"/>
          <w:sz w:val="19"/>
          <w:szCs w:val="19"/>
          <w:color w:val="auto"/>
        </w:rPr>
        <w:t xml:space="preserve">7.1 </w:t>
      </w:r>
      <w:r>
        <w:rPr>
          <w:rFonts w:ascii="Times New Roman" w:cs="Times New Roman" w:eastAsia="Times New Roman" w:hAnsi="Times New Roman"/>
          <w:sz w:val="19"/>
          <w:szCs w:val="19"/>
          <w:u w:val="single" w:color="auto"/>
          <w:color w:val="auto"/>
        </w:rPr>
        <w:t>Non-binding Forecasts of Buyer's Requirements</w:t>
      </w:r>
      <w:r>
        <w:rPr>
          <w:rFonts w:ascii="Times New Roman" w:cs="Times New Roman" w:eastAsia="Times New Roman" w:hAnsi="Times New Roman"/>
          <w:sz w:val="19"/>
          <w:szCs w:val="19"/>
          <w:color w:val="auto"/>
        </w:rPr>
        <w:t>. Within thirty days following the full execution of this Agreement, Buyer shall provide to Seller a Forecast for the calendar quarter beginning on April 1, 2025. No later than thirty days prior to the first day of each subsequent calendar quarter, Buyer shall deliver to Seller a Forecast for the period beginning with the first day of such calendar quarter. Forecasts are for informational purposes only and do not create any binding obligations on behalf of either Party; provided, however, that Seller shall not be required to manufacture and sell to Buyer any quantity of Goods that is unreasonably disproportionate to any Forecast for the period covered by such Forecast.</w:t>
      </w:r>
    </w:p>
    <w:p>
      <w:pPr>
        <w:spacing w:after="0" w:line="175" w:lineRule="exact"/>
        <w:rPr>
          <w:sz w:val="20"/>
          <w:szCs w:val="20"/>
          <w:color w:val="auto"/>
        </w:rPr>
      </w:pPr>
    </w:p>
    <w:p>
      <w:pPr>
        <w:jc w:val="both"/>
        <w:ind w:left="7" w:firstLine="599"/>
        <w:spacing w:after="0" w:line="248" w:lineRule="auto"/>
        <w:rPr>
          <w:sz w:val="20"/>
          <w:szCs w:val="20"/>
          <w:color w:val="auto"/>
        </w:rPr>
      </w:pPr>
      <w:r>
        <w:rPr>
          <w:rFonts w:ascii="Times New Roman" w:cs="Times New Roman" w:eastAsia="Times New Roman" w:hAnsi="Times New Roman"/>
          <w:sz w:val="19"/>
          <w:szCs w:val="19"/>
          <w:color w:val="auto"/>
        </w:rPr>
        <w:t xml:space="preserve">7.2 </w:t>
      </w:r>
      <w:r>
        <w:rPr>
          <w:rFonts w:ascii="Times New Roman" w:cs="Times New Roman" w:eastAsia="Times New Roman" w:hAnsi="Times New Roman"/>
          <w:sz w:val="19"/>
          <w:szCs w:val="19"/>
          <w:u w:val="single" w:color="auto"/>
          <w:color w:val="auto"/>
        </w:rPr>
        <w:t>Purchase Orders</w:t>
      </w:r>
      <w:r>
        <w:rPr>
          <w:rFonts w:ascii="Times New Roman" w:cs="Times New Roman" w:eastAsia="Times New Roman" w:hAnsi="Times New Roman"/>
          <w:sz w:val="19"/>
          <w:szCs w:val="19"/>
          <w:color w:val="auto"/>
        </w:rPr>
        <w:t>. Buyer shall issue to Seller Purchase Orders (containing applicable Basic Purchase Order Terms that are consistent with the terms of this Agreement), in written form via email or other electronic exchange agreed to by the Parties. By issuing a Purchase Order to Seller, Buyer makes an offer to purchase Goods pursuant to the terms and conditions of this Agreement and the Basic Purchase Order Terms contained in such Purchase Order, and on no other terms. For the avoidance of doubt, any variations made to the terms and conditions of this Agreement by Buyer in any Purchase Order are void and have no effect. Buyer shall be obligated to purchase from Seller quantities of Goods specified in a Purchase Order.</w:t>
      </w:r>
    </w:p>
    <w:p>
      <w:pPr>
        <w:spacing w:after="0" w:line="175" w:lineRule="exact"/>
        <w:rPr>
          <w:sz w:val="20"/>
          <w:szCs w:val="20"/>
          <w:color w:val="auto"/>
        </w:rPr>
      </w:pPr>
    </w:p>
    <w:p>
      <w:pPr>
        <w:jc w:val="both"/>
        <w:ind w:left="7" w:firstLine="599"/>
        <w:spacing w:after="0" w:line="259" w:lineRule="auto"/>
        <w:rPr>
          <w:sz w:val="20"/>
          <w:szCs w:val="20"/>
          <w:color w:val="auto"/>
        </w:rPr>
      </w:pPr>
      <w:r>
        <w:rPr>
          <w:rFonts w:ascii="Times New Roman" w:cs="Times New Roman" w:eastAsia="Times New Roman" w:hAnsi="Times New Roman"/>
          <w:sz w:val="19"/>
          <w:szCs w:val="19"/>
          <w:color w:val="auto"/>
        </w:rPr>
        <w:t xml:space="preserve">7.3 </w:t>
      </w:r>
      <w:r>
        <w:rPr>
          <w:rFonts w:ascii="Times New Roman" w:cs="Times New Roman" w:eastAsia="Times New Roman" w:hAnsi="Times New Roman"/>
          <w:sz w:val="19"/>
          <w:szCs w:val="19"/>
          <w:u w:val="single" w:color="auto"/>
          <w:color w:val="auto"/>
        </w:rPr>
        <w:t>Acceptance, Rejection, and Cancellation of Purchase Orders</w:t>
      </w:r>
      <w:r>
        <w:rPr>
          <w:rFonts w:ascii="Times New Roman" w:cs="Times New Roman" w:eastAsia="Times New Roman" w:hAnsi="Times New Roman"/>
          <w:sz w:val="19"/>
          <w:szCs w:val="19"/>
          <w:color w:val="auto"/>
        </w:rPr>
        <w:t>. Seller accepts a Purchase Order by confirming the order in writing or by delivering the applicable Goods to Buyer, whichever occurs first. Seller may reject a Purchase Order or cancel a previously accepted Purchase Order, which it may do without liability or penalty, and without constituting a waiver of any of Seller's rights or</w:t>
      </w: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2B3486"/>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558165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787"/>
          </w:cols>
          <w:pgMar w:left="773" w:top="1440" w:right="339" w:bottom="1440" w:gutter="0" w:footer="0" w:header="0"/>
        </w:sectPr>
      </w:pPr>
    </w:p>
    <w:bookmarkStart w:id="8" w:name="page9"/>
    <w:bookmarkEnd w:id="8"/>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327660</wp:posOffset>
            </wp:positionV>
            <wp:extent cx="494030" cy="5924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494030" cy="592455"/>
                    </a:xfrm>
                    <a:prstGeom prst="rect">
                      <a:avLst/>
                    </a:prstGeom>
                    <a:noFill/>
                  </pic:spPr>
                </pic:pic>
              </a:graphicData>
            </a:graphic>
          </wp:anchor>
        </w:drawing>
      </w:r>
    </w:p>
    <w:p>
      <w:pPr>
        <w:ind w:left="7"/>
        <w:spacing w:after="0" w:line="276" w:lineRule="auto"/>
        <w:rPr>
          <w:sz w:val="20"/>
          <w:szCs w:val="20"/>
          <w:color w:val="auto"/>
        </w:rPr>
      </w:pPr>
      <w:r>
        <w:rPr>
          <w:rFonts w:ascii="Times New Roman" w:cs="Times New Roman" w:eastAsia="Times New Roman" w:hAnsi="Times New Roman"/>
          <w:sz w:val="19"/>
          <w:szCs w:val="19"/>
          <w:color w:val="auto"/>
        </w:rPr>
        <w:t>remedies under this Agreement or any Purchase Order, by providing written notice to Buyer specifying the applicable date of rejection or cancellation:</w:t>
      </w:r>
    </w:p>
    <w:p>
      <w:pPr>
        <w:spacing w:after="0" w:line="146" w:lineRule="exact"/>
        <w:rPr>
          <w:sz w:val="20"/>
          <w:szCs w:val="20"/>
          <w:color w:val="auto"/>
        </w:rPr>
      </w:pPr>
    </w:p>
    <w:p>
      <w:pPr>
        <w:ind w:left="1347" w:right="2980" w:firstLine="2"/>
        <w:spacing w:after="0" w:line="469" w:lineRule="auto"/>
        <w:tabs>
          <w:tab w:leader="none" w:pos="1586" w:val="left"/>
        </w:tabs>
        <w:numPr>
          <w:ilvl w:val="1"/>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one or more of the events described under Sections 10.3-10.4 has occurred; (b)pursuant to Seller's rights under the last sentence of Section 9.5.</w:t>
      </w:r>
    </w:p>
    <w:p>
      <w:pPr>
        <w:spacing w:after="0" w:line="1" w:lineRule="exact"/>
        <w:rPr>
          <w:rFonts w:ascii="Times New Roman" w:cs="Times New Roman" w:eastAsia="Times New Roman" w:hAnsi="Times New Roman"/>
          <w:sz w:val="19"/>
          <w:szCs w:val="19"/>
          <w:color w:val="auto"/>
        </w:rPr>
      </w:pPr>
    </w:p>
    <w:p>
      <w:pPr>
        <w:ind w:left="567" w:hanging="567"/>
        <w:spacing w:after="0"/>
        <w:tabs>
          <w:tab w:leader="none" w:pos="567"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Shipment, Delivery, Acceptance, and Inspection</w:t>
      </w:r>
      <w:r>
        <w:rPr>
          <w:rFonts w:ascii="Times New Roman" w:cs="Times New Roman" w:eastAsia="Times New Roman" w:hAnsi="Times New Roman"/>
          <w:sz w:val="19"/>
          <w:szCs w:val="19"/>
          <w:color w:val="auto"/>
        </w:rPr>
        <w:t>.</w:t>
      </w:r>
    </w:p>
    <w:p>
      <w:pPr>
        <w:spacing w:after="0" w:line="209" w:lineRule="exact"/>
        <w:rPr>
          <w:sz w:val="20"/>
          <w:szCs w:val="20"/>
          <w:color w:val="auto"/>
        </w:rPr>
      </w:pPr>
    </w:p>
    <w:p>
      <w:pPr>
        <w:jc w:val="both"/>
        <w:ind w:left="7" w:firstLine="599"/>
        <w:spacing w:after="0" w:line="271"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Shipment</w:t>
      </w:r>
      <w:r>
        <w:rPr>
          <w:rFonts w:ascii="Times New Roman" w:cs="Times New Roman" w:eastAsia="Times New Roman" w:hAnsi="Times New Roman"/>
          <w:sz w:val="18"/>
          <w:szCs w:val="18"/>
          <w:color w:val="auto"/>
        </w:rPr>
        <w:t>. Unless otherwise expressly agreed by the Parties in writing, Seller shall select the method of shipment of, and the carrier for, the Goods purchased by Byer. Seller may, in its sole discretion, without liability or penalty, make partial shipments of such Goods to Buyer. Each shipment will constitute a separate sale and Buyer shall pay for the Goods shipped, in accordance with the payment terms specified in Section 9.3, whether such shipment is in whole or partial fulfillment of a Purchase Order. All shipments are FCA Seller’s facility.</w:t>
      </w:r>
    </w:p>
    <w:p>
      <w:pPr>
        <w:spacing w:after="0" w:line="154" w:lineRule="exact"/>
        <w:rPr>
          <w:sz w:val="20"/>
          <w:szCs w:val="20"/>
          <w:color w:val="auto"/>
        </w:rPr>
      </w:pPr>
    </w:p>
    <w:p>
      <w:pPr>
        <w:jc w:val="both"/>
        <w:ind w:left="7" w:firstLine="599"/>
        <w:spacing w:after="0" w:line="259" w:lineRule="auto"/>
        <w:rPr>
          <w:sz w:val="20"/>
          <w:szCs w:val="20"/>
          <w:color w:val="auto"/>
        </w:rPr>
      </w:pPr>
      <w:r>
        <w:rPr>
          <w:rFonts w:ascii="Times New Roman" w:cs="Times New Roman" w:eastAsia="Times New Roman" w:hAnsi="Times New Roman"/>
          <w:sz w:val="19"/>
          <w:szCs w:val="19"/>
          <w:color w:val="auto"/>
        </w:rPr>
        <w:t xml:space="preserve">8.2 </w:t>
      </w:r>
      <w:r>
        <w:rPr>
          <w:rFonts w:ascii="Times New Roman" w:cs="Times New Roman" w:eastAsia="Times New Roman" w:hAnsi="Times New Roman"/>
          <w:sz w:val="19"/>
          <w:szCs w:val="19"/>
          <w:u w:val="single" w:color="auto"/>
          <w:color w:val="auto"/>
        </w:rPr>
        <w:t>Packaging and Labeling</w:t>
      </w:r>
      <w:r>
        <w:rPr>
          <w:rFonts w:ascii="Times New Roman" w:cs="Times New Roman" w:eastAsia="Times New Roman" w:hAnsi="Times New Roman"/>
          <w:sz w:val="19"/>
          <w:szCs w:val="19"/>
          <w:color w:val="auto"/>
        </w:rPr>
        <w:t>. Seller shall properly pack and ship Goods and provide Buyer with shipment documentation showing the Purchase Order number, Seller's identification number for the subject Goods, the quantity of pieces in shipment, the number of cartons or containers in shipment, Seller's name, the bill of lading number and the country of origin.</w:t>
      </w:r>
    </w:p>
    <w:p>
      <w:pPr>
        <w:spacing w:after="0" w:line="161" w:lineRule="exact"/>
        <w:rPr>
          <w:sz w:val="20"/>
          <w:szCs w:val="20"/>
          <w:color w:val="auto"/>
        </w:rPr>
      </w:pPr>
    </w:p>
    <w:p>
      <w:pPr>
        <w:jc w:val="both"/>
        <w:ind w:left="7" w:firstLine="599"/>
        <w:spacing w:after="0" w:line="276" w:lineRule="auto"/>
        <w:rPr>
          <w:sz w:val="20"/>
          <w:szCs w:val="20"/>
          <w:color w:val="auto"/>
        </w:rPr>
      </w:pPr>
      <w:r>
        <w:rPr>
          <w:rFonts w:ascii="Times New Roman" w:cs="Times New Roman" w:eastAsia="Times New Roman" w:hAnsi="Times New Roman"/>
          <w:sz w:val="19"/>
          <w:szCs w:val="19"/>
          <w:color w:val="auto"/>
        </w:rPr>
        <w:t xml:space="preserve">8.3 </w:t>
      </w:r>
      <w:r>
        <w:rPr>
          <w:rFonts w:ascii="Times New Roman" w:cs="Times New Roman" w:eastAsia="Times New Roman" w:hAnsi="Times New Roman"/>
          <w:sz w:val="19"/>
          <w:szCs w:val="19"/>
          <w:u w:val="single" w:color="auto"/>
          <w:color w:val="auto"/>
        </w:rPr>
        <w:t>Delivery</w:t>
      </w:r>
      <w:r>
        <w:rPr>
          <w:rFonts w:ascii="Times New Roman" w:cs="Times New Roman" w:eastAsia="Times New Roman" w:hAnsi="Times New Roman"/>
          <w:sz w:val="19"/>
          <w:szCs w:val="19"/>
          <w:color w:val="auto"/>
        </w:rPr>
        <w:t>. Unless otherwise expressly agreed by the Parties in writing, Seller shall deliver the Goods to the Delivery Location, using Seller's standard methods for packaging and shipping such Goods.</w:t>
      </w:r>
    </w:p>
    <w:p>
      <w:pPr>
        <w:spacing w:after="0" w:line="146" w:lineRule="exact"/>
        <w:rPr>
          <w:sz w:val="20"/>
          <w:szCs w:val="20"/>
          <w:color w:val="auto"/>
        </w:rPr>
      </w:pPr>
    </w:p>
    <w:p>
      <w:pPr>
        <w:jc w:val="both"/>
        <w:ind w:left="7" w:firstLine="599"/>
        <w:spacing w:after="0" w:line="276" w:lineRule="auto"/>
        <w:rPr>
          <w:sz w:val="20"/>
          <w:szCs w:val="20"/>
          <w:color w:val="auto"/>
        </w:rPr>
      </w:pPr>
      <w:r>
        <w:rPr>
          <w:rFonts w:ascii="Times New Roman" w:cs="Times New Roman" w:eastAsia="Times New Roman" w:hAnsi="Times New Roman"/>
          <w:sz w:val="19"/>
          <w:szCs w:val="19"/>
          <w:color w:val="auto"/>
        </w:rPr>
        <w:t xml:space="preserve">8.4 </w:t>
      </w:r>
      <w:r>
        <w:rPr>
          <w:rFonts w:ascii="Times New Roman" w:cs="Times New Roman" w:eastAsia="Times New Roman" w:hAnsi="Times New Roman"/>
          <w:sz w:val="19"/>
          <w:szCs w:val="19"/>
          <w:u w:val="single" w:color="auto"/>
          <w:color w:val="auto"/>
        </w:rPr>
        <w:t>Late Delivery</w:t>
      </w:r>
      <w:r>
        <w:rPr>
          <w:rFonts w:ascii="Times New Roman" w:cs="Times New Roman" w:eastAsia="Times New Roman" w:hAnsi="Times New Roman"/>
          <w:sz w:val="19"/>
          <w:szCs w:val="19"/>
          <w:color w:val="auto"/>
        </w:rPr>
        <w:t>. Any time quoted for delivery is an estimate only; provided, however, that Seller shall use commercially reasonable efforts to deliver all Goods on or before the Requested Delivery Date.</w:t>
      </w:r>
    </w:p>
    <w:p>
      <w:pPr>
        <w:spacing w:after="0" w:line="146" w:lineRule="exact"/>
        <w:rPr>
          <w:sz w:val="20"/>
          <w:szCs w:val="20"/>
          <w:color w:val="auto"/>
        </w:rPr>
      </w:pPr>
    </w:p>
    <w:p>
      <w:pPr>
        <w:ind w:left="607"/>
        <w:spacing w:after="0"/>
        <w:tabs>
          <w:tab w:leader="none" w:pos="1066" w:val="left"/>
        </w:tabs>
        <w:rPr>
          <w:sz w:val="20"/>
          <w:szCs w:val="20"/>
          <w:color w:val="auto"/>
        </w:rPr>
      </w:pPr>
      <w:r>
        <w:rPr>
          <w:rFonts w:ascii="Times New Roman" w:cs="Times New Roman" w:eastAsia="Times New Roman" w:hAnsi="Times New Roman"/>
          <w:sz w:val="19"/>
          <w:szCs w:val="19"/>
          <w:color w:val="auto"/>
        </w:rPr>
        <w:t>8.5</w:t>
      </w:r>
      <w:r>
        <w:rPr>
          <w:sz w:val="20"/>
          <w:szCs w:val="20"/>
          <w:color w:val="auto"/>
        </w:rPr>
        <w:tab/>
      </w:r>
      <w:r>
        <w:rPr>
          <w:rFonts w:ascii="Times New Roman" w:cs="Times New Roman" w:eastAsia="Times New Roman" w:hAnsi="Times New Roman"/>
          <w:sz w:val="18"/>
          <w:szCs w:val="18"/>
          <w:u w:val="single" w:color="auto"/>
          <w:color w:val="auto"/>
        </w:rPr>
        <w:t>Transfer of Title and Risk of Loss</w:t>
      </w:r>
      <w:r>
        <w:rPr>
          <w:rFonts w:ascii="Times New Roman" w:cs="Times New Roman" w:eastAsia="Times New Roman" w:hAnsi="Times New Roman"/>
          <w:sz w:val="18"/>
          <w:szCs w:val="18"/>
          <w:color w:val="auto"/>
        </w:rPr>
        <w:t>.</w:t>
      </w:r>
    </w:p>
    <w:p>
      <w:pPr>
        <w:spacing w:after="0" w:line="209" w:lineRule="exact"/>
        <w:rPr>
          <w:sz w:val="20"/>
          <w:szCs w:val="20"/>
          <w:color w:val="auto"/>
        </w:rPr>
      </w:pPr>
    </w:p>
    <w:p>
      <w:pPr>
        <w:ind w:left="607" w:firstLine="742"/>
        <w:spacing w:after="0" w:line="276" w:lineRule="auto"/>
        <w:tabs>
          <w:tab w:leader="none" w:pos="1596"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Title to Goods shipped under any Purchase Order passes to Buyer upon Seller's tender of the Goods to the carrier at Seller’s location.</w:t>
      </w:r>
    </w:p>
    <w:p>
      <w:pPr>
        <w:spacing w:after="0" w:line="146" w:lineRule="exact"/>
        <w:rPr>
          <w:sz w:val="20"/>
          <w:szCs w:val="20"/>
          <w:color w:val="auto"/>
        </w:rPr>
      </w:pPr>
    </w:p>
    <w:p>
      <w:pPr>
        <w:ind w:left="607" w:firstLine="749"/>
        <w:spacing w:after="0" w:line="276" w:lineRule="auto"/>
        <w:rPr>
          <w:sz w:val="20"/>
          <w:szCs w:val="20"/>
          <w:color w:val="auto"/>
        </w:rPr>
      </w:pPr>
      <w:r>
        <w:rPr>
          <w:rFonts w:ascii="Times New Roman" w:cs="Times New Roman" w:eastAsia="Times New Roman" w:hAnsi="Times New Roman"/>
          <w:sz w:val="19"/>
          <w:szCs w:val="19"/>
          <w:color w:val="auto"/>
        </w:rPr>
        <w:t>(b)Risk of loss to Goods shipped under any Purchase Order passes to Buyer upon Seller's tender of the Goods to the carrier at Seller’s location.</w:t>
      </w:r>
    </w:p>
    <w:p>
      <w:pPr>
        <w:spacing w:after="0" w:line="146" w:lineRule="exact"/>
        <w:rPr>
          <w:sz w:val="20"/>
          <w:szCs w:val="20"/>
          <w:color w:val="auto"/>
        </w:rPr>
      </w:pPr>
    </w:p>
    <w:p>
      <w:pPr>
        <w:jc w:val="both"/>
        <w:ind w:left="7" w:firstLine="599"/>
        <w:spacing w:after="0" w:line="246" w:lineRule="auto"/>
        <w:rPr>
          <w:sz w:val="20"/>
          <w:szCs w:val="20"/>
          <w:color w:val="auto"/>
        </w:rPr>
      </w:pPr>
      <w:r>
        <w:rPr>
          <w:rFonts w:ascii="Times New Roman" w:cs="Times New Roman" w:eastAsia="Times New Roman" w:hAnsi="Times New Roman"/>
          <w:sz w:val="19"/>
          <w:szCs w:val="19"/>
          <w:color w:val="auto"/>
        </w:rPr>
        <w:t xml:space="preserve">8.6 </w:t>
      </w:r>
      <w:r>
        <w:rPr>
          <w:rFonts w:ascii="Times New Roman" w:cs="Times New Roman" w:eastAsia="Times New Roman" w:hAnsi="Times New Roman"/>
          <w:sz w:val="19"/>
          <w:szCs w:val="19"/>
          <w:u w:val="single" w:color="auto"/>
          <w:color w:val="auto"/>
        </w:rPr>
        <w:t>Inspection</w:t>
      </w:r>
      <w:r>
        <w:rPr>
          <w:rFonts w:ascii="Times New Roman" w:cs="Times New Roman" w:eastAsia="Times New Roman" w:hAnsi="Times New Roman"/>
          <w:sz w:val="19"/>
          <w:szCs w:val="19"/>
          <w:color w:val="auto"/>
        </w:rPr>
        <w:t>. Buyer shall inspect Goods received under this Agreement within five Business Days receipt of such Goods ("</w:t>
      </w:r>
      <w:r>
        <w:rPr>
          <w:rFonts w:ascii="Times New Roman" w:cs="Times New Roman" w:eastAsia="Times New Roman" w:hAnsi="Times New Roman"/>
          <w:sz w:val="19"/>
          <w:szCs w:val="19"/>
          <w:b w:val="1"/>
          <w:bCs w:val="1"/>
          <w:color w:val="auto"/>
        </w:rPr>
        <w:t>Inspection Period</w:t>
      </w:r>
      <w:r>
        <w:rPr>
          <w:rFonts w:ascii="Times New Roman" w:cs="Times New Roman" w:eastAsia="Times New Roman" w:hAnsi="Times New Roman"/>
          <w:sz w:val="19"/>
          <w:szCs w:val="19"/>
          <w:color w:val="auto"/>
        </w:rPr>
        <w:t>") and either accept or, only if any such Goods are Nonconforming Goods, reject such Goods. Buyer will be deemed to have accepted Goods unless it provides Seller with written Notice of any Nonconforming Goods within five days following the Inspection Period, stating with specificity all defects and nonconformities, and furnishing such other written evidence or other documentation as may be reasonably required by Seller (including the subject Goods, or a representative sample thereof, which Buyer contends are Nonconforming Goods). All defects and nonconformities that are not so specified will be deemed waived by Buyer, such Goods shall be deemed to have been accepted by Buyer, and no attempted revocation of acceptance will be effective. If Buyer timely notifies Seller of any Nonconforming Goods, Seller shall determine, in its reasonable discretion, whether the Goods are Nonconforming Goods. If Seller determines that such Goods are Nonconforming Goods, Seller shall, in its sole discretion, either:</w:t>
      </w: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2B3486"/>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558165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787"/>
          </w:cols>
          <w:pgMar w:left="773" w:top="1440" w:right="339" w:bottom="1440" w:gutter="0" w:footer="0" w:header="0"/>
        </w:sectPr>
      </w:pPr>
    </w:p>
    <w:bookmarkStart w:id="9" w:name="page10"/>
    <w:bookmarkEnd w:id="9"/>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327660</wp:posOffset>
            </wp:positionV>
            <wp:extent cx="494030" cy="5924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494030" cy="592455"/>
                    </a:xfrm>
                    <a:prstGeom prst="rect">
                      <a:avLst/>
                    </a:prstGeom>
                    <a:noFill/>
                  </pic:spPr>
                </pic:pic>
              </a:graphicData>
            </a:graphic>
          </wp:anchor>
        </w:drawing>
      </w:r>
    </w:p>
    <w:p>
      <w:pPr>
        <w:ind w:left="1347"/>
        <w:spacing w:after="0"/>
        <w:rPr>
          <w:sz w:val="20"/>
          <w:szCs w:val="20"/>
          <w:color w:val="auto"/>
        </w:rPr>
      </w:pPr>
      <w:r>
        <w:rPr>
          <w:rFonts w:ascii="Times New Roman" w:cs="Times New Roman" w:eastAsia="Times New Roman" w:hAnsi="Times New Roman"/>
          <w:sz w:val="19"/>
          <w:szCs w:val="19"/>
          <w:color w:val="auto"/>
        </w:rPr>
        <w:t>(a) replace such Nonconforming Goods with conforming Goods; or</w:t>
      </w:r>
    </w:p>
    <w:p>
      <w:pPr>
        <w:spacing w:after="0" w:line="209" w:lineRule="exact"/>
        <w:rPr>
          <w:sz w:val="20"/>
          <w:szCs w:val="20"/>
          <w:color w:val="auto"/>
        </w:rPr>
      </w:pPr>
    </w:p>
    <w:p>
      <w:pPr>
        <w:ind w:left="1347"/>
        <w:spacing w:after="0"/>
        <w:rPr>
          <w:sz w:val="20"/>
          <w:szCs w:val="20"/>
          <w:color w:val="auto"/>
        </w:rPr>
      </w:pPr>
      <w:r>
        <w:rPr>
          <w:rFonts w:ascii="Times New Roman" w:cs="Times New Roman" w:eastAsia="Times New Roman" w:hAnsi="Times New Roman"/>
          <w:sz w:val="19"/>
          <w:szCs w:val="19"/>
          <w:color w:val="auto"/>
        </w:rPr>
        <w:t>(b)refund to Buyer such amount paid by Buyer to Seller for such Nonconforming Goods returned by Buyer to Seller.</w:t>
      </w:r>
    </w:p>
    <w:p>
      <w:pPr>
        <w:spacing w:after="0" w:line="209" w:lineRule="exact"/>
        <w:rPr>
          <w:sz w:val="20"/>
          <w:szCs w:val="20"/>
          <w:color w:val="auto"/>
        </w:rPr>
      </w:pPr>
    </w:p>
    <w:p>
      <w:pPr>
        <w:jc w:val="both"/>
        <w:ind w:left="607" w:firstLine="1499"/>
        <w:spacing w:after="0" w:line="259" w:lineRule="auto"/>
        <w:rPr>
          <w:sz w:val="20"/>
          <w:szCs w:val="20"/>
          <w:color w:val="auto"/>
        </w:rPr>
      </w:pPr>
      <w:r>
        <w:rPr>
          <w:rFonts w:ascii="Times New Roman" w:cs="Times New Roman" w:eastAsia="Times New Roman" w:hAnsi="Times New Roman"/>
          <w:sz w:val="19"/>
          <w:szCs w:val="19"/>
          <w:color w:val="auto"/>
        </w:rPr>
        <w:t>Buyer shall ship, at Buyer's expense and risk of loss, all Nonconforming Goods to Seller's facility or to such other location as Seller may instruct Buyer in writing. If Seller exercises its option to replace Nonconforming Goods, Seller shall ship to the Delivery Location, at Seller's expense and risk of loss, the replacement Goods.</w:t>
      </w:r>
    </w:p>
    <w:p>
      <w:pPr>
        <w:spacing w:after="0" w:line="161" w:lineRule="exact"/>
        <w:rPr>
          <w:sz w:val="20"/>
          <w:szCs w:val="20"/>
          <w:color w:val="auto"/>
        </w:rPr>
      </w:pPr>
    </w:p>
    <w:p>
      <w:pPr>
        <w:jc w:val="both"/>
        <w:ind w:left="607" w:firstLine="1499"/>
        <w:spacing w:after="0" w:line="259" w:lineRule="auto"/>
        <w:rPr>
          <w:sz w:val="20"/>
          <w:szCs w:val="20"/>
          <w:color w:val="auto"/>
        </w:rPr>
      </w:pPr>
      <w:r>
        <w:rPr>
          <w:rFonts w:ascii="Times New Roman" w:cs="Times New Roman" w:eastAsia="Times New Roman" w:hAnsi="Times New Roman"/>
          <w:sz w:val="19"/>
          <w:szCs w:val="19"/>
          <w:color w:val="auto"/>
        </w:rPr>
        <w:t>THE REMEDIES SET FORTH IN THIS SECTION ARE BUYER'S EXCLUSIVE REMEDY FOR THE DELIVERY OF NONCONFORMING GOODS, SUBJECT TO BUYER'S RIGHTS UNDER SECTION 13.5 WITH RESPECT TO ANY SUCH GOODS FOR WHICH BUYER HAS ACCEPTED DELIVERY UNDER THIS SECTION.</w:t>
      </w:r>
    </w:p>
    <w:p>
      <w:pPr>
        <w:spacing w:after="0" w:line="161" w:lineRule="exact"/>
        <w:rPr>
          <w:sz w:val="20"/>
          <w:szCs w:val="20"/>
          <w:color w:val="auto"/>
        </w:rPr>
      </w:pPr>
    </w:p>
    <w:p>
      <w:pPr>
        <w:ind w:left="7" w:firstLine="599"/>
        <w:spacing w:after="0" w:line="276" w:lineRule="auto"/>
        <w:rPr>
          <w:sz w:val="20"/>
          <w:szCs w:val="20"/>
          <w:color w:val="auto"/>
        </w:rPr>
      </w:pPr>
      <w:r>
        <w:rPr>
          <w:rFonts w:ascii="Times New Roman" w:cs="Times New Roman" w:eastAsia="Times New Roman" w:hAnsi="Times New Roman"/>
          <w:sz w:val="19"/>
          <w:szCs w:val="19"/>
          <w:color w:val="auto"/>
        </w:rPr>
        <w:t xml:space="preserve">8.7 </w:t>
      </w:r>
      <w:r>
        <w:rPr>
          <w:rFonts w:ascii="Times New Roman" w:cs="Times New Roman" w:eastAsia="Times New Roman" w:hAnsi="Times New Roman"/>
          <w:sz w:val="19"/>
          <w:szCs w:val="19"/>
          <w:u w:val="single" w:color="auto"/>
          <w:color w:val="auto"/>
        </w:rPr>
        <w:t>Limited Right of Return</w:t>
      </w:r>
      <w:r>
        <w:rPr>
          <w:rFonts w:ascii="Times New Roman" w:cs="Times New Roman" w:eastAsia="Times New Roman" w:hAnsi="Times New Roman"/>
          <w:sz w:val="19"/>
          <w:szCs w:val="19"/>
          <w:color w:val="auto"/>
        </w:rPr>
        <w:t>. Except as provided under Section 8.6, Section 13.5, and Section 13.7, Buyer has no right to return Goods shipped to Buyer pursuant to this Agreement.</w:t>
      </w:r>
    </w:p>
    <w:p>
      <w:pPr>
        <w:spacing w:after="0" w:line="146" w:lineRule="exact"/>
        <w:rPr>
          <w:sz w:val="20"/>
          <w:szCs w:val="20"/>
          <w:color w:val="auto"/>
        </w:rPr>
      </w:pPr>
    </w:p>
    <w:p>
      <w:pPr>
        <w:ind w:left="567" w:hanging="567"/>
        <w:spacing w:after="0"/>
        <w:tabs>
          <w:tab w:leader="none" w:pos="567"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Price and Payment</w:t>
      </w:r>
      <w:r>
        <w:rPr>
          <w:rFonts w:ascii="Times New Roman" w:cs="Times New Roman" w:eastAsia="Times New Roman" w:hAnsi="Times New Roman"/>
          <w:sz w:val="19"/>
          <w:szCs w:val="19"/>
          <w:color w:val="auto"/>
        </w:rPr>
        <w:t>.</w:t>
      </w:r>
    </w:p>
    <w:p>
      <w:pPr>
        <w:spacing w:after="0" w:line="209" w:lineRule="exact"/>
        <w:rPr>
          <w:sz w:val="20"/>
          <w:szCs w:val="20"/>
          <w:color w:val="auto"/>
        </w:rPr>
      </w:pPr>
    </w:p>
    <w:p>
      <w:pPr>
        <w:jc w:val="both"/>
        <w:ind w:left="7" w:firstLine="599"/>
        <w:spacing w:after="0" w:line="253" w:lineRule="auto"/>
        <w:rPr>
          <w:sz w:val="20"/>
          <w:szCs w:val="20"/>
          <w:color w:val="auto"/>
        </w:rPr>
      </w:pPr>
      <w:r>
        <w:rPr>
          <w:rFonts w:ascii="Times New Roman" w:cs="Times New Roman" w:eastAsia="Times New Roman" w:hAnsi="Times New Roman"/>
          <w:sz w:val="19"/>
          <w:szCs w:val="19"/>
          <w:color w:val="auto"/>
        </w:rPr>
        <w:t xml:space="preserve">9.1 </w:t>
      </w:r>
      <w:r>
        <w:rPr>
          <w:rFonts w:ascii="Times New Roman" w:cs="Times New Roman" w:eastAsia="Times New Roman" w:hAnsi="Times New Roman"/>
          <w:sz w:val="19"/>
          <w:szCs w:val="19"/>
          <w:u w:val="single" w:color="auto"/>
          <w:color w:val="auto"/>
        </w:rPr>
        <w:t>Price</w:t>
      </w:r>
      <w:r>
        <w:rPr>
          <w:rFonts w:ascii="Times New Roman" w:cs="Times New Roman" w:eastAsia="Times New Roman" w:hAnsi="Times New Roman"/>
          <w:sz w:val="19"/>
          <w:szCs w:val="19"/>
          <w:color w:val="auto"/>
        </w:rPr>
        <w:t>. Buyer shall purchase the Goods from Seller at 110% of Seller’s cost to manufacture the Goods (“Seller’s Cost”). An estimate of Seller’s Cost is attached as Schedule B. For any Goods not listed in Schedule B as of the Effective Date, Seller shall use commercially reasonable efforts to provide an updated Schedule B covering all Goods under this Agreement. Seller shall promptly provide a revised Schedule B upon any material change to Seller's Cost.</w:t>
      </w:r>
    </w:p>
    <w:p>
      <w:pPr>
        <w:spacing w:after="0" w:line="168" w:lineRule="exact"/>
        <w:rPr>
          <w:sz w:val="20"/>
          <w:szCs w:val="20"/>
          <w:color w:val="auto"/>
        </w:rPr>
      </w:pPr>
    </w:p>
    <w:p>
      <w:pPr>
        <w:jc w:val="both"/>
        <w:ind w:left="7" w:firstLine="599"/>
        <w:spacing w:after="0" w:line="259" w:lineRule="auto"/>
        <w:rPr>
          <w:sz w:val="20"/>
          <w:szCs w:val="20"/>
          <w:color w:val="auto"/>
        </w:rPr>
      </w:pPr>
      <w:r>
        <w:rPr>
          <w:rFonts w:ascii="Times New Roman" w:cs="Times New Roman" w:eastAsia="Times New Roman" w:hAnsi="Times New Roman"/>
          <w:sz w:val="19"/>
          <w:szCs w:val="19"/>
          <w:color w:val="auto"/>
        </w:rPr>
        <w:t xml:space="preserve">9.2 </w:t>
      </w:r>
      <w:r>
        <w:rPr>
          <w:rFonts w:ascii="Times New Roman" w:cs="Times New Roman" w:eastAsia="Times New Roman" w:hAnsi="Times New Roman"/>
          <w:sz w:val="19"/>
          <w:szCs w:val="19"/>
          <w:u w:val="single" w:color="auto"/>
          <w:color w:val="auto"/>
        </w:rPr>
        <w:t>Shipping Charges, Insurance, and Taxes</w:t>
      </w:r>
      <w:r>
        <w:rPr>
          <w:rFonts w:ascii="Times New Roman" w:cs="Times New Roman" w:eastAsia="Times New Roman" w:hAnsi="Times New Roman"/>
          <w:sz w:val="19"/>
          <w:szCs w:val="19"/>
          <w:color w:val="auto"/>
        </w:rPr>
        <w:t>. Buyer shall pay for all shipping charges and insurance costs for all Goods purchased under this Agreement. In addition, all Prices are exclusive of, and Buyer is solely responsible for and shall pay all Taxes, with respect to, or measured by, the manufacture, sale, shipment, use, or Price of the Goods (including interest and penalties thereon).</w:t>
      </w:r>
    </w:p>
    <w:p>
      <w:pPr>
        <w:spacing w:after="0" w:line="161" w:lineRule="exact"/>
        <w:rPr>
          <w:sz w:val="20"/>
          <w:szCs w:val="20"/>
          <w:color w:val="auto"/>
        </w:rPr>
      </w:pPr>
    </w:p>
    <w:p>
      <w:pPr>
        <w:jc w:val="both"/>
        <w:ind w:left="7" w:firstLine="599"/>
        <w:spacing w:after="0" w:line="259" w:lineRule="auto"/>
        <w:rPr>
          <w:sz w:val="20"/>
          <w:szCs w:val="20"/>
          <w:color w:val="auto"/>
        </w:rPr>
      </w:pPr>
      <w:r>
        <w:rPr>
          <w:rFonts w:ascii="Times New Roman" w:cs="Times New Roman" w:eastAsia="Times New Roman" w:hAnsi="Times New Roman"/>
          <w:sz w:val="19"/>
          <w:szCs w:val="19"/>
          <w:color w:val="auto"/>
        </w:rPr>
        <w:t xml:space="preserve">9.3 </w:t>
      </w:r>
      <w:r>
        <w:rPr>
          <w:rFonts w:ascii="Times New Roman" w:cs="Times New Roman" w:eastAsia="Times New Roman" w:hAnsi="Times New Roman"/>
          <w:sz w:val="19"/>
          <w:szCs w:val="19"/>
          <w:u w:val="single" w:color="auto"/>
          <w:color w:val="auto"/>
        </w:rPr>
        <w:t>Payment Terms</w:t>
      </w:r>
      <w:r>
        <w:rPr>
          <w:rFonts w:ascii="Times New Roman" w:cs="Times New Roman" w:eastAsia="Times New Roman" w:hAnsi="Times New Roman"/>
          <w:sz w:val="19"/>
          <w:szCs w:val="19"/>
          <w:color w:val="auto"/>
        </w:rPr>
        <w:t>. Seller shall issue monthly invoices to Buyer for all Goods ordered by Buyer in the previous month. Buyer shall pay to Seller all invoiced amounts within thirty days of Buyer's receipt of such invoice. Buyer shall make all payments in US dollars by check or wire transfer.</w:t>
      </w:r>
    </w:p>
    <w:p>
      <w:pPr>
        <w:spacing w:after="0" w:line="161" w:lineRule="exact"/>
        <w:rPr>
          <w:sz w:val="20"/>
          <w:szCs w:val="20"/>
          <w:color w:val="auto"/>
        </w:rPr>
      </w:pPr>
    </w:p>
    <w:p>
      <w:pPr>
        <w:jc w:val="both"/>
        <w:ind w:left="7" w:firstLine="599"/>
        <w:spacing w:after="0" w:line="248" w:lineRule="auto"/>
        <w:rPr>
          <w:sz w:val="20"/>
          <w:szCs w:val="20"/>
          <w:color w:val="auto"/>
        </w:rPr>
      </w:pPr>
      <w:r>
        <w:rPr>
          <w:rFonts w:ascii="Times New Roman" w:cs="Times New Roman" w:eastAsia="Times New Roman" w:hAnsi="Times New Roman"/>
          <w:sz w:val="19"/>
          <w:szCs w:val="19"/>
          <w:color w:val="auto"/>
        </w:rPr>
        <w:t xml:space="preserve">9.4 </w:t>
      </w:r>
      <w:r>
        <w:rPr>
          <w:rFonts w:ascii="Times New Roman" w:cs="Times New Roman" w:eastAsia="Times New Roman" w:hAnsi="Times New Roman"/>
          <w:sz w:val="19"/>
          <w:szCs w:val="19"/>
          <w:u w:val="single" w:color="auto"/>
          <w:color w:val="auto"/>
        </w:rPr>
        <w:t>Invoice Disputes</w:t>
      </w:r>
      <w:r>
        <w:rPr>
          <w:rFonts w:ascii="Times New Roman" w:cs="Times New Roman" w:eastAsia="Times New Roman" w:hAnsi="Times New Roman"/>
          <w:sz w:val="19"/>
          <w:szCs w:val="19"/>
          <w:color w:val="auto"/>
        </w:rPr>
        <w:t>. Buyer shall notify Seller in writing of any dispute with any invoice (along with substantiating documentation and a reasonably detailed description of the dispute) within five Business Days from Buyer's receipt of such invoice. Buyer will be deemed to have accepted all invoices for which Seller does not receive timely notification of dispute and shall pay all undisputed amounts due under such invoices within the period set forth in Section 9.3. The Parties shall seek to resolve any such disputes expeditiously. Notwithstanding anything to the contrary, Buyer shall continue performing its obligations under this Agreement during any such dispute, including Buyer's obligation to pay all due and undisputed invoice amounts in accordance with the terms of this Agreement.</w:t>
      </w:r>
    </w:p>
    <w:p>
      <w:pPr>
        <w:spacing w:after="0" w:line="175" w:lineRule="exact"/>
        <w:rPr>
          <w:sz w:val="20"/>
          <w:szCs w:val="20"/>
          <w:color w:val="auto"/>
        </w:rPr>
      </w:pPr>
    </w:p>
    <w:p>
      <w:pPr>
        <w:jc w:val="both"/>
        <w:ind w:left="7" w:firstLine="599"/>
        <w:spacing w:after="0" w:line="253" w:lineRule="auto"/>
        <w:rPr>
          <w:sz w:val="20"/>
          <w:szCs w:val="20"/>
          <w:color w:val="auto"/>
        </w:rPr>
      </w:pPr>
      <w:r>
        <w:rPr>
          <w:rFonts w:ascii="Times New Roman" w:cs="Times New Roman" w:eastAsia="Times New Roman" w:hAnsi="Times New Roman"/>
          <w:sz w:val="19"/>
          <w:szCs w:val="19"/>
          <w:color w:val="auto"/>
        </w:rPr>
        <w:t xml:space="preserve">9.5 </w:t>
      </w:r>
      <w:r>
        <w:rPr>
          <w:rFonts w:ascii="Times New Roman" w:cs="Times New Roman" w:eastAsia="Times New Roman" w:hAnsi="Times New Roman"/>
          <w:sz w:val="19"/>
          <w:szCs w:val="19"/>
          <w:u w:val="single" w:color="auto"/>
          <w:color w:val="auto"/>
        </w:rPr>
        <w:t>Late Payments</w:t>
      </w:r>
      <w:r>
        <w:rPr>
          <w:rFonts w:ascii="Times New Roman" w:cs="Times New Roman" w:eastAsia="Times New Roman" w:hAnsi="Times New Roman"/>
          <w:sz w:val="19"/>
          <w:szCs w:val="19"/>
          <w:color w:val="auto"/>
        </w:rPr>
        <w:t>. Except for invoiced payments that Buyer has successfully disputed, Buyer shall pay interest on all late payments (whether during the Term or after the expiration or earlier termination of the Term), calculated daily and compounded monthly, at the lesser of the rate of 1.5% per month or the highest rate permissible under applicable Law. Buyer shall also reimburse Seller for all costs incurred by Seller in collecting any late payments, including attorneys' fees and court costs.</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2B3486"/>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558165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787"/>
          </w:cols>
          <w:pgMar w:left="773" w:top="1440" w:right="339" w:bottom="1440" w:gutter="0" w:footer="0" w:header="0"/>
        </w:sectPr>
      </w:pPr>
    </w:p>
    <w:bookmarkStart w:id="10" w:name="page11"/>
    <w:bookmarkEnd w:id="10"/>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327660</wp:posOffset>
            </wp:positionV>
            <wp:extent cx="494030" cy="5924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494030" cy="592455"/>
                    </a:xfrm>
                    <a:prstGeom prst="rect">
                      <a:avLst/>
                    </a:prstGeom>
                    <a:noFill/>
                  </pic:spPr>
                </pic:pic>
              </a:graphicData>
            </a:graphic>
          </wp:anchor>
        </w:drawing>
      </w:r>
    </w:p>
    <w:p>
      <w:pPr>
        <w:jc w:val="both"/>
        <w:ind w:left="7"/>
        <w:spacing w:after="0" w:line="253" w:lineRule="auto"/>
        <w:rPr>
          <w:sz w:val="20"/>
          <w:szCs w:val="20"/>
          <w:color w:val="auto"/>
        </w:rPr>
      </w:pPr>
      <w:r>
        <w:rPr>
          <w:rFonts w:ascii="Times New Roman" w:cs="Times New Roman" w:eastAsia="Times New Roman" w:hAnsi="Times New Roman"/>
          <w:sz w:val="19"/>
          <w:szCs w:val="19"/>
          <w:color w:val="auto"/>
        </w:rPr>
        <w:t>In addition to all other remedies available under this Agreement or at Law (which Seller does not waive by the exercise of any rights under this Agreement), if Buyer fails to pay any undisputed amounts when due under this Agreement, Seller may (a) suspend the delivery of any Goods, (b) reject Buyer's Purchase Orders or cancel accepted Purchase Orders pursuant to the terms of Section 7.3 or (c) terminate this Agreement pursuant to the terms of Sections 10.3-10.4.</w:t>
      </w:r>
    </w:p>
    <w:p>
      <w:pPr>
        <w:spacing w:after="0" w:line="168" w:lineRule="exact"/>
        <w:rPr>
          <w:sz w:val="20"/>
          <w:szCs w:val="20"/>
          <w:color w:val="auto"/>
        </w:rPr>
      </w:pPr>
    </w:p>
    <w:p>
      <w:pPr>
        <w:jc w:val="both"/>
        <w:ind w:left="7" w:firstLine="599"/>
        <w:spacing w:after="0" w:line="250" w:lineRule="auto"/>
        <w:rPr>
          <w:sz w:val="20"/>
          <w:szCs w:val="20"/>
          <w:color w:val="auto"/>
        </w:rPr>
      </w:pPr>
      <w:r>
        <w:rPr>
          <w:rFonts w:ascii="Times New Roman" w:cs="Times New Roman" w:eastAsia="Times New Roman" w:hAnsi="Times New Roman"/>
          <w:sz w:val="19"/>
          <w:szCs w:val="19"/>
          <w:color w:val="auto"/>
        </w:rPr>
        <w:t xml:space="preserve">9.6 </w:t>
      </w:r>
      <w:r>
        <w:rPr>
          <w:rFonts w:ascii="Times New Roman" w:cs="Times New Roman" w:eastAsia="Times New Roman" w:hAnsi="Times New Roman"/>
          <w:sz w:val="19"/>
          <w:szCs w:val="19"/>
          <w:u w:val="single" w:color="auto"/>
          <w:color w:val="auto"/>
        </w:rPr>
        <w:t>No Set-off Right</w:t>
      </w:r>
      <w:r>
        <w:rPr>
          <w:rFonts w:ascii="Times New Roman" w:cs="Times New Roman" w:eastAsia="Times New Roman" w:hAnsi="Times New Roman"/>
          <w:sz w:val="19"/>
          <w:szCs w:val="19"/>
          <w:color w:val="auto"/>
        </w:rPr>
        <w:t>. Buyer shall not, and acknowledges that it will have no right, under this Agreement, any Purchase Order, any other agreement, document or Law to, withhold, offset, recoup or debit any amounts owed (or to become due and owing) to Seller or any of its Affiliates, whether under this Agreement or otherwise, against any other amount owed (or to become due and owing) to it by Seller or Seller's Affiliates, whether relating to Seller's or its Affiliates' breach or non-performance of this Agreement, any Purchase Order, any other agreement between (a) Buyer or any of its Affiliates and (b) Seller or any of its Affiliates, or otherwise.</w:t>
      </w:r>
    </w:p>
    <w:p>
      <w:pPr>
        <w:spacing w:after="0" w:line="172" w:lineRule="exact"/>
        <w:rPr>
          <w:sz w:val="20"/>
          <w:szCs w:val="20"/>
          <w:color w:val="auto"/>
        </w:rPr>
      </w:pPr>
    </w:p>
    <w:p>
      <w:pPr>
        <w:ind w:left="567" w:hanging="567"/>
        <w:spacing w:after="0"/>
        <w:tabs>
          <w:tab w:leader="none" w:pos="567"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 Termination</w:t>
      </w:r>
      <w:r>
        <w:rPr>
          <w:rFonts w:ascii="Times New Roman" w:cs="Times New Roman" w:eastAsia="Times New Roman" w:hAnsi="Times New Roman"/>
          <w:sz w:val="19"/>
          <w:szCs w:val="19"/>
          <w:color w:val="auto"/>
        </w:rPr>
        <w:t>.</w:t>
      </w:r>
    </w:p>
    <w:p>
      <w:pPr>
        <w:spacing w:after="0" w:line="209" w:lineRule="exact"/>
        <w:rPr>
          <w:sz w:val="20"/>
          <w:szCs w:val="20"/>
          <w:color w:val="auto"/>
        </w:rPr>
      </w:pPr>
    </w:p>
    <w:p>
      <w:pPr>
        <w:ind w:left="7" w:firstLine="599"/>
        <w:spacing w:after="0" w:line="276" w:lineRule="auto"/>
        <w:rPr>
          <w:sz w:val="20"/>
          <w:szCs w:val="20"/>
          <w:color w:val="auto"/>
        </w:rPr>
      </w:pPr>
      <w:r>
        <w:rPr>
          <w:rFonts w:ascii="Times New Roman" w:cs="Times New Roman" w:eastAsia="Times New Roman" w:hAnsi="Times New Roman"/>
          <w:sz w:val="19"/>
          <w:szCs w:val="19"/>
          <w:color w:val="auto"/>
        </w:rPr>
        <w:t xml:space="preserve">10.1 </w:t>
      </w:r>
      <w:r>
        <w:rPr>
          <w:rFonts w:ascii="Times New Roman" w:cs="Times New Roman" w:eastAsia="Times New Roman" w:hAnsi="Times New Roman"/>
          <w:sz w:val="19"/>
          <w:szCs w:val="19"/>
          <w:u w:val="single" w:color="auto"/>
          <w:color w:val="auto"/>
        </w:rPr>
        <w:t>Initial Term</w:t>
      </w:r>
      <w:r>
        <w:rPr>
          <w:rFonts w:ascii="Times New Roman" w:cs="Times New Roman" w:eastAsia="Times New Roman" w:hAnsi="Times New Roman"/>
          <w:sz w:val="19"/>
          <w:szCs w:val="19"/>
          <w:color w:val="auto"/>
        </w:rPr>
        <w:t>. The term of this Agreement commences on the Effective Date and continues for a period of ten years unless it is earlier terminated pursuant to the terms of this Agreement or applicable Law (the "</w:t>
      </w:r>
      <w:r>
        <w:rPr>
          <w:rFonts w:ascii="Times New Roman" w:cs="Times New Roman" w:eastAsia="Times New Roman" w:hAnsi="Times New Roman"/>
          <w:sz w:val="19"/>
          <w:szCs w:val="19"/>
          <w:b w:val="1"/>
          <w:bCs w:val="1"/>
          <w:color w:val="auto"/>
        </w:rPr>
        <w:t>Initial Term</w:t>
      </w:r>
      <w:r>
        <w:rPr>
          <w:rFonts w:ascii="Times New Roman" w:cs="Times New Roman" w:eastAsia="Times New Roman" w:hAnsi="Times New Roman"/>
          <w:sz w:val="19"/>
          <w:szCs w:val="19"/>
          <w:color w:val="auto"/>
        </w:rPr>
        <w:t>").</w:t>
      </w:r>
    </w:p>
    <w:p>
      <w:pPr>
        <w:spacing w:after="0" w:line="146" w:lineRule="exact"/>
        <w:rPr>
          <w:sz w:val="20"/>
          <w:szCs w:val="20"/>
          <w:color w:val="auto"/>
        </w:rPr>
      </w:pPr>
    </w:p>
    <w:p>
      <w:pPr>
        <w:ind w:left="7" w:firstLine="599"/>
        <w:spacing w:after="0" w:line="276" w:lineRule="auto"/>
        <w:rPr>
          <w:sz w:val="20"/>
          <w:szCs w:val="20"/>
          <w:color w:val="auto"/>
        </w:rPr>
      </w:pPr>
      <w:r>
        <w:rPr>
          <w:rFonts w:ascii="Times New Roman" w:cs="Times New Roman" w:eastAsia="Times New Roman" w:hAnsi="Times New Roman"/>
          <w:sz w:val="19"/>
          <w:szCs w:val="19"/>
          <w:color w:val="auto"/>
        </w:rPr>
        <w:t xml:space="preserve">10.2 </w:t>
      </w:r>
      <w:r>
        <w:rPr>
          <w:rFonts w:ascii="Times New Roman" w:cs="Times New Roman" w:eastAsia="Times New Roman" w:hAnsi="Times New Roman"/>
          <w:sz w:val="19"/>
          <w:szCs w:val="19"/>
          <w:u w:val="single" w:color="auto"/>
          <w:color w:val="auto"/>
        </w:rPr>
        <w:t>Renewal Term</w:t>
      </w:r>
      <w:r>
        <w:rPr>
          <w:rFonts w:ascii="Times New Roman" w:cs="Times New Roman" w:eastAsia="Times New Roman" w:hAnsi="Times New Roman"/>
          <w:sz w:val="19"/>
          <w:szCs w:val="19"/>
          <w:color w:val="auto"/>
        </w:rPr>
        <w:t>. Upon expiration of the Initial Term, this agreement will renew if, and to the same extent as, the Distribution Agreement renews (the “</w:t>
      </w:r>
      <w:r>
        <w:rPr>
          <w:rFonts w:ascii="Times New Roman" w:cs="Times New Roman" w:eastAsia="Times New Roman" w:hAnsi="Times New Roman"/>
          <w:sz w:val="19"/>
          <w:szCs w:val="19"/>
          <w:b w:val="1"/>
          <w:bCs w:val="1"/>
          <w:color w:val="auto"/>
        </w:rPr>
        <w:t>Renewal Term</w:t>
      </w:r>
      <w:r>
        <w:rPr>
          <w:rFonts w:ascii="Times New Roman" w:cs="Times New Roman" w:eastAsia="Times New Roman" w:hAnsi="Times New Roman"/>
          <w:sz w:val="19"/>
          <w:szCs w:val="19"/>
          <w:color w:val="auto"/>
        </w:rPr>
        <w:t>”).</w:t>
      </w:r>
    </w:p>
    <w:p>
      <w:pPr>
        <w:spacing w:after="0" w:line="146" w:lineRule="exact"/>
        <w:rPr>
          <w:sz w:val="20"/>
          <w:szCs w:val="20"/>
          <w:color w:val="auto"/>
        </w:rPr>
      </w:pPr>
    </w:p>
    <w:p>
      <w:pPr>
        <w:jc w:val="both"/>
        <w:ind w:left="7" w:right="80" w:firstLine="599"/>
        <w:spacing w:after="0" w:line="280"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Mutual Termination Rights</w:t>
      </w:r>
      <w:r>
        <w:rPr>
          <w:rFonts w:ascii="Times New Roman" w:cs="Times New Roman" w:eastAsia="Times New Roman" w:hAnsi="Times New Roman"/>
          <w:sz w:val="18"/>
          <w:szCs w:val="18"/>
          <w:color w:val="auto"/>
        </w:rPr>
        <w:t>. Either Party may terminate this Agreement upon prior written notice to the other Party if the other Party is in material breach of this Agreement and either the breach cannot be cured or, if the breach can be cured, it is not cured within forty-five days following the other Party's receipt of notice of such breach. Either Party may also terminate this Agreement if the other Party:</w:t>
      </w:r>
    </w:p>
    <w:p>
      <w:pPr>
        <w:spacing w:after="0" w:line="144" w:lineRule="exact"/>
        <w:rPr>
          <w:sz w:val="20"/>
          <w:szCs w:val="20"/>
          <w:color w:val="auto"/>
        </w:rPr>
      </w:pPr>
    </w:p>
    <w:p>
      <w:pPr>
        <w:ind w:left="1347"/>
        <w:spacing w:after="0"/>
        <w:rPr>
          <w:sz w:val="20"/>
          <w:szCs w:val="20"/>
          <w:color w:val="auto"/>
        </w:rPr>
      </w:pPr>
      <w:r>
        <w:rPr>
          <w:rFonts w:ascii="Times New Roman" w:cs="Times New Roman" w:eastAsia="Times New Roman" w:hAnsi="Times New Roman"/>
          <w:sz w:val="19"/>
          <w:szCs w:val="19"/>
          <w:color w:val="auto"/>
        </w:rPr>
        <w:t>(a) becomes insolvent or is generally unable to pay, or fails to pay, its debts as they become due;</w:t>
      </w:r>
    </w:p>
    <w:p>
      <w:pPr>
        <w:spacing w:after="0" w:line="209" w:lineRule="exact"/>
        <w:rPr>
          <w:sz w:val="20"/>
          <w:szCs w:val="20"/>
          <w:color w:val="auto"/>
        </w:rPr>
      </w:pPr>
    </w:p>
    <w:p>
      <w:pPr>
        <w:ind w:left="607" w:right="80" w:firstLine="749"/>
        <w:spacing w:after="0" w:line="276" w:lineRule="auto"/>
        <w:rPr>
          <w:sz w:val="20"/>
          <w:szCs w:val="20"/>
          <w:color w:val="auto"/>
        </w:rPr>
      </w:pPr>
      <w:r>
        <w:rPr>
          <w:rFonts w:ascii="Times New Roman" w:cs="Times New Roman" w:eastAsia="Times New Roman" w:hAnsi="Times New Roman"/>
          <w:sz w:val="19"/>
          <w:szCs w:val="19"/>
          <w:color w:val="auto"/>
        </w:rPr>
        <w:t>(b)files or has filed against it, a petition for voluntary or involuntary bankruptcy or otherwise becomes subject, voluntarily, or involuntarily, to any proceeding under any domestic or foreign bankruptcy or insolvency law;</w:t>
      </w:r>
    </w:p>
    <w:p>
      <w:pPr>
        <w:spacing w:after="0" w:line="146" w:lineRule="exact"/>
        <w:rPr>
          <w:sz w:val="20"/>
          <w:szCs w:val="20"/>
          <w:color w:val="auto"/>
        </w:rPr>
      </w:pPr>
    </w:p>
    <w:p>
      <w:pPr>
        <w:ind w:left="607" w:right="300" w:firstLine="742"/>
        <w:spacing w:after="0" w:line="276" w:lineRule="auto"/>
        <w:tabs>
          <w:tab w:leader="none" w:pos="1596"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seeks reorganization, arrangement, adjustment, winding-up, liquidation, dissolution, composition, or other relief with respect to it or its debts;</w:t>
      </w:r>
    </w:p>
    <w:p>
      <w:pPr>
        <w:spacing w:after="0" w:line="146" w:lineRule="exact"/>
        <w:rPr>
          <w:sz w:val="20"/>
          <w:szCs w:val="20"/>
          <w:color w:val="auto"/>
        </w:rPr>
      </w:pPr>
    </w:p>
    <w:p>
      <w:pPr>
        <w:ind w:left="1347"/>
        <w:spacing w:after="0"/>
        <w:rPr>
          <w:sz w:val="20"/>
          <w:szCs w:val="20"/>
          <w:color w:val="auto"/>
        </w:rPr>
      </w:pPr>
      <w:r>
        <w:rPr>
          <w:rFonts w:ascii="Times New Roman" w:cs="Times New Roman" w:eastAsia="Times New Roman" w:hAnsi="Times New Roman"/>
          <w:sz w:val="19"/>
          <w:szCs w:val="19"/>
          <w:color w:val="auto"/>
        </w:rPr>
        <w:t>(d)makes or seeks to make a general assignment for the benefit of its creditors;</w:t>
      </w:r>
    </w:p>
    <w:p>
      <w:pPr>
        <w:spacing w:after="0" w:line="209" w:lineRule="exact"/>
        <w:rPr>
          <w:sz w:val="20"/>
          <w:szCs w:val="20"/>
          <w:color w:val="auto"/>
        </w:rPr>
      </w:pPr>
    </w:p>
    <w:p>
      <w:pPr>
        <w:ind w:left="607" w:right="880" w:firstLine="742"/>
        <w:spacing w:after="0" w:line="276" w:lineRule="auto"/>
        <w:tabs>
          <w:tab w:leader="none" w:pos="1596"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applies for or has a receiver, trustee, custodian, or similar agent appointed by order of any court of competent jurisdiction to take charge of or sell any material portion of its property or business; or</w:t>
      </w:r>
    </w:p>
    <w:p>
      <w:pPr>
        <w:spacing w:after="0" w:line="145" w:lineRule="exact"/>
        <w:rPr>
          <w:rFonts w:ascii="Times New Roman" w:cs="Times New Roman" w:eastAsia="Times New Roman" w:hAnsi="Times New Roman"/>
          <w:sz w:val="19"/>
          <w:szCs w:val="19"/>
          <w:color w:val="auto"/>
        </w:rPr>
      </w:pPr>
    </w:p>
    <w:p>
      <w:pPr>
        <w:ind w:left="607" w:right="400" w:firstLine="742"/>
        <w:spacing w:after="0" w:line="276" w:lineRule="auto"/>
        <w:tabs>
          <w:tab w:leader="none" w:pos="1596"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indicted under any Anti-Bribery Law or conducts itself in such a way that raises a reasonable suspicion that it has violated any Anti-Bribery Law as defined in Section 13.1.</w:t>
      </w: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2B3486"/>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558165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787"/>
          </w:cols>
          <w:pgMar w:left="773" w:top="1440" w:right="339" w:bottom="1440" w:gutter="0" w:footer="0" w:header="0"/>
        </w:sectPr>
      </w:pPr>
    </w:p>
    <w:bookmarkStart w:id="11" w:name="page12"/>
    <w:bookmarkEnd w:id="11"/>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327660</wp:posOffset>
            </wp:positionV>
            <wp:extent cx="494030" cy="5924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494030" cy="592455"/>
                    </a:xfrm>
                    <a:prstGeom prst="rect">
                      <a:avLst/>
                    </a:prstGeom>
                    <a:noFill/>
                  </pic:spPr>
                </pic:pic>
              </a:graphicData>
            </a:graphic>
          </wp:anchor>
        </w:drawing>
      </w:r>
    </w:p>
    <w:p>
      <w:pPr>
        <w:ind w:left="600"/>
        <w:spacing w:after="0"/>
        <w:rPr>
          <w:sz w:val="20"/>
          <w:szCs w:val="20"/>
          <w:color w:val="auto"/>
        </w:rPr>
      </w:pPr>
      <w:r>
        <w:rPr>
          <w:rFonts w:ascii="Times New Roman" w:cs="Times New Roman" w:eastAsia="Times New Roman" w:hAnsi="Times New Roman"/>
          <w:sz w:val="19"/>
          <w:szCs w:val="19"/>
          <w:color w:val="auto"/>
        </w:rPr>
        <w:t xml:space="preserve">10.4  </w:t>
      </w:r>
      <w:r>
        <w:rPr>
          <w:rFonts w:ascii="Times New Roman" w:cs="Times New Roman" w:eastAsia="Times New Roman" w:hAnsi="Times New Roman"/>
          <w:sz w:val="19"/>
          <w:szCs w:val="19"/>
          <w:u w:val="single" w:color="auto"/>
          <w:color w:val="auto"/>
        </w:rPr>
        <w:t>Seller's Right to Terminate</w:t>
      </w:r>
      <w:r>
        <w:rPr>
          <w:rFonts w:ascii="Times New Roman" w:cs="Times New Roman" w:eastAsia="Times New Roman" w:hAnsi="Times New Roman"/>
          <w:sz w:val="19"/>
          <w:szCs w:val="19"/>
          <w:color w:val="auto"/>
        </w:rPr>
        <w:t>. Seller may terminate this Agreement by providing written Notice to Buyer:</w:t>
      </w:r>
    </w:p>
    <w:p>
      <w:pPr>
        <w:spacing w:after="0" w:line="207" w:lineRule="exact"/>
        <w:rPr>
          <w:sz w:val="20"/>
          <w:szCs w:val="20"/>
          <w:color w:val="auto"/>
        </w:rPr>
      </w:pPr>
    </w:p>
    <w:p>
      <w:pPr>
        <w:ind w:left="1340" w:right="2520" w:firstLine="2"/>
        <w:spacing w:after="0" w:line="471" w:lineRule="auto"/>
        <w:tabs>
          <w:tab w:leader="none" w:pos="158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Buyer fails to pay any amount when due under this Agreement ("</w:t>
      </w:r>
      <w:r>
        <w:rPr>
          <w:rFonts w:ascii="Times New Roman" w:cs="Times New Roman" w:eastAsia="Times New Roman" w:hAnsi="Times New Roman"/>
          <w:sz w:val="19"/>
          <w:szCs w:val="19"/>
          <w:b w:val="1"/>
          <w:bCs w:val="1"/>
          <w:color w:val="auto"/>
        </w:rPr>
        <w:t>Payment Failure</w:t>
      </w:r>
      <w:r>
        <w:rPr>
          <w:rFonts w:ascii="Times New Roman" w:cs="Times New Roman" w:eastAsia="Times New Roman" w:hAnsi="Times New Roman"/>
          <w:sz w:val="19"/>
          <w:szCs w:val="19"/>
          <w:color w:val="auto"/>
        </w:rPr>
        <w:t>"); (b)if Buyer sells or attempts to sell Goods, including Legacy Goods, in the Territory;</w:t>
      </w:r>
    </w:p>
    <w:p>
      <w:pPr>
        <w:ind w:left="1580" w:hanging="238"/>
        <w:spacing w:after="0"/>
        <w:tabs>
          <w:tab w:leader="none" w:pos="158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Seller terminates the Distribution Agreement due to Buyer’s or Buyer’s Affiliates’ breach or non-performance thereof;</w:t>
      </w:r>
    </w:p>
    <w:p>
      <w:pPr>
        <w:spacing w:after="0" w:line="209" w:lineRule="exact"/>
        <w:rPr>
          <w:sz w:val="20"/>
          <w:szCs w:val="20"/>
          <w:color w:val="auto"/>
        </w:rPr>
      </w:pPr>
    </w:p>
    <w:p>
      <w:pPr>
        <w:ind w:left="600" w:firstLine="749"/>
        <w:spacing w:after="0" w:line="276" w:lineRule="auto"/>
        <w:rPr>
          <w:sz w:val="20"/>
          <w:szCs w:val="20"/>
          <w:color w:val="auto"/>
        </w:rPr>
      </w:pPr>
      <w:r>
        <w:rPr>
          <w:rFonts w:ascii="Times New Roman" w:cs="Times New Roman" w:eastAsia="Times New Roman" w:hAnsi="Times New Roman"/>
          <w:sz w:val="19"/>
          <w:szCs w:val="19"/>
          <w:color w:val="auto"/>
        </w:rPr>
        <w:t>(d)if without obtaining Seller's prior written consent, (i) Buyer sells, leases, or exchanges a material portion of Buyer's assets, (ii) Buyer merges or consolidates with or into another Person, or (iii) a change in Control of Buyer occurs.</w:t>
      </w:r>
    </w:p>
    <w:p>
      <w:pPr>
        <w:spacing w:after="0" w:line="146" w:lineRule="exact"/>
        <w:rPr>
          <w:sz w:val="20"/>
          <w:szCs w:val="20"/>
          <w:color w:val="auto"/>
        </w:rPr>
      </w:pPr>
    </w:p>
    <w:p>
      <w:pPr>
        <w:jc w:val="both"/>
        <w:ind w:firstLine="1349"/>
        <w:spacing w:after="0" w:line="276" w:lineRule="auto"/>
        <w:rPr>
          <w:sz w:val="20"/>
          <w:szCs w:val="20"/>
          <w:color w:val="auto"/>
        </w:rPr>
      </w:pPr>
      <w:r>
        <w:rPr>
          <w:rFonts w:ascii="Times New Roman" w:cs="Times New Roman" w:eastAsia="Times New Roman" w:hAnsi="Times New Roman"/>
          <w:sz w:val="19"/>
          <w:szCs w:val="19"/>
          <w:color w:val="auto"/>
        </w:rPr>
        <w:t>Any termination under this Section will be effective on Buyer's receipt of Seller's written Notice of termination or such later date (if any) set forth in such Notice.</w:t>
      </w:r>
    </w:p>
    <w:p>
      <w:pPr>
        <w:spacing w:after="0" w:line="146" w:lineRule="exact"/>
        <w:rPr>
          <w:sz w:val="20"/>
          <w:szCs w:val="20"/>
          <w:color w:val="auto"/>
        </w:rPr>
      </w:pPr>
    </w:p>
    <w:p>
      <w:pPr>
        <w:jc w:val="both"/>
        <w:ind w:firstLine="599"/>
        <w:spacing w:after="0" w:line="246" w:lineRule="auto"/>
        <w:rPr>
          <w:sz w:val="20"/>
          <w:szCs w:val="20"/>
          <w:color w:val="auto"/>
        </w:rPr>
      </w:pPr>
      <w:r>
        <w:rPr>
          <w:rFonts w:ascii="Times New Roman" w:cs="Times New Roman" w:eastAsia="Times New Roman" w:hAnsi="Times New Roman"/>
          <w:sz w:val="19"/>
          <w:szCs w:val="19"/>
          <w:color w:val="auto"/>
        </w:rPr>
        <w:t xml:space="preserve">10.5 </w:t>
      </w:r>
      <w:r>
        <w:rPr>
          <w:rFonts w:ascii="Times New Roman" w:cs="Times New Roman" w:eastAsia="Times New Roman" w:hAnsi="Times New Roman"/>
          <w:sz w:val="19"/>
          <w:szCs w:val="19"/>
          <w:u w:val="single" w:color="auto"/>
          <w:color w:val="auto"/>
        </w:rPr>
        <w:t>Conditions Precedent to Buyer's Right to Terminate</w:t>
      </w:r>
      <w:r>
        <w:rPr>
          <w:rFonts w:ascii="Times New Roman" w:cs="Times New Roman" w:eastAsia="Times New Roman" w:hAnsi="Times New Roman"/>
          <w:sz w:val="19"/>
          <w:szCs w:val="19"/>
          <w:color w:val="auto"/>
        </w:rPr>
        <w:t>. As a condition precedent to Buyer's right to terminate this Agreement pursuant to this Section, within five days following the date of Buyer's termination Notice, Buyer shall pay to Seller all amounts due to Seller for Goods delivered by Seller to Buyer prior to Seller's receipt of the termination Notice and reimburse Seller for all of Seller's out-of-pocket costs and expenses (including raw materials, machinery and equipment purchases) incurred by Seller prior to receipt of Buyer's termination Notice that arise from or relate to this Agreement or any Purchase Order issued by Buyer to Seller prior to Seller's receipt of such notice (each, a "</w:t>
      </w:r>
      <w:r>
        <w:rPr>
          <w:rFonts w:ascii="Times New Roman" w:cs="Times New Roman" w:eastAsia="Times New Roman" w:hAnsi="Times New Roman"/>
          <w:sz w:val="19"/>
          <w:szCs w:val="19"/>
          <w:b w:val="1"/>
          <w:bCs w:val="1"/>
          <w:color w:val="auto"/>
        </w:rPr>
        <w:t>Reimbursement Payment</w:t>
      </w:r>
      <w:r>
        <w:rPr>
          <w:rFonts w:ascii="Times New Roman" w:cs="Times New Roman" w:eastAsia="Times New Roman" w:hAnsi="Times New Roman"/>
          <w:sz w:val="19"/>
          <w:szCs w:val="19"/>
          <w:color w:val="auto"/>
        </w:rPr>
        <w:t>"). Any termination under this Section will be effective on the latest to occur of Seller's receipt of Buyer's written Notice of termination, Seller's receipt of the Reimbursement Payment or such other later date (if any) set forth in such termination Notice (if and to the extent that such later date is approved by Seller in writing).</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color w:val="auto"/>
        </w:rPr>
        <w:t xml:space="preserve">10.6  </w:t>
      </w:r>
      <w:r>
        <w:rPr>
          <w:rFonts w:ascii="Times New Roman" w:cs="Times New Roman" w:eastAsia="Times New Roman" w:hAnsi="Times New Roman"/>
          <w:sz w:val="19"/>
          <w:szCs w:val="19"/>
          <w:u w:val="single" w:color="auto"/>
          <w:color w:val="auto"/>
        </w:rPr>
        <w:t>Effect of Expiration or Termination</w:t>
      </w:r>
      <w:r>
        <w:rPr>
          <w:rFonts w:ascii="Times New Roman" w:cs="Times New Roman" w:eastAsia="Times New Roman" w:hAnsi="Times New Roman"/>
          <w:sz w:val="19"/>
          <w:szCs w:val="19"/>
          <w:color w:val="auto"/>
        </w:rPr>
        <w:t>.</w:t>
      </w:r>
    </w:p>
    <w:p>
      <w:pPr>
        <w:spacing w:after="0" w:line="209" w:lineRule="exact"/>
        <w:rPr>
          <w:sz w:val="20"/>
          <w:szCs w:val="20"/>
          <w:color w:val="auto"/>
        </w:rPr>
      </w:pPr>
    </w:p>
    <w:p>
      <w:pPr>
        <w:ind w:left="600" w:firstLine="742"/>
        <w:spacing w:after="0" w:line="276" w:lineRule="auto"/>
        <w:tabs>
          <w:tab w:leader="none" w:pos="1589"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expiration or earlier termination of this Agreement, all indebtedness of Buyer to Seller under this Agreement, any other agreement or otherwise, of any kind, shall become immediately due and payable to Seller, without further notice to Buyer.</w:t>
      </w:r>
    </w:p>
    <w:p>
      <w:pPr>
        <w:spacing w:after="0" w:line="14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color w:val="auto"/>
        </w:rPr>
        <w:t>(b)Expiration or termination of the Term will not affect any rights or obligations of the Parties that:</w:t>
      </w:r>
    </w:p>
    <w:p>
      <w:pPr>
        <w:spacing w:after="0" w:line="209" w:lineRule="exact"/>
        <w:rPr>
          <w:sz w:val="20"/>
          <w:szCs w:val="20"/>
          <w:color w:val="auto"/>
        </w:rPr>
      </w:pPr>
    </w:p>
    <w:p>
      <w:pPr>
        <w:ind w:left="2600" w:hanging="508"/>
        <w:spacing w:after="0"/>
        <w:tabs>
          <w:tab w:leader="none" w:pos="2600" w:val="left"/>
        </w:tabs>
        <w:numPr>
          <w:ilvl w:val="1"/>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come into effect upon or after termination or expiration of this Agreement; or</w:t>
      </w:r>
    </w:p>
    <w:p>
      <w:pPr>
        <w:spacing w:after="0" w:line="209" w:lineRule="exact"/>
        <w:rPr>
          <w:rFonts w:ascii="Times New Roman" w:cs="Times New Roman" w:eastAsia="Times New Roman" w:hAnsi="Times New Roman"/>
          <w:sz w:val="19"/>
          <w:szCs w:val="19"/>
          <w:color w:val="auto"/>
        </w:rPr>
      </w:pPr>
    </w:p>
    <w:p>
      <w:pPr>
        <w:ind w:left="1340" w:firstLine="752"/>
        <w:spacing w:after="0" w:line="276" w:lineRule="auto"/>
        <w:tabs>
          <w:tab w:leader="none" w:pos="2599" w:val="left"/>
        </w:tabs>
        <w:numPr>
          <w:ilvl w:val="1"/>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otherwise survive the expiration or earlier termination of this Agreement pursuant to Section 22.4 and were incurred by the Parties prior to such expiration or earlier termination.</w:t>
      </w:r>
    </w:p>
    <w:p>
      <w:pPr>
        <w:spacing w:after="0" w:line="145" w:lineRule="exact"/>
        <w:rPr>
          <w:rFonts w:ascii="Times New Roman" w:cs="Times New Roman" w:eastAsia="Times New Roman" w:hAnsi="Times New Roman"/>
          <w:sz w:val="19"/>
          <w:szCs w:val="19"/>
          <w:color w:val="auto"/>
        </w:rPr>
      </w:pPr>
    </w:p>
    <w:p>
      <w:pPr>
        <w:jc w:val="both"/>
        <w:ind w:left="600" w:firstLine="742"/>
        <w:spacing w:after="0" w:line="259" w:lineRule="auto"/>
        <w:tabs>
          <w:tab w:leader="none" w:pos="1589"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Notice of termination under this Agreement automatically operates as a cancellation of any deliveries of Goods to Buyer that are scheduled to be made subsequent to the effective date of termination, whether or not any orders for such Goods had been accepted by Seller. With respect to any Goods that are still in transit upon termination of this Agreement,</w:t>
      </w: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2B3486"/>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558165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780"/>
          </w:cols>
          <w:pgMar w:left="780" w:top="1440" w:right="339" w:bottom="1440" w:gutter="0" w:footer="0" w:header="0"/>
        </w:sectPr>
      </w:pPr>
    </w:p>
    <w:bookmarkStart w:id="12" w:name="page13"/>
    <w:bookmarkEnd w:id="12"/>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327660</wp:posOffset>
            </wp:positionV>
            <wp:extent cx="494030" cy="5924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494030" cy="592455"/>
                    </a:xfrm>
                    <a:prstGeom prst="rect">
                      <a:avLst/>
                    </a:prstGeom>
                    <a:noFill/>
                  </pic:spPr>
                </pic:pic>
              </a:graphicData>
            </a:graphic>
          </wp:anchor>
        </w:drawing>
      </w:r>
    </w:p>
    <w:p>
      <w:pPr>
        <w:ind w:left="607"/>
        <w:spacing w:after="0" w:line="276" w:lineRule="auto"/>
        <w:rPr>
          <w:sz w:val="20"/>
          <w:szCs w:val="20"/>
          <w:color w:val="auto"/>
        </w:rPr>
      </w:pPr>
      <w:r>
        <w:rPr>
          <w:rFonts w:ascii="Times New Roman" w:cs="Times New Roman" w:eastAsia="Times New Roman" w:hAnsi="Times New Roman"/>
          <w:sz w:val="19"/>
          <w:szCs w:val="19"/>
          <w:color w:val="auto"/>
        </w:rPr>
        <w:t>Seller may require, in its sole discretion, that all sales and deliveries of such Goods be made on either a cash-only or certified-check basis.</w:t>
      </w:r>
    </w:p>
    <w:p>
      <w:pPr>
        <w:spacing w:after="0" w:line="146" w:lineRule="exact"/>
        <w:rPr>
          <w:sz w:val="20"/>
          <w:szCs w:val="20"/>
          <w:color w:val="auto"/>
        </w:rPr>
      </w:pPr>
    </w:p>
    <w:p>
      <w:pPr>
        <w:ind w:left="607" w:firstLine="749"/>
        <w:spacing w:after="0" w:line="276" w:lineRule="auto"/>
        <w:rPr>
          <w:sz w:val="20"/>
          <w:szCs w:val="20"/>
          <w:color w:val="auto"/>
        </w:rPr>
      </w:pPr>
      <w:r>
        <w:rPr>
          <w:rFonts w:ascii="Times New Roman" w:cs="Times New Roman" w:eastAsia="Times New Roman" w:hAnsi="Times New Roman"/>
          <w:sz w:val="19"/>
          <w:szCs w:val="19"/>
          <w:color w:val="auto"/>
        </w:rPr>
        <w:t>(d)In the event of a termination by Seller under 10.4(b), the Buyer IP License shall become perpetual and shall survive the termination of this Agreement.</w:t>
      </w:r>
    </w:p>
    <w:p>
      <w:pPr>
        <w:spacing w:after="0" w:line="146" w:lineRule="exact"/>
        <w:rPr>
          <w:sz w:val="20"/>
          <w:szCs w:val="20"/>
          <w:color w:val="auto"/>
        </w:rPr>
      </w:pPr>
    </w:p>
    <w:p>
      <w:pPr>
        <w:ind w:left="1587" w:hanging="238"/>
        <w:spacing w:after="0"/>
        <w:tabs>
          <w:tab w:leader="none" w:pos="1587" w:val="left"/>
        </w:tabs>
        <w:numPr>
          <w:ilvl w:val="1"/>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expiration or earlier termination of this Agreement, Buyer shall:</w:t>
      </w:r>
    </w:p>
    <w:p>
      <w:pPr>
        <w:spacing w:after="0" w:line="209" w:lineRule="exact"/>
        <w:rPr>
          <w:rFonts w:ascii="Times New Roman" w:cs="Times New Roman" w:eastAsia="Times New Roman" w:hAnsi="Times New Roman"/>
          <w:sz w:val="19"/>
          <w:szCs w:val="19"/>
          <w:color w:val="auto"/>
        </w:rPr>
      </w:pPr>
    </w:p>
    <w:p>
      <w:pPr>
        <w:ind w:left="1347" w:firstLine="752"/>
        <w:spacing w:after="0" w:line="276" w:lineRule="auto"/>
        <w:tabs>
          <w:tab w:leader="none" w:pos="2606" w:val="left"/>
        </w:tabs>
        <w:numPr>
          <w:ilvl w:val="2"/>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return to Seller or destroy all documents and tangible materials (and any copies) containing, reflecting, incorporating, or based on Seller's Confidential Information;</w:t>
      </w:r>
    </w:p>
    <w:p>
      <w:pPr>
        <w:spacing w:after="0" w:line="145" w:lineRule="exact"/>
        <w:rPr>
          <w:rFonts w:ascii="Times New Roman" w:cs="Times New Roman" w:eastAsia="Times New Roman" w:hAnsi="Times New Roman"/>
          <w:sz w:val="19"/>
          <w:szCs w:val="19"/>
          <w:color w:val="auto"/>
        </w:rPr>
      </w:pPr>
    </w:p>
    <w:p>
      <w:pPr>
        <w:ind w:left="1347" w:firstLine="752"/>
        <w:spacing w:after="0" w:line="276" w:lineRule="auto"/>
        <w:tabs>
          <w:tab w:leader="none" w:pos="2606" w:val="left"/>
        </w:tabs>
        <w:numPr>
          <w:ilvl w:val="2"/>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permanently erase all of Seller's Confidential Information from its computer systems except for copies that are maintained as archive copies on its disaster recovery and/or information technology backup systems; and</w:t>
      </w:r>
    </w:p>
    <w:p>
      <w:pPr>
        <w:spacing w:after="0" w:line="145" w:lineRule="exact"/>
        <w:rPr>
          <w:rFonts w:ascii="Times New Roman" w:cs="Times New Roman" w:eastAsia="Times New Roman" w:hAnsi="Times New Roman"/>
          <w:sz w:val="19"/>
          <w:szCs w:val="19"/>
          <w:color w:val="auto"/>
        </w:rPr>
      </w:pPr>
    </w:p>
    <w:p>
      <w:pPr>
        <w:ind w:left="1347" w:firstLine="752"/>
        <w:spacing w:after="0" w:line="276" w:lineRule="auto"/>
        <w:tabs>
          <w:tab w:leader="none" w:pos="2606" w:val="left"/>
        </w:tabs>
        <w:numPr>
          <w:ilvl w:val="2"/>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certify in writing to Seller that it has complied with the requirements of this clause within five business days of the expiration or earlier termination of this Agreement.</w:t>
      </w:r>
    </w:p>
    <w:p>
      <w:pPr>
        <w:spacing w:after="0" w:line="145" w:lineRule="exact"/>
        <w:rPr>
          <w:rFonts w:ascii="Times New Roman" w:cs="Times New Roman" w:eastAsia="Times New Roman" w:hAnsi="Times New Roman"/>
          <w:sz w:val="19"/>
          <w:szCs w:val="19"/>
          <w:color w:val="auto"/>
        </w:rPr>
      </w:pPr>
    </w:p>
    <w:p>
      <w:pPr>
        <w:jc w:val="both"/>
        <w:ind w:left="607" w:firstLine="742"/>
        <w:spacing w:after="0" w:line="253" w:lineRule="auto"/>
        <w:tabs>
          <w:tab w:leader="none" w:pos="1596" w:val="left"/>
        </w:tabs>
        <w:numPr>
          <w:ilvl w:val="1"/>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Section 10.6(b), the Party terminating this Agreement, or in the case of the expiration of this Agreement, each Party, shall not be liable to the other Party for any damage of any kind (whether direct or indirect) incurred by the other Party by reason of the expiration or earlier termination of this Agreement. Termination of this Agreement will not constitute a waiver of any of either Party's rights, remedies or defenses under this Agreement, at law, in equity or otherwise.</w:t>
      </w:r>
    </w:p>
    <w:p>
      <w:pPr>
        <w:spacing w:after="0" w:line="167" w:lineRule="exact"/>
        <w:rPr>
          <w:rFonts w:ascii="Times New Roman" w:cs="Times New Roman" w:eastAsia="Times New Roman" w:hAnsi="Times New Roman"/>
          <w:sz w:val="19"/>
          <w:szCs w:val="19"/>
          <w:color w:val="auto"/>
        </w:rPr>
      </w:pPr>
    </w:p>
    <w:p>
      <w:pPr>
        <w:ind w:left="567" w:hanging="567"/>
        <w:spacing w:after="0"/>
        <w:tabs>
          <w:tab w:leader="none" w:pos="567"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Certain Obligations of Buyer</w:t>
      </w:r>
      <w:r>
        <w:rPr>
          <w:rFonts w:ascii="Times New Roman" w:cs="Times New Roman" w:eastAsia="Times New Roman" w:hAnsi="Times New Roman"/>
          <w:sz w:val="19"/>
          <w:szCs w:val="19"/>
          <w:color w:val="auto"/>
        </w:rPr>
        <w:t>.</w:t>
      </w:r>
    </w:p>
    <w:p>
      <w:pPr>
        <w:spacing w:after="0" w:line="209" w:lineRule="exact"/>
        <w:rPr>
          <w:sz w:val="20"/>
          <w:szCs w:val="20"/>
          <w:color w:val="auto"/>
        </w:rPr>
      </w:pPr>
    </w:p>
    <w:p>
      <w:pPr>
        <w:ind w:left="607"/>
        <w:spacing w:after="0"/>
        <w:rPr>
          <w:sz w:val="20"/>
          <w:szCs w:val="20"/>
          <w:color w:val="auto"/>
        </w:rPr>
      </w:pPr>
      <w:r>
        <w:rPr>
          <w:rFonts w:ascii="Times New Roman" w:cs="Times New Roman" w:eastAsia="Times New Roman" w:hAnsi="Times New Roman"/>
          <w:sz w:val="19"/>
          <w:szCs w:val="19"/>
          <w:color w:val="auto"/>
        </w:rPr>
        <w:t xml:space="preserve">11.1  </w:t>
      </w:r>
      <w:r>
        <w:rPr>
          <w:rFonts w:ascii="Times New Roman" w:cs="Times New Roman" w:eastAsia="Times New Roman" w:hAnsi="Times New Roman"/>
          <w:sz w:val="19"/>
          <w:szCs w:val="19"/>
          <w:u w:val="single" w:color="auto"/>
          <w:color w:val="auto"/>
        </w:rPr>
        <w:t>Certain Prohibited Acts</w:t>
      </w:r>
      <w:r>
        <w:rPr>
          <w:rFonts w:ascii="Times New Roman" w:cs="Times New Roman" w:eastAsia="Times New Roman" w:hAnsi="Times New Roman"/>
          <w:sz w:val="19"/>
          <w:szCs w:val="19"/>
          <w:color w:val="auto"/>
        </w:rPr>
        <w:t>. Notwithstanding anything to the contrary in this Agreement, neither Buyer nor any Buyer Personnel</w:t>
      </w:r>
    </w:p>
    <w:p>
      <w:pPr>
        <w:spacing w:after="0" w:line="2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9"/>
          <w:szCs w:val="19"/>
          <w:color w:val="auto"/>
        </w:rPr>
        <w:t>shall:</w:t>
      </w:r>
    </w:p>
    <w:p>
      <w:pPr>
        <w:spacing w:after="0" w:line="187" w:lineRule="exact"/>
        <w:rPr>
          <w:sz w:val="20"/>
          <w:szCs w:val="20"/>
          <w:color w:val="auto"/>
        </w:rPr>
      </w:pPr>
    </w:p>
    <w:p>
      <w:pPr>
        <w:ind w:left="1347" w:right="980" w:firstLine="2"/>
        <w:spacing w:after="0" w:line="496" w:lineRule="auto"/>
        <w:tabs>
          <w:tab w:leader="none" w:pos="158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distribute, or otherwise attempt to commercialize Goods, including Legacy Goods, within the Territory (b)make any representations, warranties, guarantees, indemnities, similar claims, or other commitments:</w:t>
      </w:r>
    </w:p>
    <w:p>
      <w:pPr>
        <w:ind w:left="2607" w:hanging="508"/>
        <w:spacing w:after="0"/>
        <w:tabs>
          <w:tab w:leader="none" w:pos="2607" w:val="left"/>
        </w:tabs>
        <w:numPr>
          <w:ilvl w:val="1"/>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actually, apparently or ostensibly on behalf of Seller, or</w:t>
      </w:r>
    </w:p>
    <w:p>
      <w:pPr>
        <w:spacing w:after="0" w:line="209" w:lineRule="exact"/>
        <w:rPr>
          <w:rFonts w:ascii="Times New Roman" w:cs="Times New Roman" w:eastAsia="Times New Roman" w:hAnsi="Times New Roman"/>
          <w:sz w:val="19"/>
          <w:szCs w:val="19"/>
          <w:color w:val="auto"/>
        </w:rPr>
      </w:pPr>
    </w:p>
    <w:p>
      <w:pPr>
        <w:jc w:val="both"/>
        <w:ind w:left="1347" w:firstLine="752"/>
        <w:spacing w:after="0" w:line="259" w:lineRule="auto"/>
        <w:tabs>
          <w:tab w:leader="none" w:pos="2606" w:val="left"/>
        </w:tabs>
        <w:numPr>
          <w:ilvl w:val="1"/>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any customer or other Person with respect to the Goods, which are additional to or inconsistent with any then-existing representations, warranties, guarantees, indemnities, similar claims, or other commitments in this Agreement or any written documentation provided by Seller to Buyer; or</w:t>
      </w:r>
    </w:p>
    <w:p>
      <w:pPr>
        <w:spacing w:after="0" w:line="161" w:lineRule="exact"/>
        <w:rPr>
          <w:sz w:val="20"/>
          <w:szCs w:val="20"/>
          <w:color w:val="auto"/>
        </w:rPr>
      </w:pPr>
    </w:p>
    <w:p>
      <w:pPr>
        <w:ind w:left="607" w:firstLine="742"/>
        <w:spacing w:after="0" w:line="276" w:lineRule="auto"/>
        <w:tabs>
          <w:tab w:leader="none" w:pos="1596"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engage in any unfair, competitive, misleading, or deceptive practices respecting Seller, Seller's Trademarks or the Goods, including any product disparagement;</w:t>
      </w:r>
    </w:p>
    <w:p>
      <w:pPr>
        <w:spacing w:after="0" w:line="146" w:lineRule="exact"/>
        <w:rPr>
          <w:sz w:val="20"/>
          <w:szCs w:val="20"/>
          <w:color w:val="auto"/>
        </w:rPr>
      </w:pPr>
    </w:p>
    <w:p>
      <w:pPr>
        <w:ind w:left="607"/>
        <w:spacing w:after="0"/>
        <w:rPr>
          <w:sz w:val="20"/>
          <w:szCs w:val="20"/>
          <w:color w:val="auto"/>
        </w:rPr>
      </w:pPr>
      <w:r>
        <w:rPr>
          <w:rFonts w:ascii="Times New Roman" w:cs="Times New Roman" w:eastAsia="Times New Roman" w:hAnsi="Times New Roman"/>
          <w:sz w:val="19"/>
          <w:szCs w:val="19"/>
          <w:color w:val="auto"/>
        </w:rPr>
        <w:t xml:space="preserve">11.2  </w:t>
      </w:r>
      <w:r>
        <w:rPr>
          <w:rFonts w:ascii="Times New Roman" w:cs="Times New Roman" w:eastAsia="Times New Roman" w:hAnsi="Times New Roman"/>
          <w:sz w:val="19"/>
          <w:szCs w:val="19"/>
          <w:u w:val="single" w:color="auto"/>
          <w:color w:val="auto"/>
        </w:rPr>
        <w:t>Sales Outside the Territory</w:t>
      </w:r>
      <w:r>
        <w:rPr>
          <w:rFonts w:ascii="Times New Roman" w:cs="Times New Roman" w:eastAsia="Times New Roman" w:hAnsi="Times New Roman"/>
          <w:sz w:val="19"/>
          <w:szCs w:val="19"/>
          <w:color w:val="auto"/>
        </w:rPr>
        <w:t>. When selling or distributing Goods outside the Territory, Buyer shall</w:t>
      </w: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2B3486"/>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558165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787"/>
          </w:cols>
          <w:pgMar w:left="773" w:top="1440" w:right="339" w:bottom="1440" w:gutter="0" w:footer="0" w:header="0"/>
        </w:sectPr>
      </w:pPr>
    </w:p>
    <w:bookmarkStart w:id="13" w:name="page14"/>
    <w:bookmarkEnd w:id="13"/>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327660</wp:posOffset>
            </wp:positionV>
            <wp:extent cx="494030" cy="5924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494030" cy="592455"/>
                    </a:xfrm>
                    <a:prstGeom prst="rect">
                      <a:avLst/>
                    </a:prstGeom>
                    <a:noFill/>
                  </pic:spPr>
                </pic:pic>
              </a:graphicData>
            </a:graphic>
          </wp:anchor>
        </w:drawing>
      </w:r>
    </w:p>
    <w:p>
      <w:pPr>
        <w:ind w:left="607" w:firstLine="742"/>
        <w:spacing w:after="0" w:line="276" w:lineRule="auto"/>
        <w:tabs>
          <w:tab w:leader="none" w:pos="1596"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assure Goods are shipped, handled, marked, marketed, sold or otherwise commercialized in compliance with all applicable laws and regulations; and</w:t>
      </w:r>
    </w:p>
    <w:p>
      <w:pPr>
        <w:spacing w:after="0" w:line="146" w:lineRule="exact"/>
        <w:rPr>
          <w:sz w:val="20"/>
          <w:szCs w:val="20"/>
          <w:color w:val="auto"/>
        </w:rPr>
      </w:pPr>
    </w:p>
    <w:p>
      <w:pPr>
        <w:ind w:left="607" w:firstLine="749"/>
        <w:spacing w:after="0" w:line="276" w:lineRule="auto"/>
        <w:rPr>
          <w:sz w:val="20"/>
          <w:szCs w:val="20"/>
          <w:color w:val="auto"/>
        </w:rPr>
      </w:pPr>
      <w:r>
        <w:rPr>
          <w:rFonts w:ascii="Times New Roman" w:cs="Times New Roman" w:eastAsia="Times New Roman" w:hAnsi="Times New Roman"/>
          <w:sz w:val="19"/>
          <w:szCs w:val="19"/>
          <w:color w:val="auto"/>
        </w:rPr>
        <w:t>(b)hold Seller harmless from any requirements under non-US Law, regarding the shipping, handling, storage, marketing, sale, or other commercialization of Goods outside the Territory.</w:t>
      </w:r>
    </w:p>
    <w:p>
      <w:pPr>
        <w:spacing w:after="0" w:line="146" w:lineRule="exact"/>
        <w:rPr>
          <w:sz w:val="20"/>
          <w:szCs w:val="20"/>
          <w:color w:val="auto"/>
        </w:rPr>
      </w:pPr>
    </w:p>
    <w:p>
      <w:pPr>
        <w:jc w:val="both"/>
        <w:ind w:left="7" w:firstLine="599"/>
        <w:spacing w:after="0" w:line="253" w:lineRule="auto"/>
        <w:rPr>
          <w:sz w:val="20"/>
          <w:szCs w:val="20"/>
          <w:color w:val="auto"/>
        </w:rPr>
      </w:pPr>
      <w:r>
        <w:rPr>
          <w:rFonts w:ascii="Times New Roman" w:cs="Times New Roman" w:eastAsia="Times New Roman" w:hAnsi="Times New Roman"/>
          <w:sz w:val="19"/>
          <w:szCs w:val="19"/>
          <w:color w:val="auto"/>
        </w:rPr>
        <w:t xml:space="preserve">11.3 </w:t>
      </w:r>
      <w:r>
        <w:rPr>
          <w:rFonts w:ascii="Times New Roman" w:cs="Times New Roman" w:eastAsia="Times New Roman" w:hAnsi="Times New Roman"/>
          <w:sz w:val="19"/>
          <w:szCs w:val="19"/>
          <w:u w:val="single" w:color="auto"/>
          <w:color w:val="auto"/>
        </w:rPr>
        <w:t>Government Contracts</w:t>
      </w:r>
      <w:r>
        <w:rPr>
          <w:rFonts w:ascii="Times New Roman" w:cs="Times New Roman" w:eastAsia="Times New Roman" w:hAnsi="Times New Roman"/>
          <w:sz w:val="19"/>
          <w:szCs w:val="19"/>
          <w:color w:val="auto"/>
        </w:rPr>
        <w:t>. Unless otherwise separately agreed in writing between Seller and Buyer, no provisions required in any contract with any Government Authority or subcontract related thereto shall be a part of this Agreement or imposed upon or binding upon Seller, and this Agreement shall not be deemed an acceptance of any government provisions that may be included or referenced in Buyer's request for quotation, Purchase Order or any other document.</w:t>
      </w:r>
    </w:p>
    <w:p>
      <w:pPr>
        <w:spacing w:after="0" w:line="168" w:lineRule="exact"/>
        <w:rPr>
          <w:sz w:val="20"/>
          <w:szCs w:val="20"/>
          <w:color w:val="auto"/>
        </w:rPr>
      </w:pPr>
    </w:p>
    <w:p>
      <w:pPr>
        <w:jc w:val="both"/>
        <w:ind w:left="7" w:firstLine="599"/>
        <w:spacing w:after="0" w:line="253" w:lineRule="auto"/>
        <w:rPr>
          <w:sz w:val="20"/>
          <w:szCs w:val="20"/>
          <w:color w:val="auto"/>
        </w:rPr>
      </w:pPr>
      <w:r>
        <w:rPr>
          <w:rFonts w:ascii="Times New Roman" w:cs="Times New Roman" w:eastAsia="Times New Roman" w:hAnsi="Times New Roman"/>
          <w:sz w:val="19"/>
          <w:szCs w:val="19"/>
          <w:color w:val="auto"/>
        </w:rPr>
        <w:t xml:space="preserve">11.4 </w:t>
      </w:r>
      <w:r>
        <w:rPr>
          <w:rFonts w:ascii="Times New Roman" w:cs="Times New Roman" w:eastAsia="Times New Roman" w:hAnsi="Times New Roman"/>
          <w:sz w:val="19"/>
          <w:szCs w:val="19"/>
          <w:u w:val="single" w:color="auto"/>
          <w:color w:val="auto"/>
        </w:rPr>
        <w:t>Credit Risk on Resale of the Goods to Customers</w:t>
      </w:r>
      <w:r>
        <w:rPr>
          <w:rFonts w:ascii="Times New Roman" w:cs="Times New Roman" w:eastAsia="Times New Roman" w:hAnsi="Times New Roman"/>
          <w:sz w:val="19"/>
          <w:szCs w:val="19"/>
          <w:color w:val="auto"/>
        </w:rPr>
        <w:t>. Buyer shall be responsible for all credit risks with respect to, and for collecting payment for, all products (including Goods) sold to its customers or other third parties, whether or not Buyer has made full payment to Seller for such products. The inability of Buyer to collect the purchase price for any product shall not affect Buyer's obligation under this Agreement to pay Seller any and all amounts due and payable.</w:t>
      </w:r>
    </w:p>
    <w:p>
      <w:pPr>
        <w:spacing w:after="0" w:line="168" w:lineRule="exact"/>
        <w:rPr>
          <w:sz w:val="20"/>
          <w:szCs w:val="20"/>
          <w:color w:val="auto"/>
        </w:rPr>
      </w:pPr>
    </w:p>
    <w:p>
      <w:pPr>
        <w:jc w:val="both"/>
        <w:ind w:left="-453" w:firstLine="453"/>
        <w:spacing w:after="0" w:line="250" w:lineRule="auto"/>
        <w:tabs>
          <w:tab w:leader="none" w:pos="566"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Compliance with Laws</w:t>
      </w:r>
      <w:r>
        <w:rPr>
          <w:rFonts w:ascii="Times New Roman" w:cs="Times New Roman" w:eastAsia="Times New Roman" w:hAnsi="Times New Roman"/>
          <w:sz w:val="19"/>
          <w:szCs w:val="19"/>
          <w:color w:val="auto"/>
        </w:rPr>
        <w:t>. Buyer shall at all times comply with all Laws applicable to this Agreement, Buyer's performance of its obligations hereunder, and Buyer's use, commercialization, sale, or distribution of the Goods. Without limiting the generality of the foregoing, Buyer shall (a) at its own expense, maintain all certifications, credentials, licenses, and permits necessary to conduct its business relating to the purchase, use, commercialization, sale, or distribution of the Goods and (b) not engage in any activity or transaction involving the Goods that violates any Law.</w:t>
      </w:r>
    </w:p>
    <w:p>
      <w:pPr>
        <w:spacing w:after="0" w:line="171" w:lineRule="exact"/>
        <w:rPr>
          <w:rFonts w:ascii="Times New Roman" w:cs="Times New Roman" w:eastAsia="Times New Roman" w:hAnsi="Times New Roman"/>
          <w:sz w:val="19"/>
          <w:szCs w:val="19"/>
          <w:color w:val="auto"/>
        </w:rPr>
      </w:pPr>
    </w:p>
    <w:p>
      <w:pPr>
        <w:ind w:left="567" w:hanging="567"/>
        <w:spacing w:after="0"/>
        <w:tabs>
          <w:tab w:leader="none" w:pos="567"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Representations and Warranties</w:t>
      </w:r>
      <w:r>
        <w:rPr>
          <w:rFonts w:ascii="Times New Roman" w:cs="Times New Roman" w:eastAsia="Times New Roman" w:hAnsi="Times New Roman"/>
          <w:sz w:val="19"/>
          <w:szCs w:val="19"/>
          <w:color w:val="auto"/>
        </w:rPr>
        <w:t>.</w:t>
      </w:r>
    </w:p>
    <w:p>
      <w:pPr>
        <w:spacing w:after="0" w:line="209" w:lineRule="exact"/>
        <w:rPr>
          <w:sz w:val="20"/>
          <w:szCs w:val="20"/>
          <w:color w:val="auto"/>
        </w:rPr>
      </w:pPr>
    </w:p>
    <w:p>
      <w:pPr>
        <w:ind w:left="7" w:firstLine="599"/>
        <w:spacing w:after="0" w:line="276" w:lineRule="auto"/>
        <w:rPr>
          <w:sz w:val="20"/>
          <w:szCs w:val="20"/>
          <w:color w:val="auto"/>
        </w:rPr>
      </w:pPr>
      <w:r>
        <w:rPr>
          <w:rFonts w:ascii="Times New Roman" w:cs="Times New Roman" w:eastAsia="Times New Roman" w:hAnsi="Times New Roman"/>
          <w:sz w:val="19"/>
          <w:szCs w:val="19"/>
          <w:color w:val="auto"/>
        </w:rPr>
        <w:t xml:space="preserve">13.1 </w:t>
      </w:r>
      <w:r>
        <w:rPr>
          <w:rFonts w:ascii="Times New Roman" w:cs="Times New Roman" w:eastAsia="Times New Roman" w:hAnsi="Times New Roman"/>
          <w:sz w:val="19"/>
          <w:szCs w:val="19"/>
          <w:u w:val="single" w:color="auto"/>
          <w:color w:val="auto"/>
        </w:rPr>
        <w:t>Anti-Bribery Representations and Warranties</w:t>
      </w:r>
      <w:r>
        <w:rPr>
          <w:rFonts w:ascii="Times New Roman" w:cs="Times New Roman" w:eastAsia="Times New Roman" w:hAnsi="Times New Roman"/>
          <w:sz w:val="19"/>
          <w:szCs w:val="19"/>
          <w:color w:val="auto"/>
        </w:rPr>
        <w:t>. This Agreement is subject to the Anti-Bribery Representations and Warranties of the Distribution Agreement which are incorporated by reference.</w:t>
      </w:r>
    </w:p>
    <w:p>
      <w:pPr>
        <w:spacing w:after="0" w:line="146" w:lineRule="exact"/>
        <w:rPr>
          <w:sz w:val="20"/>
          <w:szCs w:val="20"/>
          <w:color w:val="auto"/>
        </w:rPr>
      </w:pPr>
    </w:p>
    <w:p>
      <w:pPr>
        <w:ind w:left="607"/>
        <w:spacing w:after="0"/>
        <w:rPr>
          <w:sz w:val="20"/>
          <w:szCs w:val="20"/>
          <w:color w:val="auto"/>
        </w:rPr>
      </w:pPr>
      <w:r>
        <w:rPr>
          <w:rFonts w:ascii="Times New Roman" w:cs="Times New Roman" w:eastAsia="Times New Roman" w:hAnsi="Times New Roman"/>
          <w:sz w:val="19"/>
          <w:szCs w:val="19"/>
          <w:color w:val="auto"/>
        </w:rPr>
        <w:t xml:space="preserve">13.2  </w:t>
      </w:r>
      <w:r>
        <w:rPr>
          <w:rFonts w:ascii="Times New Roman" w:cs="Times New Roman" w:eastAsia="Times New Roman" w:hAnsi="Times New Roman"/>
          <w:sz w:val="19"/>
          <w:szCs w:val="19"/>
          <w:u w:val="single" w:color="auto"/>
          <w:color w:val="auto"/>
        </w:rPr>
        <w:t>Buyer's Representations and Warranties</w:t>
      </w:r>
      <w:r>
        <w:rPr>
          <w:rFonts w:ascii="Times New Roman" w:cs="Times New Roman" w:eastAsia="Times New Roman" w:hAnsi="Times New Roman"/>
          <w:sz w:val="19"/>
          <w:szCs w:val="19"/>
          <w:color w:val="auto"/>
        </w:rPr>
        <w:t>. Buyer represents and warrants to Seller that:</w:t>
      </w:r>
    </w:p>
    <w:p>
      <w:pPr>
        <w:spacing w:after="0" w:line="209" w:lineRule="exact"/>
        <w:rPr>
          <w:sz w:val="20"/>
          <w:szCs w:val="20"/>
          <w:color w:val="auto"/>
        </w:rPr>
      </w:pPr>
    </w:p>
    <w:p>
      <w:pPr>
        <w:ind w:left="1347" w:right="280" w:firstLine="2"/>
        <w:spacing w:after="0" w:line="469" w:lineRule="auto"/>
        <w:tabs>
          <w:tab w:leader="none" w:pos="1586"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is a corporation, duly organized, validly existing, and in good standing under the laws of the State of Delaware; (b)it is duly qualified to do business and is in good standing in every jurisdiction in which such qualification is required;</w:t>
      </w:r>
    </w:p>
    <w:p>
      <w:pPr>
        <w:spacing w:after="0" w:line="1" w:lineRule="exact"/>
        <w:rPr>
          <w:rFonts w:ascii="Times New Roman" w:cs="Times New Roman" w:eastAsia="Times New Roman" w:hAnsi="Times New Roman"/>
          <w:sz w:val="19"/>
          <w:szCs w:val="19"/>
          <w:color w:val="auto"/>
        </w:rPr>
      </w:pPr>
    </w:p>
    <w:p>
      <w:pPr>
        <w:ind w:left="1587" w:hanging="238"/>
        <w:spacing w:after="0"/>
        <w:tabs>
          <w:tab w:leader="none" w:pos="1587"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has the full right, corporate power and authority to enter into this Agreement and to perform its obligations hereunder;</w:t>
      </w:r>
    </w:p>
    <w:p>
      <w:pPr>
        <w:spacing w:after="0" w:line="209" w:lineRule="exact"/>
        <w:rPr>
          <w:sz w:val="20"/>
          <w:szCs w:val="20"/>
          <w:color w:val="auto"/>
        </w:rPr>
      </w:pPr>
    </w:p>
    <w:p>
      <w:pPr>
        <w:ind w:left="607" w:firstLine="749"/>
        <w:spacing w:after="0" w:line="276" w:lineRule="auto"/>
        <w:rPr>
          <w:sz w:val="20"/>
          <w:szCs w:val="20"/>
          <w:color w:val="auto"/>
        </w:rPr>
      </w:pPr>
      <w:r>
        <w:rPr>
          <w:rFonts w:ascii="Times New Roman" w:cs="Times New Roman" w:eastAsia="Times New Roman" w:hAnsi="Times New Roman"/>
          <w:sz w:val="19"/>
          <w:szCs w:val="19"/>
          <w:color w:val="auto"/>
        </w:rPr>
        <w:t>(d)the execution of this Agreement by its Representative whose signature is set forth at the end of this Agreement, and the delivery of this Agreement by Buyer, have been duly authorized by all necessary corporate action on the part of Buyer;</w:t>
      </w:r>
    </w:p>
    <w:p>
      <w:pPr>
        <w:spacing w:after="0" w:line="146" w:lineRule="exact"/>
        <w:rPr>
          <w:sz w:val="20"/>
          <w:szCs w:val="20"/>
          <w:color w:val="auto"/>
        </w:rPr>
      </w:pPr>
    </w:p>
    <w:p>
      <w:pPr>
        <w:ind w:left="607" w:firstLine="742"/>
        <w:spacing w:after="0" w:line="276" w:lineRule="auto"/>
        <w:tabs>
          <w:tab w:leader="none" w:pos="1596"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execution, delivery, and performance of this Agreement by Buyer will not violate, conflict with, require consent under or result in any breach or default under (i) any of</w:t>
      </w:r>
    </w:p>
    <w:p>
      <w:pPr>
        <w:spacing w:after="0" w:line="200" w:lineRule="exact"/>
        <w:rPr>
          <w:sz w:val="20"/>
          <w:szCs w:val="20"/>
          <w:color w:val="auto"/>
        </w:rPr>
      </w:pPr>
    </w:p>
    <w:p>
      <w:pPr>
        <w:spacing w:after="0" w:line="300" w:lineRule="exact"/>
        <w:rPr>
          <w:sz w:val="20"/>
          <w:szCs w:val="20"/>
          <w:color w:val="auto"/>
        </w:rPr>
      </w:pPr>
    </w:p>
    <w:p>
      <w:pPr>
        <w:ind w:left="10627"/>
        <w:spacing w:after="0"/>
        <w:rPr>
          <w:sz w:val="20"/>
          <w:szCs w:val="20"/>
          <w:color w:val="auto"/>
        </w:rPr>
      </w:pPr>
      <w:r>
        <w:rPr>
          <w:rFonts w:ascii="Times New Roman" w:cs="Times New Roman" w:eastAsia="Times New Roman" w:hAnsi="Times New Roman"/>
          <w:sz w:val="16"/>
          <w:szCs w:val="16"/>
          <w:color w:val="2B3486"/>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565785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787"/>
          </w:cols>
          <w:pgMar w:left="773" w:top="1440" w:right="339" w:bottom="1440" w:gutter="0" w:footer="0" w:header="0"/>
        </w:sectPr>
      </w:pPr>
    </w:p>
    <w:bookmarkStart w:id="14" w:name="page15"/>
    <w:bookmarkEnd w:id="14"/>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327660</wp:posOffset>
            </wp:positionV>
            <wp:extent cx="494030" cy="5924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494030" cy="592455"/>
                    </a:xfrm>
                    <a:prstGeom prst="rect">
                      <a:avLst/>
                    </a:prstGeom>
                    <a:noFill/>
                  </pic:spPr>
                </pic:pic>
              </a:graphicData>
            </a:graphic>
          </wp:anchor>
        </w:drawing>
      </w:r>
    </w:p>
    <w:p>
      <w:pPr>
        <w:ind w:left="600"/>
        <w:spacing w:after="0" w:line="276" w:lineRule="auto"/>
        <w:rPr>
          <w:sz w:val="20"/>
          <w:szCs w:val="20"/>
          <w:color w:val="auto"/>
        </w:rPr>
      </w:pPr>
      <w:r>
        <w:rPr>
          <w:rFonts w:ascii="Times New Roman" w:cs="Times New Roman" w:eastAsia="Times New Roman" w:hAnsi="Times New Roman"/>
          <w:sz w:val="19"/>
          <w:szCs w:val="19"/>
          <w:color w:val="auto"/>
        </w:rPr>
        <w:t>Buyer's organizational documents, (ii) any applicable Law or (iii) with or without notice or lapse of time or both, the provisions of any Buyer Contract;</w:t>
      </w:r>
    </w:p>
    <w:p>
      <w:pPr>
        <w:spacing w:after="0" w:line="146" w:lineRule="exact"/>
        <w:rPr>
          <w:sz w:val="20"/>
          <w:szCs w:val="20"/>
          <w:color w:val="auto"/>
        </w:rPr>
      </w:pPr>
    </w:p>
    <w:p>
      <w:pPr>
        <w:ind w:left="600" w:firstLine="742"/>
        <w:spacing w:after="0" w:line="276" w:lineRule="auto"/>
        <w:tabs>
          <w:tab w:leader="none" w:pos="1589"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has been executed and delivered by Buyer and (assuming due authorization, execution, and delivery by Seller) constitutes the legal, valid, and binding obligation of Buyer, enforceable against Buyer in accordance with its terms;</w:t>
      </w:r>
    </w:p>
    <w:p>
      <w:pPr>
        <w:spacing w:after="0" w:line="146" w:lineRule="exact"/>
        <w:rPr>
          <w:sz w:val="20"/>
          <w:szCs w:val="20"/>
          <w:color w:val="auto"/>
        </w:rPr>
      </w:pPr>
    </w:p>
    <w:p>
      <w:pPr>
        <w:ind w:left="600" w:firstLine="749"/>
        <w:spacing w:after="0" w:line="276" w:lineRule="auto"/>
        <w:rPr>
          <w:sz w:val="20"/>
          <w:szCs w:val="20"/>
          <w:color w:val="auto"/>
        </w:rPr>
      </w:pPr>
      <w:r>
        <w:rPr>
          <w:rFonts w:ascii="Times New Roman" w:cs="Times New Roman" w:eastAsia="Times New Roman" w:hAnsi="Times New Roman"/>
          <w:sz w:val="19"/>
          <w:szCs w:val="19"/>
          <w:color w:val="auto"/>
        </w:rPr>
        <w:t>(g)it is in compliance with all applicable Laws and Buyer Contracts relating to this Agreement, the Goods and the operation of its business;</w:t>
      </w:r>
    </w:p>
    <w:p>
      <w:pPr>
        <w:spacing w:after="0" w:line="146" w:lineRule="exact"/>
        <w:rPr>
          <w:sz w:val="20"/>
          <w:szCs w:val="20"/>
          <w:color w:val="auto"/>
        </w:rPr>
      </w:pPr>
    </w:p>
    <w:p>
      <w:pPr>
        <w:ind w:left="600" w:firstLine="749"/>
        <w:spacing w:after="0" w:line="276" w:lineRule="auto"/>
        <w:rPr>
          <w:sz w:val="20"/>
          <w:szCs w:val="20"/>
          <w:color w:val="auto"/>
        </w:rPr>
      </w:pPr>
      <w:r>
        <w:rPr>
          <w:rFonts w:ascii="Times New Roman" w:cs="Times New Roman" w:eastAsia="Times New Roman" w:hAnsi="Times New Roman"/>
          <w:sz w:val="19"/>
          <w:szCs w:val="19"/>
          <w:color w:val="auto"/>
        </w:rPr>
        <w:t>(h)it has obtained all licenses, authorizations, approvals, consents, or permits required by applicable Laws to conduct its business generally and to perform its obligations under this Agreement;</w:t>
      </w:r>
    </w:p>
    <w:p>
      <w:pPr>
        <w:spacing w:after="0" w:line="146" w:lineRule="exact"/>
        <w:rPr>
          <w:sz w:val="20"/>
          <w:szCs w:val="20"/>
          <w:color w:val="auto"/>
        </w:rPr>
      </w:pPr>
    </w:p>
    <w:p>
      <w:pPr>
        <w:ind w:left="1580" w:hanging="238"/>
        <w:spacing w:after="0"/>
        <w:tabs>
          <w:tab w:leader="none" w:pos="158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is not insolvent and is paying all of its debts as they become due; and</w:t>
      </w:r>
    </w:p>
    <w:p>
      <w:pPr>
        <w:spacing w:after="0" w:line="209" w:lineRule="exact"/>
        <w:rPr>
          <w:rFonts w:ascii="Times New Roman" w:cs="Times New Roman" w:eastAsia="Times New Roman" w:hAnsi="Times New Roman"/>
          <w:sz w:val="19"/>
          <w:szCs w:val="19"/>
          <w:color w:val="auto"/>
        </w:rPr>
      </w:pPr>
    </w:p>
    <w:p>
      <w:pPr>
        <w:ind w:left="1580" w:hanging="238"/>
        <w:spacing w:after="0"/>
        <w:tabs>
          <w:tab w:leader="none" w:pos="158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financial information that it has provided to Seller is true and accurate and fairly represents Buyer's financial</w:t>
      </w:r>
    </w:p>
    <w:p>
      <w:pPr>
        <w:spacing w:after="0" w:line="23" w:lineRule="exact"/>
        <w:rPr>
          <w:rFonts w:ascii="Times New Roman" w:cs="Times New Roman" w:eastAsia="Times New Roman" w:hAnsi="Times New Roman"/>
          <w:sz w:val="19"/>
          <w:szCs w:val="19"/>
          <w:color w:val="auto"/>
        </w:rPr>
      </w:pPr>
    </w:p>
    <w:p>
      <w:pPr>
        <w:ind w:left="6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condition.</w:t>
      </w:r>
    </w:p>
    <w:p>
      <w:pPr>
        <w:spacing w:after="0" w:line="185" w:lineRule="exact"/>
        <w:rPr>
          <w:sz w:val="20"/>
          <w:szCs w:val="20"/>
          <w:color w:val="auto"/>
        </w:rPr>
      </w:pPr>
    </w:p>
    <w:p>
      <w:pPr>
        <w:ind w:firstLine="599"/>
        <w:spacing w:after="0" w:line="278" w:lineRule="auto"/>
        <w:rPr>
          <w:sz w:val="20"/>
          <w:szCs w:val="20"/>
          <w:color w:val="auto"/>
        </w:rPr>
      </w:pPr>
      <w:r>
        <w:rPr>
          <w:rFonts w:ascii="Times New Roman" w:cs="Times New Roman" w:eastAsia="Times New Roman" w:hAnsi="Times New Roman"/>
          <w:sz w:val="19"/>
          <w:szCs w:val="19"/>
          <w:color w:val="auto"/>
        </w:rPr>
        <w:t xml:space="preserve">13.3 </w:t>
      </w:r>
      <w:r>
        <w:rPr>
          <w:rFonts w:ascii="Times New Roman" w:cs="Times New Roman" w:eastAsia="Times New Roman" w:hAnsi="Times New Roman"/>
          <w:sz w:val="19"/>
          <w:szCs w:val="19"/>
          <w:u w:val="single" w:color="auto"/>
          <w:color w:val="auto"/>
        </w:rPr>
        <w:t>Limited Product Warranty</w:t>
      </w:r>
      <w:r>
        <w:rPr>
          <w:rFonts w:ascii="Times New Roman" w:cs="Times New Roman" w:eastAsia="Times New Roman" w:hAnsi="Times New Roman"/>
          <w:sz w:val="19"/>
          <w:szCs w:val="19"/>
          <w:color w:val="auto"/>
        </w:rPr>
        <w:t>. Subject to the provisions of Sections 13.4 through 13.7, Seller warrants to Buyer (the "</w:t>
      </w:r>
      <w:r>
        <w:rPr>
          <w:rFonts w:ascii="Times New Roman" w:cs="Times New Roman" w:eastAsia="Times New Roman" w:hAnsi="Times New Roman"/>
          <w:sz w:val="19"/>
          <w:szCs w:val="19"/>
          <w:b w:val="1"/>
          <w:bCs w:val="1"/>
          <w:color w:val="auto"/>
        </w:rPr>
        <w:t>Product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Warranty</w:t>
      </w:r>
      <w:r>
        <w:rPr>
          <w:rFonts w:ascii="Times New Roman" w:cs="Times New Roman" w:eastAsia="Times New Roman" w:hAnsi="Times New Roman"/>
          <w:sz w:val="19"/>
          <w:szCs w:val="19"/>
          <w:color w:val="auto"/>
        </w:rPr>
        <w:t>") that:</w:t>
      </w:r>
    </w:p>
    <w:p>
      <w:pPr>
        <w:spacing w:after="0" w:line="142" w:lineRule="exact"/>
        <w:rPr>
          <w:sz w:val="20"/>
          <w:szCs w:val="20"/>
          <w:color w:val="auto"/>
        </w:rPr>
      </w:pPr>
    </w:p>
    <w:p>
      <w:pPr>
        <w:ind w:left="600" w:firstLine="742"/>
        <w:spacing w:after="0" w:line="278" w:lineRule="auto"/>
        <w:tabs>
          <w:tab w:leader="none" w:pos="1589"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 period of twelve months from the date of shipment of a Good (the "</w:t>
      </w:r>
      <w:r>
        <w:rPr>
          <w:rFonts w:ascii="Times New Roman" w:cs="Times New Roman" w:eastAsia="Times New Roman" w:hAnsi="Times New Roman"/>
          <w:sz w:val="19"/>
          <w:szCs w:val="19"/>
          <w:b w:val="1"/>
          <w:bCs w:val="1"/>
          <w:color w:val="auto"/>
        </w:rPr>
        <w:t>Warranty Period</w:t>
      </w:r>
      <w:r>
        <w:rPr>
          <w:rFonts w:ascii="Times New Roman" w:cs="Times New Roman" w:eastAsia="Times New Roman" w:hAnsi="Times New Roman"/>
          <w:sz w:val="19"/>
          <w:szCs w:val="19"/>
          <w:color w:val="auto"/>
        </w:rPr>
        <w:t>"), each Good will materially conform to the Specifications and will be free from significant defects in material and workmanship; and</w:t>
      </w:r>
    </w:p>
    <w:p>
      <w:pPr>
        <w:spacing w:after="0" w:line="14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color w:val="auto"/>
        </w:rPr>
        <w:t>(b)Buyer will receive good and valid title to all Goods, free and clear of all encumbrances and liens of any kind.</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color w:val="auto"/>
        </w:rPr>
        <w:t xml:space="preserve">13.4  </w:t>
      </w:r>
      <w:r>
        <w:rPr>
          <w:rFonts w:ascii="Times New Roman" w:cs="Times New Roman" w:eastAsia="Times New Roman" w:hAnsi="Times New Roman"/>
          <w:sz w:val="19"/>
          <w:szCs w:val="19"/>
          <w:u w:val="single" w:color="auto"/>
          <w:color w:val="auto"/>
        </w:rPr>
        <w:t>Product Warranty Limitations</w:t>
      </w:r>
      <w:r>
        <w:rPr>
          <w:rFonts w:ascii="Times New Roman" w:cs="Times New Roman" w:eastAsia="Times New Roman" w:hAnsi="Times New Roman"/>
          <w:sz w:val="19"/>
          <w:szCs w:val="19"/>
          <w:color w:val="auto"/>
        </w:rPr>
        <w:t>. The Product Warranty does not apply to any Good that:</w:t>
      </w:r>
    </w:p>
    <w:p>
      <w:pPr>
        <w:spacing w:after="0" w:line="209" w:lineRule="exact"/>
        <w:rPr>
          <w:sz w:val="20"/>
          <w:szCs w:val="20"/>
          <w:color w:val="auto"/>
        </w:rPr>
      </w:pPr>
    </w:p>
    <w:p>
      <w:pPr>
        <w:jc w:val="both"/>
        <w:ind w:left="600" w:firstLine="742"/>
        <w:spacing w:after="0" w:line="259" w:lineRule="auto"/>
        <w:tabs>
          <w:tab w:leader="none" w:pos="1589"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has been subjected to abuse, misuse, neglect, negligence, accident, improper testing, improper installation, improper storage, improper handling, abnormal physical stress, abnormal environmental conditions or use contrary to any instructions issued by Seller;</w:t>
      </w:r>
    </w:p>
    <w:p>
      <w:pPr>
        <w:spacing w:after="0" w:line="16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color w:val="auto"/>
        </w:rPr>
        <w:t>(b)has been reconstructed, repaired, or altered by Persons other than Seller or its authorized Representative; or</w:t>
      </w:r>
    </w:p>
    <w:p>
      <w:pPr>
        <w:spacing w:after="0" w:line="20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color w:val="auto"/>
        </w:rPr>
        <w:t>(c) has been used with any third-party products, hardware, or product that has not been previously approved in writing by</w:t>
      </w:r>
    </w:p>
    <w:p>
      <w:pPr>
        <w:spacing w:after="0" w:line="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color w:val="auto"/>
        </w:rPr>
        <w:t>Seller.</w:t>
      </w:r>
    </w:p>
    <w:p>
      <w:pPr>
        <w:spacing w:after="0" w:line="187" w:lineRule="exact"/>
        <w:rPr>
          <w:sz w:val="20"/>
          <w:szCs w:val="20"/>
          <w:color w:val="auto"/>
        </w:rPr>
      </w:pPr>
    </w:p>
    <w:p>
      <w:pPr>
        <w:jc w:val="both"/>
        <w:ind w:firstLine="599"/>
        <w:spacing w:after="0" w:line="259" w:lineRule="auto"/>
        <w:rPr>
          <w:sz w:val="20"/>
          <w:szCs w:val="20"/>
          <w:color w:val="auto"/>
        </w:rPr>
      </w:pPr>
      <w:r>
        <w:rPr>
          <w:rFonts w:ascii="Times New Roman" w:cs="Times New Roman" w:eastAsia="Times New Roman" w:hAnsi="Times New Roman"/>
          <w:sz w:val="19"/>
          <w:szCs w:val="19"/>
          <w:color w:val="auto"/>
        </w:rPr>
        <w:t xml:space="preserve">13.5 </w:t>
      </w:r>
      <w:r>
        <w:rPr>
          <w:rFonts w:ascii="Times New Roman" w:cs="Times New Roman" w:eastAsia="Times New Roman" w:hAnsi="Times New Roman"/>
          <w:sz w:val="19"/>
          <w:szCs w:val="19"/>
          <w:u w:val="single" w:color="auto"/>
          <w:color w:val="auto"/>
        </w:rPr>
        <w:t>Buyer's Exclusive Remedy for Defective Goods</w:t>
      </w:r>
      <w:r>
        <w:rPr>
          <w:rFonts w:ascii="Times New Roman" w:cs="Times New Roman" w:eastAsia="Times New Roman" w:hAnsi="Times New Roman"/>
          <w:sz w:val="19"/>
          <w:szCs w:val="19"/>
          <w:color w:val="auto"/>
        </w:rPr>
        <w:t>. Notwithstanding any other provision of this Agreement (except for Section 13.7), this Section contains Buyer's exclusive remedy for Defective Goods. Buyer's remedy under this Section is conditioned upon Buyer's compliance with its obligations below. During the Warranty Period, with respect to any allegedly Defective Goods:</w:t>
      </w:r>
    </w:p>
    <w:p>
      <w:pPr>
        <w:spacing w:after="0" w:line="161" w:lineRule="exact"/>
        <w:rPr>
          <w:sz w:val="20"/>
          <w:szCs w:val="20"/>
          <w:color w:val="auto"/>
        </w:rPr>
      </w:pPr>
    </w:p>
    <w:p>
      <w:pPr>
        <w:jc w:val="both"/>
        <w:ind w:left="600" w:firstLine="742"/>
        <w:spacing w:after="0" w:line="259" w:lineRule="auto"/>
        <w:tabs>
          <w:tab w:leader="none" w:pos="1589"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Buyer shall notify Seller, in writing, of any alleged claim or defect within five Business Days from the date Buyer discovers, or upon reasonable inspection should have discovered, such alleged claim or defect (but in any event before the expiration of the applicable Warranty Period);</w:t>
      </w: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2B3486"/>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558165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780"/>
          </w:cols>
          <w:pgMar w:left="780" w:top="1440" w:right="339" w:bottom="1440" w:gutter="0" w:footer="0" w:header="0"/>
        </w:sectPr>
      </w:pPr>
    </w:p>
    <w:bookmarkStart w:id="15" w:name="page16"/>
    <w:bookmarkEnd w:id="15"/>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327660</wp:posOffset>
            </wp:positionV>
            <wp:extent cx="494030" cy="5924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494030" cy="592455"/>
                    </a:xfrm>
                    <a:prstGeom prst="rect">
                      <a:avLst/>
                    </a:prstGeom>
                    <a:noFill/>
                  </pic:spPr>
                </pic:pic>
              </a:graphicData>
            </a:graphic>
          </wp:anchor>
        </w:drawing>
      </w:r>
    </w:p>
    <w:p>
      <w:pPr>
        <w:ind w:left="607" w:firstLine="749"/>
        <w:spacing w:after="0" w:line="276" w:lineRule="auto"/>
        <w:rPr>
          <w:sz w:val="20"/>
          <w:szCs w:val="20"/>
          <w:color w:val="auto"/>
        </w:rPr>
      </w:pPr>
      <w:r>
        <w:rPr>
          <w:rFonts w:ascii="Times New Roman" w:cs="Times New Roman" w:eastAsia="Times New Roman" w:hAnsi="Times New Roman"/>
          <w:sz w:val="19"/>
          <w:szCs w:val="19"/>
          <w:color w:val="auto"/>
        </w:rPr>
        <w:t>(b)Buyer shall ship, at its expense and risk of loss, such allegedly Defective Goods to Seller's facility for inspection and testing by Seller;</w:t>
      </w:r>
    </w:p>
    <w:p>
      <w:pPr>
        <w:spacing w:after="0" w:line="146" w:lineRule="exact"/>
        <w:rPr>
          <w:sz w:val="20"/>
          <w:szCs w:val="20"/>
          <w:color w:val="auto"/>
        </w:rPr>
      </w:pPr>
    </w:p>
    <w:p>
      <w:pPr>
        <w:jc w:val="both"/>
        <w:ind w:left="607" w:firstLine="742"/>
        <w:spacing w:after="0" w:line="259" w:lineRule="auto"/>
        <w:tabs>
          <w:tab w:leader="none" w:pos="1596"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Seller's inspection and testing reveal, to Seller's reasonable satisfaction, that such Goods are Defective and any such defect has not been caused or contributed to by any of the factors described under Section 13.4 above, Seller shall in its sole discretion and at its expense, repair or replace such Defective Goods; and</w:t>
      </w:r>
    </w:p>
    <w:p>
      <w:pPr>
        <w:spacing w:after="0" w:line="161" w:lineRule="exact"/>
        <w:rPr>
          <w:sz w:val="20"/>
          <w:szCs w:val="20"/>
          <w:color w:val="auto"/>
        </w:rPr>
      </w:pPr>
    </w:p>
    <w:p>
      <w:pPr>
        <w:ind w:left="1347"/>
        <w:spacing w:after="0"/>
        <w:rPr>
          <w:sz w:val="20"/>
          <w:szCs w:val="20"/>
          <w:color w:val="auto"/>
        </w:rPr>
      </w:pPr>
      <w:r>
        <w:rPr>
          <w:rFonts w:ascii="Times New Roman" w:cs="Times New Roman" w:eastAsia="Times New Roman" w:hAnsi="Times New Roman"/>
          <w:sz w:val="19"/>
          <w:szCs w:val="19"/>
          <w:color w:val="auto"/>
        </w:rPr>
        <w:t>(d)Seller shall ship to Buyer, at Seller's expense, the repaired or replaced Goods to a location designated by Buyer in the</w:t>
      </w:r>
    </w:p>
    <w:p>
      <w:pPr>
        <w:spacing w:after="0" w:line="24" w:lineRule="exact"/>
        <w:rPr>
          <w:sz w:val="20"/>
          <w:szCs w:val="20"/>
          <w:color w:val="auto"/>
        </w:rPr>
      </w:pPr>
    </w:p>
    <w:p>
      <w:pPr>
        <w:ind w:left="607"/>
        <w:spacing w:after="0"/>
        <w:rPr>
          <w:sz w:val="20"/>
          <w:szCs w:val="20"/>
          <w:color w:val="auto"/>
        </w:rPr>
      </w:pPr>
      <w:r>
        <w:rPr>
          <w:rFonts w:ascii="Times New Roman" w:cs="Times New Roman" w:eastAsia="Times New Roman" w:hAnsi="Times New Roman"/>
          <w:sz w:val="19"/>
          <w:szCs w:val="19"/>
          <w:color w:val="auto"/>
        </w:rPr>
        <w:t>Territory.</w:t>
      </w:r>
    </w:p>
    <w:p>
      <w:pPr>
        <w:spacing w:after="0" w:line="187" w:lineRule="exact"/>
        <w:rPr>
          <w:sz w:val="20"/>
          <w:szCs w:val="20"/>
          <w:color w:val="auto"/>
        </w:rPr>
      </w:pPr>
    </w:p>
    <w:p>
      <w:pPr>
        <w:jc w:val="both"/>
        <w:ind w:left="7" w:firstLine="1349"/>
        <w:spacing w:after="0" w:line="259" w:lineRule="auto"/>
        <w:rPr>
          <w:sz w:val="20"/>
          <w:szCs w:val="20"/>
          <w:color w:val="auto"/>
        </w:rPr>
      </w:pPr>
      <w:r>
        <w:rPr>
          <w:rFonts w:ascii="Times New Roman" w:cs="Times New Roman" w:eastAsia="Times New Roman" w:hAnsi="Times New Roman"/>
          <w:sz w:val="19"/>
          <w:szCs w:val="19"/>
          <w:color w:val="auto"/>
        </w:rPr>
        <w:t>Buyer has no right to return for repair, replacement, credit, or refund any Good except as set forth in this Section (or if otherwise applicable, Section 8.6 or Section 13.7). In no event shall Buyer reconstruct, repair, alter or replace any Good, in whole or in part, either itself or by or through any third party.</w:t>
      </w:r>
    </w:p>
    <w:p>
      <w:pPr>
        <w:spacing w:after="0" w:line="161" w:lineRule="exact"/>
        <w:rPr>
          <w:sz w:val="20"/>
          <w:szCs w:val="20"/>
          <w:color w:val="auto"/>
        </w:rPr>
      </w:pPr>
    </w:p>
    <w:p>
      <w:pPr>
        <w:jc w:val="both"/>
        <w:ind w:left="7" w:firstLine="1349"/>
        <w:spacing w:after="0" w:line="276" w:lineRule="auto"/>
        <w:rPr>
          <w:sz w:val="20"/>
          <w:szCs w:val="20"/>
          <w:color w:val="auto"/>
        </w:rPr>
      </w:pPr>
      <w:r>
        <w:rPr>
          <w:rFonts w:ascii="Times New Roman" w:cs="Times New Roman" w:eastAsia="Times New Roman" w:hAnsi="Times New Roman"/>
          <w:sz w:val="19"/>
          <w:szCs w:val="19"/>
          <w:color w:val="auto"/>
        </w:rPr>
        <w:t>THIS SECTION SETS FORTH SELLER'S ENTIRE LIABILITY FOR ANY BREACH OF, AND BUYER'S SOLE REMEDY RELATING TO, THE LIMITED PRODUCT WARRANTY.</w:t>
      </w:r>
    </w:p>
    <w:p>
      <w:pPr>
        <w:spacing w:after="0" w:line="146" w:lineRule="exact"/>
        <w:rPr>
          <w:sz w:val="20"/>
          <w:szCs w:val="20"/>
          <w:color w:val="auto"/>
        </w:rPr>
      </w:pPr>
    </w:p>
    <w:p>
      <w:pPr>
        <w:jc w:val="both"/>
        <w:ind w:left="7" w:firstLine="599"/>
        <w:spacing w:after="0" w:line="246" w:lineRule="auto"/>
        <w:rPr>
          <w:sz w:val="20"/>
          <w:szCs w:val="20"/>
          <w:color w:val="auto"/>
        </w:rPr>
      </w:pPr>
      <w:r>
        <w:rPr>
          <w:rFonts w:ascii="Times New Roman" w:cs="Times New Roman" w:eastAsia="Times New Roman" w:hAnsi="Times New Roman"/>
          <w:sz w:val="19"/>
          <w:szCs w:val="19"/>
          <w:color w:val="auto"/>
        </w:rPr>
        <w:t xml:space="preserve">13.6 </w:t>
      </w:r>
      <w:r>
        <w:rPr>
          <w:rFonts w:ascii="Times New Roman" w:cs="Times New Roman" w:eastAsia="Times New Roman" w:hAnsi="Times New Roman"/>
          <w:sz w:val="19"/>
          <w:szCs w:val="19"/>
          <w:u w:val="single" w:color="auto"/>
          <w:color w:val="auto"/>
        </w:rPr>
        <w:t>DISCLAIMER OF OTHER REPRESENTATIONS AND WARRANTIES; NON-RELIANCE</w:t>
      </w:r>
      <w:r>
        <w:rPr>
          <w:rFonts w:ascii="Times New Roman" w:cs="Times New Roman" w:eastAsia="Times New Roman" w:hAnsi="Times New Roman"/>
          <w:sz w:val="19"/>
          <w:szCs w:val="19"/>
          <w:color w:val="auto"/>
        </w:rPr>
        <w:t>. EXCEPT FOR THE PRODUCT WARRANTY SET FORTH ABOVE, (A) NEITHER SELLER NOR ANY PERSON ON SELLER'S BEHALF HAS MADE OR MAKES ANY EXPRESS OR IMPLIED REPRESENTATION OR WARRANTY WHATSOEVER, EITHER ORAL OR WRITTEN, INCLUDING ANY WARRANTIES OF MERCHANTABILITY, FITNESS FOR A PARTICULAR PURPOSE, TITLE, NON-INFRINGEMENT, PERFORMANCE OF GOODS OR PRODUCTS TO STANDARDS SPECIFIC TO THE COUNTRY OF IMPORT, WHETHER ARISING BY LAW, COURSE OF DEALING, COURSE OF PERFORMANCE, USAGE OF TRADE OR OTHERWISE, ALL OF WHICH ARE EXPRESSLY DISCLAIMED, AND (B) BUYER ACKNOWLEDGES THAT IT HAS NOT RELIED UPON ANY REPRESENTATION OR WARRANTY MADE BY SELLER, OR ANY OTHER PERSON ON SELLER'S BEHALF, EXCEPT AS SPECIFICALLY PROVIDED IN THIS AGREEMENT.</w:t>
      </w:r>
    </w:p>
    <w:p>
      <w:pPr>
        <w:spacing w:after="0" w:line="176" w:lineRule="exact"/>
        <w:rPr>
          <w:sz w:val="20"/>
          <w:szCs w:val="20"/>
          <w:color w:val="auto"/>
        </w:rPr>
      </w:pPr>
    </w:p>
    <w:p>
      <w:pPr>
        <w:jc w:val="both"/>
        <w:ind w:left="7" w:firstLine="599"/>
        <w:spacing w:after="0" w:line="246" w:lineRule="auto"/>
        <w:rPr>
          <w:sz w:val="20"/>
          <w:szCs w:val="20"/>
          <w:color w:val="auto"/>
        </w:rPr>
      </w:pPr>
      <w:r>
        <w:rPr>
          <w:rFonts w:ascii="Times New Roman" w:cs="Times New Roman" w:eastAsia="Times New Roman" w:hAnsi="Times New Roman"/>
          <w:sz w:val="19"/>
          <w:szCs w:val="19"/>
          <w:color w:val="auto"/>
        </w:rPr>
        <w:t xml:space="preserve">13.7 </w:t>
      </w:r>
      <w:r>
        <w:rPr>
          <w:rFonts w:ascii="Times New Roman" w:cs="Times New Roman" w:eastAsia="Times New Roman" w:hAnsi="Times New Roman"/>
          <w:sz w:val="19"/>
          <w:szCs w:val="19"/>
          <w:u w:val="single" w:color="auto"/>
          <w:color w:val="auto"/>
        </w:rPr>
        <w:t>Withdrawal of Goods</w:t>
      </w:r>
      <w:r>
        <w:rPr>
          <w:rFonts w:ascii="Times New Roman" w:cs="Times New Roman" w:eastAsia="Times New Roman" w:hAnsi="Times New Roman"/>
          <w:sz w:val="19"/>
          <w:szCs w:val="19"/>
          <w:color w:val="auto"/>
        </w:rPr>
        <w:t>. If Seller determines that any Goods sold to Buyer may be Defective, or if any Governmental Authority issues a lawful order to Seller that the Good’s must be withdrawn from commerce, at Seller's request, Buyer shall withdraw all similar Goods from sale and, at Seller's option, either return such Goods to Seller or destroy the Goods and provide Seller with written certification of such destruction. Notwithstanding other limitations in this Agreement, if Buyer returns all withdrawn Goods or destroys all withdrawn Goods and provides Seller with written certification of such destruction within thirty days following Seller's withdrawal request, in either case, consistent with Seller's instructions, unless any such defect has not been caused or contributed to by any of the factors described under Section 13.4, Seller shall (a) repair or replace all such returned Goods or (b) replace such destroyed Goods, in either case, pursuant to the terms of this Section. THIS SECTION SETS FORTH SELLER'S ENTIRE LIABILITY FOR, AND BUYER'S SOLE REMEDY RELATING TO, ANY GOODS THAT ARE WITHDRAWN PURSUANT TO THIS SECTION.</w:t>
      </w:r>
    </w:p>
    <w:p>
      <w:pPr>
        <w:spacing w:after="0" w:line="176" w:lineRule="exact"/>
        <w:rPr>
          <w:sz w:val="20"/>
          <w:szCs w:val="20"/>
          <w:color w:val="auto"/>
        </w:rPr>
      </w:pPr>
    </w:p>
    <w:p>
      <w:pPr>
        <w:ind w:left="567" w:hanging="567"/>
        <w:spacing w:after="0"/>
        <w:tabs>
          <w:tab w:leader="none" w:pos="567"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Indemnification</w:t>
      </w:r>
      <w:r>
        <w:rPr>
          <w:rFonts w:ascii="Times New Roman" w:cs="Times New Roman" w:eastAsia="Times New Roman" w:hAnsi="Times New Roman"/>
          <w:sz w:val="19"/>
          <w:szCs w:val="19"/>
          <w:color w:val="auto"/>
        </w:rPr>
        <w:t>.</w:t>
      </w:r>
    </w:p>
    <w:p>
      <w:pPr>
        <w:spacing w:after="0" w:line="207" w:lineRule="exact"/>
        <w:rPr>
          <w:sz w:val="20"/>
          <w:szCs w:val="20"/>
          <w:color w:val="auto"/>
        </w:rPr>
      </w:pPr>
    </w:p>
    <w:p>
      <w:pPr>
        <w:ind w:left="7" w:firstLine="599"/>
        <w:spacing w:after="0" w:line="278" w:lineRule="auto"/>
        <w:rPr>
          <w:sz w:val="20"/>
          <w:szCs w:val="20"/>
          <w:color w:val="auto"/>
        </w:rPr>
      </w:pPr>
      <w:r>
        <w:rPr>
          <w:rFonts w:ascii="Times New Roman" w:cs="Times New Roman" w:eastAsia="Times New Roman" w:hAnsi="Times New Roman"/>
          <w:sz w:val="19"/>
          <w:szCs w:val="19"/>
          <w:color w:val="auto"/>
        </w:rPr>
        <w:t xml:space="preserve">14.1 </w:t>
      </w:r>
      <w:r>
        <w:rPr>
          <w:rFonts w:ascii="Times New Roman" w:cs="Times New Roman" w:eastAsia="Times New Roman" w:hAnsi="Times New Roman"/>
          <w:sz w:val="19"/>
          <w:szCs w:val="19"/>
          <w:u w:val="single" w:color="auto"/>
          <w:color w:val="auto"/>
        </w:rPr>
        <w:t>Buyer Indemnification</w:t>
      </w:r>
      <w:r>
        <w:rPr>
          <w:rFonts w:ascii="Times New Roman" w:cs="Times New Roman" w:eastAsia="Times New Roman" w:hAnsi="Times New Roman"/>
          <w:sz w:val="19"/>
          <w:szCs w:val="19"/>
          <w:color w:val="auto"/>
        </w:rPr>
        <w:t>. Subject to the terms and conditions of this Agreement, Buyer (as "</w:t>
      </w:r>
      <w:r>
        <w:rPr>
          <w:rFonts w:ascii="Times New Roman" w:cs="Times New Roman" w:eastAsia="Times New Roman" w:hAnsi="Times New Roman"/>
          <w:sz w:val="19"/>
          <w:szCs w:val="19"/>
          <w:b w:val="1"/>
          <w:bCs w:val="1"/>
          <w:color w:val="auto"/>
        </w:rPr>
        <w:t>Indemnifying Party</w:t>
      </w:r>
      <w:r>
        <w:rPr>
          <w:rFonts w:ascii="Times New Roman" w:cs="Times New Roman" w:eastAsia="Times New Roman" w:hAnsi="Times New Roman"/>
          <w:sz w:val="19"/>
          <w:szCs w:val="19"/>
          <w:color w:val="auto"/>
        </w:rPr>
        <w:t>") shall indemnify, defend and hold harmless Seller and its successors and</w:t>
      </w: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2B3486"/>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558165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787"/>
          </w:cols>
          <w:pgMar w:left="773" w:top="1440" w:right="339" w:bottom="1440" w:gutter="0" w:footer="0" w:header="0"/>
        </w:sectPr>
      </w:pPr>
    </w:p>
    <w:bookmarkStart w:id="16" w:name="page17"/>
    <w:bookmarkEnd w:id="16"/>
    <w:p>
      <w:pPr>
        <w:spacing w:after="0" w:line="1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327660</wp:posOffset>
            </wp:positionV>
            <wp:extent cx="494030" cy="5924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494030" cy="592455"/>
                    </a:xfrm>
                    <a:prstGeom prst="rect">
                      <a:avLst/>
                    </a:prstGeom>
                    <a:noFill/>
                  </pic:spPr>
                </pic:pic>
              </a:graphicData>
            </a:graphic>
          </wp:anchor>
        </w:drawing>
      </w:r>
    </w:p>
    <w:p>
      <w:pPr>
        <w:jc w:val="both"/>
        <w:ind w:left="7"/>
        <w:spacing w:after="0" w:line="254" w:lineRule="auto"/>
        <w:rPr>
          <w:sz w:val="20"/>
          <w:szCs w:val="20"/>
          <w:color w:val="auto"/>
        </w:rPr>
      </w:pPr>
      <w:r>
        <w:rPr>
          <w:rFonts w:ascii="Times New Roman" w:cs="Times New Roman" w:eastAsia="Times New Roman" w:hAnsi="Times New Roman"/>
          <w:sz w:val="19"/>
          <w:szCs w:val="19"/>
          <w:color w:val="auto"/>
        </w:rPr>
        <w:t>permitted assigns (collectively, "</w:t>
      </w:r>
      <w:r>
        <w:rPr>
          <w:rFonts w:ascii="Times New Roman" w:cs="Times New Roman" w:eastAsia="Times New Roman" w:hAnsi="Times New Roman"/>
          <w:sz w:val="19"/>
          <w:szCs w:val="19"/>
          <w:b w:val="1"/>
          <w:bCs w:val="1"/>
          <w:color w:val="auto"/>
        </w:rPr>
        <w:t>Indemnified Party</w:t>
      </w:r>
      <w:r>
        <w:rPr>
          <w:rFonts w:ascii="Times New Roman" w:cs="Times New Roman" w:eastAsia="Times New Roman" w:hAnsi="Times New Roman"/>
          <w:sz w:val="19"/>
          <w:szCs w:val="19"/>
          <w:color w:val="auto"/>
        </w:rPr>
        <w:t>") against any and all losses, damages, liabilities, deficiencies, claims, actions, judgments, settlements, interest, awards, penalties, fines, costs, or expenses of whatever kind, including reasonable attorneys' fees, fees and the costs of enforcing any right to indemnification under this Agreement and the cost of pursuing any insurance providers, (collectively, "</w:t>
      </w:r>
      <w:r>
        <w:rPr>
          <w:rFonts w:ascii="Times New Roman" w:cs="Times New Roman" w:eastAsia="Times New Roman" w:hAnsi="Times New Roman"/>
          <w:sz w:val="19"/>
          <w:szCs w:val="19"/>
          <w:b w:val="1"/>
          <w:bCs w:val="1"/>
          <w:color w:val="auto"/>
        </w:rPr>
        <w:t>Losses</w:t>
      </w:r>
      <w:r>
        <w:rPr>
          <w:rFonts w:ascii="Times New Roman" w:cs="Times New Roman" w:eastAsia="Times New Roman" w:hAnsi="Times New Roman"/>
          <w:sz w:val="19"/>
          <w:szCs w:val="19"/>
          <w:color w:val="auto"/>
        </w:rPr>
        <w:t>"), resulting from any third-party Claim alleging:</w:t>
      </w:r>
    </w:p>
    <w:p>
      <w:pPr>
        <w:spacing w:after="0" w:line="166" w:lineRule="exact"/>
        <w:rPr>
          <w:sz w:val="20"/>
          <w:szCs w:val="20"/>
          <w:color w:val="auto"/>
        </w:rPr>
      </w:pPr>
    </w:p>
    <w:p>
      <w:pPr>
        <w:ind w:left="607" w:firstLine="742"/>
        <w:spacing w:after="0" w:line="276" w:lineRule="auto"/>
        <w:tabs>
          <w:tab w:leader="none" w:pos="1596"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material breach or non-fulfillment of any representation, warranty or covenant under this Agreement by Indemnifying Party or Indemnifying Party's Personnel;</w:t>
      </w:r>
    </w:p>
    <w:p>
      <w:pPr>
        <w:spacing w:after="0" w:line="146" w:lineRule="exact"/>
        <w:rPr>
          <w:sz w:val="20"/>
          <w:szCs w:val="20"/>
          <w:color w:val="auto"/>
        </w:rPr>
      </w:pPr>
    </w:p>
    <w:p>
      <w:pPr>
        <w:ind w:left="607" w:firstLine="749"/>
        <w:spacing w:after="0" w:line="276" w:lineRule="auto"/>
        <w:rPr>
          <w:sz w:val="20"/>
          <w:szCs w:val="20"/>
          <w:color w:val="auto"/>
        </w:rPr>
      </w:pPr>
      <w:r>
        <w:rPr>
          <w:rFonts w:ascii="Times New Roman" w:cs="Times New Roman" w:eastAsia="Times New Roman" w:hAnsi="Times New Roman"/>
          <w:sz w:val="19"/>
          <w:szCs w:val="19"/>
          <w:color w:val="auto"/>
        </w:rPr>
        <w:t>(b)any grossly negligent or more culpable act or omission of Indemnifying Party or its Personnel (including any recklessness or willful misconduct) in connection with the performance of this Agreement;</w:t>
      </w:r>
    </w:p>
    <w:p>
      <w:pPr>
        <w:spacing w:after="0" w:line="146" w:lineRule="exact"/>
        <w:rPr>
          <w:sz w:val="20"/>
          <w:szCs w:val="20"/>
          <w:color w:val="auto"/>
        </w:rPr>
      </w:pPr>
    </w:p>
    <w:p>
      <w:pPr>
        <w:ind w:left="607" w:firstLine="742"/>
        <w:spacing w:after="0" w:line="276" w:lineRule="auto"/>
        <w:tabs>
          <w:tab w:leader="none" w:pos="1596"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bodily injury, death of any Person or damage to real or tangible personal property caused by the grossly negligent acts or omissions of Indemnifying Party or its Personnel;</w:t>
      </w:r>
    </w:p>
    <w:p>
      <w:pPr>
        <w:spacing w:after="0" w:line="146" w:lineRule="exact"/>
        <w:rPr>
          <w:sz w:val="20"/>
          <w:szCs w:val="20"/>
          <w:color w:val="auto"/>
        </w:rPr>
      </w:pPr>
    </w:p>
    <w:p>
      <w:pPr>
        <w:ind w:left="1347"/>
        <w:spacing w:after="0"/>
        <w:rPr>
          <w:sz w:val="20"/>
          <w:szCs w:val="20"/>
          <w:color w:val="auto"/>
        </w:rPr>
      </w:pPr>
      <w:r>
        <w:rPr>
          <w:rFonts w:ascii="Times New Roman" w:cs="Times New Roman" w:eastAsia="Times New Roman" w:hAnsi="Times New Roman"/>
          <w:sz w:val="19"/>
          <w:szCs w:val="19"/>
          <w:color w:val="auto"/>
        </w:rPr>
        <w:t>(d)any failure by Indemnifying Party or its Personnel to materially comply with any applicable Laws.</w:t>
      </w:r>
    </w:p>
    <w:p>
      <w:pPr>
        <w:spacing w:after="0" w:line="209" w:lineRule="exact"/>
        <w:rPr>
          <w:sz w:val="20"/>
          <w:szCs w:val="20"/>
          <w:color w:val="auto"/>
        </w:rPr>
      </w:pPr>
    </w:p>
    <w:p>
      <w:pPr>
        <w:jc w:val="both"/>
        <w:ind w:left="7" w:firstLine="1349"/>
        <w:spacing w:after="0" w:line="276" w:lineRule="auto"/>
        <w:rPr>
          <w:sz w:val="20"/>
          <w:szCs w:val="20"/>
          <w:color w:val="auto"/>
        </w:rPr>
      </w:pPr>
      <w:r>
        <w:rPr>
          <w:rFonts w:ascii="Times New Roman" w:cs="Times New Roman" w:eastAsia="Times New Roman" w:hAnsi="Times New Roman"/>
          <w:sz w:val="19"/>
          <w:szCs w:val="19"/>
          <w:color w:val="auto"/>
        </w:rPr>
        <w:t>Notwithstanding anything to the contrary in this Agreement, this Section does not apply to any Claim (whether direct or indirect) for which a sole or exclusive remedy is provided for under another section of this Agreement.</w:t>
      </w:r>
    </w:p>
    <w:p>
      <w:pPr>
        <w:spacing w:after="0" w:line="146" w:lineRule="exact"/>
        <w:rPr>
          <w:sz w:val="20"/>
          <w:szCs w:val="20"/>
          <w:color w:val="auto"/>
        </w:rPr>
      </w:pPr>
    </w:p>
    <w:p>
      <w:pPr>
        <w:jc w:val="both"/>
        <w:ind w:left="7" w:firstLine="599"/>
        <w:spacing w:after="0" w:line="259" w:lineRule="auto"/>
        <w:rPr>
          <w:sz w:val="20"/>
          <w:szCs w:val="20"/>
          <w:color w:val="auto"/>
        </w:rPr>
      </w:pPr>
      <w:r>
        <w:rPr>
          <w:rFonts w:ascii="Times New Roman" w:cs="Times New Roman" w:eastAsia="Times New Roman" w:hAnsi="Times New Roman"/>
          <w:sz w:val="19"/>
          <w:szCs w:val="19"/>
          <w:color w:val="auto"/>
        </w:rPr>
        <w:t xml:space="preserve">14.2 </w:t>
      </w:r>
      <w:r>
        <w:rPr>
          <w:rFonts w:ascii="Times New Roman" w:cs="Times New Roman" w:eastAsia="Times New Roman" w:hAnsi="Times New Roman"/>
          <w:sz w:val="19"/>
          <w:szCs w:val="19"/>
          <w:u w:val="single" w:color="auto"/>
          <w:color w:val="auto"/>
        </w:rPr>
        <w:t>Exceptions and Limitations on Indemnification</w:t>
      </w:r>
      <w:r>
        <w:rPr>
          <w:rFonts w:ascii="Times New Roman" w:cs="Times New Roman" w:eastAsia="Times New Roman" w:hAnsi="Times New Roman"/>
          <w:sz w:val="19"/>
          <w:szCs w:val="19"/>
          <w:color w:val="auto"/>
        </w:rPr>
        <w:t>. Notwithstanding anything to the contrary in this Agreement, an Indemnifying Party is not obligated to indemnify or defend (if applicable) an Indemnified Party against any Claim if such Claim or corresponding Losses arise out of or result from the Indemnified Party's or its Personnel's:</w:t>
      </w:r>
    </w:p>
    <w:p>
      <w:pPr>
        <w:spacing w:after="0" w:line="161" w:lineRule="exact"/>
        <w:rPr>
          <w:sz w:val="20"/>
          <w:szCs w:val="20"/>
          <w:color w:val="auto"/>
        </w:rPr>
      </w:pPr>
    </w:p>
    <w:p>
      <w:pPr>
        <w:ind w:left="1347" w:right="2180" w:firstLine="2"/>
        <w:spacing w:after="0" w:line="469" w:lineRule="auto"/>
        <w:tabs>
          <w:tab w:leader="none" w:pos="1586"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gross negligence or more culpable act or omission (including willful misconduct); or (b)bad faith failure to materially comply with any of its obligations set forth in this Agreement;</w:t>
      </w:r>
    </w:p>
    <w:p>
      <w:pPr>
        <w:spacing w:after="0" w:line="2" w:lineRule="exact"/>
        <w:rPr>
          <w:sz w:val="20"/>
          <w:szCs w:val="20"/>
          <w:color w:val="auto"/>
        </w:rPr>
      </w:pPr>
    </w:p>
    <w:p>
      <w:pPr>
        <w:jc w:val="both"/>
        <w:ind w:left="7" w:firstLine="599"/>
        <w:spacing w:after="0" w:line="259" w:lineRule="auto"/>
        <w:rPr>
          <w:sz w:val="20"/>
          <w:szCs w:val="20"/>
          <w:color w:val="auto"/>
        </w:rPr>
      </w:pPr>
      <w:r>
        <w:rPr>
          <w:rFonts w:ascii="Times New Roman" w:cs="Times New Roman" w:eastAsia="Times New Roman" w:hAnsi="Times New Roman"/>
          <w:sz w:val="19"/>
          <w:szCs w:val="19"/>
          <w:color w:val="auto"/>
        </w:rPr>
        <w:t xml:space="preserve">14.3 </w:t>
      </w:r>
      <w:r>
        <w:rPr>
          <w:rFonts w:ascii="Times New Roman" w:cs="Times New Roman" w:eastAsia="Times New Roman" w:hAnsi="Times New Roman"/>
          <w:sz w:val="19"/>
          <w:szCs w:val="19"/>
          <w:u w:val="single" w:color="auto"/>
          <w:color w:val="auto"/>
        </w:rPr>
        <w:t>EXCLUSIVE REMEDY</w:t>
      </w:r>
      <w:r>
        <w:rPr>
          <w:rFonts w:ascii="Times New Roman" w:cs="Times New Roman" w:eastAsia="Times New Roman" w:hAnsi="Times New Roman"/>
          <w:sz w:val="19"/>
          <w:szCs w:val="19"/>
          <w:color w:val="auto"/>
        </w:rPr>
        <w:t>. THIS SECTION SETS FORTH THE ENTIRE LIABILITY AND OBLIGATION OF EACH INDEMNIFYING PARTY AND THE SOLE AND EXCLUSIVE REMEDY FOR EACH INDEMNIFIED PARTY FOR ANY DAMAGES COVERED BY THIS SECTION.</w:t>
      </w:r>
    </w:p>
    <w:p>
      <w:pPr>
        <w:spacing w:after="0" w:line="161" w:lineRule="exact"/>
        <w:rPr>
          <w:sz w:val="20"/>
          <w:szCs w:val="20"/>
          <w:color w:val="auto"/>
        </w:rPr>
      </w:pPr>
    </w:p>
    <w:p>
      <w:pPr>
        <w:ind w:left="567" w:hanging="567"/>
        <w:spacing w:after="0"/>
        <w:tabs>
          <w:tab w:leader="none" w:pos="567"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Limitation of Liability</w:t>
      </w:r>
      <w:r>
        <w:rPr>
          <w:rFonts w:ascii="Times New Roman" w:cs="Times New Roman" w:eastAsia="Times New Roman" w:hAnsi="Times New Roman"/>
          <w:sz w:val="19"/>
          <w:szCs w:val="19"/>
          <w:color w:val="auto"/>
        </w:rPr>
        <w:t>.</w:t>
      </w:r>
    </w:p>
    <w:p>
      <w:pPr>
        <w:spacing w:after="0" w:line="209" w:lineRule="exact"/>
        <w:rPr>
          <w:sz w:val="20"/>
          <w:szCs w:val="20"/>
          <w:color w:val="auto"/>
        </w:rPr>
      </w:pPr>
    </w:p>
    <w:p>
      <w:pPr>
        <w:jc w:val="both"/>
        <w:ind w:left="7" w:firstLine="599"/>
        <w:spacing w:after="0" w:line="248" w:lineRule="auto"/>
        <w:rPr>
          <w:sz w:val="20"/>
          <w:szCs w:val="20"/>
          <w:color w:val="auto"/>
        </w:rPr>
      </w:pPr>
      <w:r>
        <w:rPr>
          <w:rFonts w:ascii="Times New Roman" w:cs="Times New Roman" w:eastAsia="Times New Roman" w:hAnsi="Times New Roman"/>
          <w:sz w:val="19"/>
          <w:szCs w:val="19"/>
          <w:color w:val="auto"/>
        </w:rPr>
        <w:t xml:space="preserve">15.1 </w:t>
      </w:r>
      <w:r>
        <w:rPr>
          <w:rFonts w:ascii="Times New Roman" w:cs="Times New Roman" w:eastAsia="Times New Roman" w:hAnsi="Times New Roman"/>
          <w:sz w:val="19"/>
          <w:szCs w:val="19"/>
          <w:u w:val="single" w:color="auto"/>
          <w:color w:val="auto"/>
        </w:rPr>
        <w:t>NO LIABILITY FOR CONSEQUENTIAL OR INDIRECT DAMAGES</w:t>
      </w:r>
      <w:r>
        <w:rPr>
          <w:rFonts w:ascii="Times New Roman" w:cs="Times New Roman" w:eastAsia="Times New Roman" w:hAnsi="Times New Roman"/>
          <w:sz w:val="19"/>
          <w:szCs w:val="19"/>
          <w:color w:val="auto"/>
        </w:rPr>
        <w:t>. EXCEPT FOR OBLIGATIONS TO MAKE PAYMENT UNDER THIS AGREEMENT, LIABILITY FOR INDEMNIFICATION, LIABILITY FOR BREACH OF CONFIDENTIALITY, OR LIABILITY FOR INFRINGEMENT OR MISAPPROPRIATION OF INTELLECTUAL PROPERTY RIGHTS, IN NO EVENT SHALL SELLER OR ITS REPRESENTATIVES BE LIABLE FOR CONSEQUENTIAL, INDIRECT, INCIDENTAL, SPECIAL, EXEMPLARY, OR PUNITIVE DAMAGES ARISING OUT OF OR RELATING TO ANY BREACH OF THIS AGREEMENT, REGARDLESS OF (A) WHETHER SUCH DAMAGES WERE FORESEEABLE, (B) WHETHER OR NOT BUYER WAS</w:t>
      </w: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2B3486"/>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558165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787"/>
          </w:cols>
          <w:pgMar w:left="773" w:top="1440" w:right="339" w:bottom="1440" w:gutter="0" w:footer="0" w:header="0"/>
        </w:sectPr>
      </w:pPr>
    </w:p>
    <w:bookmarkStart w:id="17" w:name="page18"/>
    <w:bookmarkEnd w:id="17"/>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327660</wp:posOffset>
            </wp:positionV>
            <wp:extent cx="494030" cy="5924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494030" cy="592455"/>
                    </a:xfrm>
                    <a:prstGeom prst="rect">
                      <a:avLst/>
                    </a:prstGeom>
                    <a:noFill/>
                  </pic:spPr>
                </pic:pic>
              </a:graphicData>
            </a:graphic>
          </wp:anchor>
        </w:drawing>
      </w:r>
    </w:p>
    <w:p>
      <w:pPr>
        <w:jc w:val="both"/>
        <w:ind w:left="7"/>
        <w:spacing w:after="0" w:line="259" w:lineRule="auto"/>
        <w:rPr>
          <w:sz w:val="20"/>
          <w:szCs w:val="20"/>
          <w:color w:val="auto"/>
        </w:rPr>
      </w:pPr>
      <w:r>
        <w:rPr>
          <w:rFonts w:ascii="Times New Roman" w:cs="Times New Roman" w:eastAsia="Times New Roman" w:hAnsi="Times New Roman"/>
          <w:sz w:val="19"/>
          <w:szCs w:val="19"/>
          <w:color w:val="auto"/>
        </w:rPr>
        <w:t>ADVISED OF THE POSSIBILITY OF SUCH DAMAGES AND (C) THE LEGAL OR EQUITABLE THEORY (CONTRACT, TORT OR OTHERWISE) UPON WHICH THE CLAIM IS BASED, AND NOTWITHSTANDING THE FAILURE OF ANY AGREED OR OTHER REMEDY OF ITS ESSENTIAL PURPOSE.</w:t>
      </w:r>
    </w:p>
    <w:p>
      <w:pPr>
        <w:spacing w:after="0" w:line="161" w:lineRule="exact"/>
        <w:rPr>
          <w:sz w:val="20"/>
          <w:szCs w:val="20"/>
          <w:color w:val="auto"/>
        </w:rPr>
      </w:pPr>
    </w:p>
    <w:p>
      <w:pPr>
        <w:jc w:val="both"/>
        <w:ind w:left="7" w:firstLine="599"/>
        <w:spacing w:after="0" w:line="250" w:lineRule="auto"/>
        <w:rPr>
          <w:sz w:val="20"/>
          <w:szCs w:val="20"/>
          <w:color w:val="auto"/>
        </w:rPr>
      </w:pPr>
      <w:r>
        <w:rPr>
          <w:rFonts w:ascii="Times New Roman" w:cs="Times New Roman" w:eastAsia="Times New Roman" w:hAnsi="Times New Roman"/>
          <w:sz w:val="19"/>
          <w:szCs w:val="19"/>
          <w:color w:val="auto"/>
        </w:rPr>
        <w:t xml:space="preserve">15.2 </w:t>
      </w:r>
      <w:r>
        <w:rPr>
          <w:rFonts w:ascii="Times New Roman" w:cs="Times New Roman" w:eastAsia="Times New Roman" w:hAnsi="Times New Roman"/>
          <w:sz w:val="19"/>
          <w:szCs w:val="19"/>
          <w:u w:val="single" w:color="auto"/>
          <w:color w:val="auto"/>
        </w:rPr>
        <w:t>MAXIMUM LIABILITY FOR DAMAGES</w:t>
      </w:r>
      <w:r>
        <w:rPr>
          <w:rFonts w:ascii="Times New Roman" w:cs="Times New Roman" w:eastAsia="Times New Roman" w:hAnsi="Times New Roman"/>
          <w:sz w:val="19"/>
          <w:szCs w:val="19"/>
          <w:color w:val="auto"/>
        </w:rPr>
        <w:t>. IN NO EVENT SHALL SELLER'S AGGREGATE LIABILITY ARISING OUT OF OR RELATED TO THIS AGREEMENT, WHETHER ARISING OUT OF OR RELATED TO BREACH OF CONTRACT, TORT (INCLUDING NEGLIGENCE) OR OTHERWISE, EXCEED 50% OF THE TOTAL OF THE AMOUNTS PAID AND AMOUNTS ACCRUED BUT NOT YET PAID TO SELLER PURSUANT TO THIS AGREEMENT IN THE TWELVE-MONTH PERIOD PRECEDING THE EVENT GIVING RISE TO THE CLAIM.</w:t>
      </w:r>
    </w:p>
    <w:p>
      <w:pPr>
        <w:spacing w:after="0" w:line="172" w:lineRule="exact"/>
        <w:rPr>
          <w:sz w:val="20"/>
          <w:szCs w:val="20"/>
          <w:color w:val="auto"/>
        </w:rPr>
      </w:pPr>
    </w:p>
    <w:p>
      <w:pPr>
        <w:jc w:val="both"/>
        <w:ind w:left="7" w:firstLine="599"/>
        <w:spacing w:after="0" w:line="250" w:lineRule="auto"/>
        <w:rPr>
          <w:sz w:val="20"/>
          <w:szCs w:val="20"/>
          <w:color w:val="auto"/>
        </w:rPr>
      </w:pPr>
      <w:r>
        <w:rPr>
          <w:rFonts w:ascii="Times New Roman" w:cs="Times New Roman" w:eastAsia="Times New Roman" w:hAnsi="Times New Roman"/>
          <w:sz w:val="19"/>
          <w:szCs w:val="19"/>
          <w:color w:val="auto"/>
        </w:rPr>
        <w:t xml:space="preserve">15.3 </w:t>
      </w:r>
      <w:r>
        <w:rPr>
          <w:rFonts w:ascii="Times New Roman" w:cs="Times New Roman" w:eastAsia="Times New Roman" w:hAnsi="Times New Roman"/>
          <w:sz w:val="19"/>
          <w:szCs w:val="19"/>
          <w:u w:val="single" w:color="auto"/>
          <w:color w:val="auto"/>
        </w:rPr>
        <w:t>ASSUMPTION OF RISK</w:t>
      </w:r>
      <w:r>
        <w:rPr>
          <w:rFonts w:ascii="Times New Roman" w:cs="Times New Roman" w:eastAsia="Times New Roman" w:hAnsi="Times New Roman"/>
          <w:sz w:val="19"/>
          <w:szCs w:val="19"/>
          <w:color w:val="auto"/>
        </w:rPr>
        <w:t>. WITHOUT LIMITING THE GENERALITY OF THE FOREGOING, BUYER ASSUMES ALL RISK AND LIABILITY FOR THE RESULTS OBTAINED BY THE USE OF ANY GOODS IN THE PRACTICE OF ANY PROCESS, WHETHER IN TERMS OF OPERATING COSTS, GENERAL EFFECTIVENESS, SUCCESS OR FAILURE, AND REGARDLESS OF ANY ORAL OR WRITTEN STATEMENTS MADE BY SELLER, BY WAY OF TECHNICAL ADVICE OR OTHERWISE, RELATED TO THE USE OF THE GOODS.</w:t>
      </w:r>
    </w:p>
    <w:p>
      <w:pPr>
        <w:spacing w:after="0" w:line="172" w:lineRule="exact"/>
        <w:rPr>
          <w:sz w:val="20"/>
          <w:szCs w:val="20"/>
          <w:color w:val="auto"/>
        </w:rPr>
      </w:pPr>
    </w:p>
    <w:p>
      <w:pPr>
        <w:ind w:left="567" w:hanging="567"/>
        <w:spacing w:after="0"/>
        <w:tabs>
          <w:tab w:leader="none" w:pos="567"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Intellectual Property Rights</w:t>
      </w:r>
      <w:r>
        <w:rPr>
          <w:rFonts w:ascii="Times New Roman" w:cs="Times New Roman" w:eastAsia="Times New Roman" w:hAnsi="Times New Roman"/>
          <w:sz w:val="19"/>
          <w:szCs w:val="19"/>
          <w:color w:val="auto"/>
        </w:rPr>
        <w:t>.</w:t>
      </w:r>
    </w:p>
    <w:p>
      <w:pPr>
        <w:spacing w:after="0" w:line="209" w:lineRule="exact"/>
        <w:rPr>
          <w:sz w:val="20"/>
          <w:szCs w:val="20"/>
          <w:color w:val="auto"/>
        </w:rPr>
      </w:pPr>
    </w:p>
    <w:p>
      <w:pPr>
        <w:ind w:left="607"/>
        <w:spacing w:after="0"/>
        <w:rPr>
          <w:sz w:val="20"/>
          <w:szCs w:val="20"/>
          <w:color w:val="auto"/>
        </w:rPr>
      </w:pPr>
      <w:r>
        <w:rPr>
          <w:rFonts w:ascii="Times New Roman" w:cs="Times New Roman" w:eastAsia="Times New Roman" w:hAnsi="Times New Roman"/>
          <w:sz w:val="19"/>
          <w:szCs w:val="19"/>
          <w:color w:val="auto"/>
        </w:rPr>
        <w:t xml:space="preserve">16.1  </w:t>
      </w:r>
      <w:r>
        <w:rPr>
          <w:rFonts w:ascii="Times New Roman" w:cs="Times New Roman" w:eastAsia="Times New Roman" w:hAnsi="Times New Roman"/>
          <w:sz w:val="19"/>
          <w:szCs w:val="19"/>
          <w:u w:val="single" w:color="auto"/>
          <w:color w:val="auto"/>
        </w:rPr>
        <w:t>Ownership</w:t>
      </w:r>
      <w:r>
        <w:rPr>
          <w:rFonts w:ascii="Times New Roman" w:cs="Times New Roman" w:eastAsia="Times New Roman" w:hAnsi="Times New Roman"/>
          <w:sz w:val="19"/>
          <w:szCs w:val="19"/>
          <w:color w:val="auto"/>
        </w:rPr>
        <w:t>. Each Party acknowledges and agrees that:</w:t>
      </w:r>
    </w:p>
    <w:p>
      <w:pPr>
        <w:spacing w:after="0" w:line="209" w:lineRule="exact"/>
        <w:rPr>
          <w:sz w:val="20"/>
          <w:szCs w:val="20"/>
          <w:color w:val="auto"/>
        </w:rPr>
      </w:pPr>
    </w:p>
    <w:p>
      <w:pPr>
        <w:ind w:left="1347" w:right="40" w:firstLine="2"/>
        <w:spacing w:after="0" w:line="469" w:lineRule="auto"/>
        <w:tabs>
          <w:tab w:leader="none" w:pos="1586"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Party’s Intellectual Property Rights are the sole and exclusive property of that Party or its licensors; and (b)Neither Party shall acquire any ownership interest in the other Party's Intellectual Property Rights under this Agreement.</w:t>
      </w:r>
    </w:p>
    <w:p>
      <w:pPr>
        <w:spacing w:after="0" w:line="2" w:lineRule="exact"/>
        <w:rPr>
          <w:sz w:val="20"/>
          <w:szCs w:val="20"/>
          <w:color w:val="auto"/>
        </w:rPr>
      </w:pPr>
    </w:p>
    <w:p>
      <w:pPr>
        <w:ind w:left="607"/>
        <w:spacing w:after="0"/>
        <w:rPr>
          <w:sz w:val="20"/>
          <w:szCs w:val="20"/>
          <w:color w:val="auto"/>
        </w:rPr>
      </w:pPr>
      <w:r>
        <w:rPr>
          <w:rFonts w:ascii="Times New Roman" w:cs="Times New Roman" w:eastAsia="Times New Roman" w:hAnsi="Times New Roman"/>
          <w:sz w:val="19"/>
          <w:szCs w:val="19"/>
          <w:color w:val="auto"/>
        </w:rPr>
        <w:t xml:space="preserve">16.2  </w:t>
      </w:r>
      <w:r>
        <w:rPr>
          <w:rFonts w:ascii="Times New Roman" w:cs="Times New Roman" w:eastAsia="Times New Roman" w:hAnsi="Times New Roman"/>
          <w:sz w:val="19"/>
          <w:szCs w:val="19"/>
          <w:u w:val="single" w:color="auto"/>
          <w:color w:val="auto"/>
        </w:rPr>
        <w:t>Prohibited Acts</w:t>
      </w:r>
      <w:r>
        <w:rPr>
          <w:rFonts w:ascii="Times New Roman" w:cs="Times New Roman" w:eastAsia="Times New Roman" w:hAnsi="Times New Roman"/>
          <w:sz w:val="19"/>
          <w:szCs w:val="19"/>
          <w:color w:val="auto"/>
        </w:rPr>
        <w:t>. Neither Party shall:</w:t>
      </w:r>
    </w:p>
    <w:p>
      <w:pPr>
        <w:spacing w:after="0" w:line="209" w:lineRule="exact"/>
        <w:rPr>
          <w:sz w:val="20"/>
          <w:szCs w:val="20"/>
          <w:color w:val="auto"/>
        </w:rPr>
      </w:pPr>
    </w:p>
    <w:p>
      <w:pPr>
        <w:ind w:left="1347"/>
        <w:spacing w:after="0"/>
        <w:tabs>
          <w:tab w:leader="none" w:pos="9026" w:val="left"/>
        </w:tabs>
        <w:rPr>
          <w:sz w:val="20"/>
          <w:szCs w:val="20"/>
          <w:color w:val="auto"/>
        </w:rPr>
      </w:pPr>
      <w:r>
        <w:rPr>
          <w:rFonts w:ascii="Times New Roman" w:cs="Times New Roman" w:eastAsia="Times New Roman" w:hAnsi="Times New Roman"/>
          <w:sz w:val="19"/>
          <w:szCs w:val="19"/>
          <w:color w:val="auto"/>
        </w:rPr>
        <w:t>(a) take any action that interferes with the other Party’s Intellectual Property Rights, including</w:t>
        <w:tab/>
        <w:t>ownership or exercise</w:t>
      </w:r>
    </w:p>
    <w:p>
      <w:pPr>
        <w:spacing w:after="0" w:line="24" w:lineRule="exact"/>
        <w:rPr>
          <w:sz w:val="20"/>
          <w:szCs w:val="20"/>
          <w:color w:val="auto"/>
        </w:rPr>
      </w:pPr>
    </w:p>
    <w:p>
      <w:pPr>
        <w:ind w:left="607"/>
        <w:spacing w:after="0"/>
        <w:rPr>
          <w:sz w:val="20"/>
          <w:szCs w:val="20"/>
          <w:color w:val="auto"/>
        </w:rPr>
      </w:pPr>
      <w:r>
        <w:rPr>
          <w:rFonts w:ascii="Times New Roman" w:cs="Times New Roman" w:eastAsia="Times New Roman" w:hAnsi="Times New Roman"/>
          <w:sz w:val="19"/>
          <w:szCs w:val="19"/>
          <w:color w:val="auto"/>
        </w:rPr>
        <w:t>thereof;</w:t>
      </w:r>
    </w:p>
    <w:p>
      <w:pPr>
        <w:spacing w:after="0" w:line="187" w:lineRule="exact"/>
        <w:rPr>
          <w:sz w:val="20"/>
          <w:szCs w:val="20"/>
          <w:color w:val="auto"/>
        </w:rPr>
      </w:pPr>
    </w:p>
    <w:p>
      <w:pPr>
        <w:ind w:left="1347"/>
        <w:spacing w:after="0"/>
        <w:rPr>
          <w:sz w:val="20"/>
          <w:szCs w:val="20"/>
          <w:color w:val="auto"/>
        </w:rPr>
      </w:pPr>
      <w:r>
        <w:rPr>
          <w:rFonts w:ascii="Times New Roman" w:cs="Times New Roman" w:eastAsia="Times New Roman" w:hAnsi="Times New Roman"/>
          <w:sz w:val="19"/>
          <w:szCs w:val="19"/>
          <w:color w:val="auto"/>
        </w:rPr>
        <w:t>(b)challenge any right, title, or interest of the other Party’s Intellectual Property Rights;</w:t>
      </w:r>
    </w:p>
    <w:p>
      <w:pPr>
        <w:spacing w:after="0" w:line="209" w:lineRule="exact"/>
        <w:rPr>
          <w:sz w:val="20"/>
          <w:szCs w:val="20"/>
          <w:color w:val="auto"/>
        </w:rPr>
      </w:pPr>
    </w:p>
    <w:p>
      <w:pPr>
        <w:ind w:left="1347"/>
        <w:spacing w:after="0"/>
        <w:rPr>
          <w:sz w:val="20"/>
          <w:szCs w:val="20"/>
          <w:color w:val="auto"/>
        </w:rPr>
      </w:pPr>
      <w:r>
        <w:rPr>
          <w:rFonts w:ascii="Times New Roman" w:cs="Times New Roman" w:eastAsia="Times New Roman" w:hAnsi="Times New Roman"/>
          <w:sz w:val="19"/>
          <w:szCs w:val="19"/>
          <w:color w:val="auto"/>
        </w:rPr>
        <w:t>(c) make any claim or take any action adverse to the ownership of the other Party’s Intellectual Property Rights;</w:t>
      </w:r>
    </w:p>
    <w:p>
      <w:pPr>
        <w:spacing w:after="0" w:line="209" w:lineRule="exact"/>
        <w:rPr>
          <w:sz w:val="20"/>
          <w:szCs w:val="20"/>
          <w:color w:val="auto"/>
        </w:rPr>
      </w:pPr>
    </w:p>
    <w:p>
      <w:pPr>
        <w:ind w:left="607" w:firstLine="749"/>
        <w:spacing w:after="0" w:line="276" w:lineRule="auto"/>
        <w:rPr>
          <w:sz w:val="20"/>
          <w:szCs w:val="20"/>
          <w:color w:val="auto"/>
        </w:rPr>
      </w:pPr>
      <w:r>
        <w:rPr>
          <w:rFonts w:ascii="Times New Roman" w:cs="Times New Roman" w:eastAsia="Times New Roman" w:hAnsi="Times New Roman"/>
          <w:sz w:val="19"/>
          <w:szCs w:val="19"/>
          <w:color w:val="auto"/>
        </w:rPr>
        <w:t>(d)register or apply for registrations, anywhere in the world, for the other Party’s Trademarks or any other Trademark that is similar to the other Party’s Trademarks or that incorporates the other Party’s Trademarks;</w:t>
      </w:r>
    </w:p>
    <w:p>
      <w:pPr>
        <w:spacing w:after="0" w:line="146" w:lineRule="exact"/>
        <w:rPr>
          <w:sz w:val="20"/>
          <w:szCs w:val="20"/>
          <w:color w:val="auto"/>
        </w:rPr>
      </w:pPr>
    </w:p>
    <w:p>
      <w:pPr>
        <w:ind w:left="1587" w:hanging="238"/>
        <w:spacing w:after="0"/>
        <w:tabs>
          <w:tab w:leader="none" w:pos="1587"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use any mark, anywhere, that is confusingly similar to the other Party's Trademarks;</w:t>
      </w:r>
    </w:p>
    <w:p>
      <w:pPr>
        <w:spacing w:after="0" w:line="209" w:lineRule="exact"/>
        <w:rPr>
          <w:rFonts w:ascii="Times New Roman" w:cs="Times New Roman" w:eastAsia="Times New Roman" w:hAnsi="Times New Roman"/>
          <w:sz w:val="19"/>
          <w:szCs w:val="19"/>
          <w:color w:val="auto"/>
        </w:rPr>
      </w:pPr>
    </w:p>
    <w:p>
      <w:pPr>
        <w:ind w:left="1587" w:hanging="238"/>
        <w:spacing w:after="0"/>
        <w:tabs>
          <w:tab w:leader="none" w:pos="1587"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engage in any action that tends to disparage, dilute the value of, or reflect negatively on the Goods;</w:t>
      </w: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2B3486"/>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558165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787"/>
          </w:cols>
          <w:pgMar w:left="773" w:top="1440" w:right="339" w:bottom="1440" w:gutter="0" w:footer="0" w:header="0"/>
        </w:sectPr>
      </w:pPr>
    </w:p>
    <w:bookmarkStart w:id="18" w:name="page19"/>
    <w:bookmarkEnd w:id="18"/>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327660</wp:posOffset>
            </wp:positionV>
            <wp:extent cx="494030" cy="5924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494030" cy="592455"/>
                    </a:xfrm>
                    <a:prstGeom prst="rect">
                      <a:avLst/>
                    </a:prstGeom>
                    <a:noFill/>
                  </pic:spPr>
                </pic:pic>
              </a:graphicData>
            </a:graphic>
          </wp:anchor>
        </w:drawing>
      </w:r>
    </w:p>
    <w:p>
      <w:pPr>
        <w:jc w:val="both"/>
        <w:ind w:left="1060" w:firstLine="749"/>
        <w:spacing w:after="0" w:line="276" w:lineRule="auto"/>
        <w:rPr>
          <w:sz w:val="20"/>
          <w:szCs w:val="20"/>
          <w:color w:val="auto"/>
        </w:rPr>
      </w:pPr>
      <w:r>
        <w:rPr>
          <w:rFonts w:ascii="Times New Roman" w:cs="Times New Roman" w:eastAsia="Times New Roman" w:hAnsi="Times New Roman"/>
          <w:sz w:val="19"/>
          <w:szCs w:val="19"/>
          <w:color w:val="auto"/>
        </w:rPr>
        <w:t>(g)misappropriate any of the other Party’s Trademarks for use as a domain name without prior written consent from the other Party; or</w:t>
      </w:r>
    </w:p>
    <w:p>
      <w:pPr>
        <w:spacing w:after="0" w:line="146" w:lineRule="exact"/>
        <w:rPr>
          <w:sz w:val="20"/>
          <w:szCs w:val="20"/>
          <w:color w:val="auto"/>
        </w:rPr>
      </w:pPr>
    </w:p>
    <w:p>
      <w:pPr>
        <w:jc w:val="both"/>
        <w:ind w:left="1060" w:firstLine="749"/>
        <w:spacing w:after="0" w:line="259" w:lineRule="auto"/>
        <w:rPr>
          <w:sz w:val="20"/>
          <w:szCs w:val="20"/>
          <w:color w:val="auto"/>
        </w:rPr>
      </w:pPr>
      <w:r>
        <w:rPr>
          <w:rFonts w:ascii="Times New Roman" w:cs="Times New Roman" w:eastAsia="Times New Roman" w:hAnsi="Times New Roman"/>
          <w:sz w:val="19"/>
          <w:szCs w:val="19"/>
          <w:color w:val="auto"/>
        </w:rPr>
        <w:t>(h)alter, obscure, or remove any of the other Party’s Trademarks or trademark or copyright notices or any other proprietary rights notices placed on the products purchased under this Agreement (including Goods), marketing materials, or other materials provided by the other Party.</w:t>
      </w:r>
    </w:p>
    <w:p>
      <w:pPr>
        <w:spacing w:after="0" w:line="161" w:lineRule="exact"/>
        <w:rPr>
          <w:sz w:val="20"/>
          <w:szCs w:val="20"/>
          <w:color w:val="auto"/>
        </w:rPr>
      </w:pPr>
    </w:p>
    <w:p>
      <w:pPr>
        <w:ind w:firstLine="453"/>
        <w:spacing w:after="0" w:line="276" w:lineRule="auto"/>
        <w:tabs>
          <w:tab w:leader="none" w:pos="1019"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Confidentiality</w:t>
      </w:r>
      <w:r>
        <w:rPr>
          <w:rFonts w:ascii="Times New Roman" w:cs="Times New Roman" w:eastAsia="Times New Roman" w:hAnsi="Times New Roman"/>
          <w:sz w:val="19"/>
          <w:szCs w:val="19"/>
          <w:color w:val="auto"/>
        </w:rPr>
        <w:t>. This Agreement is subject to the confidentiality provisions of the Distribution Agreement which are herein incorporated by reference.</w:t>
      </w:r>
    </w:p>
    <w:p>
      <w:pPr>
        <w:spacing w:after="0" w:line="143" w:lineRule="exact"/>
        <w:rPr>
          <w:rFonts w:ascii="Times New Roman" w:cs="Times New Roman" w:eastAsia="Times New Roman" w:hAnsi="Times New Roman"/>
          <w:sz w:val="19"/>
          <w:szCs w:val="19"/>
          <w:color w:val="auto"/>
        </w:rPr>
      </w:pPr>
    </w:p>
    <w:p>
      <w:pPr>
        <w:ind w:firstLine="453"/>
        <w:spacing w:after="0" w:line="278" w:lineRule="auto"/>
        <w:tabs>
          <w:tab w:leader="none" w:pos="1019"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Tooling</w:t>
      </w:r>
      <w:r>
        <w:rPr>
          <w:rFonts w:ascii="Times New Roman" w:cs="Times New Roman" w:eastAsia="Times New Roman" w:hAnsi="Times New Roman"/>
          <w:sz w:val="19"/>
          <w:szCs w:val="19"/>
          <w:color w:val="auto"/>
        </w:rPr>
        <w:t>. All Tooling, other than Tooling listed in Schedule C, used to manufacture the Goods is owned by Seller ("</w:t>
      </w:r>
      <w:r>
        <w:rPr>
          <w:rFonts w:ascii="Times New Roman" w:cs="Times New Roman" w:eastAsia="Times New Roman" w:hAnsi="Times New Roman"/>
          <w:sz w:val="19"/>
          <w:szCs w:val="19"/>
          <w:b w:val="1"/>
          <w:bCs w:val="1"/>
          <w:color w:val="auto"/>
        </w:rPr>
        <w:t>Seller Tooling</w:t>
      </w:r>
      <w:r>
        <w:rPr>
          <w:rFonts w:ascii="Times New Roman" w:cs="Times New Roman" w:eastAsia="Times New Roman" w:hAnsi="Times New Roman"/>
          <w:sz w:val="19"/>
          <w:szCs w:val="19"/>
          <w:color w:val="auto"/>
        </w:rPr>
        <w:t>"). Buyer has no right, title, or interest in or to any of the Seller Tooling.</w:t>
      </w:r>
    </w:p>
    <w:p>
      <w:pPr>
        <w:spacing w:after="0" w:line="144" w:lineRule="exact"/>
        <w:rPr>
          <w:rFonts w:ascii="Times New Roman" w:cs="Times New Roman" w:eastAsia="Times New Roman" w:hAnsi="Times New Roman"/>
          <w:sz w:val="19"/>
          <w:szCs w:val="19"/>
          <w:color w:val="auto"/>
        </w:rPr>
      </w:pPr>
    </w:p>
    <w:p>
      <w:pPr>
        <w:jc w:val="both"/>
        <w:ind w:firstLine="453"/>
        <w:spacing w:after="0" w:line="248" w:lineRule="auto"/>
        <w:tabs>
          <w:tab w:leader="none" w:pos="1019"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Access and Audit Rights</w:t>
      </w:r>
      <w:r>
        <w:rPr>
          <w:rFonts w:ascii="Times New Roman" w:cs="Times New Roman" w:eastAsia="Times New Roman" w:hAnsi="Times New Roman"/>
          <w:sz w:val="19"/>
          <w:szCs w:val="19"/>
          <w:color w:val="auto"/>
        </w:rPr>
        <w:t>. Seller hereby grants Buyer access to Seller's operations, facilities, books and records, correspondence, writings, drawings, and receipts related to the Goods for the purpose of ensuring Seller's compliance with the terms of this Agreement and any other agreements between Buyer and Seller. Seller shall maintain all pertinent books and records for a period of one year after expiration of the Term. Seller shall also cooperate fully with Buyer with respect to all reasonable requests of Buyer relating to the foregoing access rights; provided that any physical inventory inspection may take place no more frequently than annually. For the avoidance of doubt, these access and audit rights include information necessary to calculate Seller’s Cost.</w:t>
      </w:r>
    </w:p>
    <w:p>
      <w:pPr>
        <w:spacing w:after="0" w:line="175" w:lineRule="exact"/>
        <w:rPr>
          <w:rFonts w:ascii="Times New Roman" w:cs="Times New Roman" w:eastAsia="Times New Roman" w:hAnsi="Times New Roman"/>
          <w:sz w:val="19"/>
          <w:szCs w:val="19"/>
          <w:color w:val="auto"/>
        </w:rPr>
      </w:pPr>
    </w:p>
    <w:p>
      <w:pPr>
        <w:ind w:left="1020" w:hanging="567"/>
        <w:spacing w:after="0"/>
        <w:tabs>
          <w:tab w:leader="none" w:pos="102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Insurance</w:t>
      </w:r>
      <w:r>
        <w:rPr>
          <w:rFonts w:ascii="Times New Roman" w:cs="Times New Roman" w:eastAsia="Times New Roman" w:hAnsi="Times New Roman"/>
          <w:sz w:val="19"/>
          <w:szCs w:val="19"/>
          <w:color w:val="auto"/>
        </w:rPr>
        <w:t>. This Agreement is subject to the insurance provisions of the Distribution Agreement which are herein incorporated by</w:t>
      </w:r>
    </w:p>
    <w:p>
      <w:pPr>
        <w:spacing w:after="0" w:line="2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reference.</w:t>
      </w:r>
    </w:p>
    <w:p>
      <w:pPr>
        <w:spacing w:after="0" w:line="187" w:lineRule="exact"/>
        <w:rPr>
          <w:rFonts w:ascii="Times New Roman" w:cs="Times New Roman" w:eastAsia="Times New Roman" w:hAnsi="Times New Roman"/>
          <w:sz w:val="19"/>
          <w:szCs w:val="19"/>
          <w:color w:val="auto"/>
        </w:rPr>
      </w:pPr>
    </w:p>
    <w:p>
      <w:pPr>
        <w:jc w:val="both"/>
        <w:ind w:firstLine="453"/>
        <w:spacing w:after="0" w:line="253" w:lineRule="auto"/>
        <w:tabs>
          <w:tab w:leader="none" w:pos="1019"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Contingency &amp; Read Together</w:t>
      </w:r>
      <w:r>
        <w:rPr>
          <w:rFonts w:ascii="Times New Roman" w:cs="Times New Roman" w:eastAsia="Times New Roman" w:hAnsi="Times New Roman"/>
          <w:sz w:val="19"/>
          <w:szCs w:val="19"/>
          <w:color w:val="auto"/>
        </w:rPr>
        <w:t>. This Agreement is contingent upon the execution and delivery of Amendment Two to the Distribution Agreement. In the event that Amendment Two to the Distribution Agreement (attached as Exhibit A) is not signed within two days of the execution of this Agreement, this Agreement shall be null and void and neither Party shall have any rights or obligations under this Agreement. This Agreement shall be read and construed in conjunction with the Distribution Agreement and any amendments thereto.</w:t>
      </w:r>
    </w:p>
    <w:p>
      <w:pPr>
        <w:spacing w:after="0" w:line="167" w:lineRule="exact"/>
        <w:rPr>
          <w:rFonts w:ascii="Times New Roman" w:cs="Times New Roman" w:eastAsia="Times New Roman" w:hAnsi="Times New Roman"/>
          <w:sz w:val="19"/>
          <w:szCs w:val="19"/>
          <w:color w:val="auto"/>
        </w:rPr>
      </w:pPr>
    </w:p>
    <w:p>
      <w:pPr>
        <w:ind w:left="1020" w:hanging="567"/>
        <w:spacing w:after="0"/>
        <w:tabs>
          <w:tab w:leader="none" w:pos="102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Miscellaneous</w:t>
      </w:r>
      <w:r>
        <w:rPr>
          <w:rFonts w:ascii="Times New Roman" w:cs="Times New Roman" w:eastAsia="Times New Roman" w:hAnsi="Times New Roman"/>
          <w:sz w:val="19"/>
          <w:szCs w:val="19"/>
          <w:color w:val="auto"/>
        </w:rPr>
        <w:t>.</w:t>
      </w:r>
    </w:p>
    <w:p>
      <w:pPr>
        <w:spacing w:after="0" w:line="209" w:lineRule="exact"/>
        <w:rPr>
          <w:sz w:val="20"/>
          <w:szCs w:val="20"/>
          <w:color w:val="auto"/>
        </w:rPr>
      </w:pPr>
    </w:p>
    <w:p>
      <w:pPr>
        <w:jc w:val="both"/>
        <w:ind w:left="460" w:firstLine="599"/>
        <w:spacing w:after="0" w:line="276" w:lineRule="auto"/>
        <w:rPr>
          <w:sz w:val="20"/>
          <w:szCs w:val="20"/>
          <w:color w:val="auto"/>
        </w:rPr>
      </w:pPr>
      <w:r>
        <w:rPr>
          <w:rFonts w:ascii="Times New Roman" w:cs="Times New Roman" w:eastAsia="Times New Roman" w:hAnsi="Times New Roman"/>
          <w:sz w:val="19"/>
          <w:szCs w:val="19"/>
          <w:color w:val="auto"/>
        </w:rPr>
        <w:t xml:space="preserve">22.1 </w:t>
      </w:r>
      <w:r>
        <w:rPr>
          <w:rFonts w:ascii="Times New Roman" w:cs="Times New Roman" w:eastAsia="Times New Roman" w:hAnsi="Times New Roman"/>
          <w:sz w:val="19"/>
          <w:szCs w:val="19"/>
          <w:u w:val="single" w:color="auto"/>
          <w:color w:val="auto"/>
        </w:rPr>
        <w:t>Further Assurances</w:t>
      </w:r>
      <w:r>
        <w:rPr>
          <w:rFonts w:ascii="Times New Roman" w:cs="Times New Roman" w:eastAsia="Times New Roman" w:hAnsi="Times New Roman"/>
          <w:sz w:val="19"/>
          <w:szCs w:val="19"/>
          <w:color w:val="auto"/>
        </w:rPr>
        <w:t>. Upon a Party's reasonable request, the other Party shall, at its sole cost and expense, execute and deliver all such further documents and instruments, and take all such further acts, necessary to give full effect to this Agreement.</w:t>
      </w:r>
    </w:p>
    <w:p>
      <w:pPr>
        <w:spacing w:after="0" w:line="146" w:lineRule="exact"/>
        <w:rPr>
          <w:sz w:val="20"/>
          <w:szCs w:val="20"/>
          <w:color w:val="auto"/>
        </w:rPr>
      </w:pPr>
    </w:p>
    <w:p>
      <w:pPr>
        <w:jc w:val="both"/>
        <w:ind w:left="460" w:firstLine="599"/>
        <w:spacing w:after="0" w:line="250" w:lineRule="auto"/>
        <w:rPr>
          <w:sz w:val="20"/>
          <w:szCs w:val="20"/>
          <w:color w:val="auto"/>
        </w:rPr>
      </w:pPr>
      <w:r>
        <w:rPr>
          <w:rFonts w:ascii="Times New Roman" w:cs="Times New Roman" w:eastAsia="Times New Roman" w:hAnsi="Times New Roman"/>
          <w:sz w:val="19"/>
          <w:szCs w:val="19"/>
          <w:color w:val="auto"/>
        </w:rPr>
        <w:t xml:space="preserve">22.2 </w:t>
      </w:r>
      <w:r>
        <w:rPr>
          <w:rFonts w:ascii="Times New Roman" w:cs="Times New Roman" w:eastAsia="Times New Roman" w:hAnsi="Times New Roman"/>
          <w:sz w:val="19"/>
          <w:szCs w:val="19"/>
          <w:u w:val="single" w:color="auto"/>
          <w:color w:val="auto"/>
        </w:rPr>
        <w:t>Relationship of the Parties</w:t>
      </w:r>
      <w:r>
        <w:rPr>
          <w:rFonts w:ascii="Times New Roman" w:cs="Times New Roman" w:eastAsia="Times New Roman" w:hAnsi="Times New Roman"/>
          <w:sz w:val="19"/>
          <w:szCs w:val="19"/>
          <w:color w:val="auto"/>
        </w:rPr>
        <w:t>. The relationship between Seller and Buyer is solely that of vendor and vendee, and they are independent contracting parties. Nothing in this Agreement creates any agency, joint venture, partnership, or other form of joint enterprise, employment, or fiduciary relationship between the Parties. Neither Party has any express or implied right or authority to assume or create any obligations on behalf of or in the name of the other Party or to bind the other Party to any contract, agreement, or undertaking with any third party.</w:t>
      </w:r>
    </w:p>
    <w:p>
      <w:pPr>
        <w:spacing w:after="0" w:line="172" w:lineRule="exact"/>
        <w:rPr>
          <w:sz w:val="20"/>
          <w:szCs w:val="20"/>
          <w:color w:val="auto"/>
        </w:rPr>
      </w:pPr>
    </w:p>
    <w:p>
      <w:pPr>
        <w:jc w:val="both"/>
        <w:ind w:left="460" w:firstLine="599"/>
        <w:spacing w:after="0" w:line="259" w:lineRule="auto"/>
        <w:rPr>
          <w:sz w:val="20"/>
          <w:szCs w:val="20"/>
          <w:color w:val="auto"/>
        </w:rPr>
      </w:pPr>
      <w:r>
        <w:rPr>
          <w:rFonts w:ascii="Times New Roman" w:cs="Times New Roman" w:eastAsia="Times New Roman" w:hAnsi="Times New Roman"/>
          <w:sz w:val="19"/>
          <w:szCs w:val="19"/>
          <w:color w:val="auto"/>
        </w:rPr>
        <w:t xml:space="preserve">22.3 </w:t>
      </w: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This Agreement, including and together with the Basic Purchase Order Terms and any related exhibits and schedules, as well as all applicable terms of the Distribution Agreement, constitutes the sole and entire agreement of the Parties with respect to the subject matter</w:t>
      </w: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2B3486"/>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558165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327660</wp:posOffset>
            </wp:positionV>
            <wp:extent cx="494030" cy="5924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494030" cy="592455"/>
                    </a:xfrm>
                    <a:prstGeom prst="rect">
                      <a:avLst/>
                    </a:prstGeom>
                    <a:noFill/>
                  </pic:spPr>
                </pic:pic>
              </a:graphicData>
            </a:graphic>
          </wp:anchor>
        </w:drawing>
      </w:r>
    </w:p>
    <w:p>
      <w:pPr>
        <w:jc w:val="both"/>
        <w:ind w:left="360"/>
        <w:spacing w:after="0" w:line="276" w:lineRule="auto"/>
        <w:rPr>
          <w:sz w:val="20"/>
          <w:szCs w:val="20"/>
          <w:color w:val="auto"/>
        </w:rPr>
      </w:pPr>
      <w:r>
        <w:rPr>
          <w:rFonts w:ascii="Times New Roman" w:cs="Times New Roman" w:eastAsia="Times New Roman" w:hAnsi="Times New Roman"/>
          <w:sz w:val="19"/>
          <w:szCs w:val="19"/>
          <w:color w:val="auto"/>
        </w:rPr>
        <w:t>contained herein and therein and supersedes all prior and contemporaneous understandings, agreements, representations, and warranties, both written and oral, with respect to such subject matter.</w:t>
      </w:r>
    </w:p>
    <w:p>
      <w:pPr>
        <w:spacing w:after="0" w:line="146" w:lineRule="exact"/>
        <w:rPr>
          <w:sz w:val="20"/>
          <w:szCs w:val="20"/>
          <w:color w:val="auto"/>
        </w:rPr>
      </w:pPr>
    </w:p>
    <w:p>
      <w:pPr>
        <w:jc w:val="both"/>
        <w:ind w:left="360" w:firstLine="599"/>
        <w:spacing w:after="0" w:line="246" w:lineRule="auto"/>
        <w:rPr>
          <w:sz w:val="20"/>
          <w:szCs w:val="20"/>
          <w:color w:val="auto"/>
        </w:rPr>
      </w:pPr>
      <w:r>
        <w:rPr>
          <w:rFonts w:ascii="Times New Roman" w:cs="Times New Roman" w:eastAsia="Times New Roman" w:hAnsi="Times New Roman"/>
          <w:sz w:val="19"/>
          <w:szCs w:val="19"/>
          <w:color w:val="auto"/>
        </w:rPr>
        <w:t xml:space="preserve">22.4 </w:t>
      </w:r>
      <w:r>
        <w:rPr>
          <w:rFonts w:ascii="Times New Roman" w:cs="Times New Roman" w:eastAsia="Times New Roman" w:hAnsi="Times New Roman"/>
          <w:sz w:val="19"/>
          <w:szCs w:val="19"/>
          <w:u w:val="single" w:color="auto"/>
          <w:color w:val="auto"/>
        </w:rPr>
        <w:t>Survival; Statute of Limitations</w:t>
      </w:r>
      <w:r>
        <w:rPr>
          <w:rFonts w:ascii="Times New Roman" w:cs="Times New Roman" w:eastAsia="Times New Roman" w:hAnsi="Times New Roman"/>
          <w:sz w:val="19"/>
          <w:szCs w:val="19"/>
          <w:color w:val="auto"/>
        </w:rPr>
        <w:t>. Subject to the limitations and other provisions of this Agreement: the representations and warranties of the Parties contained herein and any other provision that, in order to give proper effect to its intent, should survive such expiration or termination, will survive the expiration or earlier termination of this Agreement for a period of twelve months after such expiration or termination. All other provisions of this Agreement will not survive the expiration or earlier termination of this Agreement. Notwithstanding any right under any applicable statute of limitations to bring a claim, no Action based upon or arising in any way out of this Agreement may be brought by either Party after the expiration of the applicable survival or other period set forth in this Section and the Parties waive the right to file any such Action after the expiration of the applicable survival or other period; provided, however, that the foregoing waiver and limitation do not apply to the collection of any amounts due to Seller under this Agreement.</w:t>
      </w:r>
    </w:p>
    <w:p>
      <w:pPr>
        <w:spacing w:after="0" w:line="179" w:lineRule="exact"/>
        <w:rPr>
          <w:sz w:val="20"/>
          <w:szCs w:val="20"/>
          <w:color w:val="auto"/>
        </w:rPr>
      </w:pPr>
    </w:p>
    <w:p>
      <w:pPr>
        <w:jc w:val="both"/>
        <w:ind w:left="360" w:firstLine="599"/>
        <w:spacing w:after="0" w:line="248" w:lineRule="auto"/>
        <w:rPr>
          <w:sz w:val="20"/>
          <w:szCs w:val="20"/>
          <w:color w:val="auto"/>
        </w:rPr>
      </w:pPr>
      <w:r>
        <w:rPr>
          <w:rFonts w:ascii="Times New Roman" w:cs="Times New Roman" w:eastAsia="Times New Roman" w:hAnsi="Times New Roman"/>
          <w:sz w:val="19"/>
          <w:szCs w:val="19"/>
          <w:color w:val="auto"/>
        </w:rPr>
        <w:t xml:space="preserve">22.5 </w:t>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All notices, requests, consents, claims, demands, waivers, and other communications under this Agreement (each, a "</w:t>
      </w:r>
      <w:r>
        <w:rPr>
          <w:rFonts w:ascii="Times New Roman" w:cs="Times New Roman" w:eastAsia="Times New Roman" w:hAnsi="Times New Roman"/>
          <w:sz w:val="19"/>
          <w:szCs w:val="19"/>
          <w:b w:val="1"/>
          <w:bCs w:val="1"/>
          <w:color w:val="auto"/>
        </w:rPr>
        <w:t>Notice</w:t>
      </w:r>
      <w:r>
        <w:rPr>
          <w:rFonts w:ascii="Times New Roman" w:cs="Times New Roman" w:eastAsia="Times New Roman" w:hAnsi="Times New Roman"/>
          <w:sz w:val="19"/>
          <w:szCs w:val="19"/>
          <w:color w:val="auto"/>
        </w:rPr>
        <w:t>") must be in writing and addressed to the other Party at its address set forth below (or to such other address that the receiving Party may designate from time to time in accordance with this Section). All Notices must be delivered by personal delivery, nationally recognized overnight courier, or certified or registered mail (in each case, return receipt requested, postage prepaid). Notice by facsimile or e-mail (with confirmation of transmission) will satisfy the requirements of this Section Except as otherwise provided in this Agreement, a Notice is effective only (a) on receipt by the receiving Party, and (b) if the Party giving the Notice has complied with the requirements of this Section.</w:t>
      </w:r>
    </w:p>
    <w:p>
      <w:pPr>
        <w:spacing w:after="0" w:line="27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9"/>
          <w:szCs w:val="19"/>
          <w:color w:val="auto"/>
        </w:rPr>
        <w:t>Notice to Seller:</w:t>
      </w:r>
      <w:r>
        <w:rPr>
          <w:sz w:val="20"/>
          <w:szCs w:val="20"/>
          <w:color w:val="auto"/>
        </w:rPr>
        <w:tab/>
      </w:r>
      <w:r>
        <w:rPr>
          <w:rFonts w:ascii="Times New Roman" w:cs="Times New Roman" w:eastAsia="Times New Roman" w:hAnsi="Times New Roman"/>
          <w:sz w:val="19"/>
          <w:szCs w:val="19"/>
          <w:color w:val="auto"/>
        </w:rPr>
        <w:t>2888 Loker Avenue East, Suite 319 Carlsbad, California, 92010</w:t>
      </w:r>
    </w:p>
    <w:p>
      <w:pPr>
        <w:spacing w:after="0" w:line="10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9"/>
          <w:szCs w:val="19"/>
          <w:color w:val="auto"/>
        </w:rPr>
        <w:t>Attention: Scott Moote, Director, Operation,</w:t>
      </w:r>
    </w:p>
    <w:p>
      <w:pPr>
        <w:spacing w:after="0" w:line="1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9"/>
          <w:szCs w:val="19"/>
          <w:color w:val="auto"/>
        </w:rPr>
        <w:t>[***]</w:t>
      </w:r>
    </w:p>
    <w:p>
      <w:pPr>
        <w:spacing w:after="0" w:line="1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9"/>
          <w:szCs w:val="19"/>
          <w:color w:val="auto"/>
        </w:rPr>
        <w:t>CC: Shuang Miao, Manager, Internal Control, [***]</w:t>
      </w:r>
    </w:p>
    <w:p>
      <w:pPr>
        <w:spacing w:after="0" w:line="200" w:lineRule="exact"/>
        <w:rPr>
          <w:sz w:val="20"/>
          <w:szCs w:val="20"/>
          <w:color w:val="auto"/>
        </w:rPr>
      </w:pPr>
    </w:p>
    <w:p>
      <w:pPr>
        <w:spacing w:after="0" w:line="308"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9"/>
          <w:szCs w:val="19"/>
          <w:color w:val="auto"/>
        </w:rPr>
        <w:t>Notice to Buyer:</w:t>
      </w:r>
      <w:r>
        <w:rPr>
          <w:sz w:val="20"/>
          <w:szCs w:val="20"/>
          <w:color w:val="auto"/>
        </w:rPr>
        <w:tab/>
      </w:r>
      <w:r>
        <w:rPr>
          <w:rFonts w:ascii="Times New Roman" w:cs="Times New Roman" w:eastAsia="Times New Roman" w:hAnsi="Times New Roman"/>
          <w:sz w:val="18"/>
          <w:szCs w:val="18"/>
          <w:color w:val="auto"/>
        </w:rPr>
        <w:t>28159 Avenue Stanford, Suite 220 Valencia, CA, 91355</w:t>
      </w:r>
    </w:p>
    <w:p>
      <w:pPr>
        <w:spacing w:after="0" w:line="10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9"/>
          <w:szCs w:val="19"/>
          <w:color w:val="auto"/>
        </w:rPr>
        <w:t>Attention: David Melbye, SVP Operations</w:t>
      </w:r>
    </w:p>
    <w:p>
      <w:pPr>
        <w:spacing w:after="0" w:line="1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9"/>
          <w:szCs w:val="19"/>
          <w:color w:val="auto"/>
        </w:rPr>
        <w:t>[***]</w:t>
      </w:r>
    </w:p>
    <w:p>
      <w:pPr>
        <w:spacing w:after="0" w:line="1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9"/>
          <w:szCs w:val="19"/>
          <w:color w:val="auto"/>
        </w:rPr>
        <w:t>CC: Legal Department legal@avitamedical.com</w:t>
      </w:r>
    </w:p>
    <w:p>
      <w:pPr>
        <w:spacing w:after="0" w:line="14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9"/>
          <w:szCs w:val="19"/>
          <w:color w:val="auto"/>
        </w:rPr>
        <w:t xml:space="preserve">22.6  </w:t>
      </w: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The headings in this Agreement are for reference only and do not affect the interpretation of this Agreement.</w:t>
      </w:r>
    </w:p>
    <w:p>
      <w:pPr>
        <w:spacing w:after="0" w:line="209" w:lineRule="exact"/>
        <w:rPr>
          <w:sz w:val="20"/>
          <w:szCs w:val="20"/>
          <w:color w:val="auto"/>
        </w:rPr>
      </w:pPr>
    </w:p>
    <w:p>
      <w:pPr>
        <w:ind w:left="360" w:firstLine="599"/>
        <w:spacing w:after="0" w:line="276" w:lineRule="auto"/>
        <w:rPr>
          <w:sz w:val="20"/>
          <w:szCs w:val="20"/>
          <w:color w:val="auto"/>
        </w:rPr>
      </w:pPr>
      <w:r>
        <w:rPr>
          <w:rFonts w:ascii="Times New Roman" w:cs="Times New Roman" w:eastAsia="Times New Roman" w:hAnsi="Times New Roman"/>
          <w:sz w:val="19"/>
          <w:szCs w:val="19"/>
          <w:color w:val="auto"/>
        </w:rPr>
        <w:t xml:space="preserve">22.7 </w:t>
      </w: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If any term or provision of this Agreement is invalid, illegal, or unenforceable in any jurisdiction, such invalidity, illegality or unenforceability does not affect any other term or</w:t>
      </w: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2B3486"/>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558165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40"/>
          </w:cols>
          <w:pgMar w:left="420" w:top="1440" w:right="339" w:bottom="1440" w:gutter="0" w:footer="0" w:header="0"/>
        </w:sectPr>
      </w:pPr>
    </w:p>
    <w:bookmarkStart w:id="20" w:name="page21"/>
    <w:bookmarkEnd w:id="20"/>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327660</wp:posOffset>
            </wp:positionV>
            <wp:extent cx="494030" cy="5924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494030" cy="5924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9"/>
          <w:szCs w:val="19"/>
          <w:color w:val="auto"/>
        </w:rPr>
        <w:t>provision of this Agreement or invalidate or render unenforceable such term or provision in any other jurisdiction.</w:t>
      </w:r>
    </w:p>
    <w:p>
      <w:pPr>
        <w:spacing w:after="0" w:line="209" w:lineRule="exact"/>
        <w:rPr>
          <w:sz w:val="20"/>
          <w:szCs w:val="20"/>
          <w:color w:val="auto"/>
        </w:rPr>
      </w:pPr>
    </w:p>
    <w:p>
      <w:pPr>
        <w:ind w:firstLine="599"/>
        <w:spacing w:after="0" w:line="276" w:lineRule="auto"/>
        <w:rPr>
          <w:sz w:val="20"/>
          <w:szCs w:val="20"/>
          <w:color w:val="auto"/>
        </w:rPr>
      </w:pPr>
      <w:r>
        <w:rPr>
          <w:rFonts w:ascii="Times New Roman" w:cs="Times New Roman" w:eastAsia="Times New Roman" w:hAnsi="Times New Roman"/>
          <w:sz w:val="19"/>
          <w:szCs w:val="19"/>
          <w:color w:val="auto"/>
        </w:rPr>
        <w:t xml:space="preserve">22.8 </w:t>
      </w:r>
      <w:r>
        <w:rPr>
          <w:rFonts w:ascii="Times New Roman" w:cs="Times New Roman" w:eastAsia="Times New Roman" w:hAnsi="Times New Roman"/>
          <w:sz w:val="19"/>
          <w:szCs w:val="19"/>
          <w:u w:val="single" w:color="auto"/>
          <w:color w:val="auto"/>
        </w:rPr>
        <w:t>Amendment and Modification</w:t>
      </w:r>
      <w:r>
        <w:rPr>
          <w:rFonts w:ascii="Times New Roman" w:cs="Times New Roman" w:eastAsia="Times New Roman" w:hAnsi="Times New Roman"/>
          <w:sz w:val="19"/>
          <w:szCs w:val="19"/>
          <w:color w:val="auto"/>
        </w:rPr>
        <w:t>. No amendment or termination of this Agreement is effective unless it is in writing and signed by each Party.</w:t>
      </w:r>
    </w:p>
    <w:p>
      <w:pPr>
        <w:spacing w:after="0" w:line="14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color w:val="auto"/>
        </w:rPr>
        <w:t xml:space="preserve">22.9  </w:t>
      </w:r>
      <w:r>
        <w:rPr>
          <w:rFonts w:ascii="Times New Roman" w:cs="Times New Roman" w:eastAsia="Times New Roman" w:hAnsi="Times New Roman"/>
          <w:sz w:val="19"/>
          <w:szCs w:val="19"/>
          <w:u w:val="single" w:color="auto"/>
          <w:color w:val="auto"/>
        </w:rPr>
        <w:t>Waiver</w:t>
      </w:r>
      <w:r>
        <w:rPr>
          <w:rFonts w:ascii="Times New Roman" w:cs="Times New Roman" w:eastAsia="Times New Roman" w:hAnsi="Times New Roman"/>
          <w:sz w:val="19"/>
          <w:szCs w:val="19"/>
          <w:color w:val="auto"/>
        </w:rPr>
        <w:t>.</w:t>
      </w:r>
    </w:p>
    <w:p>
      <w:pPr>
        <w:spacing w:after="0" w:line="20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color w:val="auto"/>
        </w:rPr>
        <w:t>(a) No waiver under this Agreement is effective unless it is in writing and signed by the Party waiving its right.</w:t>
      </w:r>
    </w:p>
    <w:p>
      <w:pPr>
        <w:spacing w:after="0" w:line="209" w:lineRule="exact"/>
        <w:rPr>
          <w:sz w:val="20"/>
          <w:szCs w:val="20"/>
          <w:color w:val="auto"/>
        </w:rPr>
      </w:pPr>
    </w:p>
    <w:p>
      <w:pPr>
        <w:ind w:left="600" w:firstLine="749"/>
        <w:spacing w:after="0" w:line="276" w:lineRule="auto"/>
        <w:rPr>
          <w:sz w:val="20"/>
          <w:szCs w:val="20"/>
          <w:color w:val="auto"/>
        </w:rPr>
      </w:pPr>
      <w:r>
        <w:rPr>
          <w:rFonts w:ascii="Times New Roman" w:cs="Times New Roman" w:eastAsia="Times New Roman" w:hAnsi="Times New Roman"/>
          <w:sz w:val="19"/>
          <w:szCs w:val="19"/>
          <w:color w:val="auto"/>
        </w:rPr>
        <w:t>(b)Any waiver authorized on one occasion is effective only in that instance and only for the purpose stated and does not operate as a waiver on any future occasion.</w:t>
      </w:r>
    </w:p>
    <w:p>
      <w:pPr>
        <w:spacing w:after="0" w:line="146" w:lineRule="exact"/>
        <w:rPr>
          <w:sz w:val="20"/>
          <w:szCs w:val="20"/>
          <w:color w:val="auto"/>
        </w:rPr>
      </w:pPr>
    </w:p>
    <w:p>
      <w:pPr>
        <w:ind w:left="600" w:firstLine="742"/>
        <w:spacing w:after="0" w:line="276" w:lineRule="auto"/>
        <w:tabs>
          <w:tab w:leader="none" w:pos="1589"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None of the following constitutes a waiver or estoppel of any right, remedy, power, privilege, or condition arising from this Agreement:</w:t>
      </w:r>
    </w:p>
    <w:p>
      <w:pPr>
        <w:spacing w:after="0" w:line="145" w:lineRule="exact"/>
        <w:rPr>
          <w:rFonts w:ascii="Times New Roman" w:cs="Times New Roman" w:eastAsia="Times New Roman" w:hAnsi="Times New Roman"/>
          <w:sz w:val="19"/>
          <w:szCs w:val="19"/>
          <w:color w:val="auto"/>
        </w:rPr>
      </w:pPr>
    </w:p>
    <w:p>
      <w:pPr>
        <w:ind w:left="1340" w:firstLine="752"/>
        <w:spacing w:after="0" w:line="276" w:lineRule="auto"/>
        <w:tabs>
          <w:tab w:leader="none" w:pos="2599" w:val="left"/>
        </w:tabs>
        <w:numPr>
          <w:ilvl w:val="1"/>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failure or delay in exercising any right, remedy, power or privilege or in enforcing any condition under this Agreement; or</w:t>
      </w:r>
    </w:p>
    <w:p>
      <w:pPr>
        <w:spacing w:after="0" w:line="145" w:lineRule="exact"/>
        <w:rPr>
          <w:rFonts w:ascii="Times New Roman" w:cs="Times New Roman" w:eastAsia="Times New Roman" w:hAnsi="Times New Roman"/>
          <w:sz w:val="19"/>
          <w:szCs w:val="19"/>
          <w:color w:val="auto"/>
        </w:rPr>
      </w:pPr>
    </w:p>
    <w:p>
      <w:pPr>
        <w:ind w:left="2600" w:hanging="508"/>
        <w:spacing w:after="0"/>
        <w:tabs>
          <w:tab w:leader="none" w:pos="2600" w:val="left"/>
        </w:tabs>
        <w:numPr>
          <w:ilvl w:val="1"/>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act, omission, or course of dealing between the Parties.</w:t>
      </w:r>
    </w:p>
    <w:p>
      <w:pPr>
        <w:spacing w:after="0" w:line="209" w:lineRule="exact"/>
        <w:rPr>
          <w:sz w:val="20"/>
          <w:szCs w:val="20"/>
          <w:color w:val="auto"/>
        </w:rPr>
      </w:pPr>
    </w:p>
    <w:p>
      <w:pPr>
        <w:jc w:val="both"/>
        <w:ind w:firstLine="599"/>
        <w:spacing w:after="0" w:line="250" w:lineRule="auto"/>
        <w:rPr>
          <w:sz w:val="20"/>
          <w:szCs w:val="20"/>
          <w:color w:val="auto"/>
        </w:rPr>
      </w:pPr>
      <w:r>
        <w:rPr>
          <w:rFonts w:ascii="Times New Roman" w:cs="Times New Roman" w:eastAsia="Times New Roman" w:hAnsi="Times New Roman"/>
          <w:sz w:val="19"/>
          <w:szCs w:val="19"/>
          <w:color w:val="auto"/>
        </w:rPr>
        <w:t xml:space="preserve">22.10 </w:t>
      </w:r>
      <w:r>
        <w:rPr>
          <w:rFonts w:ascii="Times New Roman" w:cs="Times New Roman" w:eastAsia="Times New Roman" w:hAnsi="Times New Roman"/>
          <w:sz w:val="19"/>
          <w:szCs w:val="19"/>
          <w:u w:val="single" w:color="auto"/>
          <w:color w:val="auto"/>
        </w:rPr>
        <w:t>Cumulative Remedies</w:t>
      </w:r>
      <w:r>
        <w:rPr>
          <w:rFonts w:ascii="Times New Roman" w:cs="Times New Roman" w:eastAsia="Times New Roman" w:hAnsi="Times New Roman"/>
          <w:sz w:val="19"/>
          <w:szCs w:val="19"/>
          <w:color w:val="auto"/>
        </w:rPr>
        <w:t>. All rights and remedies provided in this Agreement are cumulative and not exclusive, and the exercise by either Party of any right or remedy does not preclude the exercise of any other rights or remedies that may now or subsequently be available at law, in equity, by statute, in any other agreement between the Parties or otherwise. Notwithstanding the previous sentence, the Parties intend that Buyer's rights under Section 8.4, Section 8.6, Section 13.5, and each of the Parties' rights under Section 14 are exclusive remedies for the events specified therein.</w:t>
      </w:r>
    </w:p>
    <w:p>
      <w:pPr>
        <w:spacing w:after="0" w:line="172" w:lineRule="exact"/>
        <w:rPr>
          <w:sz w:val="20"/>
          <w:szCs w:val="20"/>
          <w:color w:val="auto"/>
        </w:rPr>
      </w:pPr>
    </w:p>
    <w:p>
      <w:pPr>
        <w:jc w:val="both"/>
        <w:ind w:firstLine="599"/>
        <w:spacing w:after="0" w:line="246" w:lineRule="auto"/>
        <w:rPr>
          <w:sz w:val="20"/>
          <w:szCs w:val="20"/>
          <w:color w:val="auto"/>
        </w:rPr>
      </w:pPr>
      <w:r>
        <w:rPr>
          <w:rFonts w:ascii="Times New Roman" w:cs="Times New Roman" w:eastAsia="Times New Roman" w:hAnsi="Times New Roman"/>
          <w:sz w:val="19"/>
          <w:szCs w:val="19"/>
          <w:color w:val="auto"/>
        </w:rPr>
        <w:t xml:space="preserve">22.11 </w:t>
      </w:r>
      <w:r>
        <w:rPr>
          <w:rFonts w:ascii="Times New Roman" w:cs="Times New Roman" w:eastAsia="Times New Roman" w:hAnsi="Times New Roman"/>
          <w:sz w:val="19"/>
          <w:szCs w:val="19"/>
          <w:u w:val="single" w:color="auto"/>
          <w:color w:val="auto"/>
        </w:rPr>
        <w:t>Equitable Remedies</w:t>
      </w:r>
      <w:r>
        <w:rPr>
          <w:rFonts w:ascii="Times New Roman" w:cs="Times New Roman" w:eastAsia="Times New Roman" w:hAnsi="Times New Roman"/>
          <w:sz w:val="19"/>
          <w:szCs w:val="19"/>
          <w:color w:val="auto"/>
        </w:rPr>
        <w:t>. Buyer acknowledges and agrees that (a) a breach or threatened breach by such Party of any of its obligations under Sections 10.4(b), 16.2, and 17 would give rise to irreparable harm to Seller for which monetary damages would not be an adequate remedy and (b) in the event of a breach or a threatened breach by Buyer of any such obligations, Seller shall, in addition to any and all other rights and remedies that may be available to Seller at law, at equity or otherwise in respect of such breach, be entitled to equitable relief, including a temporary restraining order, an injunction, specific performance and any other relief that may be available from a court of competent jurisdiction, without any requirement to post a bond or other security, and without any requirement to prove actual damages or that monetary damages will not afford an adequate remedy. Buyer agrees that Buyer will not oppose or otherwise challenge the appropriateness of equitable relief or the entry by a court of competent jurisdiction of an order granting equitable relief, in either case, consistent with the terms of this Section.</w:t>
      </w:r>
    </w:p>
    <w:p>
      <w:pPr>
        <w:spacing w:after="0" w:line="176" w:lineRule="exact"/>
        <w:rPr>
          <w:sz w:val="20"/>
          <w:szCs w:val="20"/>
          <w:color w:val="auto"/>
        </w:rPr>
      </w:pPr>
    </w:p>
    <w:p>
      <w:pPr>
        <w:jc w:val="both"/>
        <w:ind w:firstLine="599"/>
        <w:spacing w:after="0" w:line="253" w:lineRule="auto"/>
        <w:rPr>
          <w:sz w:val="20"/>
          <w:szCs w:val="20"/>
          <w:color w:val="auto"/>
        </w:rPr>
      </w:pPr>
      <w:r>
        <w:rPr>
          <w:rFonts w:ascii="Times New Roman" w:cs="Times New Roman" w:eastAsia="Times New Roman" w:hAnsi="Times New Roman"/>
          <w:sz w:val="19"/>
          <w:szCs w:val="19"/>
          <w:color w:val="auto"/>
        </w:rPr>
        <w:t xml:space="preserve">22.12 </w:t>
      </w:r>
      <w:r>
        <w:rPr>
          <w:rFonts w:ascii="Times New Roman" w:cs="Times New Roman" w:eastAsia="Times New Roman" w:hAnsi="Times New Roman"/>
          <w:sz w:val="19"/>
          <w:szCs w:val="19"/>
          <w:u w:val="single" w:color="auto"/>
          <w:color w:val="auto"/>
        </w:rPr>
        <w:t>Assignment</w:t>
      </w:r>
      <w:r>
        <w:rPr>
          <w:rFonts w:ascii="Times New Roman" w:cs="Times New Roman" w:eastAsia="Times New Roman" w:hAnsi="Times New Roman"/>
          <w:sz w:val="19"/>
          <w:szCs w:val="19"/>
          <w:color w:val="auto"/>
        </w:rPr>
        <w:t>. Buyer may not assign any of its rights or delegate any of its obligations under this Agreement without the prior written consent of Seller. Seller may assign any of its rights or delegate any of its obligations to any Person acquiring all or substantially all of Seller's assets. Any purported assignment or delegation in violation of this Section is null and void. No assignment or delegation relieves the assigning or delegating Party of any of its obligations under this Agreement.</w:t>
      </w:r>
    </w:p>
    <w:p>
      <w:pPr>
        <w:spacing w:after="0" w:line="200" w:lineRule="exact"/>
        <w:rPr>
          <w:sz w:val="20"/>
          <w:szCs w:val="20"/>
          <w:color w:val="auto"/>
        </w:rPr>
      </w:pPr>
    </w:p>
    <w:p>
      <w:pPr>
        <w:spacing w:after="0" w:line="322" w:lineRule="exact"/>
        <w:rPr>
          <w:sz w:val="20"/>
          <w:szCs w:val="20"/>
          <w:color w:val="auto"/>
        </w:rPr>
      </w:pPr>
    </w:p>
    <w:p>
      <w:pPr>
        <w:ind w:left="10620"/>
        <w:spacing w:after="0"/>
        <w:rPr>
          <w:sz w:val="20"/>
          <w:szCs w:val="20"/>
          <w:color w:val="auto"/>
        </w:rPr>
      </w:pPr>
      <w:r>
        <w:rPr>
          <w:rFonts w:ascii="Times New Roman" w:cs="Times New Roman" w:eastAsia="Times New Roman" w:hAnsi="Times New Roman"/>
          <w:sz w:val="16"/>
          <w:szCs w:val="16"/>
          <w:color w:val="2B3486"/>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565785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780"/>
          </w:cols>
          <w:pgMar w:left="780" w:top="1440" w:right="339" w:bottom="1440" w:gutter="0" w:footer="0" w:header="0"/>
        </w:sectPr>
      </w:pPr>
    </w:p>
    <w:bookmarkStart w:id="21" w:name="page22"/>
    <w:bookmarkEnd w:id="21"/>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327660</wp:posOffset>
            </wp:positionV>
            <wp:extent cx="494030" cy="5924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494030" cy="592455"/>
                    </a:xfrm>
                    <a:prstGeom prst="rect">
                      <a:avLst/>
                    </a:prstGeom>
                    <a:noFill/>
                  </pic:spPr>
                </pic:pic>
              </a:graphicData>
            </a:graphic>
          </wp:anchor>
        </w:drawing>
      </w:r>
    </w:p>
    <w:p>
      <w:pPr>
        <w:jc w:val="both"/>
        <w:ind w:firstLine="599"/>
        <w:spacing w:after="0" w:line="276" w:lineRule="auto"/>
        <w:rPr>
          <w:sz w:val="20"/>
          <w:szCs w:val="20"/>
          <w:color w:val="auto"/>
        </w:rPr>
      </w:pPr>
      <w:r>
        <w:rPr>
          <w:rFonts w:ascii="Times New Roman" w:cs="Times New Roman" w:eastAsia="Times New Roman" w:hAnsi="Times New Roman"/>
          <w:sz w:val="19"/>
          <w:szCs w:val="19"/>
          <w:color w:val="auto"/>
        </w:rPr>
        <w:t xml:space="preserve">22.13 </w:t>
      </w:r>
      <w:r>
        <w:rPr>
          <w:rFonts w:ascii="Times New Roman" w:cs="Times New Roman" w:eastAsia="Times New Roman" w:hAnsi="Times New Roman"/>
          <w:sz w:val="19"/>
          <w:szCs w:val="19"/>
          <w:u w:val="single" w:color="auto"/>
          <w:color w:val="auto"/>
        </w:rPr>
        <w:t>Successors and Assigns</w:t>
      </w:r>
      <w:r>
        <w:rPr>
          <w:rFonts w:ascii="Times New Roman" w:cs="Times New Roman" w:eastAsia="Times New Roman" w:hAnsi="Times New Roman"/>
          <w:sz w:val="19"/>
          <w:szCs w:val="19"/>
          <w:color w:val="auto"/>
        </w:rPr>
        <w:t>. This Agreement is binding on and inures to the benefit of the Parties and their respective permitted successors and permitted assigns.</w:t>
      </w:r>
    </w:p>
    <w:p>
      <w:pPr>
        <w:spacing w:after="0" w:line="146" w:lineRule="exact"/>
        <w:rPr>
          <w:sz w:val="20"/>
          <w:szCs w:val="20"/>
          <w:color w:val="auto"/>
        </w:rPr>
      </w:pPr>
    </w:p>
    <w:p>
      <w:pPr>
        <w:jc w:val="both"/>
        <w:ind w:firstLine="599"/>
        <w:spacing w:after="0" w:line="259" w:lineRule="auto"/>
        <w:rPr>
          <w:sz w:val="20"/>
          <w:szCs w:val="20"/>
          <w:color w:val="auto"/>
        </w:rPr>
      </w:pPr>
      <w:r>
        <w:rPr>
          <w:rFonts w:ascii="Times New Roman" w:cs="Times New Roman" w:eastAsia="Times New Roman" w:hAnsi="Times New Roman"/>
          <w:sz w:val="19"/>
          <w:szCs w:val="19"/>
          <w:color w:val="auto"/>
        </w:rPr>
        <w:t xml:space="preserve">22.14 </w:t>
      </w:r>
      <w:r>
        <w:rPr>
          <w:rFonts w:ascii="Times New Roman" w:cs="Times New Roman" w:eastAsia="Times New Roman" w:hAnsi="Times New Roman"/>
          <w:sz w:val="19"/>
          <w:szCs w:val="19"/>
          <w:u w:val="single" w:color="auto"/>
          <w:color w:val="auto"/>
        </w:rPr>
        <w:t>No Third-Party Beneficiaries</w:t>
      </w:r>
      <w:r>
        <w:rPr>
          <w:rFonts w:ascii="Times New Roman" w:cs="Times New Roman" w:eastAsia="Times New Roman" w:hAnsi="Times New Roman"/>
          <w:sz w:val="19"/>
          <w:szCs w:val="19"/>
          <w:color w:val="auto"/>
        </w:rPr>
        <w:t>. This Agreement benefits solely the parties to this Agreement and their respective permitted successors and permitted assigns, and nothing in this Agreement, express or implied, confers on any other Person any legal or equitable right, benefit or remedy of any nature whatsoever under or by reason of this Agreement.</w:t>
      </w:r>
    </w:p>
    <w:p>
      <w:pPr>
        <w:spacing w:after="0" w:line="161" w:lineRule="exact"/>
        <w:rPr>
          <w:sz w:val="20"/>
          <w:szCs w:val="20"/>
          <w:color w:val="auto"/>
        </w:rPr>
      </w:pPr>
    </w:p>
    <w:p>
      <w:pPr>
        <w:jc w:val="both"/>
        <w:ind w:firstLine="599"/>
        <w:spacing w:after="0" w:line="276" w:lineRule="auto"/>
        <w:rPr>
          <w:sz w:val="20"/>
          <w:szCs w:val="20"/>
          <w:color w:val="auto"/>
        </w:rPr>
      </w:pPr>
      <w:r>
        <w:rPr>
          <w:rFonts w:ascii="Times New Roman" w:cs="Times New Roman" w:eastAsia="Times New Roman" w:hAnsi="Times New Roman"/>
          <w:sz w:val="19"/>
          <w:szCs w:val="19"/>
          <w:color w:val="auto"/>
        </w:rPr>
        <w:t xml:space="preserve">22.15 </w:t>
      </w:r>
      <w:r>
        <w:rPr>
          <w:rFonts w:ascii="Times New Roman" w:cs="Times New Roman" w:eastAsia="Times New Roman" w:hAnsi="Times New Roman"/>
          <w:sz w:val="19"/>
          <w:szCs w:val="19"/>
          <w:u w:val="single" w:color="auto"/>
          <w:color w:val="auto"/>
        </w:rPr>
        <w:t>Dispute Resolution</w:t>
      </w:r>
      <w:r>
        <w:rPr>
          <w:rFonts w:ascii="Times New Roman" w:cs="Times New Roman" w:eastAsia="Times New Roman" w:hAnsi="Times New Roman"/>
          <w:sz w:val="19"/>
          <w:szCs w:val="19"/>
          <w:color w:val="auto"/>
        </w:rPr>
        <w:t>. This Agreement is subject to the dispute resolution provisions of the Distribution Agreement which are herein incorporated by reference.</w:t>
      </w:r>
    </w:p>
    <w:p>
      <w:pPr>
        <w:spacing w:after="0" w:line="146" w:lineRule="exact"/>
        <w:rPr>
          <w:sz w:val="20"/>
          <w:szCs w:val="20"/>
          <w:color w:val="auto"/>
        </w:rPr>
      </w:pPr>
    </w:p>
    <w:p>
      <w:pPr>
        <w:jc w:val="both"/>
        <w:ind w:firstLine="599"/>
        <w:spacing w:after="0" w:line="253" w:lineRule="auto"/>
        <w:rPr>
          <w:sz w:val="20"/>
          <w:szCs w:val="20"/>
          <w:color w:val="auto"/>
        </w:rPr>
      </w:pPr>
      <w:r>
        <w:rPr>
          <w:rFonts w:ascii="Times New Roman" w:cs="Times New Roman" w:eastAsia="Times New Roman" w:hAnsi="Times New Roman"/>
          <w:sz w:val="19"/>
          <w:szCs w:val="19"/>
          <w:color w:val="auto"/>
        </w:rPr>
        <w:t xml:space="preserve">22.16 </w:t>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Agreement, including all exhibits, schedules, attachments and appendices attached hereto and thereto, and all matters arising out of or relating to this Agreement, are governed by and construed in accordance with, the Laws of the State of Delaware, United States of America, without regard to the conflict of laws provisions thereof. The Parties agree that the United Nations Convention on Contracts for the International Sale of Goods does not apply to this Agreement.</w:t>
      </w:r>
    </w:p>
    <w:p>
      <w:pPr>
        <w:spacing w:after="0" w:line="168" w:lineRule="exact"/>
        <w:rPr>
          <w:sz w:val="20"/>
          <w:szCs w:val="20"/>
          <w:color w:val="auto"/>
        </w:rPr>
      </w:pPr>
    </w:p>
    <w:p>
      <w:pPr>
        <w:jc w:val="both"/>
        <w:ind w:firstLine="599"/>
        <w:spacing w:after="0" w:line="247" w:lineRule="auto"/>
        <w:rPr>
          <w:sz w:val="20"/>
          <w:szCs w:val="20"/>
          <w:color w:val="auto"/>
        </w:rPr>
      </w:pPr>
      <w:r>
        <w:rPr>
          <w:rFonts w:ascii="Times New Roman" w:cs="Times New Roman" w:eastAsia="Times New Roman" w:hAnsi="Times New Roman"/>
          <w:sz w:val="19"/>
          <w:szCs w:val="19"/>
          <w:color w:val="auto"/>
        </w:rPr>
        <w:t xml:space="preserve">22.17 </w:t>
      </w:r>
      <w:r>
        <w:rPr>
          <w:rFonts w:ascii="Times New Roman" w:cs="Times New Roman" w:eastAsia="Times New Roman" w:hAnsi="Times New Roman"/>
          <w:sz w:val="19"/>
          <w:szCs w:val="19"/>
          <w:u w:val="single" w:color="auto"/>
          <w:color w:val="auto"/>
        </w:rPr>
        <w:t>Choice of Forum</w:t>
      </w:r>
      <w:r>
        <w:rPr>
          <w:rFonts w:ascii="Times New Roman" w:cs="Times New Roman" w:eastAsia="Times New Roman" w:hAnsi="Times New Roman"/>
          <w:sz w:val="19"/>
          <w:szCs w:val="19"/>
          <w:color w:val="auto"/>
        </w:rPr>
        <w:t>. Each Party irrevocably and unconditionally agrees that it shall not commence any action, litigation or proceeding of any kind whatsoever against the other Party in any way arising from or relating to this Agreement, including all exhibits, schedules, attachments and appendices attached hereto and thereto, and all contemplated transactions in any forum other than US District Court for the Central District of California or the courts of the State of California sitting in Los Angeles, and any appellate court from any thereof. Each Party irrevocably and unconditionally submits to the exclusive jurisdiction of such courts and agrees to bring any such action, litigation or proceeding only in such courts. Each Party agrees that a final judgment in any such action, litigation, or proceeding is conclusive and may be enforced in other jurisdictions by suit on the judgment or in any other manner provided by Law.</w:t>
      </w:r>
    </w:p>
    <w:p>
      <w:pPr>
        <w:spacing w:after="0" w:line="176" w:lineRule="exact"/>
        <w:rPr>
          <w:sz w:val="20"/>
          <w:szCs w:val="20"/>
          <w:color w:val="auto"/>
        </w:rPr>
      </w:pPr>
    </w:p>
    <w:p>
      <w:pPr>
        <w:jc w:val="both"/>
        <w:ind w:firstLine="599"/>
        <w:spacing w:after="0" w:line="276" w:lineRule="auto"/>
        <w:rPr>
          <w:sz w:val="20"/>
          <w:szCs w:val="20"/>
          <w:color w:val="auto"/>
        </w:rPr>
      </w:pPr>
      <w:r>
        <w:rPr>
          <w:rFonts w:ascii="Times New Roman" w:cs="Times New Roman" w:eastAsia="Times New Roman" w:hAnsi="Times New Roman"/>
          <w:sz w:val="19"/>
          <w:szCs w:val="19"/>
          <w:color w:val="auto"/>
        </w:rPr>
        <w:t xml:space="preserve">22.18 </w:t>
      </w: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Agreement may be executed in counterparts, each of which is deemed an original, but all of which together are deemed to be one and the same agreement.</w:t>
      </w:r>
    </w:p>
    <w:p>
      <w:pPr>
        <w:spacing w:after="0" w:line="146" w:lineRule="exact"/>
        <w:rPr>
          <w:sz w:val="20"/>
          <w:szCs w:val="20"/>
          <w:color w:val="auto"/>
        </w:rPr>
      </w:pPr>
    </w:p>
    <w:p>
      <w:pPr>
        <w:jc w:val="both"/>
        <w:ind w:firstLine="599"/>
        <w:spacing w:after="0" w:line="276" w:lineRule="auto"/>
        <w:rPr>
          <w:sz w:val="20"/>
          <w:szCs w:val="20"/>
          <w:color w:val="auto"/>
        </w:rPr>
      </w:pPr>
      <w:r>
        <w:rPr>
          <w:rFonts w:ascii="Times New Roman" w:cs="Times New Roman" w:eastAsia="Times New Roman" w:hAnsi="Times New Roman"/>
          <w:sz w:val="19"/>
          <w:szCs w:val="19"/>
          <w:color w:val="auto"/>
        </w:rPr>
        <w:t xml:space="preserve">22.19 </w:t>
      </w:r>
      <w:r>
        <w:rPr>
          <w:rFonts w:ascii="Times New Roman" w:cs="Times New Roman" w:eastAsia="Times New Roman" w:hAnsi="Times New Roman"/>
          <w:sz w:val="19"/>
          <w:szCs w:val="19"/>
          <w:u w:val="single" w:color="auto"/>
          <w:color w:val="auto"/>
        </w:rPr>
        <w:t>Force Majeure</w:t>
      </w:r>
      <w:r>
        <w:rPr>
          <w:rFonts w:ascii="Times New Roman" w:cs="Times New Roman" w:eastAsia="Times New Roman" w:hAnsi="Times New Roman"/>
          <w:sz w:val="19"/>
          <w:szCs w:val="19"/>
          <w:color w:val="auto"/>
        </w:rPr>
        <w:t>. This Agreement is subject to the force majeure provisions of the Distribution Agreement which are herein incorporated by reference.</w:t>
      </w:r>
    </w:p>
    <w:p>
      <w:pPr>
        <w:spacing w:after="0" w:line="14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color w:val="auto"/>
        </w:rPr>
        <w:t xml:space="preserve">22.20 </w:t>
      </w:r>
      <w:r>
        <w:rPr>
          <w:rFonts w:ascii="Times New Roman" w:cs="Times New Roman" w:eastAsia="Times New Roman" w:hAnsi="Times New Roman"/>
          <w:sz w:val="19"/>
          <w:szCs w:val="19"/>
          <w:u w:val="single" w:color="auto"/>
          <w:color w:val="auto"/>
        </w:rPr>
        <w:t>No Public Announcements or Trademark Use</w:t>
      </w:r>
      <w:r>
        <w:rPr>
          <w:rFonts w:ascii="Times New Roman" w:cs="Times New Roman" w:eastAsia="Times New Roman" w:hAnsi="Times New Roman"/>
          <w:sz w:val="19"/>
          <w:szCs w:val="19"/>
          <w:color w:val="auto"/>
        </w:rPr>
        <w:t>. Buyer shall not:</w:t>
      </w:r>
    </w:p>
    <w:p>
      <w:pPr>
        <w:spacing w:after="0" w:line="209" w:lineRule="exact"/>
        <w:rPr>
          <w:sz w:val="20"/>
          <w:szCs w:val="20"/>
          <w:color w:val="auto"/>
        </w:rPr>
      </w:pPr>
    </w:p>
    <w:p>
      <w:pPr>
        <w:ind w:left="600" w:firstLine="742"/>
        <w:spacing w:after="0" w:line="276" w:lineRule="auto"/>
        <w:tabs>
          <w:tab w:leader="none" w:pos="1589"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make any statement (whether oral or in writing) in any press release, external advertising, marketing, or promotion materials regarding the subject matter of this Agreement, Seller, or its business unless:</w:t>
      </w:r>
    </w:p>
    <w:p>
      <w:pPr>
        <w:spacing w:after="0" w:line="145" w:lineRule="exact"/>
        <w:rPr>
          <w:rFonts w:ascii="Times New Roman" w:cs="Times New Roman" w:eastAsia="Times New Roman" w:hAnsi="Times New Roman"/>
          <w:sz w:val="19"/>
          <w:szCs w:val="19"/>
          <w:color w:val="auto"/>
        </w:rPr>
      </w:pPr>
    </w:p>
    <w:p>
      <w:pPr>
        <w:ind w:left="2600" w:hanging="508"/>
        <w:spacing w:after="0"/>
        <w:tabs>
          <w:tab w:leader="none" w:pos="2600" w:val="left"/>
        </w:tabs>
        <w:numPr>
          <w:ilvl w:val="1"/>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has received the express written consent of Seller, or</w:t>
      </w:r>
    </w:p>
    <w:p>
      <w:pPr>
        <w:spacing w:after="0" w:line="209" w:lineRule="exact"/>
        <w:rPr>
          <w:rFonts w:ascii="Times New Roman" w:cs="Times New Roman" w:eastAsia="Times New Roman" w:hAnsi="Times New Roman"/>
          <w:sz w:val="19"/>
          <w:szCs w:val="19"/>
          <w:color w:val="auto"/>
        </w:rPr>
      </w:pPr>
    </w:p>
    <w:p>
      <w:pPr>
        <w:ind w:left="2600" w:hanging="508"/>
        <w:spacing w:after="0"/>
        <w:tabs>
          <w:tab w:leader="none" w:pos="2600" w:val="left"/>
        </w:tabs>
        <w:numPr>
          <w:ilvl w:val="1"/>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is required to do so by Law or under the rules of any stock exchange to which it is subject.</w:t>
      </w:r>
    </w:p>
    <w:p>
      <w:pPr>
        <w:spacing w:after="0" w:line="209" w:lineRule="exact"/>
        <w:rPr>
          <w:sz w:val="20"/>
          <w:szCs w:val="20"/>
          <w:color w:val="auto"/>
        </w:rPr>
      </w:pPr>
    </w:p>
    <w:p>
      <w:pPr>
        <w:ind w:left="600" w:firstLine="749"/>
        <w:spacing w:after="0" w:line="276" w:lineRule="auto"/>
        <w:rPr>
          <w:sz w:val="20"/>
          <w:szCs w:val="20"/>
          <w:color w:val="auto"/>
        </w:rPr>
      </w:pPr>
      <w:r>
        <w:rPr>
          <w:rFonts w:ascii="Times New Roman" w:cs="Times New Roman" w:eastAsia="Times New Roman" w:hAnsi="Times New Roman"/>
          <w:sz w:val="19"/>
          <w:szCs w:val="19"/>
          <w:color w:val="auto"/>
        </w:rPr>
        <w:t>(b)use Seller's Trademarks, service marks, trade names, logos, symbols or brand names, in each case, without the prior written consent of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0620"/>
        <w:spacing w:after="0"/>
        <w:rPr>
          <w:sz w:val="20"/>
          <w:szCs w:val="20"/>
          <w:color w:val="auto"/>
        </w:rPr>
      </w:pPr>
      <w:r>
        <w:rPr>
          <w:rFonts w:ascii="Times New Roman" w:cs="Times New Roman" w:eastAsia="Times New Roman" w:hAnsi="Times New Roman"/>
          <w:sz w:val="16"/>
          <w:szCs w:val="16"/>
          <w:color w:val="2B3486"/>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565785</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780"/>
          </w:cols>
          <w:pgMar w:left="780" w:top="1440" w:right="339" w:bottom="1440" w:gutter="0" w:footer="0" w:header="0"/>
        </w:sectPr>
      </w:pPr>
    </w:p>
    <w:bookmarkStart w:id="22" w:name="page23"/>
    <w:bookmarkEnd w:id="22"/>
    <w:p>
      <w:pPr>
        <w:spacing w:after="0" w:line="1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327660</wp:posOffset>
            </wp:positionV>
            <wp:extent cx="494030" cy="5924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494030" cy="592455"/>
                    </a:xfrm>
                    <a:prstGeom prst="rect">
                      <a:avLst/>
                    </a:prstGeom>
                    <a:noFill/>
                  </pic:spPr>
                </pic:pic>
              </a:graphicData>
            </a:graphic>
          </wp:anchor>
        </w:drawing>
      </w:r>
    </w:p>
    <w:p>
      <w:pPr>
        <w:ind w:left="3200"/>
        <w:spacing w:after="0"/>
        <w:rPr>
          <w:sz w:val="20"/>
          <w:szCs w:val="20"/>
          <w:color w:val="auto"/>
        </w:rPr>
      </w:pPr>
      <w:r>
        <w:rPr>
          <w:rFonts w:ascii="Times New Roman" w:cs="Times New Roman" w:eastAsia="Times New Roman" w:hAnsi="Times New Roman"/>
          <w:sz w:val="19"/>
          <w:szCs w:val="19"/>
          <w:i w:val="1"/>
          <w:iCs w:val="1"/>
          <w:color w:val="auto"/>
        </w:rPr>
        <w:t>[SIGNATURE PAGE FOLLOWS]</w:t>
      </w: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2B3486"/>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558165</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23" w:name="page24"/>
    <w:bookmarkEnd w:id="23"/>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327660</wp:posOffset>
            </wp:positionV>
            <wp:extent cx="494030" cy="5924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494030" cy="592455"/>
                    </a:xfrm>
                    <a:prstGeom prst="rect">
                      <a:avLst/>
                    </a:prstGeom>
                    <a:noFill/>
                  </pic:spPr>
                </pic:pic>
              </a:graphicData>
            </a:graphic>
          </wp:anchor>
        </w:drawing>
      </w:r>
    </w:p>
    <w:p>
      <w:pPr>
        <w:ind w:left="5720" w:right="940" w:hanging="5719"/>
        <w:spacing w:after="0" w:line="389" w:lineRule="auto"/>
        <w:rPr>
          <w:sz w:val="20"/>
          <w:szCs w:val="20"/>
          <w:color w:val="auto"/>
        </w:rPr>
      </w:pPr>
      <w:r>
        <w:rPr>
          <w:rFonts w:ascii="Times New Roman" w:cs="Times New Roman" w:eastAsia="Times New Roman" w:hAnsi="Times New Roman"/>
          <w:sz w:val="19"/>
          <w:szCs w:val="19"/>
          <w:color w:val="auto"/>
        </w:rPr>
        <w:t>IN WITNESS WHEREOF, the Parties hereto have executed this Contract Manufacturing Agreement as of the date first set forth above. AVITA Medical Americas, LLC</w:t>
      </w:r>
    </w:p>
    <w:p>
      <w:pPr>
        <w:spacing w:after="0" w:line="26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9"/>
          <w:szCs w:val="19"/>
          <w:color w:val="auto"/>
        </w:rPr>
        <w:t>By_____________________</w:t>
      </w:r>
    </w:p>
    <w:p>
      <w:pPr>
        <w:spacing w:after="0" w:line="10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9"/>
          <w:szCs w:val="19"/>
          <w:color w:val="auto"/>
        </w:rPr>
        <w:t>Name: Jim Corbett</w:t>
      </w:r>
    </w:p>
    <w:p>
      <w:pPr>
        <w:spacing w:after="0" w:line="10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9"/>
          <w:szCs w:val="19"/>
          <w:color w:val="auto"/>
        </w:rPr>
        <w:t>Title: CEO</w:t>
      </w:r>
    </w:p>
    <w:p>
      <w:pPr>
        <w:spacing w:after="0" w:line="200" w:lineRule="exact"/>
        <w:rPr>
          <w:sz w:val="20"/>
          <w:szCs w:val="20"/>
          <w:color w:val="auto"/>
        </w:rPr>
      </w:pPr>
    </w:p>
    <w:p>
      <w:pPr>
        <w:spacing w:after="0" w:line="23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9"/>
          <w:szCs w:val="19"/>
          <w:color w:val="auto"/>
        </w:rPr>
        <w:t>Stedical Scientific, Inc.</w:t>
      </w:r>
    </w:p>
    <w:p>
      <w:pPr>
        <w:spacing w:after="0" w:line="200" w:lineRule="exact"/>
        <w:rPr>
          <w:sz w:val="20"/>
          <w:szCs w:val="20"/>
          <w:color w:val="auto"/>
        </w:rPr>
      </w:pPr>
    </w:p>
    <w:p>
      <w:pPr>
        <w:spacing w:after="0" w:line="23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9"/>
          <w:szCs w:val="19"/>
          <w:color w:val="auto"/>
        </w:rPr>
        <w:t>By_____________________</w:t>
      </w:r>
    </w:p>
    <w:p>
      <w:pPr>
        <w:spacing w:after="0" w:line="10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9"/>
          <w:szCs w:val="19"/>
          <w:color w:val="auto"/>
        </w:rPr>
        <w:t>Name: Lin Sun</w:t>
      </w:r>
    </w:p>
    <w:p>
      <w:pPr>
        <w:spacing w:after="0" w:line="10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9"/>
          <w:szCs w:val="19"/>
          <w:color w:val="auto"/>
        </w:rPr>
        <w:t>Title: Chairman</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2B3486"/>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558165</wp:posOffset>
            </wp:positionV>
            <wp:extent cx="716343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327660</wp:posOffset>
            </wp:positionV>
            <wp:extent cx="494030" cy="5924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494030" cy="5924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SCHEDULE 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GOODS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10" w:type="dxa"/>
        <w:tblCellMar>
          <w:top w:w="0" w:type="dxa"/>
          <w:left w:w="0" w:type="dxa"/>
          <w:bottom w:w="0" w:type="dxa"/>
          <w:right w:w="0" w:type="dxa"/>
        </w:tblCellMar>
      </w:tblPr>
      <w:tr>
        <w:trPr>
          <w:trHeight w:val="259"/>
        </w:trPr>
        <w:tc>
          <w:tcPr>
            <w:tcW w:w="1820" w:type="dxa"/>
            <w:vAlign w:val="bottom"/>
            <w:tcBorders>
              <w:top w:val="single" w:sz="8" w:color="auto"/>
              <w:left w:val="single" w:sz="8" w:color="auto"/>
              <w:bottom w:val="single" w:sz="8" w:color="auto"/>
              <w:right w:val="single" w:sz="8" w:color="auto"/>
            </w:tcBorders>
            <w:shd w:val="clear" w:color="auto" w:fill="BFBFBF"/>
          </w:tcPr>
          <w:p>
            <w:pPr>
              <w:ind w:left="700"/>
              <w:spacing w:after="0"/>
              <w:rPr>
                <w:sz w:val="20"/>
                <w:szCs w:val="20"/>
                <w:color w:val="auto"/>
              </w:rPr>
            </w:pPr>
            <w:r>
              <w:rPr>
                <w:rFonts w:ascii="Times New Roman" w:cs="Times New Roman" w:eastAsia="Times New Roman" w:hAnsi="Times New Roman"/>
                <w:sz w:val="21"/>
                <w:szCs w:val="21"/>
                <w:b w:val="1"/>
                <w:bCs w:val="1"/>
                <w:i w:val="1"/>
                <w:iCs w:val="1"/>
                <w:color w:val="auto"/>
              </w:rPr>
              <w:t>SKU</w:t>
            </w:r>
          </w:p>
        </w:tc>
        <w:tc>
          <w:tcPr>
            <w:tcW w:w="4740" w:type="dxa"/>
            <w:vAlign w:val="bottom"/>
            <w:tcBorders>
              <w:top w:val="single" w:sz="8" w:color="auto"/>
              <w:bottom w:val="single" w:sz="8" w:color="auto"/>
              <w:right w:val="single" w:sz="8" w:color="auto"/>
            </w:tcBorders>
            <w:shd w:val="clear" w:color="auto" w:fill="BFBFBF"/>
          </w:tcPr>
          <w:p>
            <w:pPr>
              <w:ind w:left="2020"/>
              <w:spacing w:after="0"/>
              <w:rPr>
                <w:sz w:val="20"/>
                <w:szCs w:val="20"/>
                <w:color w:val="auto"/>
              </w:rPr>
            </w:pPr>
            <w:r>
              <w:rPr>
                <w:rFonts w:ascii="Times New Roman" w:cs="Times New Roman" w:eastAsia="Times New Roman" w:hAnsi="Times New Roman"/>
                <w:sz w:val="21"/>
                <w:szCs w:val="21"/>
                <w:b w:val="1"/>
                <w:bCs w:val="1"/>
                <w:i w:val="1"/>
                <w:iCs w:val="1"/>
                <w:color w:val="auto"/>
              </w:rPr>
              <w:t>Product</w:t>
            </w:r>
          </w:p>
        </w:tc>
        <w:tc>
          <w:tcPr>
            <w:tcW w:w="9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w w:val="97"/>
              </w:rPr>
              <w:t>UOM</w:t>
            </w:r>
          </w:p>
        </w:tc>
        <w:tc>
          <w:tcPr>
            <w:tcW w:w="960" w:type="dxa"/>
            <w:vAlign w:val="bottom"/>
            <w:tcBorders>
              <w:top w:val="single" w:sz="8" w:color="auto"/>
              <w:bottom w:val="single" w:sz="8" w:color="auto"/>
              <w:right w:val="single" w:sz="8" w:color="auto"/>
            </w:tcBorders>
            <w:shd w:val="clear" w:color="auto" w:fill="BFBFBF"/>
          </w:tcPr>
          <w:p>
            <w:pPr>
              <w:ind w:left="260"/>
              <w:spacing w:after="0"/>
              <w:rPr>
                <w:sz w:val="20"/>
                <w:szCs w:val="20"/>
                <w:color w:val="auto"/>
              </w:rPr>
            </w:pPr>
            <w:r>
              <w:rPr>
                <w:rFonts w:ascii="Times New Roman" w:cs="Times New Roman" w:eastAsia="Times New Roman" w:hAnsi="Times New Roman"/>
                <w:sz w:val="21"/>
                <w:szCs w:val="21"/>
                <w:b w:val="1"/>
                <w:bCs w:val="1"/>
                <w:i w:val="1"/>
                <w:iCs w:val="1"/>
                <w:color w:val="auto"/>
              </w:rPr>
              <w:t>QTY</w:t>
            </w:r>
          </w:p>
        </w:tc>
      </w:tr>
      <w:tr>
        <w:trPr>
          <w:trHeight w:val="357"/>
        </w:trPr>
        <w:tc>
          <w:tcPr>
            <w:tcW w:w="1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8"/>
              </w:rPr>
              <w:t>C2050500</w:t>
            </w:r>
          </w:p>
        </w:tc>
        <w:tc>
          <w:tcPr>
            <w:tcW w:w="4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PermeaDerm® C - 5" x 5"</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6"/>
              </w:rPr>
              <w:t>CT</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5"/>
              </w:rPr>
              <w:t>10</w:t>
            </w:r>
          </w:p>
        </w:tc>
      </w:tr>
      <w:tr>
        <w:trPr>
          <w:trHeight w:val="120"/>
        </w:trPr>
        <w:tc>
          <w:tcPr>
            <w:tcW w:w="1820" w:type="dxa"/>
            <w:vAlign w:val="bottom"/>
            <w:tcBorders>
              <w:left w:val="single" w:sz="8" w:color="auto"/>
              <w:bottom w:val="single" w:sz="8" w:color="auto"/>
              <w:right w:val="single" w:sz="8" w:color="auto"/>
            </w:tcBorders>
          </w:tcPr>
          <w:p>
            <w:pPr>
              <w:spacing w:after="0"/>
              <w:rPr>
                <w:sz w:val="10"/>
                <w:szCs w:val="10"/>
                <w:color w:val="auto"/>
              </w:rPr>
            </w:pPr>
          </w:p>
        </w:tc>
        <w:tc>
          <w:tcPr>
            <w:tcW w:w="474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r>
      <w:tr>
        <w:trPr>
          <w:trHeight w:val="353"/>
        </w:trPr>
        <w:tc>
          <w:tcPr>
            <w:tcW w:w="1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8"/>
              </w:rPr>
              <w:t>B1051000</w:t>
            </w:r>
          </w:p>
        </w:tc>
        <w:tc>
          <w:tcPr>
            <w:tcW w:w="4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PermeaDerm® B - 5" x 10"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6"/>
              </w:rPr>
              <w:t>CT</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4"/>
              </w:rPr>
              <w:t>8</w:t>
            </w:r>
          </w:p>
        </w:tc>
      </w:tr>
      <w:tr>
        <w:trPr>
          <w:trHeight w:val="120"/>
        </w:trPr>
        <w:tc>
          <w:tcPr>
            <w:tcW w:w="1820" w:type="dxa"/>
            <w:vAlign w:val="bottom"/>
            <w:tcBorders>
              <w:left w:val="single" w:sz="8" w:color="auto"/>
              <w:bottom w:val="single" w:sz="8" w:color="auto"/>
              <w:right w:val="single" w:sz="8" w:color="auto"/>
            </w:tcBorders>
          </w:tcPr>
          <w:p>
            <w:pPr>
              <w:spacing w:after="0"/>
              <w:rPr>
                <w:sz w:val="10"/>
                <w:szCs w:val="10"/>
                <w:color w:val="auto"/>
              </w:rPr>
            </w:pPr>
          </w:p>
        </w:tc>
        <w:tc>
          <w:tcPr>
            <w:tcW w:w="474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r>
      <w:tr>
        <w:trPr>
          <w:trHeight w:val="379"/>
        </w:trPr>
        <w:tc>
          <w:tcPr>
            <w:tcW w:w="1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8"/>
              </w:rPr>
              <w:t>B2101500</w:t>
            </w:r>
          </w:p>
        </w:tc>
        <w:tc>
          <w:tcPr>
            <w:tcW w:w="4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PermeaDerm® B - 10" x 15"</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6"/>
              </w:rPr>
              <w:t>CT</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4"/>
              </w:rPr>
              <w:t>3</w:t>
            </w:r>
          </w:p>
        </w:tc>
      </w:tr>
      <w:tr>
        <w:trPr>
          <w:trHeight w:val="132"/>
        </w:trPr>
        <w:tc>
          <w:tcPr>
            <w:tcW w:w="1820" w:type="dxa"/>
            <w:vAlign w:val="bottom"/>
            <w:tcBorders>
              <w:left w:val="single" w:sz="8" w:color="auto"/>
              <w:bottom w:val="single" w:sz="8" w:color="auto"/>
              <w:right w:val="single" w:sz="8" w:color="auto"/>
            </w:tcBorders>
          </w:tcPr>
          <w:p>
            <w:pPr>
              <w:spacing w:after="0"/>
              <w:rPr>
                <w:sz w:val="11"/>
                <w:szCs w:val="11"/>
                <w:color w:val="auto"/>
              </w:rPr>
            </w:pPr>
          </w:p>
        </w:tc>
        <w:tc>
          <w:tcPr>
            <w:tcW w:w="474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r>
      <w:tr>
        <w:trPr>
          <w:trHeight w:val="340"/>
        </w:trPr>
        <w:tc>
          <w:tcPr>
            <w:tcW w:w="1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8"/>
              </w:rPr>
              <w:t>B4153000</w:t>
            </w:r>
          </w:p>
        </w:tc>
        <w:tc>
          <w:tcPr>
            <w:tcW w:w="4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PermeaDerm® B -15" x 30"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6"/>
              </w:rPr>
              <w:t>CT</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4"/>
              </w:rPr>
              <w:t>1</w:t>
            </w:r>
          </w:p>
        </w:tc>
      </w:tr>
      <w:tr>
        <w:trPr>
          <w:trHeight w:val="107"/>
        </w:trPr>
        <w:tc>
          <w:tcPr>
            <w:tcW w:w="1820" w:type="dxa"/>
            <w:vAlign w:val="bottom"/>
            <w:tcBorders>
              <w:left w:val="single" w:sz="8" w:color="auto"/>
              <w:bottom w:val="single" w:sz="8" w:color="auto"/>
              <w:right w:val="single" w:sz="8" w:color="auto"/>
            </w:tcBorders>
          </w:tcPr>
          <w:p>
            <w:pPr>
              <w:spacing w:after="0"/>
              <w:rPr>
                <w:sz w:val="9"/>
                <w:szCs w:val="9"/>
                <w:color w:val="auto"/>
              </w:rPr>
            </w:pPr>
          </w:p>
        </w:tc>
        <w:tc>
          <w:tcPr>
            <w:tcW w:w="4740" w:type="dxa"/>
            <w:vAlign w:val="bottom"/>
            <w:tcBorders>
              <w:bottom w:val="single" w:sz="8" w:color="auto"/>
              <w:right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960" w:type="dxa"/>
            <w:vAlign w:val="bottom"/>
            <w:tcBorders>
              <w:bottom w:val="single" w:sz="8" w:color="auto"/>
              <w:right w:val="single" w:sz="8" w:color="auto"/>
            </w:tcBorders>
          </w:tcPr>
          <w:p>
            <w:pPr>
              <w:spacing w:after="0"/>
              <w:rPr>
                <w:sz w:val="9"/>
                <w:szCs w:val="9"/>
                <w:color w:val="auto"/>
              </w:rPr>
            </w:pPr>
          </w:p>
        </w:tc>
      </w:tr>
      <w:tr>
        <w:trPr>
          <w:trHeight w:val="353"/>
        </w:trPr>
        <w:tc>
          <w:tcPr>
            <w:tcW w:w="1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G2S00000</w:t>
            </w:r>
          </w:p>
        </w:tc>
        <w:tc>
          <w:tcPr>
            <w:tcW w:w="4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PermeaDerm® Glove S</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6"/>
              </w:rPr>
              <w:t>CT</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4"/>
              </w:rPr>
              <w:t>2</w:t>
            </w:r>
          </w:p>
        </w:tc>
      </w:tr>
      <w:tr>
        <w:trPr>
          <w:trHeight w:val="120"/>
        </w:trPr>
        <w:tc>
          <w:tcPr>
            <w:tcW w:w="1820" w:type="dxa"/>
            <w:vAlign w:val="bottom"/>
            <w:tcBorders>
              <w:left w:val="single" w:sz="8" w:color="auto"/>
              <w:bottom w:val="single" w:sz="8" w:color="auto"/>
              <w:right w:val="single" w:sz="8" w:color="auto"/>
            </w:tcBorders>
          </w:tcPr>
          <w:p>
            <w:pPr>
              <w:spacing w:after="0"/>
              <w:rPr>
                <w:sz w:val="10"/>
                <w:szCs w:val="10"/>
                <w:color w:val="auto"/>
              </w:rPr>
            </w:pPr>
          </w:p>
        </w:tc>
        <w:tc>
          <w:tcPr>
            <w:tcW w:w="474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r>
      <w:tr>
        <w:trPr>
          <w:trHeight w:val="379"/>
        </w:trPr>
        <w:tc>
          <w:tcPr>
            <w:tcW w:w="1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9"/>
              </w:rPr>
              <w:t>G3M00000</w:t>
            </w:r>
          </w:p>
        </w:tc>
        <w:tc>
          <w:tcPr>
            <w:tcW w:w="4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PermeaDerm® Glove M</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6"/>
              </w:rPr>
              <w:t>CT</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4"/>
              </w:rPr>
              <w:t>2</w:t>
            </w:r>
          </w:p>
        </w:tc>
      </w:tr>
      <w:tr>
        <w:trPr>
          <w:trHeight w:val="132"/>
        </w:trPr>
        <w:tc>
          <w:tcPr>
            <w:tcW w:w="1820" w:type="dxa"/>
            <w:vAlign w:val="bottom"/>
            <w:tcBorders>
              <w:left w:val="single" w:sz="8" w:color="auto"/>
              <w:bottom w:val="single" w:sz="8" w:color="auto"/>
              <w:right w:val="single" w:sz="8" w:color="auto"/>
            </w:tcBorders>
          </w:tcPr>
          <w:p>
            <w:pPr>
              <w:spacing w:after="0"/>
              <w:rPr>
                <w:sz w:val="11"/>
                <w:szCs w:val="11"/>
                <w:color w:val="auto"/>
              </w:rPr>
            </w:pPr>
          </w:p>
        </w:tc>
        <w:tc>
          <w:tcPr>
            <w:tcW w:w="474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r>
      <w:tr>
        <w:trPr>
          <w:trHeight w:val="353"/>
        </w:trPr>
        <w:tc>
          <w:tcPr>
            <w:tcW w:w="1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8"/>
              </w:rPr>
              <w:t>G4L10000</w:t>
            </w:r>
          </w:p>
        </w:tc>
        <w:tc>
          <w:tcPr>
            <w:tcW w:w="4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PermeaDerm® Glove L</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6"/>
              </w:rPr>
              <w:t>CT</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4"/>
              </w:rPr>
              <w:t>2</w:t>
            </w:r>
          </w:p>
        </w:tc>
      </w:tr>
      <w:tr>
        <w:trPr>
          <w:trHeight w:val="107"/>
        </w:trPr>
        <w:tc>
          <w:tcPr>
            <w:tcW w:w="1820" w:type="dxa"/>
            <w:vAlign w:val="bottom"/>
            <w:tcBorders>
              <w:left w:val="single" w:sz="8" w:color="auto"/>
              <w:bottom w:val="single" w:sz="8" w:color="auto"/>
              <w:right w:val="single" w:sz="8" w:color="auto"/>
            </w:tcBorders>
          </w:tcPr>
          <w:p>
            <w:pPr>
              <w:spacing w:after="0"/>
              <w:rPr>
                <w:sz w:val="9"/>
                <w:szCs w:val="9"/>
                <w:color w:val="auto"/>
              </w:rPr>
            </w:pPr>
          </w:p>
        </w:tc>
        <w:tc>
          <w:tcPr>
            <w:tcW w:w="4740" w:type="dxa"/>
            <w:vAlign w:val="bottom"/>
            <w:tcBorders>
              <w:bottom w:val="single" w:sz="8" w:color="auto"/>
              <w:right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960" w:type="dxa"/>
            <w:vAlign w:val="bottom"/>
            <w:tcBorders>
              <w:bottom w:val="single" w:sz="8" w:color="auto"/>
              <w:right w:val="single" w:sz="8" w:color="auto"/>
            </w:tcBorders>
          </w:tcPr>
          <w:p>
            <w:pPr>
              <w:spacing w:after="0"/>
              <w:rPr>
                <w:sz w:val="9"/>
                <w:szCs w:val="9"/>
                <w:color w:val="auto"/>
              </w:rPr>
            </w:pPr>
          </w:p>
        </w:tc>
      </w:tr>
      <w:tr>
        <w:trPr>
          <w:trHeight w:val="379"/>
        </w:trPr>
        <w:tc>
          <w:tcPr>
            <w:tcW w:w="1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G5XL0000</w:t>
            </w:r>
          </w:p>
        </w:tc>
        <w:tc>
          <w:tcPr>
            <w:tcW w:w="4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PermeaDerm® Glove XL</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6"/>
              </w:rPr>
              <w:t>CT</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4"/>
              </w:rPr>
              <w:t>2</w:t>
            </w:r>
          </w:p>
        </w:tc>
      </w:tr>
      <w:tr>
        <w:trPr>
          <w:trHeight w:val="132"/>
        </w:trPr>
        <w:tc>
          <w:tcPr>
            <w:tcW w:w="1820" w:type="dxa"/>
            <w:vAlign w:val="bottom"/>
            <w:tcBorders>
              <w:left w:val="single" w:sz="8" w:color="auto"/>
              <w:bottom w:val="single" w:sz="8" w:color="auto"/>
              <w:right w:val="single" w:sz="8" w:color="auto"/>
            </w:tcBorders>
          </w:tcPr>
          <w:p>
            <w:pPr>
              <w:spacing w:after="0"/>
              <w:rPr>
                <w:sz w:val="11"/>
                <w:szCs w:val="11"/>
                <w:color w:val="auto"/>
              </w:rPr>
            </w:pPr>
          </w:p>
        </w:tc>
        <w:tc>
          <w:tcPr>
            <w:tcW w:w="474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r>
      <w:tr>
        <w:trPr>
          <w:trHeight w:val="379"/>
        </w:trPr>
        <w:tc>
          <w:tcPr>
            <w:tcW w:w="1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9"/>
              </w:rPr>
              <w:t>G6XXL000</w:t>
            </w:r>
          </w:p>
        </w:tc>
        <w:tc>
          <w:tcPr>
            <w:tcW w:w="4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PermeaDerm® Glove XXL</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6"/>
              </w:rPr>
              <w:t>CT</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4"/>
              </w:rPr>
              <w:t>2</w:t>
            </w:r>
          </w:p>
        </w:tc>
      </w:tr>
      <w:tr>
        <w:trPr>
          <w:trHeight w:val="132"/>
        </w:trPr>
        <w:tc>
          <w:tcPr>
            <w:tcW w:w="1820" w:type="dxa"/>
            <w:vAlign w:val="bottom"/>
            <w:tcBorders>
              <w:left w:val="single" w:sz="8" w:color="auto"/>
              <w:bottom w:val="single" w:sz="8" w:color="auto"/>
              <w:right w:val="single" w:sz="8" w:color="auto"/>
            </w:tcBorders>
          </w:tcPr>
          <w:p>
            <w:pPr>
              <w:spacing w:after="0"/>
              <w:rPr>
                <w:sz w:val="11"/>
                <w:szCs w:val="11"/>
                <w:color w:val="auto"/>
              </w:rPr>
            </w:pPr>
          </w:p>
        </w:tc>
        <w:tc>
          <w:tcPr>
            <w:tcW w:w="474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2B3486"/>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558165</wp:posOffset>
            </wp:positionV>
            <wp:extent cx="716343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327660</wp:posOffset>
            </wp:positionV>
            <wp:extent cx="494030" cy="5924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494030" cy="592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9960"/>
        <w:spacing w:after="0"/>
        <w:rPr>
          <w:sz w:val="20"/>
          <w:szCs w:val="20"/>
          <w:color w:val="auto"/>
        </w:rPr>
      </w:pPr>
      <w:r>
        <w:rPr>
          <w:rFonts w:ascii="Times New Roman" w:cs="Times New Roman" w:eastAsia="Times New Roman" w:hAnsi="Times New Roman"/>
          <w:sz w:val="16"/>
          <w:szCs w:val="16"/>
          <w:color w:val="2B3486"/>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557530</wp:posOffset>
            </wp:positionV>
            <wp:extent cx="716343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9"/>
          <w:szCs w:val="19"/>
          <w:b w:val="1"/>
          <w:bCs w:val="1"/>
          <w:color w:val="231F20"/>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99060</wp:posOffset>
            </wp:positionV>
            <wp:extent cx="494030" cy="5924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4030" cy="592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u w:val="single" w:color="auto"/>
          <w:color w:val="auto"/>
        </w:rPr>
        <w:t>SCHEDULE B</w:t>
      </w:r>
    </w:p>
    <w:p>
      <w:pPr>
        <w:spacing w:after="0" w:line="13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Seller’s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4465320</wp:posOffset>
            </wp:positionV>
            <wp:extent cx="716343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336550</wp:posOffset>
            </wp:positionV>
            <wp:extent cx="7198360" cy="3202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8360" cy="3202305"/>
                    </a:xfrm>
                    <a:prstGeom prst="rect">
                      <a:avLst/>
                    </a:prstGeom>
                    <a:noFill/>
                  </pic:spPr>
                </pic:pic>
              </a:graphicData>
            </a:graphic>
          </wp:anchor>
        </w:drawing>
      </w:r>
    </w:p>
    <w:p>
      <w:pPr>
        <w:sectPr>
          <w:pgSz w:w="11900" w:h="16838" w:orient="portrait"/>
          <w:cols w:equalWidth="0" w:num="1">
            <w:col w:w="10120"/>
          </w:cols>
          <w:pgMar w:left="1440" w:top="491"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9"/>
          <w:szCs w:val="19"/>
          <w:b w:val="1"/>
          <w:bCs w:val="1"/>
          <w:color w:val="231F20"/>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99060</wp:posOffset>
            </wp:positionV>
            <wp:extent cx="494030" cy="5924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4030" cy="592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SCHEDULE C</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Buyer-owned Tooling</w:t>
      </w:r>
    </w:p>
    <w:p>
      <w:pPr>
        <w:spacing w:after="0" w:line="144" w:lineRule="exact"/>
        <w:rPr>
          <w:sz w:val="20"/>
          <w:szCs w:val="20"/>
          <w:color w:val="auto"/>
        </w:rPr>
      </w:pPr>
    </w:p>
    <w:tbl>
      <w:tblPr>
        <w:tblLayout w:type="fixed"/>
        <w:tblInd w:w="10" w:type="dxa"/>
        <w:tblCellMar>
          <w:top w:w="0" w:type="dxa"/>
          <w:left w:w="0" w:type="dxa"/>
          <w:bottom w:w="0" w:type="dxa"/>
          <w:right w:w="0" w:type="dxa"/>
        </w:tblCellMar>
      </w:tblPr>
      <w:tr>
        <w:trPr>
          <w:trHeight w:val="271"/>
        </w:trPr>
        <w:tc>
          <w:tcPr>
            <w:tcW w:w="2760" w:type="dxa"/>
            <w:vAlign w:val="bottom"/>
            <w:tcBorders>
              <w:top w:val="single" w:sz="8" w:color="auto"/>
              <w:left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Equipment</w:t>
            </w:r>
          </w:p>
        </w:tc>
        <w:tc>
          <w:tcPr>
            <w:tcW w:w="1180" w:type="dxa"/>
            <w:vAlign w:val="bottom"/>
            <w:tcBorders>
              <w:top w:val="single" w:sz="8" w:color="auto"/>
              <w:right w:val="single" w:sz="8" w:color="auto"/>
            </w:tcBorders>
            <w:shd w:val="clear" w:color="auto" w:fill="BFBFBF"/>
          </w:tcPr>
          <w:p>
            <w:pPr>
              <w:ind w:left="420"/>
              <w:spacing w:after="0"/>
              <w:rPr>
                <w:sz w:val="20"/>
                <w:szCs w:val="20"/>
                <w:color w:val="auto"/>
              </w:rPr>
            </w:pPr>
            <w:r>
              <w:rPr>
                <w:rFonts w:ascii="Times New Roman" w:cs="Times New Roman" w:eastAsia="Times New Roman" w:hAnsi="Times New Roman"/>
                <w:sz w:val="19"/>
                <w:szCs w:val="19"/>
                <w:b w:val="1"/>
                <w:bCs w:val="1"/>
                <w:color w:val="auto"/>
              </w:rPr>
              <w:t>Qty</w:t>
            </w:r>
          </w:p>
        </w:tc>
        <w:tc>
          <w:tcPr>
            <w:tcW w:w="7300" w:type="dxa"/>
            <w:vAlign w:val="bottom"/>
          </w:tcPr>
          <w:p>
            <w:pPr>
              <w:spacing w:after="0"/>
              <w:rPr>
                <w:sz w:val="23"/>
                <w:szCs w:val="23"/>
                <w:color w:val="auto"/>
              </w:rPr>
            </w:pPr>
          </w:p>
        </w:tc>
      </w:tr>
      <w:tr>
        <w:trPr>
          <w:trHeight w:val="125"/>
        </w:trPr>
        <w:tc>
          <w:tcPr>
            <w:tcW w:w="2760" w:type="dxa"/>
            <w:vAlign w:val="bottom"/>
            <w:tcBorders>
              <w:left w:val="single" w:sz="8" w:color="auto"/>
              <w:bottom w:val="single" w:sz="8" w:color="auto"/>
              <w:right w:val="single" w:sz="8" w:color="auto"/>
            </w:tcBorders>
            <w:shd w:val="clear" w:color="auto" w:fill="BFBFBF"/>
          </w:tcPr>
          <w:p>
            <w:pPr>
              <w:spacing w:after="0"/>
              <w:rPr>
                <w:sz w:val="10"/>
                <w:szCs w:val="10"/>
                <w:color w:val="auto"/>
              </w:rPr>
            </w:pPr>
          </w:p>
        </w:tc>
        <w:tc>
          <w:tcPr>
            <w:tcW w:w="1180" w:type="dxa"/>
            <w:vAlign w:val="bottom"/>
            <w:tcBorders>
              <w:bottom w:val="single" w:sz="8" w:color="auto"/>
              <w:right w:val="single" w:sz="8" w:color="auto"/>
            </w:tcBorders>
            <w:shd w:val="clear" w:color="auto" w:fill="BFBFBF"/>
          </w:tcPr>
          <w:p>
            <w:pPr>
              <w:spacing w:after="0"/>
              <w:rPr>
                <w:sz w:val="10"/>
                <w:szCs w:val="10"/>
                <w:color w:val="auto"/>
              </w:rPr>
            </w:pPr>
          </w:p>
        </w:tc>
        <w:tc>
          <w:tcPr>
            <w:tcW w:w="7300" w:type="dxa"/>
            <w:vAlign w:val="bottom"/>
          </w:tcPr>
          <w:p>
            <w:pPr>
              <w:spacing w:after="0"/>
              <w:rPr>
                <w:sz w:val="10"/>
                <w:szCs w:val="10"/>
                <w:color w:val="auto"/>
              </w:rPr>
            </w:pPr>
          </w:p>
        </w:tc>
      </w:tr>
      <w:tr>
        <w:trPr>
          <w:trHeight w:val="229"/>
        </w:trPr>
        <w:tc>
          <w:tcPr>
            <w:tcW w:w="2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Large BioDot</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w:t>
            </w:r>
          </w:p>
        </w:tc>
        <w:tc>
          <w:tcPr>
            <w:tcW w:w="7300" w:type="dxa"/>
            <w:vAlign w:val="bottom"/>
          </w:tcPr>
          <w:p>
            <w:pPr>
              <w:spacing w:after="0"/>
              <w:rPr>
                <w:sz w:val="19"/>
                <w:szCs w:val="19"/>
                <w:color w:val="auto"/>
              </w:rPr>
            </w:pPr>
          </w:p>
        </w:tc>
      </w:tr>
      <w:tr>
        <w:trPr>
          <w:trHeight w:val="110"/>
        </w:trPr>
        <w:tc>
          <w:tcPr>
            <w:tcW w:w="2760" w:type="dxa"/>
            <w:vAlign w:val="bottom"/>
            <w:tcBorders>
              <w:left w:val="single" w:sz="8" w:color="auto"/>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7300" w:type="dxa"/>
            <w:vAlign w:val="bottom"/>
          </w:tcPr>
          <w:p>
            <w:pPr>
              <w:spacing w:after="0"/>
              <w:rPr>
                <w:sz w:val="9"/>
                <w:szCs w:val="9"/>
                <w:color w:val="auto"/>
              </w:rPr>
            </w:pPr>
          </w:p>
        </w:tc>
      </w:tr>
      <w:tr>
        <w:trPr>
          <w:trHeight w:val="242"/>
        </w:trPr>
        <w:tc>
          <w:tcPr>
            <w:tcW w:w="2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Size B slitter</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w:t>
            </w:r>
          </w:p>
        </w:tc>
        <w:tc>
          <w:tcPr>
            <w:tcW w:w="7300" w:type="dxa"/>
            <w:vAlign w:val="bottom"/>
          </w:tcPr>
          <w:p>
            <w:pPr>
              <w:spacing w:after="0"/>
              <w:rPr>
                <w:sz w:val="21"/>
                <w:szCs w:val="21"/>
                <w:color w:val="auto"/>
              </w:rPr>
            </w:pPr>
          </w:p>
        </w:tc>
      </w:tr>
      <w:tr>
        <w:trPr>
          <w:trHeight w:val="114"/>
        </w:trPr>
        <w:tc>
          <w:tcPr>
            <w:tcW w:w="2760" w:type="dxa"/>
            <w:vAlign w:val="bottom"/>
            <w:tcBorders>
              <w:left w:val="single" w:sz="8" w:color="auto"/>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7300" w:type="dxa"/>
            <w:vAlign w:val="bottom"/>
          </w:tcPr>
          <w:p>
            <w:pPr>
              <w:spacing w:after="0"/>
              <w:rPr>
                <w:sz w:val="9"/>
                <w:szCs w:val="9"/>
                <w:color w:val="auto"/>
              </w:rPr>
            </w:pPr>
          </w:p>
        </w:tc>
      </w:tr>
      <w:tr>
        <w:trPr>
          <w:trHeight w:val="242"/>
        </w:trPr>
        <w:tc>
          <w:tcPr>
            <w:tcW w:w="2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Size C slitter</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w:t>
            </w:r>
          </w:p>
        </w:tc>
        <w:tc>
          <w:tcPr>
            <w:tcW w:w="7300" w:type="dxa"/>
            <w:vAlign w:val="bottom"/>
          </w:tcPr>
          <w:p>
            <w:pPr>
              <w:spacing w:after="0"/>
              <w:rPr>
                <w:sz w:val="21"/>
                <w:szCs w:val="21"/>
                <w:color w:val="auto"/>
              </w:rPr>
            </w:pPr>
          </w:p>
        </w:tc>
      </w:tr>
      <w:tr>
        <w:trPr>
          <w:trHeight w:val="114"/>
        </w:trPr>
        <w:tc>
          <w:tcPr>
            <w:tcW w:w="2760" w:type="dxa"/>
            <w:vAlign w:val="bottom"/>
            <w:tcBorders>
              <w:left w:val="single" w:sz="8" w:color="auto"/>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7300" w:type="dxa"/>
            <w:vAlign w:val="bottom"/>
          </w:tcPr>
          <w:p>
            <w:pPr>
              <w:spacing w:after="0"/>
              <w:rPr>
                <w:sz w:val="9"/>
                <w:szCs w:val="9"/>
                <w:color w:val="auto"/>
              </w:rPr>
            </w:pPr>
          </w:p>
        </w:tc>
      </w:tr>
      <w:tr>
        <w:trPr>
          <w:trHeight w:val="244"/>
        </w:trPr>
        <w:tc>
          <w:tcPr>
            <w:tcW w:w="2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Tools</w:t>
            </w:r>
          </w:p>
        </w:tc>
        <w:tc>
          <w:tcPr>
            <w:tcW w:w="118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9"/>
                <w:szCs w:val="19"/>
                <w:b w:val="1"/>
                <w:bCs w:val="1"/>
                <w:color w:val="auto"/>
              </w:rPr>
              <w:t>Qty</w:t>
            </w:r>
          </w:p>
        </w:tc>
        <w:tc>
          <w:tcPr>
            <w:tcW w:w="7300" w:type="dxa"/>
            <w:vAlign w:val="bottom"/>
          </w:tcPr>
          <w:p>
            <w:pPr>
              <w:spacing w:after="0"/>
              <w:rPr>
                <w:sz w:val="21"/>
                <w:szCs w:val="21"/>
                <w:color w:val="auto"/>
              </w:rPr>
            </w:pPr>
          </w:p>
        </w:tc>
      </w:tr>
      <w:tr>
        <w:trPr>
          <w:trHeight w:val="112"/>
        </w:trPr>
        <w:tc>
          <w:tcPr>
            <w:tcW w:w="2760" w:type="dxa"/>
            <w:vAlign w:val="bottom"/>
            <w:tcBorders>
              <w:left w:val="single" w:sz="8" w:color="auto"/>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7300" w:type="dxa"/>
            <w:vAlign w:val="bottom"/>
          </w:tcPr>
          <w:p>
            <w:pPr>
              <w:spacing w:after="0"/>
              <w:rPr>
                <w:sz w:val="9"/>
                <w:szCs w:val="9"/>
                <w:color w:val="auto"/>
              </w:rPr>
            </w:pPr>
          </w:p>
        </w:tc>
      </w:tr>
      <w:tr>
        <w:trPr>
          <w:trHeight w:val="242"/>
        </w:trPr>
        <w:tc>
          <w:tcPr>
            <w:tcW w:w="2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Layering Tool</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2</w:t>
            </w:r>
          </w:p>
        </w:tc>
        <w:tc>
          <w:tcPr>
            <w:tcW w:w="7300" w:type="dxa"/>
            <w:vAlign w:val="bottom"/>
          </w:tcPr>
          <w:p>
            <w:pPr>
              <w:spacing w:after="0"/>
              <w:rPr>
                <w:sz w:val="21"/>
                <w:szCs w:val="21"/>
                <w:color w:val="auto"/>
              </w:rPr>
            </w:pPr>
          </w:p>
        </w:tc>
      </w:tr>
      <w:tr>
        <w:trPr>
          <w:trHeight w:val="114"/>
        </w:trPr>
        <w:tc>
          <w:tcPr>
            <w:tcW w:w="2760" w:type="dxa"/>
            <w:vAlign w:val="bottom"/>
            <w:tcBorders>
              <w:left w:val="single" w:sz="8" w:color="auto"/>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7300" w:type="dxa"/>
            <w:vAlign w:val="bottom"/>
          </w:tcPr>
          <w:p>
            <w:pPr>
              <w:spacing w:after="0"/>
              <w:rPr>
                <w:sz w:val="9"/>
                <w:szCs w:val="9"/>
                <w:color w:val="auto"/>
              </w:rPr>
            </w:pPr>
          </w:p>
        </w:tc>
      </w:tr>
      <w:tr>
        <w:trPr>
          <w:trHeight w:val="242"/>
        </w:trPr>
        <w:tc>
          <w:tcPr>
            <w:tcW w:w="2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Layering Frame</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4"/>
              </w:rPr>
              <w:t>24</w:t>
            </w:r>
          </w:p>
        </w:tc>
        <w:tc>
          <w:tcPr>
            <w:tcW w:w="7300" w:type="dxa"/>
            <w:vAlign w:val="bottom"/>
          </w:tcPr>
          <w:p>
            <w:pPr>
              <w:spacing w:after="0"/>
              <w:rPr>
                <w:sz w:val="21"/>
                <w:szCs w:val="21"/>
                <w:color w:val="auto"/>
              </w:rPr>
            </w:pPr>
          </w:p>
        </w:tc>
      </w:tr>
      <w:tr>
        <w:trPr>
          <w:trHeight w:val="114"/>
        </w:trPr>
        <w:tc>
          <w:tcPr>
            <w:tcW w:w="2760" w:type="dxa"/>
            <w:vAlign w:val="bottom"/>
            <w:tcBorders>
              <w:left w:val="single" w:sz="8" w:color="auto"/>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7300" w:type="dxa"/>
            <w:vAlign w:val="bottom"/>
          </w:tcPr>
          <w:p>
            <w:pPr>
              <w:spacing w:after="0"/>
              <w:rPr>
                <w:sz w:val="9"/>
                <w:szCs w:val="9"/>
                <w:color w:val="auto"/>
              </w:rPr>
            </w:pPr>
          </w:p>
        </w:tc>
      </w:tr>
      <w:tr>
        <w:trPr>
          <w:trHeight w:val="242"/>
        </w:trPr>
        <w:tc>
          <w:tcPr>
            <w:tcW w:w="2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Die Cut Tool SM</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w:t>
            </w:r>
          </w:p>
        </w:tc>
        <w:tc>
          <w:tcPr>
            <w:tcW w:w="7300" w:type="dxa"/>
            <w:vAlign w:val="bottom"/>
          </w:tcPr>
          <w:p>
            <w:pPr>
              <w:spacing w:after="0"/>
              <w:rPr>
                <w:sz w:val="21"/>
                <w:szCs w:val="21"/>
                <w:color w:val="auto"/>
              </w:rPr>
            </w:pPr>
          </w:p>
        </w:tc>
      </w:tr>
      <w:tr>
        <w:trPr>
          <w:trHeight w:val="114"/>
        </w:trPr>
        <w:tc>
          <w:tcPr>
            <w:tcW w:w="2760" w:type="dxa"/>
            <w:vAlign w:val="bottom"/>
            <w:tcBorders>
              <w:left w:val="single" w:sz="8" w:color="auto"/>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7300" w:type="dxa"/>
            <w:vAlign w:val="bottom"/>
          </w:tcPr>
          <w:p>
            <w:pPr>
              <w:spacing w:after="0"/>
              <w:rPr>
                <w:sz w:val="9"/>
                <w:szCs w:val="9"/>
                <w:color w:val="auto"/>
              </w:rPr>
            </w:pPr>
          </w:p>
        </w:tc>
      </w:tr>
      <w:tr>
        <w:trPr>
          <w:trHeight w:val="242"/>
        </w:trPr>
        <w:tc>
          <w:tcPr>
            <w:tcW w:w="2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Die Cut Tool M</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w:t>
            </w:r>
          </w:p>
        </w:tc>
        <w:tc>
          <w:tcPr>
            <w:tcW w:w="7300" w:type="dxa"/>
            <w:vAlign w:val="bottom"/>
          </w:tcPr>
          <w:p>
            <w:pPr>
              <w:spacing w:after="0"/>
              <w:rPr>
                <w:sz w:val="21"/>
                <w:szCs w:val="21"/>
                <w:color w:val="auto"/>
              </w:rPr>
            </w:pPr>
          </w:p>
        </w:tc>
      </w:tr>
      <w:tr>
        <w:trPr>
          <w:trHeight w:val="114"/>
        </w:trPr>
        <w:tc>
          <w:tcPr>
            <w:tcW w:w="2760" w:type="dxa"/>
            <w:vAlign w:val="bottom"/>
            <w:tcBorders>
              <w:left w:val="single" w:sz="8" w:color="auto"/>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7300" w:type="dxa"/>
            <w:vAlign w:val="bottom"/>
          </w:tcPr>
          <w:p>
            <w:pPr>
              <w:spacing w:after="0"/>
              <w:rPr>
                <w:sz w:val="9"/>
                <w:szCs w:val="9"/>
                <w:color w:val="auto"/>
              </w:rPr>
            </w:pPr>
          </w:p>
        </w:tc>
      </w:tr>
      <w:tr>
        <w:trPr>
          <w:trHeight w:val="242"/>
        </w:trPr>
        <w:tc>
          <w:tcPr>
            <w:tcW w:w="2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Die Cut Tool L</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w:t>
            </w:r>
          </w:p>
        </w:tc>
        <w:tc>
          <w:tcPr>
            <w:tcW w:w="7300" w:type="dxa"/>
            <w:vAlign w:val="bottom"/>
          </w:tcPr>
          <w:p>
            <w:pPr>
              <w:spacing w:after="0"/>
              <w:rPr>
                <w:sz w:val="21"/>
                <w:szCs w:val="21"/>
                <w:color w:val="auto"/>
              </w:rPr>
            </w:pPr>
          </w:p>
        </w:tc>
      </w:tr>
      <w:tr>
        <w:trPr>
          <w:trHeight w:val="114"/>
        </w:trPr>
        <w:tc>
          <w:tcPr>
            <w:tcW w:w="2760" w:type="dxa"/>
            <w:vAlign w:val="bottom"/>
            <w:tcBorders>
              <w:left w:val="single" w:sz="8" w:color="auto"/>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7300" w:type="dxa"/>
            <w:vAlign w:val="bottom"/>
          </w:tcPr>
          <w:p>
            <w:pPr>
              <w:spacing w:after="0"/>
              <w:rPr>
                <w:sz w:val="9"/>
                <w:szCs w:val="9"/>
                <w:color w:val="auto"/>
              </w:rPr>
            </w:pPr>
          </w:p>
        </w:tc>
      </w:tr>
      <w:tr>
        <w:trPr>
          <w:trHeight w:val="242"/>
        </w:trPr>
        <w:tc>
          <w:tcPr>
            <w:tcW w:w="2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Die Cut Tool XL</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w:t>
            </w:r>
          </w:p>
        </w:tc>
        <w:tc>
          <w:tcPr>
            <w:tcW w:w="7300" w:type="dxa"/>
            <w:vAlign w:val="bottom"/>
          </w:tcPr>
          <w:p>
            <w:pPr>
              <w:spacing w:after="0"/>
              <w:rPr>
                <w:sz w:val="21"/>
                <w:szCs w:val="21"/>
                <w:color w:val="auto"/>
              </w:rPr>
            </w:pPr>
          </w:p>
        </w:tc>
      </w:tr>
      <w:tr>
        <w:trPr>
          <w:trHeight w:val="114"/>
        </w:trPr>
        <w:tc>
          <w:tcPr>
            <w:tcW w:w="2760" w:type="dxa"/>
            <w:vAlign w:val="bottom"/>
            <w:tcBorders>
              <w:left w:val="single" w:sz="8" w:color="auto"/>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7300" w:type="dxa"/>
            <w:vAlign w:val="bottom"/>
          </w:tcPr>
          <w:p>
            <w:pPr>
              <w:spacing w:after="0"/>
              <w:rPr>
                <w:sz w:val="9"/>
                <w:szCs w:val="9"/>
                <w:color w:val="auto"/>
              </w:rPr>
            </w:pPr>
          </w:p>
        </w:tc>
      </w:tr>
      <w:tr>
        <w:trPr>
          <w:trHeight w:val="242"/>
        </w:trPr>
        <w:tc>
          <w:tcPr>
            <w:tcW w:w="2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Die Cut Tool XXL</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w:t>
            </w:r>
          </w:p>
        </w:tc>
        <w:tc>
          <w:tcPr>
            <w:tcW w:w="7300" w:type="dxa"/>
            <w:vAlign w:val="bottom"/>
          </w:tcPr>
          <w:p>
            <w:pPr>
              <w:spacing w:after="0"/>
              <w:rPr>
                <w:sz w:val="21"/>
                <w:szCs w:val="21"/>
                <w:color w:val="auto"/>
              </w:rPr>
            </w:pPr>
          </w:p>
        </w:tc>
      </w:tr>
      <w:tr>
        <w:trPr>
          <w:trHeight w:val="114"/>
        </w:trPr>
        <w:tc>
          <w:tcPr>
            <w:tcW w:w="2760" w:type="dxa"/>
            <w:vAlign w:val="bottom"/>
            <w:tcBorders>
              <w:left w:val="single" w:sz="8" w:color="auto"/>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7300" w:type="dxa"/>
            <w:vAlign w:val="bottom"/>
          </w:tcPr>
          <w:p>
            <w:pPr>
              <w:spacing w:after="0"/>
              <w:rPr>
                <w:sz w:val="9"/>
                <w:szCs w:val="9"/>
                <w:color w:val="auto"/>
              </w:rPr>
            </w:pPr>
          </w:p>
        </w:tc>
      </w:tr>
      <w:tr>
        <w:trPr>
          <w:trHeight w:val="1555"/>
        </w:trPr>
        <w:tc>
          <w:tcPr>
            <w:tcW w:w="27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7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91" w:right="339" w:bottom="1440" w:gutter="0" w:footer="0" w:header="0"/>
        </w:sectPr>
      </w:pPr>
    </w:p>
    <w:bookmarkStart w:id="28" w:name="page29"/>
    <w:bookmarkEnd w:id="28"/>
    <w:p>
      <w:pPr>
        <w:ind w:left="9420"/>
        <w:spacing w:after="0"/>
        <w:rPr>
          <w:sz w:val="20"/>
          <w:szCs w:val="20"/>
          <w:color w:val="auto"/>
        </w:rPr>
      </w:pPr>
      <w:r>
        <w:rPr>
          <w:rFonts w:ascii="Calibri" w:cs="Calibri" w:eastAsia="Calibri" w:hAnsi="Calibri"/>
          <w:sz w:val="19"/>
          <w:szCs w:val="19"/>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20320</wp:posOffset>
            </wp:positionV>
            <wp:extent cx="592455" cy="7410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2455" cy="741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9"/>
          <w:szCs w:val="19"/>
          <w:b w:val="1"/>
          <w:bCs w:val="1"/>
          <w:color w:val="auto"/>
        </w:rPr>
        <w:t>Amendment Two to the Exclusive Distribution Agreement</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This Amendment Two (this “</w:t>
      </w:r>
      <w:r>
        <w:rPr>
          <w:rFonts w:ascii="Times New Roman" w:cs="Times New Roman" w:eastAsia="Times New Roman" w:hAnsi="Times New Roman"/>
          <w:sz w:val="19"/>
          <w:szCs w:val="19"/>
          <w:b w:val="1"/>
          <w:bCs w:val="1"/>
          <w:color w:val="auto"/>
        </w:rPr>
        <w:t>Amendment Two</w:t>
      </w:r>
      <w:r>
        <w:rPr>
          <w:rFonts w:ascii="Times New Roman" w:cs="Times New Roman" w:eastAsia="Times New Roman" w:hAnsi="Times New Roman"/>
          <w:sz w:val="19"/>
          <w:szCs w:val="19"/>
          <w:color w:val="auto"/>
        </w:rPr>
        <w:t xml:space="preserve">”), is effective as of March 17, 2025 (the </w:t>
      </w:r>
      <w:r>
        <w:rPr>
          <w:rFonts w:ascii="Times New Roman" w:cs="Times New Roman" w:eastAsia="Times New Roman" w:hAnsi="Times New Roman"/>
          <w:sz w:val="19"/>
          <w:szCs w:val="19"/>
          <w:b w:val="1"/>
          <w:bCs w:val="1"/>
          <w:color w:val="auto"/>
        </w:rPr>
        <w:t>“Effective Date</w:t>
      </w:r>
      <w:r>
        <w:rPr>
          <w:rFonts w:ascii="Times New Roman" w:cs="Times New Roman" w:eastAsia="Times New Roman" w:hAnsi="Times New Roman"/>
          <w:sz w:val="19"/>
          <w:szCs w:val="19"/>
          <w:color w:val="auto"/>
        </w:rPr>
        <w:t>”), and amends the Exclusive Distribution Agreement with an Effective Date of January 10, 2024, previously amended on April 30, 2024 (the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by and between AVITA Medical Americas, LLC (“</w:t>
      </w:r>
      <w:r>
        <w:rPr>
          <w:rFonts w:ascii="Times New Roman" w:cs="Times New Roman" w:eastAsia="Times New Roman" w:hAnsi="Times New Roman"/>
          <w:sz w:val="19"/>
          <w:szCs w:val="19"/>
          <w:b w:val="1"/>
          <w:bCs w:val="1"/>
          <w:color w:val="auto"/>
        </w:rPr>
        <w:t>Distributor</w:t>
      </w:r>
      <w:r>
        <w:rPr>
          <w:rFonts w:ascii="Times New Roman" w:cs="Times New Roman" w:eastAsia="Times New Roman" w:hAnsi="Times New Roman"/>
          <w:sz w:val="19"/>
          <w:szCs w:val="19"/>
          <w:color w:val="auto"/>
        </w:rPr>
        <w:t>”) and Stedical Scientific, Inc. (“</w:t>
      </w:r>
      <w:r>
        <w:rPr>
          <w:rFonts w:ascii="Times New Roman" w:cs="Times New Roman" w:eastAsia="Times New Roman" w:hAnsi="Times New Roman"/>
          <w:sz w:val="19"/>
          <w:szCs w:val="19"/>
          <w:b w:val="1"/>
          <w:bCs w:val="1"/>
          <w:color w:val="auto"/>
        </w:rPr>
        <w:t>Seller</w:t>
      </w:r>
      <w:r>
        <w:rPr>
          <w:rFonts w:ascii="Times New Roman" w:cs="Times New Roman" w:eastAsia="Times New Roman" w:hAnsi="Times New Roman"/>
          <w:sz w:val="19"/>
          <w:szCs w:val="19"/>
          <w:color w:val="auto"/>
        </w:rPr>
        <w:t>” or “Stedical”). Distributor and Stedical are referred to herein individually as “Party”, or collectively as “Parties.”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Parties now desire to amend the terms of the Agreement to better align with their ongoing needs.</w:t>
      </w:r>
    </w:p>
    <w:p>
      <w:pPr>
        <w:spacing w:after="0" w:line="20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b w:val="1"/>
          <w:bCs w:val="1"/>
          <w:color w:val="auto"/>
        </w:rPr>
        <w:t>NOW, THEREFORE</w:t>
      </w:r>
      <w:r>
        <w:rPr>
          <w:rFonts w:ascii="Times New Roman" w:cs="Times New Roman" w:eastAsia="Times New Roman" w:hAnsi="Times New Roman"/>
          <w:sz w:val="19"/>
          <w:szCs w:val="19"/>
          <w:color w:val="auto"/>
        </w:rPr>
        <w:t>, in consideration of the mutual covenants contained below, the Parties agree to amend the Agreement 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follows:</w:t>
      </w:r>
    </w:p>
    <w:p>
      <w:pPr>
        <w:spacing w:after="0" w:line="140" w:lineRule="exact"/>
        <w:rPr>
          <w:sz w:val="20"/>
          <w:szCs w:val="20"/>
          <w:color w:val="auto"/>
        </w:rPr>
      </w:pPr>
    </w:p>
    <w:p>
      <w:pPr>
        <w:ind w:left="1160" w:hanging="418"/>
        <w:spacing w:after="0"/>
        <w:tabs>
          <w:tab w:leader="none" w:pos="116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definition of Stedical Scientific, Inc as “(“Seller”)” is revised to “(“Seller” or “Stedical”)”</w:t>
      </w:r>
    </w:p>
    <w:p>
      <w:pPr>
        <w:spacing w:after="0" w:line="216" w:lineRule="exact"/>
        <w:rPr>
          <w:rFonts w:ascii="Times New Roman" w:cs="Times New Roman" w:eastAsia="Times New Roman" w:hAnsi="Times New Roman"/>
          <w:sz w:val="21"/>
          <w:szCs w:val="21"/>
          <w:color w:val="auto"/>
        </w:rPr>
      </w:pPr>
    </w:p>
    <w:p>
      <w:pPr>
        <w:ind w:left="1160" w:hanging="418"/>
        <w:spacing w:after="0"/>
        <w:tabs>
          <w:tab w:leader="none" w:pos="116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first “WHEREAS” clause is deleted in its entirety and replaced with the following:</w:t>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“WHEREAS, Stedical desires to have the Products (as defined in Schedule A) manufactured, distributed, and sold;</w:t>
      </w:r>
    </w:p>
    <w:p>
      <w:pPr>
        <w:spacing w:after="0" w:line="209" w:lineRule="exact"/>
        <w:rPr>
          <w:sz w:val="20"/>
          <w:szCs w:val="20"/>
          <w:color w:val="auto"/>
        </w:rPr>
      </w:pPr>
    </w:p>
    <w:p>
      <w:pPr>
        <w:ind w:left="740" w:firstLine="749"/>
        <w:spacing w:after="0" w:line="276" w:lineRule="auto"/>
        <w:rPr>
          <w:sz w:val="20"/>
          <w:szCs w:val="20"/>
          <w:color w:val="auto"/>
        </w:rPr>
      </w:pPr>
      <w:r>
        <w:rPr>
          <w:rFonts w:ascii="Times New Roman" w:cs="Times New Roman" w:eastAsia="Times New Roman" w:hAnsi="Times New Roman"/>
          <w:sz w:val="19"/>
          <w:szCs w:val="19"/>
          <w:color w:val="auto"/>
        </w:rPr>
        <w:t>WHEREAS, Distributor intends to manufacture the Products under the terms of a separate Manufacturing Agreement with Stedical (the “Manufacturing Agreement”);”</w:t>
      </w:r>
    </w:p>
    <w:p>
      <w:pPr>
        <w:spacing w:after="0" w:line="159" w:lineRule="exact"/>
        <w:rPr>
          <w:sz w:val="20"/>
          <w:szCs w:val="20"/>
          <w:color w:val="auto"/>
        </w:rPr>
      </w:pPr>
    </w:p>
    <w:p>
      <w:pPr>
        <w:ind w:left="1160" w:hanging="418"/>
        <w:spacing w:after="0"/>
        <w:tabs>
          <w:tab w:leader="none" w:pos="116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Section 3.1(l) is deleted in its entirety.</w:t>
      </w:r>
    </w:p>
    <w:p>
      <w:pPr>
        <w:spacing w:after="0" w:line="199" w:lineRule="exact"/>
        <w:rPr>
          <w:rFonts w:ascii="Times New Roman" w:cs="Times New Roman" w:eastAsia="Times New Roman" w:hAnsi="Times New Roman"/>
          <w:sz w:val="21"/>
          <w:szCs w:val="21"/>
          <w:color w:val="auto"/>
        </w:rPr>
      </w:pPr>
    </w:p>
    <w:p>
      <w:pPr>
        <w:ind w:left="1160" w:hanging="418"/>
        <w:spacing w:after="0"/>
        <w:tabs>
          <w:tab w:leader="none" w:pos="116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Section 3.2(h) is deleted in its entirety.</w:t>
      </w:r>
    </w:p>
    <w:p>
      <w:pPr>
        <w:spacing w:after="0" w:line="199" w:lineRule="exact"/>
        <w:rPr>
          <w:rFonts w:ascii="Times New Roman" w:cs="Times New Roman" w:eastAsia="Times New Roman" w:hAnsi="Times New Roman"/>
          <w:sz w:val="21"/>
          <w:szCs w:val="21"/>
          <w:color w:val="auto"/>
        </w:rPr>
      </w:pPr>
    </w:p>
    <w:p>
      <w:pPr>
        <w:ind w:left="1160" w:hanging="418"/>
        <w:spacing w:after="0"/>
        <w:tabs>
          <w:tab w:leader="none" w:pos="116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Section 4 is deleted in its entirety and replaced with the following:</w:t>
      </w: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 xml:space="preserve">“4. </w:t>
      </w:r>
      <w:r>
        <w:rPr>
          <w:rFonts w:ascii="Times New Roman" w:cs="Times New Roman" w:eastAsia="Times New Roman" w:hAnsi="Times New Roman"/>
          <w:sz w:val="19"/>
          <w:szCs w:val="19"/>
          <w:u w:val="single" w:color="auto"/>
          <w:color w:val="auto"/>
        </w:rPr>
        <w:t>Revenue Sharing Arrangement; Milestone Payment Opportunities; Growth Targets</w:t>
      </w:r>
      <w:r>
        <w:rPr>
          <w:rFonts w:ascii="Times New Roman" w:cs="Times New Roman" w:eastAsia="Times New Roman" w:hAnsi="Times New Roman"/>
          <w:sz w:val="19"/>
          <w:szCs w:val="19"/>
          <w:color w:val="auto"/>
        </w:rPr>
        <w:t>.</w:t>
      </w:r>
    </w:p>
    <w:p>
      <w:pPr>
        <w:spacing w:after="0" w:line="196" w:lineRule="exact"/>
        <w:rPr>
          <w:sz w:val="20"/>
          <w:szCs w:val="20"/>
          <w:color w:val="auto"/>
        </w:rPr>
      </w:pPr>
    </w:p>
    <w:p>
      <w:pPr>
        <w:jc w:val="both"/>
        <w:ind w:left="740" w:firstLine="760"/>
        <w:spacing w:after="0" w:line="253" w:lineRule="auto"/>
        <w:rPr>
          <w:sz w:val="20"/>
          <w:szCs w:val="20"/>
          <w:color w:val="auto"/>
        </w:rPr>
      </w:pPr>
      <w:r>
        <w:rPr>
          <w:rFonts w:ascii="Times New Roman" w:cs="Times New Roman" w:eastAsia="Times New Roman" w:hAnsi="Times New Roman"/>
          <w:sz w:val="19"/>
          <w:szCs w:val="19"/>
          <w:color w:val="auto"/>
        </w:rPr>
        <w:t xml:space="preserve">4.1 </w:t>
      </w:r>
      <w:r>
        <w:rPr>
          <w:rFonts w:ascii="Times New Roman" w:cs="Times New Roman" w:eastAsia="Times New Roman" w:hAnsi="Times New Roman"/>
          <w:sz w:val="19"/>
          <w:szCs w:val="19"/>
          <w:u w:val="single" w:color="auto"/>
          <w:color w:val="auto"/>
        </w:rPr>
        <w:t>Revenue Sharing</w:t>
      </w:r>
      <w:r>
        <w:rPr>
          <w:rFonts w:ascii="Times New Roman" w:cs="Times New Roman" w:eastAsia="Times New Roman" w:hAnsi="Times New Roman"/>
          <w:sz w:val="19"/>
          <w:szCs w:val="19"/>
          <w:color w:val="auto"/>
        </w:rPr>
        <w:t>. For all Products sold by Distributor under this Agreement, Distributor shall retain 60% of the revenue from each sale and, in exchange for the Buyer IP License granted in the Manufacturing Agreement (as that term is defined in the Manufacturing Agreement), remit the remaining 40% of revenue to Stedical, less the manufacturing cost and overhead allocation for Seller Distributed Goods (as that term is defined in the Manufacturing Agreement).</w:t>
      </w:r>
    </w:p>
    <w:p>
      <w:pPr>
        <w:spacing w:after="0" w:line="168" w:lineRule="exact"/>
        <w:rPr>
          <w:sz w:val="20"/>
          <w:szCs w:val="20"/>
          <w:color w:val="auto"/>
        </w:rPr>
      </w:pPr>
    </w:p>
    <w:p>
      <w:pPr>
        <w:jc w:val="both"/>
        <w:ind w:left="740" w:firstLine="760"/>
        <w:spacing w:after="0" w:line="276" w:lineRule="auto"/>
        <w:rPr>
          <w:sz w:val="20"/>
          <w:szCs w:val="20"/>
          <w:color w:val="auto"/>
        </w:rPr>
      </w:pPr>
      <w:r>
        <w:rPr>
          <w:rFonts w:ascii="Times New Roman" w:cs="Times New Roman" w:eastAsia="Times New Roman" w:hAnsi="Times New Roman"/>
          <w:sz w:val="19"/>
          <w:szCs w:val="19"/>
          <w:color w:val="auto"/>
        </w:rPr>
        <w:t xml:space="preserve">4.2 </w:t>
      </w:r>
      <w:r>
        <w:rPr>
          <w:rFonts w:ascii="Times New Roman" w:cs="Times New Roman" w:eastAsia="Times New Roman" w:hAnsi="Times New Roman"/>
          <w:sz w:val="19"/>
          <w:szCs w:val="19"/>
          <w:u w:val="single" w:color="auto"/>
          <w:color w:val="auto"/>
        </w:rPr>
        <w:t>Payment Terms</w:t>
      </w:r>
      <w:r>
        <w:rPr>
          <w:rFonts w:ascii="Times New Roman" w:cs="Times New Roman" w:eastAsia="Times New Roman" w:hAnsi="Times New Roman"/>
          <w:sz w:val="19"/>
          <w:szCs w:val="19"/>
          <w:color w:val="auto"/>
        </w:rPr>
        <w:t>. Distributor shall pay all amounts due to Stedical on a monthly basis. Distributor shall make all payments in USD by wire transfer or automated clearing house. Stedical’s bank wire information is provided in Schedule A.</w:t>
      </w:r>
    </w:p>
    <w:p>
      <w:pPr>
        <w:spacing w:after="0" w:line="146" w:lineRule="exact"/>
        <w:rPr>
          <w:sz w:val="20"/>
          <w:szCs w:val="20"/>
          <w:color w:val="auto"/>
        </w:rPr>
      </w:pPr>
    </w:p>
    <w:p>
      <w:pPr>
        <w:jc w:val="both"/>
        <w:ind w:left="740" w:firstLine="760"/>
        <w:spacing w:after="0" w:line="276" w:lineRule="auto"/>
        <w:rPr>
          <w:sz w:val="20"/>
          <w:szCs w:val="20"/>
          <w:color w:val="auto"/>
        </w:rPr>
      </w:pPr>
      <w:r>
        <w:rPr>
          <w:rFonts w:ascii="Times New Roman" w:cs="Times New Roman" w:eastAsia="Times New Roman" w:hAnsi="Times New Roman"/>
          <w:sz w:val="19"/>
          <w:szCs w:val="19"/>
          <w:color w:val="auto"/>
        </w:rPr>
        <w:t xml:space="preserve">4.3 </w:t>
      </w:r>
      <w:r>
        <w:rPr>
          <w:rFonts w:ascii="Times New Roman" w:cs="Times New Roman" w:eastAsia="Times New Roman" w:hAnsi="Times New Roman"/>
          <w:sz w:val="19"/>
          <w:szCs w:val="19"/>
          <w:u w:val="single" w:color="auto"/>
          <w:color w:val="auto"/>
        </w:rPr>
        <w:t>Milestone Payment Opportunities</w:t>
      </w:r>
      <w:r>
        <w:rPr>
          <w:rFonts w:ascii="Times New Roman" w:cs="Times New Roman" w:eastAsia="Times New Roman" w:hAnsi="Times New Roman"/>
          <w:sz w:val="19"/>
          <w:szCs w:val="19"/>
          <w:color w:val="auto"/>
        </w:rPr>
        <w:t>. During the Term and any Renewal Term, Stedical will have the opportunity to earn certain performance-based payments (each a “Milestone Payment”) on following terms and conditions:</w:t>
      </w:r>
    </w:p>
    <w:p>
      <w:pPr>
        <w:spacing w:after="0" w:line="146" w:lineRule="exact"/>
        <w:rPr>
          <w:sz w:val="20"/>
          <w:szCs w:val="20"/>
          <w:color w:val="auto"/>
        </w:rPr>
      </w:pPr>
    </w:p>
    <w:p>
      <w:pPr>
        <w:ind w:left="1380" w:firstLine="752"/>
        <w:spacing w:after="0" w:line="259" w:lineRule="auto"/>
        <w:tabs>
          <w:tab w:leader="none" w:pos="2438"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Distributor achieves total sales of the Products in the Territory greater than $45,000,000, then Distributor shall pay to Stedical a milestone payment of $1,000,000 (equal to 2% of the first $45,000,000 in gross sales of the Products) within ninety days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483235</wp:posOffset>
            </wp:positionV>
            <wp:extent cx="716343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360"/>
          </w:cols>
          <w:pgMar w:left="1200" w:top="550" w:right="339" w:bottom="1440" w:gutter="0" w:footer="0" w:header="0"/>
        </w:sectPr>
      </w:pPr>
    </w:p>
    <w:bookmarkStart w:id="29" w:name="page30"/>
    <w:bookmarkEnd w:id="29"/>
    <w:p>
      <w:pPr>
        <w:spacing w:after="0" w:line="1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6997700</wp:posOffset>
            </wp:positionH>
            <wp:positionV relativeFrom="page">
              <wp:posOffset>368935</wp:posOffset>
            </wp:positionV>
            <wp:extent cx="346075" cy="4279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346075" cy="42799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9"/>
          <w:szCs w:val="19"/>
          <w:color w:val="auto"/>
        </w:rPr>
        <w:t>end of the month in which the achievement is accomplished (the “First Milestone Payment”).</w:t>
      </w:r>
    </w:p>
    <w:p>
      <w:pPr>
        <w:spacing w:after="0" w:line="209" w:lineRule="exact"/>
        <w:rPr>
          <w:sz w:val="20"/>
          <w:szCs w:val="20"/>
          <w:color w:val="auto"/>
        </w:rPr>
      </w:pPr>
    </w:p>
    <w:p>
      <w:pPr>
        <w:ind w:left="1140" w:firstLine="752"/>
        <w:spacing w:after="0" w:line="253" w:lineRule="auto"/>
        <w:tabs>
          <w:tab w:leader="none" w:pos="2209"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Distributor achieves total sales of the Products in the Territory greater than $90,000,000, then Distributor shall pay to Stedical a milestone payment of $1,500,000 (equal to 3% of the second $45,000,000 in gross sales of the Products) within ninety days of the end of the month in which the achievement is accomplished (the “Second Milestone Payment”)</w:t>
      </w:r>
    </w:p>
    <w:p>
      <w:pPr>
        <w:spacing w:after="0" w:line="167" w:lineRule="exact"/>
        <w:rPr>
          <w:rFonts w:ascii="Times New Roman" w:cs="Times New Roman" w:eastAsia="Times New Roman" w:hAnsi="Times New Roman"/>
          <w:sz w:val="19"/>
          <w:szCs w:val="19"/>
          <w:color w:val="auto"/>
        </w:rPr>
      </w:pPr>
    </w:p>
    <w:p>
      <w:pPr>
        <w:jc w:val="both"/>
        <w:ind w:left="1140" w:firstLine="752"/>
        <w:spacing w:after="0" w:line="259" w:lineRule="auto"/>
        <w:tabs>
          <w:tab w:leader="none" w:pos="2166"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Distributor achieves the First and Second Milestone Payments, then Distributor shall pay to Stedical, on a quarterly basis, an additional Milestone Payment equal to 2.5% of all amounts that are paid to Stedical under Section 4.1 of this Agreement after the payment of the First and Second Milestone Payments.”</w:t>
      </w:r>
    </w:p>
    <w:p>
      <w:pPr>
        <w:spacing w:after="0" w:line="161" w:lineRule="exact"/>
        <w:rPr>
          <w:sz w:val="20"/>
          <w:szCs w:val="20"/>
          <w:color w:val="auto"/>
        </w:rPr>
      </w:pPr>
    </w:p>
    <w:p>
      <w:pPr>
        <w:jc w:val="both"/>
        <w:ind w:left="380" w:firstLine="1509"/>
        <w:spacing w:after="0" w:line="245" w:lineRule="auto"/>
        <w:rPr>
          <w:sz w:val="20"/>
          <w:szCs w:val="20"/>
          <w:color w:val="auto"/>
        </w:rPr>
      </w:pPr>
      <w:r>
        <w:rPr>
          <w:rFonts w:ascii="Times New Roman" w:cs="Times New Roman" w:eastAsia="Times New Roman" w:hAnsi="Times New Roman"/>
          <w:sz w:val="19"/>
          <w:szCs w:val="19"/>
          <w:color w:val="auto"/>
        </w:rPr>
        <w:t xml:space="preserve">4.4 </w:t>
      </w:r>
      <w:r>
        <w:rPr>
          <w:rFonts w:ascii="Times New Roman" w:cs="Times New Roman" w:eastAsia="Times New Roman" w:hAnsi="Times New Roman"/>
          <w:sz w:val="19"/>
          <w:szCs w:val="19"/>
          <w:u w:val="single" w:color="auto"/>
          <w:color w:val="auto"/>
        </w:rPr>
        <w:t>Growth Minimums and Goals</w:t>
      </w:r>
      <w:r>
        <w:rPr>
          <w:rFonts w:ascii="Times New Roman" w:cs="Times New Roman" w:eastAsia="Times New Roman" w:hAnsi="Times New Roman"/>
          <w:sz w:val="19"/>
          <w:szCs w:val="19"/>
          <w:color w:val="auto"/>
        </w:rPr>
        <w:t>. Distributor shall commit to certain annual revenue minimums for sale of Products under this Agreement. For 2025, Distributor shall achieve $6,000,000 in gross sales of Products (the “Initial Growth Minimum”). For every year thereafter, Distributor shall achieve a minimum 20% increase in revenue from sale of the Products (“Annual Growth Minimum(s)”). Additionally, and also for every year thereafter, Distributor and Stedical shall negotiate in good faith to agree upon an annual revenue goal for sale of Products under this Agreement that is reasonably tied to Distributor’s annual revenue growth rate, excluding revenue from Products (each, a “Growth Goal”). Distributor may fail to meet a single Initial Growth Minimum or Annual Growth Minimum (each a “Growth Minimum”) without any effect. In the event that Distributor fails to achieve a Growth Minimum for two subsequent years, Distributor shall be able to cure such failure by making a cash payment equal to the difference between the revenue that would have been remitted to Stedical under Section 4.1 if Distributor had achieved such Growth Minimums and the revenue actually remitted to Stedical over that same time period.</w:t>
      </w:r>
    </w:p>
    <w:p>
      <w:pPr>
        <w:spacing w:after="0" w:line="179" w:lineRule="exact"/>
        <w:rPr>
          <w:sz w:val="20"/>
          <w:szCs w:val="20"/>
          <w:color w:val="auto"/>
        </w:rPr>
      </w:pPr>
    </w:p>
    <w:p>
      <w:pPr>
        <w:ind w:left="920" w:hanging="418"/>
        <w:spacing w:after="0"/>
        <w:tabs>
          <w:tab w:leader="none" w:pos="92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Sections 6-7 are each re-titled “RESERVED” and are otherwise deleted in their entirety.</w:t>
      </w:r>
    </w:p>
    <w:p>
      <w:pPr>
        <w:spacing w:after="0" w:line="199" w:lineRule="exact"/>
        <w:rPr>
          <w:rFonts w:ascii="Times New Roman" w:cs="Times New Roman" w:eastAsia="Times New Roman" w:hAnsi="Times New Roman"/>
          <w:sz w:val="21"/>
          <w:szCs w:val="21"/>
          <w:color w:val="auto"/>
        </w:rPr>
      </w:pPr>
    </w:p>
    <w:p>
      <w:pPr>
        <w:ind w:left="920" w:hanging="418"/>
        <w:spacing w:after="0"/>
        <w:tabs>
          <w:tab w:leader="none" w:pos="92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Section 9.1 is deleted in its entirety and replaced with the following:</w:t>
      </w:r>
    </w:p>
    <w:p>
      <w:pPr>
        <w:spacing w:after="0" w:line="186" w:lineRule="exact"/>
        <w:rPr>
          <w:sz w:val="20"/>
          <w:szCs w:val="20"/>
          <w:color w:val="auto"/>
        </w:rPr>
      </w:pPr>
    </w:p>
    <w:p>
      <w:pPr>
        <w:ind w:left="500" w:right="80" w:firstLine="380"/>
        <w:spacing w:after="0" w:line="248" w:lineRule="auto"/>
        <w:rPr>
          <w:sz w:val="20"/>
          <w:szCs w:val="20"/>
          <w:color w:val="auto"/>
        </w:rPr>
      </w:pPr>
      <w:r>
        <w:rPr>
          <w:rFonts w:ascii="Times New Roman" w:cs="Times New Roman" w:eastAsia="Times New Roman" w:hAnsi="Times New Roman"/>
          <w:sz w:val="19"/>
          <w:szCs w:val="19"/>
          <w:color w:val="auto"/>
        </w:rPr>
        <w:t xml:space="preserve">“9.1 </w:t>
      </w:r>
      <w:r>
        <w:rPr>
          <w:rFonts w:ascii="Times New Roman" w:cs="Times New Roman" w:eastAsia="Times New Roman" w:hAnsi="Times New Roman"/>
          <w:sz w:val="19"/>
          <w:szCs w:val="19"/>
          <w:u w:val="single" w:color="auto"/>
          <w:color w:val="auto"/>
        </w:rPr>
        <w:t>Term</w:t>
      </w:r>
      <w:r>
        <w:rPr>
          <w:rFonts w:ascii="Times New Roman" w:cs="Times New Roman" w:eastAsia="Times New Roman" w:hAnsi="Times New Roman"/>
          <w:sz w:val="19"/>
          <w:szCs w:val="19"/>
          <w:color w:val="auto"/>
        </w:rPr>
        <w:t>. The term of this Agreement, as amended, commences on the Effective Date of Amendment Two and terminates on the tenth anniversary of that date, unless terminated earlier under the terms of this Agreement (the "Term"). At least thirty days before the expiration of the Term, the Parties may extend the Term by a mutual written agreement. If Distributor has successfully achieved $90,000,000 in sales in the Territory during the Term, the Agreement shall automatically renew for an additional ten-year period (a “Renewal Term”), unless terminated earlier under the terms of this Agreement.”</w:t>
      </w:r>
    </w:p>
    <w:p>
      <w:pPr>
        <w:spacing w:after="0" w:line="188" w:lineRule="exact"/>
        <w:rPr>
          <w:sz w:val="20"/>
          <w:szCs w:val="20"/>
          <w:color w:val="auto"/>
        </w:rPr>
      </w:pPr>
    </w:p>
    <w:p>
      <w:pPr>
        <w:ind w:left="920" w:hanging="418"/>
        <w:spacing w:after="0"/>
        <w:tabs>
          <w:tab w:leader="none" w:pos="92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Sections 9.3 is deleted in its entirety and replaced with the following:</w:t>
      </w:r>
    </w:p>
    <w:p>
      <w:pPr>
        <w:spacing w:after="0" w:line="18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9"/>
          <w:szCs w:val="19"/>
          <w:color w:val="auto"/>
        </w:rPr>
        <w:t xml:space="preserve">“9.3 </w:t>
      </w:r>
      <w:r>
        <w:rPr>
          <w:rFonts w:ascii="Times New Roman" w:cs="Times New Roman" w:eastAsia="Times New Roman" w:hAnsi="Times New Roman"/>
          <w:sz w:val="19"/>
          <w:szCs w:val="19"/>
          <w:u w:val="single" w:color="auto"/>
          <w:color w:val="auto"/>
        </w:rPr>
        <w:t>Distributor Termination Rights</w:t>
      </w:r>
      <w:r>
        <w:rPr>
          <w:rFonts w:ascii="Times New Roman" w:cs="Times New Roman" w:eastAsia="Times New Roman" w:hAnsi="Times New Roman"/>
          <w:sz w:val="19"/>
          <w:szCs w:val="19"/>
          <w:color w:val="auto"/>
        </w:rPr>
        <w:t>. Distributor may terminate this Agreement by providing written notice to</w:t>
      </w:r>
    </w:p>
    <w:p>
      <w:pPr>
        <w:spacing w:after="0" w:line="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9"/>
          <w:szCs w:val="19"/>
          <w:color w:val="auto"/>
        </w:rPr>
        <w:t>Stedical:</w:t>
      </w:r>
    </w:p>
    <w:p>
      <w:pPr>
        <w:spacing w:after="0" w:line="187" w:lineRule="exact"/>
        <w:rPr>
          <w:sz w:val="20"/>
          <w:szCs w:val="20"/>
          <w:color w:val="auto"/>
        </w:rPr>
      </w:pPr>
    </w:p>
    <w:p>
      <w:pPr>
        <w:ind w:left="500" w:firstLine="752"/>
        <w:spacing w:after="0" w:line="276" w:lineRule="auto"/>
        <w:tabs>
          <w:tab w:leader="none" w:pos="1629" w:val="left"/>
        </w:tabs>
        <w:numPr>
          <w:ilvl w:val="1"/>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after thirty (30) days’ written notice from Distributor and Stedical’s failure to take corrective action, Stedical sells or attempts to sell Products in the Territory;</w:t>
      </w:r>
    </w:p>
    <w:p>
      <w:pPr>
        <w:spacing w:after="0" w:line="145" w:lineRule="exact"/>
        <w:rPr>
          <w:rFonts w:ascii="Times New Roman" w:cs="Times New Roman" w:eastAsia="Times New Roman" w:hAnsi="Times New Roman"/>
          <w:sz w:val="19"/>
          <w:szCs w:val="19"/>
          <w:color w:val="auto"/>
        </w:rPr>
      </w:pPr>
    </w:p>
    <w:p>
      <w:pPr>
        <w:ind w:left="500" w:firstLine="752"/>
        <w:spacing w:after="0" w:line="276" w:lineRule="auto"/>
        <w:tabs>
          <w:tab w:leader="none" w:pos="1629" w:val="left"/>
        </w:tabs>
        <w:numPr>
          <w:ilvl w:val="1"/>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Distributor terminates the Manufacturing Agreement due to Stedical’s or Stedical’s Affiliates’ breach or non-performance thereof;”</w:t>
      </w:r>
    </w:p>
    <w:p>
      <w:pPr>
        <w:spacing w:after="0" w:line="158" w:lineRule="exact"/>
        <w:rPr>
          <w:rFonts w:ascii="Times New Roman" w:cs="Times New Roman" w:eastAsia="Times New Roman" w:hAnsi="Times New Roman"/>
          <w:sz w:val="19"/>
          <w:szCs w:val="19"/>
          <w:color w:val="auto"/>
        </w:rPr>
      </w:pPr>
    </w:p>
    <w:p>
      <w:pPr>
        <w:ind w:left="960" w:hanging="458"/>
        <w:spacing w:after="0"/>
        <w:tabs>
          <w:tab w:leader="none" w:pos="96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Section 9.4 is re-titled “RESERVED” and otherwise deleted in its entirety.</w:t>
      </w:r>
    </w:p>
    <w:p>
      <w:pPr>
        <w:spacing w:after="0" w:line="199" w:lineRule="exact"/>
        <w:rPr>
          <w:rFonts w:ascii="Times New Roman" w:cs="Times New Roman" w:eastAsia="Times New Roman" w:hAnsi="Times New Roman"/>
          <w:sz w:val="21"/>
          <w:szCs w:val="21"/>
          <w:color w:val="auto"/>
        </w:rPr>
      </w:pPr>
    </w:p>
    <w:p>
      <w:pPr>
        <w:ind w:left="920" w:hanging="418"/>
        <w:spacing w:after="0"/>
        <w:tabs>
          <w:tab w:leader="none" w:pos="92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In Section 12.1 the words “the Territory” are deleted and replaced with “any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499110</wp:posOffset>
            </wp:positionV>
            <wp:extent cx="716343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30" w:name="page31"/>
    <w:bookmarkEnd w:id="30"/>
    <w:p>
      <w:pPr>
        <w:spacing w:after="0" w:line="1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6997700</wp:posOffset>
            </wp:positionH>
            <wp:positionV relativeFrom="page">
              <wp:posOffset>368935</wp:posOffset>
            </wp:positionV>
            <wp:extent cx="346075" cy="4279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346075" cy="427990"/>
                    </a:xfrm>
                    <a:prstGeom prst="rect">
                      <a:avLst/>
                    </a:prstGeom>
                    <a:noFill/>
                  </pic:spPr>
                </pic:pic>
              </a:graphicData>
            </a:graphic>
          </wp:anchor>
        </w:drawing>
      </w:r>
    </w:p>
    <w:p>
      <w:pPr>
        <w:ind w:left="880"/>
        <w:spacing w:after="0"/>
        <w:rPr>
          <w:sz w:val="20"/>
          <w:szCs w:val="20"/>
          <w:color w:val="auto"/>
        </w:rPr>
      </w:pPr>
      <w:r>
        <w:rPr>
          <w:rFonts w:ascii="Times New Roman" w:cs="Times New Roman" w:eastAsia="Times New Roman" w:hAnsi="Times New Roman"/>
          <w:sz w:val="19"/>
          <w:szCs w:val="19"/>
          <w:color w:val="auto"/>
        </w:rPr>
        <w:t>Government Entity”</w:t>
      </w:r>
    </w:p>
    <w:p>
      <w:pPr>
        <w:spacing w:after="0" w:line="222" w:lineRule="exact"/>
        <w:rPr>
          <w:sz w:val="20"/>
          <w:szCs w:val="20"/>
          <w:color w:val="auto"/>
        </w:rPr>
      </w:pPr>
    </w:p>
    <w:p>
      <w:pPr>
        <w:ind w:left="2040" w:hanging="418"/>
        <w:spacing w:after="0"/>
        <w:tabs>
          <w:tab w:leader="none" w:pos="204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Section 13 is re-titled “RESERVED” and otherwise deleted in its entirety.</w:t>
      </w:r>
    </w:p>
    <w:p>
      <w:pPr>
        <w:spacing w:after="0" w:line="199" w:lineRule="exact"/>
        <w:rPr>
          <w:rFonts w:ascii="Times New Roman" w:cs="Times New Roman" w:eastAsia="Times New Roman" w:hAnsi="Times New Roman"/>
          <w:sz w:val="21"/>
          <w:szCs w:val="21"/>
          <w:color w:val="auto"/>
        </w:rPr>
      </w:pPr>
    </w:p>
    <w:p>
      <w:pPr>
        <w:ind w:left="2040" w:hanging="418"/>
        <w:spacing w:after="0"/>
        <w:tabs>
          <w:tab w:leader="none" w:pos="204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Section 19 is deleted in its entirety and replaced with the following:</w:t>
      </w:r>
    </w:p>
    <w:p>
      <w:pPr>
        <w:spacing w:after="0" w:line="186" w:lineRule="exact"/>
        <w:rPr>
          <w:sz w:val="20"/>
          <w:szCs w:val="20"/>
          <w:color w:val="auto"/>
        </w:rPr>
      </w:pPr>
    </w:p>
    <w:p>
      <w:pPr>
        <w:jc w:val="both"/>
        <w:ind w:left="1620" w:firstLine="380"/>
        <w:spacing w:after="0" w:line="253" w:lineRule="auto"/>
        <w:rPr>
          <w:sz w:val="20"/>
          <w:szCs w:val="20"/>
          <w:color w:val="auto"/>
        </w:rPr>
      </w:pPr>
      <w:r>
        <w:rPr>
          <w:rFonts w:ascii="Times New Roman" w:cs="Times New Roman" w:eastAsia="Times New Roman" w:hAnsi="Times New Roman"/>
          <w:sz w:val="19"/>
          <w:szCs w:val="19"/>
          <w:color w:val="auto"/>
        </w:rPr>
        <w:t xml:space="preserve">“19. </w:t>
      </w:r>
      <w:r>
        <w:rPr>
          <w:rFonts w:ascii="Times New Roman" w:cs="Times New Roman" w:eastAsia="Times New Roman" w:hAnsi="Times New Roman"/>
          <w:sz w:val="19"/>
          <w:szCs w:val="19"/>
          <w:u w:val="single" w:color="auto"/>
          <w:color w:val="auto"/>
        </w:rPr>
        <w:t>Contingency &amp; Read Together</w:t>
      </w:r>
      <w:r>
        <w:rPr>
          <w:rFonts w:ascii="Times New Roman" w:cs="Times New Roman" w:eastAsia="Times New Roman" w:hAnsi="Times New Roman"/>
          <w:sz w:val="19"/>
          <w:szCs w:val="19"/>
          <w:color w:val="auto"/>
        </w:rPr>
        <w:t>. This Amendment Two is contingent upon the execution and delivery of the Manufacturing Agreement. In the event that the Manufacturing Agreement (attached as Exhibit A) is not signed within two days of the execution of this Amendment Two, this Amendment Two shall be null and void. This Amendment Two shall be read and construed in conjunction with the Agreement, any previous amendments thereto, and the Manufacturing Agreement.</w:t>
      </w:r>
    </w:p>
    <w:p>
      <w:pPr>
        <w:spacing w:after="0" w:line="181" w:lineRule="exact"/>
        <w:rPr>
          <w:sz w:val="20"/>
          <w:szCs w:val="20"/>
          <w:color w:val="auto"/>
        </w:rPr>
      </w:pPr>
    </w:p>
    <w:p>
      <w:pPr>
        <w:ind w:left="2040" w:hanging="418"/>
        <w:spacing w:after="0"/>
        <w:tabs>
          <w:tab w:leader="none" w:pos="204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Schedule A is deleted in its entirety and replaced with the attached Schedule A.</w:t>
      </w:r>
    </w:p>
    <w:p>
      <w:pPr>
        <w:spacing w:after="0" w:line="199" w:lineRule="exact"/>
        <w:rPr>
          <w:rFonts w:ascii="Times New Roman" w:cs="Times New Roman" w:eastAsia="Times New Roman" w:hAnsi="Times New Roman"/>
          <w:sz w:val="21"/>
          <w:szCs w:val="21"/>
          <w:color w:val="auto"/>
        </w:rPr>
      </w:pPr>
    </w:p>
    <w:p>
      <w:pPr>
        <w:ind w:left="2040" w:hanging="418"/>
        <w:spacing w:after="0"/>
        <w:tabs>
          <w:tab w:leader="none" w:pos="204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Schedule B is deleted in its entirety and replaced with the attached Schedule B.</w:t>
      </w:r>
    </w:p>
    <w:p>
      <w:pPr>
        <w:spacing w:after="0" w:line="199" w:lineRule="exact"/>
        <w:rPr>
          <w:rFonts w:ascii="Times New Roman" w:cs="Times New Roman" w:eastAsia="Times New Roman" w:hAnsi="Times New Roman"/>
          <w:sz w:val="21"/>
          <w:szCs w:val="21"/>
          <w:color w:val="auto"/>
        </w:rPr>
      </w:pPr>
    </w:p>
    <w:p>
      <w:pPr>
        <w:ind w:left="840" w:firstLine="782"/>
        <w:spacing w:after="0" w:line="250" w:lineRule="auto"/>
        <w:tabs>
          <w:tab w:leader="none" w:pos="2039"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To the extent any terms of the Agreement conflict with the terms herein, this Amendment Two shall govern. All other terms and conditions of the Agreement will remain unchanged and in full force and effect.</w:t>
      </w:r>
    </w:p>
    <w:p>
      <w:pPr>
        <w:spacing w:after="0" w:line="169" w:lineRule="exact"/>
        <w:rPr>
          <w:rFonts w:ascii="Times New Roman" w:cs="Times New Roman" w:eastAsia="Times New Roman" w:hAnsi="Times New Roman"/>
          <w:sz w:val="21"/>
          <w:szCs w:val="21"/>
          <w:color w:val="auto"/>
        </w:rPr>
      </w:pPr>
    </w:p>
    <w:p>
      <w:pPr>
        <w:jc w:val="both"/>
        <w:ind w:left="880" w:firstLine="742"/>
        <w:spacing w:after="0" w:line="244" w:lineRule="auto"/>
        <w:tabs>
          <w:tab w:leader="none" w:pos="2049"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This Amendment Two may be executed in any number of counterparts, each of which shall be deemed an original, and all of which shall together constitute one and the same instrument. To the maximum extent permitted by law or any applicable governmental authority, any document may be signed and transmitted by PDF or facsimile with the same validity as if it were an ink-signed document.</w:t>
      </w:r>
    </w:p>
    <w:p>
      <w:pPr>
        <w:spacing w:after="0" w:line="188" w:lineRule="exact"/>
        <w:rPr>
          <w:sz w:val="20"/>
          <w:szCs w:val="20"/>
          <w:color w:val="auto"/>
        </w:rPr>
      </w:pPr>
    </w:p>
    <w:p>
      <w:pPr>
        <w:ind w:left="880"/>
        <w:spacing w:after="0" w:line="278" w:lineRule="auto"/>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have caused this Amendment Two to be executed by their duly authorized officers as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Effective Date.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920" w:type="dxa"/>
            <w:vAlign w:val="bottom"/>
          </w:tcPr>
          <w:p>
            <w:pPr>
              <w:ind w:left="960"/>
              <w:spacing w:after="0"/>
              <w:rPr>
                <w:sz w:val="20"/>
                <w:szCs w:val="20"/>
                <w:color w:val="auto"/>
              </w:rPr>
            </w:pPr>
            <w:r>
              <w:rPr>
                <w:rFonts w:ascii="Times New Roman" w:cs="Times New Roman" w:eastAsia="Times New Roman" w:hAnsi="Times New Roman"/>
                <w:sz w:val="19"/>
                <w:szCs w:val="19"/>
                <w:b w:val="1"/>
                <w:bCs w:val="1"/>
                <w:color w:val="auto"/>
              </w:rPr>
              <w:t>AVITA Medical Americas, LLC</w:t>
            </w:r>
          </w:p>
        </w:tc>
        <w:tc>
          <w:tcPr>
            <w:tcW w:w="6320" w:type="dxa"/>
            <w:vAlign w:val="bottom"/>
          </w:tcPr>
          <w:p>
            <w:pPr>
              <w:ind w:left="1340"/>
              <w:spacing w:after="0"/>
              <w:rPr>
                <w:sz w:val="20"/>
                <w:szCs w:val="20"/>
                <w:color w:val="auto"/>
              </w:rPr>
            </w:pPr>
            <w:r>
              <w:rPr>
                <w:rFonts w:ascii="Times New Roman" w:cs="Times New Roman" w:eastAsia="Times New Roman" w:hAnsi="Times New Roman"/>
                <w:sz w:val="19"/>
                <w:szCs w:val="19"/>
                <w:b w:val="1"/>
                <w:bCs w:val="1"/>
                <w:color w:val="auto"/>
              </w:rPr>
              <w:t>Stedical Scientific, Inc.</w:t>
            </w:r>
          </w:p>
        </w:tc>
      </w:tr>
      <w:tr>
        <w:trPr>
          <w:trHeight w:val="389"/>
        </w:trPr>
        <w:tc>
          <w:tcPr>
            <w:tcW w:w="4920" w:type="dxa"/>
            <w:vAlign w:val="bottom"/>
          </w:tcPr>
          <w:p>
            <w:pPr>
              <w:ind w:left="960"/>
              <w:spacing w:after="0"/>
              <w:rPr>
                <w:sz w:val="20"/>
                <w:szCs w:val="20"/>
                <w:color w:val="auto"/>
              </w:rPr>
            </w:pPr>
            <w:r>
              <w:rPr>
                <w:rFonts w:ascii="Times New Roman" w:cs="Times New Roman" w:eastAsia="Times New Roman" w:hAnsi="Times New Roman"/>
                <w:sz w:val="19"/>
                <w:szCs w:val="19"/>
                <w:color w:val="auto"/>
              </w:rPr>
              <w:t>By:</w:t>
            </w:r>
          </w:p>
        </w:tc>
        <w:tc>
          <w:tcPr>
            <w:tcW w:w="6320" w:type="dxa"/>
            <w:vAlign w:val="bottom"/>
          </w:tcPr>
          <w:p>
            <w:pPr>
              <w:ind w:left="1340"/>
              <w:spacing w:after="0"/>
              <w:rPr>
                <w:sz w:val="20"/>
                <w:szCs w:val="20"/>
                <w:color w:val="auto"/>
              </w:rPr>
            </w:pPr>
            <w:r>
              <w:rPr>
                <w:rFonts w:ascii="Times New Roman" w:cs="Times New Roman" w:eastAsia="Times New Roman" w:hAnsi="Times New Roman"/>
                <w:sz w:val="19"/>
                <w:szCs w:val="19"/>
                <w:color w:val="auto"/>
              </w:rPr>
              <w:t>By:</w:t>
            </w:r>
          </w:p>
        </w:tc>
      </w:tr>
      <w:tr>
        <w:trPr>
          <w:trHeight w:val="389"/>
        </w:trPr>
        <w:tc>
          <w:tcPr>
            <w:tcW w:w="4920" w:type="dxa"/>
            <w:vAlign w:val="bottom"/>
          </w:tcPr>
          <w:p>
            <w:pPr>
              <w:ind w:left="960"/>
              <w:spacing w:after="0"/>
              <w:rPr>
                <w:sz w:val="20"/>
                <w:szCs w:val="20"/>
                <w:color w:val="auto"/>
              </w:rPr>
            </w:pPr>
            <w:r>
              <w:rPr>
                <w:rFonts w:ascii="Times New Roman" w:cs="Times New Roman" w:eastAsia="Times New Roman" w:hAnsi="Times New Roman"/>
                <w:sz w:val="19"/>
                <w:szCs w:val="19"/>
                <w:color w:val="auto"/>
              </w:rPr>
              <w:t>Name: Jim Corbett</w:t>
            </w:r>
          </w:p>
        </w:tc>
        <w:tc>
          <w:tcPr>
            <w:tcW w:w="6320" w:type="dxa"/>
            <w:vAlign w:val="bottom"/>
          </w:tcPr>
          <w:p>
            <w:pPr>
              <w:ind w:left="1340"/>
              <w:spacing w:after="0"/>
              <w:rPr>
                <w:sz w:val="20"/>
                <w:szCs w:val="20"/>
                <w:color w:val="auto"/>
              </w:rPr>
            </w:pPr>
            <w:r>
              <w:rPr>
                <w:rFonts w:ascii="Times New Roman" w:cs="Times New Roman" w:eastAsia="Times New Roman" w:hAnsi="Times New Roman"/>
                <w:sz w:val="19"/>
                <w:szCs w:val="19"/>
                <w:color w:val="auto"/>
              </w:rPr>
              <w:t>Name: Lin Sun</w:t>
            </w:r>
          </w:p>
        </w:tc>
      </w:tr>
      <w:tr>
        <w:trPr>
          <w:trHeight w:val="467"/>
        </w:trPr>
        <w:tc>
          <w:tcPr>
            <w:tcW w:w="4920" w:type="dxa"/>
            <w:vAlign w:val="bottom"/>
          </w:tcPr>
          <w:p>
            <w:pPr>
              <w:ind w:left="960"/>
              <w:spacing w:after="0"/>
              <w:rPr>
                <w:sz w:val="20"/>
                <w:szCs w:val="20"/>
                <w:color w:val="auto"/>
              </w:rPr>
            </w:pPr>
            <w:r>
              <w:rPr>
                <w:rFonts w:ascii="Times New Roman" w:cs="Times New Roman" w:eastAsia="Times New Roman" w:hAnsi="Times New Roman"/>
                <w:sz w:val="19"/>
                <w:szCs w:val="19"/>
                <w:color w:val="auto"/>
              </w:rPr>
              <w:t>Title: CEO</w:t>
            </w:r>
          </w:p>
        </w:tc>
        <w:tc>
          <w:tcPr>
            <w:tcW w:w="6320" w:type="dxa"/>
            <w:vAlign w:val="bottom"/>
          </w:tcPr>
          <w:p>
            <w:pPr>
              <w:ind w:left="1340"/>
              <w:spacing w:after="0"/>
              <w:rPr>
                <w:sz w:val="20"/>
                <w:szCs w:val="20"/>
                <w:color w:val="auto"/>
              </w:rPr>
            </w:pPr>
            <w:r>
              <w:rPr>
                <w:rFonts w:ascii="Times New Roman" w:cs="Times New Roman" w:eastAsia="Times New Roman" w:hAnsi="Times New Roman"/>
                <w:sz w:val="19"/>
                <w:szCs w:val="19"/>
                <w:color w:val="auto"/>
              </w:rPr>
              <w:t>Title: Chairman</w:t>
            </w:r>
          </w:p>
        </w:tc>
      </w:tr>
      <w:tr>
        <w:trPr>
          <w:trHeight w:val="467"/>
        </w:trPr>
        <w:tc>
          <w:tcPr>
            <w:tcW w:w="4920" w:type="dxa"/>
            <w:vAlign w:val="bottom"/>
          </w:tcPr>
          <w:p>
            <w:pPr>
              <w:ind w:left="960"/>
              <w:spacing w:after="0"/>
              <w:rPr>
                <w:sz w:val="20"/>
                <w:szCs w:val="20"/>
                <w:color w:val="auto"/>
              </w:rPr>
            </w:pPr>
            <w:r>
              <w:rPr>
                <w:rFonts w:ascii="Times New Roman" w:cs="Times New Roman" w:eastAsia="Times New Roman" w:hAnsi="Times New Roman"/>
                <w:sz w:val="19"/>
                <w:szCs w:val="19"/>
                <w:color w:val="auto"/>
              </w:rPr>
              <w:t>Date:</w:t>
            </w:r>
          </w:p>
        </w:tc>
        <w:tc>
          <w:tcPr>
            <w:tcW w:w="6320" w:type="dxa"/>
            <w:vAlign w:val="bottom"/>
          </w:tcPr>
          <w:p>
            <w:pPr>
              <w:ind w:left="1340"/>
              <w:spacing w:after="0"/>
              <w:rPr>
                <w:sz w:val="20"/>
                <w:szCs w:val="20"/>
                <w:color w:val="auto"/>
              </w:rPr>
            </w:pPr>
            <w:r>
              <w:rPr>
                <w:rFonts w:ascii="Times New Roman" w:cs="Times New Roman" w:eastAsia="Times New Roman" w:hAnsi="Times New Roman"/>
                <w:sz w:val="19"/>
                <w:szCs w:val="19"/>
                <w:color w:val="auto"/>
              </w:rPr>
              <w:t>Date:</w:t>
            </w:r>
          </w:p>
        </w:tc>
      </w:tr>
      <w:tr>
        <w:trPr>
          <w:trHeight w:val="3461"/>
        </w:trPr>
        <w:tc>
          <w:tcPr>
            <w:tcW w:w="4920" w:type="dxa"/>
            <w:vAlign w:val="bottom"/>
            <w:tcBorders>
              <w:bottom w:val="single" w:sz="8" w:color="9A9A9A"/>
            </w:tcBorders>
          </w:tcPr>
          <w:p>
            <w:pPr>
              <w:spacing w:after="0"/>
              <w:rPr>
                <w:sz w:val="24"/>
                <w:szCs w:val="24"/>
                <w:color w:val="auto"/>
              </w:rPr>
            </w:pPr>
          </w:p>
        </w:tc>
        <w:tc>
          <w:tcPr>
            <w:tcW w:w="6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9"/>
          <w:szCs w:val="19"/>
          <w:b w:val="1"/>
          <w:bCs w:val="1"/>
          <w:u w:val="single" w:color="auto"/>
          <w:color w:val="auto"/>
        </w:rPr>
        <w:drawing>
          <wp:anchor simplePos="0" relativeHeight="251657728" behindDoc="1" locked="0" layoutInCell="0" allowOverlap="1">
            <wp:simplePos x="0" y="0"/>
            <wp:positionH relativeFrom="page">
              <wp:posOffset>6997700</wp:posOffset>
            </wp:positionH>
            <wp:positionV relativeFrom="page">
              <wp:posOffset>368935</wp:posOffset>
            </wp:positionV>
            <wp:extent cx="346075" cy="4279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346075" cy="427990"/>
                    </a:xfrm>
                    <a:prstGeom prst="rect">
                      <a:avLst/>
                    </a:prstGeom>
                    <a:noFill/>
                  </pic:spPr>
                </pic:pic>
              </a:graphicData>
            </a:graphic>
          </wp:anchor>
        </w:drawing>
        <w:t>Schedule A</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Products</w:t>
      </w:r>
    </w:p>
    <w:p>
      <w:pPr>
        <w:spacing w:after="0" w:line="106" w:lineRule="exact"/>
        <w:rPr>
          <w:sz w:val="20"/>
          <w:szCs w:val="20"/>
          <w:color w:val="auto"/>
        </w:rPr>
      </w:pPr>
    </w:p>
    <w:p>
      <w:pPr>
        <w:jc w:val="both"/>
        <w:ind w:left="760" w:hanging="382"/>
        <w:spacing w:after="0" w:line="259" w:lineRule="auto"/>
        <w:tabs>
          <w:tab w:leader="none" w:pos="760"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“Products” or “Products” means all models of </w:t>
      </w:r>
      <w:r>
        <w:rPr>
          <w:rFonts w:ascii="Times New Roman" w:cs="Times New Roman" w:eastAsia="Times New Roman" w:hAnsi="Times New Roman"/>
          <w:sz w:val="19"/>
          <w:szCs w:val="19"/>
          <w:color w:val="231F20"/>
        </w:rPr>
        <w:t>Stedical’s variable porosity dressing products with the trade name PermeaDerm</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231F20"/>
        </w:rPr>
        <w:t xml:space="preserve">Biosynthetic Wound Matrix </w:t>
      </w:r>
      <w:r>
        <w:rPr>
          <w:rFonts w:ascii="Times New Roman" w:cs="Times New Roman" w:eastAsia="Times New Roman" w:hAnsi="Times New Roman"/>
          <w:sz w:val="19"/>
          <w:szCs w:val="19"/>
          <w:color w:val="000000"/>
        </w:rPr>
        <w:t>and any new releases, enhancements or modifications thereof as agreed by Distributor and Stedical from</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color w:val="000000"/>
        </w:rPr>
        <w:t>time to time.</w:t>
      </w:r>
    </w:p>
    <w:p>
      <w:pPr>
        <w:spacing w:after="0" w:line="58" w:lineRule="exact"/>
        <w:rPr>
          <w:sz w:val="20"/>
          <w:szCs w:val="20"/>
          <w:color w:val="auto"/>
        </w:rPr>
      </w:pPr>
    </w:p>
    <w:p>
      <w:pPr>
        <w:ind w:left="800" w:hanging="422"/>
        <w:spacing w:after="0"/>
        <w:tabs>
          <w:tab w:leader="none" w:pos="800"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[SELLER BANKING INFORMATION]</w:t>
      </w:r>
    </w:p>
    <w:p>
      <w:pPr>
        <w:spacing w:after="0" w:line="21" w:lineRule="exact"/>
        <w:rPr>
          <w:sz w:val="20"/>
          <w:szCs w:val="20"/>
          <w:color w:val="auto"/>
        </w:rPr>
      </w:pPr>
    </w:p>
    <w:tbl>
      <w:tblPr>
        <w:tblLayout w:type="fixed"/>
        <w:tblInd w:w="770" w:type="dxa"/>
        <w:tblCellMar>
          <w:top w:w="0" w:type="dxa"/>
          <w:left w:w="0" w:type="dxa"/>
          <w:bottom w:w="0" w:type="dxa"/>
          <w:right w:w="0" w:type="dxa"/>
        </w:tblCellMar>
      </w:tblPr>
      <w:tr>
        <w:trPr>
          <w:trHeight w:val="317"/>
        </w:trPr>
        <w:tc>
          <w:tcPr>
            <w:tcW w:w="468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Beneficiary Name</w:t>
            </w:r>
          </w:p>
        </w:tc>
        <w:tc>
          <w:tcPr>
            <w:tcW w:w="464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Stedical Scientific, Inc.</w:t>
            </w:r>
          </w:p>
        </w:tc>
      </w:tr>
      <w:tr>
        <w:trPr>
          <w:trHeight w:val="321"/>
        </w:trPr>
        <w:tc>
          <w:tcPr>
            <w:tcW w:w="46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Account Number</w:t>
            </w:r>
          </w:p>
        </w:tc>
        <w:tc>
          <w:tcPr>
            <w:tcW w:w="4640" w:type="dxa"/>
            <w:vAlign w:val="bottom"/>
            <w:tcBorders>
              <w:bottom w:val="single" w:sz="8" w:color="auto"/>
              <w:right w:val="single" w:sz="8" w:color="auto"/>
            </w:tcBorders>
          </w:tcPr>
          <w:p>
            <w:pPr>
              <w:spacing w:after="0"/>
              <w:rPr>
                <w:sz w:val="24"/>
                <w:szCs w:val="24"/>
                <w:color w:val="auto"/>
              </w:rPr>
            </w:pPr>
          </w:p>
        </w:tc>
      </w:tr>
      <w:tr>
        <w:trPr>
          <w:trHeight w:val="323"/>
        </w:trPr>
        <w:tc>
          <w:tcPr>
            <w:tcW w:w="46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Beneficiary Address</w:t>
            </w:r>
          </w:p>
        </w:tc>
        <w:tc>
          <w:tcPr>
            <w:tcW w:w="4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2888 Loker Ave E STE 319,</w:t>
            </w:r>
          </w:p>
        </w:tc>
      </w:tr>
      <w:tr>
        <w:trPr>
          <w:trHeight w:val="318"/>
        </w:trPr>
        <w:tc>
          <w:tcPr>
            <w:tcW w:w="4680" w:type="dxa"/>
            <w:vAlign w:val="bottom"/>
            <w:tcBorders>
              <w:left w:val="single" w:sz="8" w:color="auto"/>
              <w:bottom w:val="single" w:sz="8" w:color="auto"/>
              <w:right w:val="single" w:sz="8" w:color="auto"/>
            </w:tcBorders>
          </w:tcPr>
          <w:p>
            <w:pPr>
              <w:spacing w:after="0"/>
              <w:rPr>
                <w:sz w:val="24"/>
                <w:szCs w:val="24"/>
                <w:color w:val="auto"/>
              </w:rPr>
            </w:pPr>
          </w:p>
        </w:tc>
        <w:tc>
          <w:tcPr>
            <w:tcW w:w="46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Carlsbad, CA 92010, USA</w:t>
            </w:r>
          </w:p>
        </w:tc>
      </w:tr>
      <w:tr>
        <w:trPr>
          <w:trHeight w:val="317"/>
        </w:trPr>
        <w:tc>
          <w:tcPr>
            <w:tcW w:w="46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SWIFT CODE</w:t>
            </w:r>
          </w:p>
        </w:tc>
        <w:tc>
          <w:tcPr>
            <w:tcW w:w="4640" w:type="dxa"/>
            <w:vAlign w:val="bottom"/>
            <w:tcBorders>
              <w:bottom w:val="single" w:sz="8" w:color="auto"/>
              <w:right w:val="single" w:sz="8" w:color="auto"/>
            </w:tcBorders>
          </w:tcPr>
          <w:p>
            <w:pPr>
              <w:spacing w:after="0"/>
              <w:rPr>
                <w:sz w:val="24"/>
                <w:szCs w:val="24"/>
                <w:color w:val="auto"/>
              </w:rPr>
            </w:pPr>
          </w:p>
        </w:tc>
      </w:tr>
      <w:tr>
        <w:trPr>
          <w:trHeight w:val="317"/>
        </w:trPr>
        <w:tc>
          <w:tcPr>
            <w:tcW w:w="4680" w:type="dxa"/>
            <w:vAlign w:val="bottom"/>
            <w:tcBorders>
              <w:left w:val="single" w:sz="8" w:color="auto"/>
              <w:bottom w:val="single" w:sz="8" w:color="auto"/>
              <w:right w:val="single" w:sz="8" w:color="auto"/>
            </w:tcBorders>
          </w:tcPr>
          <w:p>
            <w:pPr>
              <w:spacing w:after="0"/>
              <w:rPr>
                <w:sz w:val="24"/>
                <w:szCs w:val="24"/>
                <w:color w:val="auto"/>
              </w:rPr>
            </w:pPr>
          </w:p>
        </w:tc>
        <w:tc>
          <w:tcPr>
            <w:tcW w:w="4640" w:type="dxa"/>
            <w:vAlign w:val="bottom"/>
            <w:tcBorders>
              <w:bottom w:val="single" w:sz="8" w:color="auto"/>
              <w:right w:val="single" w:sz="8" w:color="auto"/>
            </w:tcBorders>
          </w:tcPr>
          <w:p>
            <w:pPr>
              <w:spacing w:after="0"/>
              <w:rPr>
                <w:sz w:val="24"/>
                <w:szCs w:val="24"/>
                <w:color w:val="auto"/>
              </w:rPr>
            </w:pPr>
          </w:p>
        </w:tc>
      </w:tr>
      <w:tr>
        <w:trPr>
          <w:trHeight w:val="317"/>
        </w:trPr>
        <w:tc>
          <w:tcPr>
            <w:tcW w:w="46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ACH Routing Number</w:t>
            </w:r>
          </w:p>
        </w:tc>
        <w:tc>
          <w:tcPr>
            <w:tcW w:w="4640" w:type="dxa"/>
            <w:vAlign w:val="bottom"/>
            <w:tcBorders>
              <w:bottom w:val="single" w:sz="8" w:color="auto"/>
              <w:right w:val="single" w:sz="8" w:color="auto"/>
            </w:tcBorders>
          </w:tcPr>
          <w:p>
            <w:pPr>
              <w:spacing w:after="0"/>
              <w:rPr>
                <w:sz w:val="24"/>
                <w:szCs w:val="24"/>
                <w:color w:val="auto"/>
              </w:rPr>
            </w:pPr>
          </w:p>
        </w:tc>
      </w:tr>
      <w:tr>
        <w:trPr>
          <w:trHeight w:val="317"/>
        </w:trPr>
        <w:tc>
          <w:tcPr>
            <w:tcW w:w="46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ABA Routing Number</w:t>
            </w:r>
          </w:p>
        </w:tc>
        <w:tc>
          <w:tcPr>
            <w:tcW w:w="4640" w:type="dxa"/>
            <w:vAlign w:val="bottom"/>
            <w:tcBorders>
              <w:bottom w:val="single" w:sz="8" w:color="auto"/>
              <w:right w:val="single" w:sz="8" w:color="auto"/>
            </w:tcBorders>
          </w:tcPr>
          <w:p>
            <w:pPr>
              <w:spacing w:after="0"/>
              <w:rPr>
                <w:sz w:val="24"/>
                <w:szCs w:val="24"/>
                <w:color w:val="auto"/>
              </w:rPr>
            </w:pPr>
          </w:p>
        </w:tc>
      </w:tr>
      <w:tr>
        <w:trPr>
          <w:trHeight w:val="317"/>
        </w:trPr>
        <w:tc>
          <w:tcPr>
            <w:tcW w:w="46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Receiving Bank Name</w:t>
            </w:r>
          </w:p>
        </w:tc>
        <w:tc>
          <w:tcPr>
            <w:tcW w:w="46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Bank of America, N.A.</w:t>
            </w:r>
          </w:p>
        </w:tc>
      </w:tr>
      <w:tr>
        <w:trPr>
          <w:trHeight w:val="294"/>
        </w:trPr>
        <w:tc>
          <w:tcPr>
            <w:tcW w:w="46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Receiving Bank Address</w:t>
            </w:r>
          </w:p>
        </w:tc>
        <w:tc>
          <w:tcPr>
            <w:tcW w:w="4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Bank of America, N.A., 222 Broadway, New York, NY</w:t>
            </w:r>
          </w:p>
        </w:tc>
      </w:tr>
      <w:tr>
        <w:trPr>
          <w:trHeight w:val="249"/>
        </w:trPr>
        <w:tc>
          <w:tcPr>
            <w:tcW w:w="4680" w:type="dxa"/>
            <w:vAlign w:val="bottom"/>
            <w:tcBorders>
              <w:left w:val="single" w:sz="8" w:color="auto"/>
              <w:right w:val="single" w:sz="8" w:color="auto"/>
            </w:tcBorders>
          </w:tcPr>
          <w:p>
            <w:pPr>
              <w:spacing w:after="0"/>
              <w:rPr>
                <w:sz w:val="21"/>
                <w:szCs w:val="21"/>
                <w:color w:val="auto"/>
              </w:rPr>
            </w:pPr>
          </w:p>
        </w:tc>
        <w:tc>
          <w:tcPr>
            <w:tcW w:w="4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10038 (U.S. dollars)</w:t>
            </w:r>
          </w:p>
        </w:tc>
      </w:tr>
      <w:tr>
        <w:trPr>
          <w:trHeight w:val="295"/>
        </w:trPr>
        <w:tc>
          <w:tcPr>
            <w:tcW w:w="4680" w:type="dxa"/>
            <w:vAlign w:val="bottom"/>
            <w:tcBorders>
              <w:left w:val="single" w:sz="8" w:color="auto"/>
              <w:right w:val="single" w:sz="8" w:color="auto"/>
            </w:tcBorders>
          </w:tcPr>
          <w:p>
            <w:pPr>
              <w:spacing w:after="0"/>
              <w:rPr>
                <w:sz w:val="24"/>
                <w:szCs w:val="24"/>
                <w:color w:val="auto"/>
              </w:rPr>
            </w:pPr>
          </w:p>
        </w:tc>
        <w:tc>
          <w:tcPr>
            <w:tcW w:w="46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Bank of America, N.A., 555 California St, San Francisco,</w:t>
            </w:r>
          </w:p>
        </w:tc>
      </w:tr>
      <w:tr>
        <w:trPr>
          <w:trHeight w:val="243"/>
        </w:trPr>
        <w:tc>
          <w:tcPr>
            <w:tcW w:w="4680" w:type="dxa"/>
            <w:vAlign w:val="bottom"/>
            <w:tcBorders>
              <w:left w:val="single" w:sz="8" w:color="auto"/>
              <w:bottom w:val="single" w:sz="8" w:color="auto"/>
              <w:right w:val="single" w:sz="8" w:color="auto"/>
            </w:tcBorders>
          </w:tcPr>
          <w:p>
            <w:pPr>
              <w:spacing w:after="0"/>
              <w:rPr>
                <w:sz w:val="21"/>
                <w:szCs w:val="21"/>
                <w:color w:val="auto"/>
              </w:rPr>
            </w:pPr>
          </w:p>
        </w:tc>
        <w:tc>
          <w:tcPr>
            <w:tcW w:w="46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CA 94104 (Foreign currency)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3848735</wp:posOffset>
            </wp:positionV>
            <wp:extent cx="716343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32" w:name="page33"/>
    <w:bookmarkEnd w:id="32"/>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6997700</wp:posOffset>
            </wp:positionH>
            <wp:positionV relativeFrom="page">
              <wp:posOffset>368935</wp:posOffset>
            </wp:positionV>
            <wp:extent cx="346075" cy="4279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346075" cy="4279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Schedule B</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Monthly Reporting Parameters</w:t>
      </w:r>
    </w:p>
    <w:p>
      <w:pPr>
        <w:spacing w:after="0" w:line="108"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9"/>
          <w:szCs w:val="19"/>
          <w:color w:val="auto"/>
        </w:rPr>
        <w:t>Distributor shall provide to Stedical, beginning on the tenth business day after the one-month anniversary of the Effective Date, monthly reports that provide the following information from the previous calendar month:</w:t>
      </w:r>
    </w:p>
    <w:p>
      <w:pPr>
        <w:spacing w:after="0" w:line="379" w:lineRule="exact"/>
        <w:rPr>
          <w:sz w:val="20"/>
          <w:szCs w:val="20"/>
          <w:color w:val="auto"/>
        </w:rPr>
      </w:pPr>
    </w:p>
    <w:p>
      <w:pPr>
        <w:ind w:left="760" w:hanging="382"/>
        <w:spacing w:after="0"/>
        <w:tabs>
          <w:tab w:leader="none" w:pos="76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Summary report of all customer complaints reported in accordance with Section 5;</w:t>
      </w:r>
    </w:p>
    <w:p>
      <w:pPr>
        <w:spacing w:after="0" w:line="95" w:lineRule="exact"/>
        <w:rPr>
          <w:rFonts w:ascii="Times New Roman" w:cs="Times New Roman" w:eastAsia="Times New Roman" w:hAnsi="Times New Roman"/>
          <w:sz w:val="21"/>
          <w:szCs w:val="21"/>
          <w:color w:val="auto"/>
        </w:rPr>
      </w:pPr>
    </w:p>
    <w:p>
      <w:pPr>
        <w:ind w:left="760" w:hanging="382"/>
        <w:spacing w:after="0"/>
        <w:tabs>
          <w:tab w:leader="none" w:pos="76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Number of Products sold, by Products name;</w:t>
      </w:r>
    </w:p>
    <w:p>
      <w:pPr>
        <w:spacing w:after="0" w:line="95" w:lineRule="exact"/>
        <w:rPr>
          <w:rFonts w:ascii="Times New Roman" w:cs="Times New Roman" w:eastAsia="Times New Roman" w:hAnsi="Times New Roman"/>
          <w:sz w:val="21"/>
          <w:szCs w:val="21"/>
          <w:color w:val="auto"/>
        </w:rPr>
      </w:pPr>
    </w:p>
    <w:p>
      <w:pPr>
        <w:ind w:left="760" w:hanging="382"/>
        <w:spacing w:after="0"/>
        <w:tabs>
          <w:tab w:leader="none" w:pos="76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Sale price of Products on both a monthly and quarterly basis, by Products name;</w:t>
      </w:r>
    </w:p>
    <w:p>
      <w:pPr>
        <w:spacing w:after="0" w:line="78" w:lineRule="exact"/>
        <w:rPr>
          <w:rFonts w:ascii="Times New Roman" w:cs="Times New Roman" w:eastAsia="Times New Roman" w:hAnsi="Times New Roman"/>
          <w:sz w:val="21"/>
          <w:szCs w:val="21"/>
          <w:color w:val="auto"/>
        </w:rPr>
      </w:pPr>
    </w:p>
    <w:p>
      <w:pPr>
        <w:ind w:left="760" w:hanging="382"/>
        <w:spacing w:after="0"/>
        <w:tabs>
          <w:tab w:leader="none" w:pos="76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hospitals purchasing;</w:t>
      </w:r>
    </w:p>
    <w:p>
      <w:pPr>
        <w:spacing w:after="0" w:line="95" w:lineRule="exact"/>
        <w:rPr>
          <w:rFonts w:ascii="Times New Roman" w:cs="Times New Roman" w:eastAsia="Times New Roman" w:hAnsi="Times New Roman"/>
          <w:sz w:val="21"/>
          <w:szCs w:val="21"/>
          <w:color w:val="auto"/>
        </w:rPr>
      </w:pPr>
    </w:p>
    <w:p>
      <w:pPr>
        <w:ind w:left="760" w:hanging="382"/>
        <w:spacing w:after="0"/>
        <w:tabs>
          <w:tab w:leader="none" w:pos="76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new customers;</w:t>
      </w:r>
    </w:p>
    <w:p>
      <w:pPr>
        <w:spacing w:after="0" w:line="95" w:lineRule="exact"/>
        <w:rPr>
          <w:rFonts w:ascii="Times New Roman" w:cs="Times New Roman" w:eastAsia="Times New Roman" w:hAnsi="Times New Roman"/>
          <w:sz w:val="21"/>
          <w:szCs w:val="21"/>
          <w:color w:val="auto"/>
        </w:rPr>
      </w:pPr>
    </w:p>
    <w:p>
      <w:pPr>
        <w:ind w:left="760" w:right="3180" w:hanging="382"/>
        <w:spacing w:after="0" w:line="335" w:lineRule="auto"/>
        <w:tabs>
          <w:tab w:leader="none" w:pos="76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patients treated, by indication; (using reasonable commercial efforts to reach a realistic estimate)</w:t>
      </w:r>
    </w:p>
    <w:p>
      <w:pPr>
        <w:ind w:left="760" w:hanging="382"/>
        <w:spacing w:after="0"/>
        <w:tabs>
          <w:tab w:leader="none" w:pos="76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Market intelligence of competitive activity;</w:t>
      </w:r>
    </w:p>
    <w:p>
      <w:pPr>
        <w:spacing w:after="0" w:line="95" w:lineRule="exact"/>
        <w:rPr>
          <w:rFonts w:ascii="Times New Roman" w:cs="Times New Roman" w:eastAsia="Times New Roman" w:hAnsi="Times New Roman"/>
          <w:sz w:val="21"/>
          <w:szCs w:val="21"/>
          <w:color w:val="auto"/>
        </w:rPr>
      </w:pPr>
    </w:p>
    <w:p>
      <w:pPr>
        <w:ind w:left="760" w:hanging="382"/>
        <w:spacing w:after="0"/>
        <w:tabs>
          <w:tab w:leader="none" w:pos="76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Emerging training deficits (if any);</w:t>
      </w:r>
    </w:p>
    <w:p>
      <w:pPr>
        <w:spacing w:after="0" w:line="95" w:lineRule="exact"/>
        <w:rPr>
          <w:rFonts w:ascii="Times New Roman" w:cs="Times New Roman" w:eastAsia="Times New Roman" w:hAnsi="Times New Roman"/>
          <w:sz w:val="21"/>
          <w:szCs w:val="21"/>
          <w:color w:val="auto"/>
        </w:rPr>
      </w:pPr>
    </w:p>
    <w:p>
      <w:pPr>
        <w:ind w:left="760" w:hanging="382"/>
        <w:spacing w:after="0"/>
        <w:tabs>
          <w:tab w:leader="none" w:pos="76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New physician studies involving the Products of which Distributor becomes aware; and</w:t>
      </w:r>
    </w:p>
    <w:p>
      <w:pPr>
        <w:spacing w:after="0" w:line="95" w:lineRule="exact"/>
        <w:rPr>
          <w:rFonts w:ascii="Times New Roman" w:cs="Times New Roman" w:eastAsia="Times New Roman" w:hAnsi="Times New Roman"/>
          <w:sz w:val="21"/>
          <w:szCs w:val="21"/>
          <w:color w:val="auto"/>
        </w:rPr>
      </w:pPr>
    </w:p>
    <w:p>
      <w:pPr>
        <w:ind w:left="760" w:hanging="382"/>
        <w:spacing w:after="0"/>
        <w:tabs>
          <w:tab w:leader="none" w:pos="76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pertinent information related to the performance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4486275</wp:posOffset>
            </wp:positionV>
            <wp:extent cx="716343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6997700</wp:posOffset>
            </wp:positionH>
            <wp:positionV relativeFrom="page">
              <wp:posOffset>368935</wp:posOffset>
            </wp:positionV>
            <wp:extent cx="346075" cy="4279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346075" cy="427990"/>
                    </a:xfrm>
                    <a:prstGeom prst="rect">
                      <a:avLst/>
                    </a:prstGeom>
                    <a:noFill/>
                  </pic:spPr>
                </pic:pic>
              </a:graphicData>
            </a:graphic>
          </wp:anchor>
        </w:drawing>
        <w:t>EXHIBIT A</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[MANUFACTURING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704215</wp:posOffset>
            </wp:positionV>
            <wp:extent cx="716343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9019"/>
          </w:cols>
          <w:pgMar w:left="1440" w:top="1398" w:right="1440"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9"/>
          <w:szCs w:val="19"/>
          <w:b w:val="1"/>
          <w:bCs w:val="1"/>
          <w:color w:val="3B4852"/>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790575" cy="9467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90575" cy="946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60"/>
        <w:spacing w:after="0" w:line="297" w:lineRule="auto"/>
        <w:rPr>
          <w:sz w:val="20"/>
          <w:szCs w:val="20"/>
          <w:color w:val="auto"/>
        </w:rPr>
      </w:pPr>
      <w:r>
        <w:rPr>
          <w:rFonts w:ascii="Arial" w:cs="Arial" w:eastAsia="Arial" w:hAnsi="Arial"/>
          <w:sz w:val="24"/>
          <w:szCs w:val="24"/>
          <w:b w:val="1"/>
          <w:bCs w:val="1"/>
          <w:color w:val="auto"/>
        </w:rPr>
        <w:t>AVITA Medical Announces Exclusive Manufacturing and Distribution Agreements with Stedical Scientific</w:t>
      </w:r>
    </w:p>
    <w:p>
      <w:pPr>
        <w:spacing w:after="0" w:line="174" w:lineRule="exact"/>
        <w:rPr>
          <w:sz w:val="20"/>
          <w:szCs w:val="20"/>
          <w:color w:val="auto"/>
        </w:rPr>
      </w:pPr>
    </w:p>
    <w:p>
      <w:pPr>
        <w:ind w:right="220"/>
        <w:spacing w:after="0" w:line="225" w:lineRule="auto"/>
        <w:rPr>
          <w:sz w:val="20"/>
          <w:szCs w:val="20"/>
          <w:color w:val="auto"/>
        </w:rPr>
      </w:pPr>
      <w:r>
        <w:rPr>
          <w:rFonts w:ascii="Arial" w:cs="Arial" w:eastAsia="Arial" w:hAnsi="Arial"/>
          <w:sz w:val="19"/>
          <w:szCs w:val="19"/>
          <w:b w:val="1"/>
          <w:bCs w:val="1"/>
          <w:color w:val="auto"/>
        </w:rPr>
        <w:t xml:space="preserve">VALENCIA, Calif., March 17, 2025 (GLOBE NEWSWIRE) </w:t>
      </w:r>
      <w:r>
        <w:rPr>
          <w:rFonts w:ascii="Arial" w:cs="Arial" w:eastAsia="Arial" w:hAnsi="Arial"/>
          <w:sz w:val="19"/>
          <w:szCs w:val="19"/>
          <w:color w:val="auto"/>
        </w:rPr>
        <w:t>— AVITA Medical, Inc. (NASDAQ: RCEL, ASX: AVH), a leading</w:t>
      </w:r>
      <w:r>
        <w:rPr>
          <w:rFonts w:ascii="Arial" w:cs="Arial" w:eastAsia="Arial" w:hAnsi="Arial"/>
          <w:sz w:val="19"/>
          <w:szCs w:val="19"/>
          <w:b w:val="1"/>
          <w:bCs w:val="1"/>
          <w:color w:val="auto"/>
        </w:rPr>
        <w:t xml:space="preserve"> </w:t>
      </w:r>
      <w:r>
        <w:rPr>
          <w:rFonts w:ascii="Arial" w:cs="Arial" w:eastAsia="Arial" w:hAnsi="Arial"/>
          <w:sz w:val="19"/>
          <w:szCs w:val="19"/>
          <w:color w:val="auto"/>
        </w:rPr>
        <w:t>therapeutic acute wound care company delivering transformative solutions, today announced it has entered into a new Contract Manufacturing Agreement for PermeaDerm</w:t>
      </w:r>
      <w:r>
        <w:rPr>
          <w:rFonts w:ascii="Arial" w:cs="Arial" w:eastAsia="Arial" w:hAnsi="Arial"/>
          <w:sz w:val="25"/>
          <w:szCs w:val="25"/>
          <w:color w:val="auto"/>
          <w:vertAlign w:val="superscript"/>
        </w:rPr>
        <w:t>®</w:t>
      </w:r>
      <w:r>
        <w:rPr>
          <w:rFonts w:ascii="Arial" w:cs="Arial" w:eastAsia="Arial" w:hAnsi="Arial"/>
          <w:sz w:val="19"/>
          <w:szCs w:val="19"/>
          <w:color w:val="auto"/>
        </w:rPr>
        <w:t xml:space="preserve"> Biosynthetic Wound Matrix, along with an Amendment to its existing Exclusive Distribution Agreement with Stedical Scientific, Inc. These agreements further strengthen the strategic relationship between the two companies to expand the reach and availability of PermeaDerm.</w:t>
      </w:r>
    </w:p>
    <w:p>
      <w:pPr>
        <w:spacing w:after="0" w:line="169" w:lineRule="exact"/>
        <w:rPr>
          <w:sz w:val="20"/>
          <w:szCs w:val="20"/>
          <w:color w:val="auto"/>
        </w:rPr>
      </w:pPr>
    </w:p>
    <w:p>
      <w:pPr>
        <w:ind w:right="200"/>
        <w:spacing w:after="0" w:line="237" w:lineRule="auto"/>
        <w:rPr>
          <w:sz w:val="20"/>
          <w:szCs w:val="20"/>
          <w:color w:val="auto"/>
        </w:rPr>
      </w:pPr>
      <w:r>
        <w:rPr>
          <w:rFonts w:ascii="Arial" w:cs="Arial" w:eastAsia="Arial" w:hAnsi="Arial"/>
          <w:sz w:val="19"/>
          <w:szCs w:val="19"/>
          <w:color w:val="auto"/>
        </w:rPr>
        <w:t>Under the terms of the new Contract Manufacturing Agreement, effective as of March 17, 2025, AVITA Medical is to manufacture PermeaDerm at its state-of-the-art manufacturing facility in Ventura, California. This agreement ensures the continued availability of this innovative transparent biosynthetic wound matrix while optimizing AVITA Medical’s production capabilities to meet growing market demand. AVITA Medical will utilize its existing infrastructure to support the further commercialization of PermeaDerm in the U.S. while streamlining production, increasing scale, and optimizing manufacturing cost efficiencies to drive greater value.</w:t>
      </w:r>
    </w:p>
    <w:p>
      <w:pPr>
        <w:spacing w:after="0" w:line="166" w:lineRule="exact"/>
        <w:rPr>
          <w:sz w:val="20"/>
          <w:szCs w:val="20"/>
          <w:color w:val="auto"/>
        </w:rPr>
      </w:pPr>
    </w:p>
    <w:p>
      <w:pPr>
        <w:ind w:right="60"/>
        <w:spacing w:after="0" w:line="237" w:lineRule="auto"/>
        <w:rPr>
          <w:sz w:val="20"/>
          <w:szCs w:val="20"/>
          <w:color w:val="auto"/>
        </w:rPr>
      </w:pPr>
      <w:r>
        <w:rPr>
          <w:rFonts w:ascii="Arial" w:cs="Arial" w:eastAsia="Arial" w:hAnsi="Arial"/>
          <w:sz w:val="19"/>
          <w:szCs w:val="19"/>
          <w:color w:val="auto"/>
        </w:rPr>
        <w:t>The Exclusive Distribution Agreement originally executed in January 2024 has been amended to align with the new manufacturing arrangement. This revised agreement modifies revenue-sharing terms, establishes performance-based milestones, and extends the contract term. Under these new terms, AVITA Medical will retain 60% of the average sales price from PermeaDerm sales while remitting 40% to Stedical after deducting manufacturing costs. Prior to the amendment, each party retained 50% of the average sales price from the sale of PermeaDerm.</w:t>
      </w:r>
    </w:p>
    <w:p>
      <w:pPr>
        <w:spacing w:after="0" w:line="166" w:lineRule="exact"/>
        <w:rPr>
          <w:sz w:val="20"/>
          <w:szCs w:val="20"/>
          <w:color w:val="auto"/>
        </w:rPr>
      </w:pPr>
    </w:p>
    <w:p>
      <w:pPr>
        <w:ind w:right="20"/>
        <w:spacing w:after="0" w:line="245" w:lineRule="auto"/>
        <w:rPr>
          <w:sz w:val="20"/>
          <w:szCs w:val="20"/>
          <w:color w:val="auto"/>
        </w:rPr>
      </w:pPr>
      <w:r>
        <w:rPr>
          <w:rFonts w:ascii="Arial" w:cs="Arial" w:eastAsia="Arial" w:hAnsi="Arial"/>
          <w:sz w:val="19"/>
          <w:szCs w:val="19"/>
          <w:color w:val="auto"/>
        </w:rPr>
        <w:t>“These strategic agreements reflect our shared commitment to driving innovation and expanding market access, while ensuring that patients continue to receive first-in-class care,” said Jim Corbett, CEO of AVITA Medical. "We look forward to leveraging our expertise to continue to drive innovation and growth in therapeutic acute wound care."</w:t>
      </w:r>
    </w:p>
    <w:p>
      <w:pPr>
        <w:spacing w:after="0" w:line="161" w:lineRule="exact"/>
        <w:rPr>
          <w:sz w:val="20"/>
          <w:szCs w:val="20"/>
          <w:color w:val="auto"/>
        </w:rPr>
      </w:pPr>
    </w:p>
    <w:p>
      <w:pPr>
        <w:ind w:right="360"/>
        <w:spacing w:after="0" w:line="239" w:lineRule="auto"/>
        <w:rPr>
          <w:sz w:val="20"/>
          <w:szCs w:val="20"/>
          <w:color w:val="auto"/>
        </w:rPr>
      </w:pPr>
      <w:r>
        <w:rPr>
          <w:rFonts w:ascii="Arial" w:cs="Arial" w:eastAsia="Arial" w:hAnsi="Arial"/>
          <w:sz w:val="19"/>
          <w:szCs w:val="19"/>
          <w:color w:val="auto"/>
        </w:rPr>
        <w:t>Lin Sun, Chairman of Stedical Scientific, added, "PermeaDerm has demonstrated great healing results when used for various wounds. We are excited to expand our collaboration with AVITA Medical through this manufacturing agreement. This partnership ensures a robust supply chain for PermeaDerm and strengthens our commitment to delivering cutting-edge solutions to the global market."</w:t>
      </w:r>
    </w:p>
    <w:p>
      <w:pPr>
        <w:spacing w:after="0" w:line="167" w:lineRule="exact"/>
        <w:rPr>
          <w:sz w:val="20"/>
          <w:szCs w:val="20"/>
          <w:color w:val="auto"/>
        </w:rPr>
      </w:pPr>
    </w:p>
    <w:p>
      <w:pPr>
        <w:ind w:right="60"/>
        <w:spacing w:after="0" w:line="225" w:lineRule="auto"/>
        <w:rPr>
          <w:sz w:val="20"/>
          <w:szCs w:val="20"/>
          <w:color w:val="auto"/>
        </w:rPr>
      </w:pPr>
      <w:r>
        <w:rPr>
          <w:rFonts w:ascii="Arial" w:cs="Arial" w:eastAsia="Arial" w:hAnsi="Arial"/>
          <w:sz w:val="19"/>
          <w:szCs w:val="19"/>
          <w:color w:val="auto"/>
        </w:rPr>
        <w:t>PermeaDerm is a biosynthetic matrix that facilitates wound healing while also providing a high level of permeability and biocompatibility. PermeaDerm is cleared by the FDA for use in the treatment of a variety of wound types until healing is achieved. For partial and full-thickness injuries treated with Spray-On Skin</w:t>
      </w:r>
      <w:r>
        <w:rPr>
          <w:rFonts w:ascii="Arial" w:cs="Arial" w:eastAsia="Arial" w:hAnsi="Arial"/>
          <w:sz w:val="25"/>
          <w:szCs w:val="25"/>
          <w:color w:val="auto"/>
          <w:vertAlign w:val="superscript"/>
        </w:rPr>
        <w:t>™</w:t>
      </w:r>
      <w:r>
        <w:rPr>
          <w:rFonts w:ascii="Arial" w:cs="Arial" w:eastAsia="Arial" w:hAnsi="Arial"/>
          <w:sz w:val="19"/>
          <w:szCs w:val="19"/>
          <w:color w:val="auto"/>
        </w:rPr>
        <w:t>Cells prepared with AVITA Medical’s RECELL</w:t>
      </w:r>
      <w:r>
        <w:rPr>
          <w:rFonts w:ascii="Arial" w:cs="Arial" w:eastAsia="Arial" w:hAnsi="Arial"/>
          <w:sz w:val="25"/>
          <w:szCs w:val="25"/>
          <w:color w:val="auto"/>
          <w:vertAlign w:val="superscript"/>
        </w:rPr>
        <w:t>®</w:t>
      </w:r>
      <w:r>
        <w:rPr>
          <w:rFonts w:ascii="Arial" w:cs="Arial" w:eastAsia="Arial" w:hAnsi="Arial"/>
          <w:sz w:val="19"/>
          <w:szCs w:val="19"/>
          <w:color w:val="auto"/>
        </w:rPr>
        <w:t xml:space="preserve"> devices, PermeaDerm can be applied to further support healing. Additionally, PermeaDerm is eligible for reimbursement in the U.S. across inpatient and outpatient settings, making it more accessible to healthcare providers and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717550</wp:posOffset>
            </wp:positionV>
            <wp:extent cx="716343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737" w:right="33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6849110</wp:posOffset>
            </wp:positionH>
            <wp:positionV relativeFrom="page">
              <wp:posOffset>483870</wp:posOffset>
            </wp:positionV>
            <wp:extent cx="494030" cy="5924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494030" cy="59245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About AVITA Medical, Inc.</w:t>
      </w:r>
    </w:p>
    <w:p>
      <w:pPr>
        <w:spacing w:after="0" w:line="12" w:lineRule="exact"/>
        <w:rPr>
          <w:sz w:val="20"/>
          <w:szCs w:val="20"/>
          <w:color w:val="auto"/>
        </w:rPr>
      </w:pPr>
    </w:p>
    <w:p>
      <w:pPr>
        <w:ind w:right="160"/>
        <w:spacing w:after="0" w:line="212" w:lineRule="auto"/>
        <w:rPr>
          <w:sz w:val="20"/>
          <w:szCs w:val="20"/>
          <w:color w:val="auto"/>
        </w:rPr>
      </w:pPr>
      <w:r>
        <w:rPr>
          <w:rFonts w:ascii="Arial" w:cs="Arial" w:eastAsia="Arial" w:hAnsi="Arial"/>
          <w:sz w:val="18"/>
          <w:szCs w:val="18"/>
          <w:color w:val="auto"/>
        </w:rPr>
        <w:t>AVITA Medical</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is a leading therapeutic acute wound care company delivering transformative solutions. Our technologies are designed to optimize wound healing, effectively accelerating the time to patient recovery. At the forefront of our platform is the RECELL</w:t>
      </w:r>
      <w:r>
        <w:rPr>
          <w:rFonts w:ascii="Arial" w:cs="Arial" w:eastAsia="Arial" w:hAnsi="Arial"/>
          <w:sz w:val="24"/>
          <w:szCs w:val="24"/>
          <w:color w:val="auto"/>
          <w:vertAlign w:val="superscript"/>
        </w:rPr>
        <w:t>®</w:t>
      </w:r>
      <w:r>
        <w:rPr>
          <w:rFonts w:ascii="Arial" w:cs="Arial" w:eastAsia="Arial" w:hAnsi="Arial"/>
          <w:sz w:val="18"/>
          <w:szCs w:val="18"/>
          <w:color w:val="auto"/>
        </w:rPr>
        <w:t xml:space="preserve"> System, approved by the FDA for the treatment of thermal burn wounds and full-thickness skin defects. RECELL harnesses the healing properties of a patient’s own skin to create Spray-On Skin</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Cells, offering an innovative solution for improved clinical outcomes at the point-of-care. In the U.S., AVITA Medical also holds the exclusive rights to market, sell, and distribute both Cohealyx</w:t>
      </w:r>
      <w:r>
        <w:rPr>
          <w:rFonts w:ascii="Arial" w:cs="Arial" w:eastAsia="Arial" w:hAnsi="Arial"/>
          <w:sz w:val="24"/>
          <w:szCs w:val="24"/>
          <w:color w:val="auto"/>
          <w:vertAlign w:val="superscript"/>
        </w:rPr>
        <w:t>™</w:t>
      </w:r>
      <w:r>
        <w:rPr>
          <w:rFonts w:ascii="Arial" w:cs="Arial" w:eastAsia="Arial" w:hAnsi="Arial"/>
          <w:sz w:val="18"/>
          <w:szCs w:val="18"/>
          <w:color w:val="auto"/>
        </w:rPr>
        <w:t>, an AVITA Medical-branded collagen-based dermal matrix, and PermeaDerm</w:t>
      </w:r>
      <w:r>
        <w:rPr>
          <w:rFonts w:ascii="Arial" w:cs="Arial" w:eastAsia="Arial" w:hAnsi="Arial"/>
          <w:sz w:val="24"/>
          <w:szCs w:val="24"/>
          <w:color w:val="auto"/>
          <w:vertAlign w:val="superscript"/>
        </w:rPr>
        <w:t>®</w:t>
      </w:r>
      <w:r>
        <w:rPr>
          <w:rFonts w:ascii="Arial" w:cs="Arial" w:eastAsia="Arial" w:hAnsi="Arial"/>
          <w:sz w:val="18"/>
          <w:szCs w:val="18"/>
          <w:color w:val="auto"/>
        </w:rPr>
        <w:t>, a biosynthetic wound matrix.</w:t>
      </w:r>
    </w:p>
    <w:p>
      <w:pPr>
        <w:spacing w:after="0" w:line="79" w:lineRule="exact"/>
        <w:rPr>
          <w:sz w:val="20"/>
          <w:szCs w:val="20"/>
          <w:color w:val="auto"/>
        </w:rPr>
      </w:pPr>
    </w:p>
    <w:p>
      <w:pPr>
        <w:ind w:right="60"/>
        <w:spacing w:after="0" w:line="224" w:lineRule="auto"/>
        <w:rPr>
          <w:sz w:val="20"/>
          <w:szCs w:val="20"/>
          <w:color w:val="auto"/>
        </w:rPr>
      </w:pPr>
      <w:r>
        <w:rPr>
          <w:rFonts w:ascii="Arial" w:cs="Arial" w:eastAsia="Arial" w:hAnsi="Arial"/>
          <w:sz w:val="19"/>
          <w:szCs w:val="19"/>
          <w:color w:val="auto"/>
        </w:rPr>
        <w:t>In international markets, the RECELL System is approved to promote skin healing in a wide range of applications including burns and full-thickness skin defects. The RECELL System, excluding RECELL GO</w:t>
      </w:r>
      <w:r>
        <w:rPr>
          <w:rFonts w:ascii="Arial" w:cs="Arial" w:eastAsia="Arial" w:hAnsi="Arial"/>
          <w:sz w:val="25"/>
          <w:szCs w:val="25"/>
          <w:color w:val="auto"/>
          <w:vertAlign w:val="superscript"/>
        </w:rPr>
        <w:t>®</w:t>
      </w:r>
      <w:r>
        <w:rPr>
          <w:rFonts w:ascii="Arial" w:cs="Arial" w:eastAsia="Arial" w:hAnsi="Arial"/>
          <w:sz w:val="19"/>
          <w:szCs w:val="19"/>
          <w:color w:val="auto"/>
        </w:rPr>
        <w:t>, is TGA-registered in Australia, has received CE mark approval in Europe, and has PMDA approval in Japan.</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color w:val="auto"/>
        </w:rPr>
        <w:t>To learn more, visit www.avitamedical.com.</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About Stedical Scientific, Inc.</w:t>
      </w:r>
    </w:p>
    <w:p>
      <w:pPr>
        <w:spacing w:after="0" w:line="7" w:lineRule="exact"/>
        <w:rPr>
          <w:sz w:val="20"/>
          <w:szCs w:val="20"/>
          <w:color w:val="auto"/>
        </w:rPr>
      </w:pPr>
    </w:p>
    <w:p>
      <w:pPr>
        <w:spacing w:after="0" w:line="233" w:lineRule="auto"/>
        <w:rPr>
          <w:sz w:val="20"/>
          <w:szCs w:val="20"/>
          <w:color w:val="auto"/>
        </w:rPr>
      </w:pPr>
      <w:r>
        <w:rPr>
          <w:rFonts w:ascii="Arial" w:cs="Arial" w:eastAsia="Arial" w:hAnsi="Arial"/>
          <w:sz w:val="19"/>
          <w:szCs w:val="19"/>
          <w:color w:val="auto"/>
        </w:rPr>
        <w:t>Stedical Scientific, Inc. is an innovative tissue engineering and regenerative medicine company that develops, manufactures and sells cutting-edge products delivered from a proprietary biosynthetic technology platform for the treatment of acute and chronic wounds, burns, as well as for plastic and reconstructive surgery. Stedical Scientific’s mission is to expand its portfolios of disruptive innovations and to serve millions of people around the globe. Stedical Scientific has brought extraordinary clinical experience to patients through its signature product, PermeaDerm, revolutionizing wound care.</w:t>
      </w:r>
    </w:p>
    <w:p>
      <w:pPr>
        <w:spacing w:after="0" w:line="166" w:lineRule="exact"/>
        <w:rPr>
          <w:sz w:val="20"/>
          <w:szCs w:val="20"/>
          <w:color w:val="auto"/>
        </w:rPr>
      </w:pPr>
    </w:p>
    <w:p>
      <w:pPr>
        <w:ind w:right="60"/>
        <w:spacing w:after="0" w:line="245" w:lineRule="auto"/>
        <w:rPr>
          <w:sz w:val="20"/>
          <w:szCs w:val="20"/>
          <w:color w:val="auto"/>
        </w:rPr>
      </w:pPr>
      <w:r>
        <w:rPr>
          <w:rFonts w:ascii="Arial" w:cs="Arial" w:eastAsia="Arial" w:hAnsi="Arial"/>
          <w:sz w:val="19"/>
          <w:szCs w:val="19"/>
          <w:color w:val="auto"/>
        </w:rPr>
        <w:t>Stedical Scientific’s growth strategy, in addition to marketing products in the U.S., is to expand extensively in the international market, while committed to substantially improving patient and clinician experiences through breakthrough technologies and changing the course of human health.</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To learn more, visit </w:t>
      </w:r>
      <w:r>
        <w:rPr>
          <w:rFonts w:ascii="Arial" w:cs="Arial" w:eastAsia="Arial" w:hAnsi="Arial"/>
          <w:sz w:val="19"/>
          <w:szCs w:val="19"/>
          <w:u w:val="single" w:color="auto"/>
          <w:color w:val="auto"/>
        </w:rPr>
        <w:t>www.stedical.com</w:t>
      </w:r>
      <w:r>
        <w:rPr>
          <w:rFonts w:ascii="Arial" w:cs="Arial" w:eastAsia="Arial" w:hAnsi="Arial"/>
          <w:sz w:val="19"/>
          <w:szCs w:val="19"/>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Forward-Looking Statements</w:t>
      </w:r>
    </w:p>
    <w:p>
      <w:pPr>
        <w:spacing w:after="0" w:line="7" w:lineRule="exact"/>
        <w:rPr>
          <w:sz w:val="20"/>
          <w:szCs w:val="20"/>
          <w:color w:val="auto"/>
        </w:rPr>
      </w:pPr>
    </w:p>
    <w:p>
      <w:pPr>
        <w:ind w:right="20"/>
        <w:spacing w:after="0" w:line="230" w:lineRule="auto"/>
        <w:rPr>
          <w:sz w:val="20"/>
          <w:szCs w:val="20"/>
          <w:color w:val="auto"/>
        </w:rPr>
      </w:pPr>
      <w:r>
        <w:rPr>
          <w:rFonts w:ascii="Arial" w:cs="Arial" w:eastAsia="Arial" w:hAnsi="Arial"/>
          <w:sz w:val="19"/>
          <w:szCs w:val="19"/>
          <w:i w:val="1"/>
          <w:iCs w:val="1"/>
          <w:color w:val="404040"/>
        </w:rPr>
        <w:t>Th</w:t>
      </w:r>
      <w:r>
        <w:rPr>
          <w:rFonts w:ascii="Arial" w:cs="Arial" w:eastAsia="Arial" w:hAnsi="Arial"/>
          <w:sz w:val="19"/>
          <w:szCs w:val="19"/>
          <w:i w:val="1"/>
          <w:iCs w:val="1"/>
          <w:color w:val="000000"/>
        </w:rPr>
        <w:t>is press release may contain forward-looking statements within the meaning of the Private Securities Litigation Reform Act of 1995.</w:t>
      </w:r>
      <w:r>
        <w:rPr>
          <w:rFonts w:ascii="Arial" w:cs="Arial" w:eastAsia="Arial" w:hAnsi="Arial"/>
          <w:sz w:val="19"/>
          <w:szCs w:val="19"/>
          <w:i w:val="1"/>
          <w:iCs w:val="1"/>
          <w:color w:val="404040"/>
        </w:rPr>
        <w:t xml:space="preserve"> </w:t>
      </w:r>
      <w:r>
        <w:rPr>
          <w:rFonts w:ascii="Arial" w:cs="Arial" w:eastAsia="Arial" w:hAnsi="Arial"/>
          <w:sz w:val="19"/>
          <w:szCs w:val="19"/>
          <w:i w:val="1"/>
          <w:iCs w:val="1"/>
          <w:color w:val="000000"/>
        </w:rPr>
        <w:t>Such forward-looking statements are subject to significant risks and uncertainties that could cause actual results to differ materially from those expressed or implied by such statements. Forward-looking statements generally may be identified by the use of words such as “anticipate,” “expect,” “intend,” “could,” “would,” “may,” “will,” “believe,” “continue,” “estimate,” “look forward,” “forecast,” “goal,” “target,” “project,” “outlook,” “guidance,” “future,” and similar words or expressions, and the use of future dates. Forward-looking statements include, but are not limited to, statements relating to the timing and realization of regulatory approvals of our products; physician acceptance, endorsement, and use of our products; failure to achieve the anticipated benefits from approval or adoption of our products; the effect of regulatory actions; product liability claims; risks associated with international operations and expansion; and risks of other business effects, including the effects of industry, as well as other economic or political conditions outside of the Company’s control. These statements are made as of the date of this release, and the Company undertakes no obligation to publicly update or revise any of these statements, except as required by law. For additional information and other important factors that</w:t>
      </w:r>
    </w:p>
    <w:p>
      <w:pPr>
        <w:spacing w:after="0" w:line="1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2B3486"/>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467360</wp:posOffset>
            </wp:positionV>
            <wp:extent cx="716343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6849110</wp:posOffset>
            </wp:positionH>
            <wp:positionV relativeFrom="page">
              <wp:posOffset>483870</wp:posOffset>
            </wp:positionV>
            <wp:extent cx="494030" cy="5924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494030" cy="592455"/>
                    </a:xfrm>
                    <a:prstGeom prst="rect">
                      <a:avLst/>
                    </a:prstGeom>
                    <a:noFill/>
                  </pic:spPr>
                </pic:pic>
              </a:graphicData>
            </a:graphic>
          </wp:anchor>
        </w:drawing>
      </w:r>
    </w:p>
    <w:p>
      <w:pPr>
        <w:spacing w:after="0" w:line="257" w:lineRule="exact"/>
        <w:rPr>
          <w:sz w:val="20"/>
          <w:szCs w:val="20"/>
          <w:color w:val="auto"/>
        </w:rPr>
      </w:pPr>
    </w:p>
    <w:p>
      <w:pPr>
        <w:ind w:right="60"/>
        <w:spacing w:after="0" w:line="260" w:lineRule="auto"/>
        <w:rPr>
          <w:sz w:val="20"/>
          <w:szCs w:val="20"/>
          <w:color w:val="auto"/>
        </w:rPr>
      </w:pPr>
      <w:r>
        <w:rPr>
          <w:rFonts w:ascii="Arial" w:cs="Arial" w:eastAsia="Arial" w:hAnsi="Arial"/>
          <w:sz w:val="19"/>
          <w:szCs w:val="19"/>
          <w:i w:val="1"/>
          <w:iCs w:val="1"/>
          <w:color w:val="auto"/>
        </w:rPr>
        <w:t>may cause actual results to differ materially from forward-looking statements, please see the “Risk Factors” section of the Company’s latest Annual Report on Form 10-K and other publicly available filings for a discussion of these and other risks and uncertainties.</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Investor &amp; Media Contact:</w:t>
      </w:r>
    </w:p>
    <w:p>
      <w:pPr>
        <w:spacing w:after="0" w:line="235" w:lineRule="auto"/>
        <w:rPr>
          <w:sz w:val="20"/>
          <w:szCs w:val="20"/>
          <w:color w:val="auto"/>
        </w:rPr>
      </w:pPr>
      <w:r>
        <w:rPr>
          <w:rFonts w:ascii="Arial" w:cs="Arial" w:eastAsia="Arial" w:hAnsi="Arial"/>
          <w:sz w:val="19"/>
          <w:szCs w:val="19"/>
          <w:color w:val="auto"/>
        </w:rPr>
        <w:t>Jessica Ekeberg</w:t>
      </w:r>
    </w:p>
    <w:p>
      <w:pPr>
        <w:spacing w:after="0" w:line="228" w:lineRule="auto"/>
        <w:rPr>
          <w:sz w:val="20"/>
          <w:szCs w:val="20"/>
          <w:color w:val="auto"/>
        </w:rPr>
      </w:pPr>
      <w:r>
        <w:rPr>
          <w:rFonts w:ascii="Arial" w:cs="Arial" w:eastAsia="Arial" w:hAnsi="Arial"/>
          <w:sz w:val="19"/>
          <w:szCs w:val="19"/>
          <w:color w:val="auto"/>
        </w:rPr>
        <w:t>Phone +1-661-904-9269</w:t>
      </w:r>
    </w:p>
    <w:p>
      <w:pPr>
        <w:spacing w:after="0" w:line="228" w:lineRule="auto"/>
        <w:rPr>
          <w:sz w:val="20"/>
          <w:szCs w:val="20"/>
          <w:color w:val="auto"/>
        </w:rPr>
      </w:pPr>
      <w:r>
        <w:rPr>
          <w:rFonts w:ascii="Arial" w:cs="Arial" w:eastAsia="Arial" w:hAnsi="Arial"/>
          <w:sz w:val="19"/>
          <w:szCs w:val="19"/>
          <w:color w:val="auto"/>
        </w:rPr>
        <w:t>investor@avitamedical.com</w:t>
      </w:r>
    </w:p>
    <w:p>
      <w:pPr>
        <w:spacing w:after="0"/>
        <w:rPr>
          <w:sz w:val="20"/>
          <w:szCs w:val="20"/>
          <w:color w:val="auto"/>
        </w:rPr>
      </w:pPr>
      <w:r>
        <w:rPr>
          <w:rFonts w:ascii="Arial" w:cs="Arial" w:eastAsia="Arial" w:hAnsi="Arial"/>
          <w:sz w:val="19"/>
          <w:szCs w:val="19"/>
          <w:color w:val="auto"/>
        </w:rPr>
        <w:t>media@avitamedical.com</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color w:val="auto"/>
        </w:rPr>
        <w:t>Authorized for release by the Chief Financial Officer of AVITA Medical, Inc.</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2B3486"/>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467360</wp:posOffset>
            </wp:positionV>
            <wp:extent cx="716343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1."/>
      <w:numFmt w:val="decimal"/>
      <w:start w:val="1"/>
    </w:lvl>
  </w:abstractNum>
  <w:abstractNum w:abstractNumId="2">
    <w:nsid w:val="737B8DDC"/>
    <w:multiLevelType w:val="hybridMultilevel"/>
    <w:lvl w:ilvl="0">
      <w:lvlJc w:val="left"/>
      <w:lvlText w:val="(%1)"/>
      <w:numFmt w:val="lowerLetter"/>
      <w:start w:val="3"/>
    </w:lvl>
  </w:abstractNum>
  <w:abstractNum w:abstractNumId="3">
    <w:nsid w:val="6CEAF087"/>
    <w:multiLevelType w:val="hybridMultilevel"/>
    <w:lvl w:ilvl="0">
      <w:lvlJc w:val="left"/>
      <w:lvlText w:val="%1."/>
      <w:numFmt w:val="decimal"/>
      <w:start w:val="2"/>
    </w:lvl>
  </w:abstractNum>
  <w:abstractNum w:abstractNumId="4">
    <w:nsid w:val="22221A70"/>
    <w:multiLevelType w:val="hybridMultilevel"/>
    <w:lvl w:ilvl="0">
      <w:lvlJc w:val="left"/>
      <w:lvlText w:val="(%1)"/>
      <w:numFmt w:val="lowerRoman"/>
      <w:start w:val="1"/>
    </w:lvl>
  </w:abstractNum>
  <w:abstractNum w:abstractNumId="5">
    <w:nsid w:val="4516DDE9"/>
    <w:multiLevelType w:val="hybridMultilevel"/>
    <w:lvl w:ilvl="0">
      <w:lvlJc w:val="left"/>
      <w:lvlText w:val="%1."/>
      <w:numFmt w:val="decimal"/>
      <w:start w:val="4"/>
    </w:lvl>
  </w:abstractNum>
  <w:abstractNum w:abstractNumId="6">
    <w:nsid w:val="3006C83E"/>
    <w:multiLevelType w:val="hybridMultilevel"/>
    <w:lvl w:ilvl="0">
      <w:lvlJc w:val="left"/>
      <w:lvlText w:val="%1."/>
      <w:numFmt w:val="decimal"/>
      <w:start w:val="5"/>
    </w:lvl>
  </w:abstractNum>
  <w:abstractNum w:abstractNumId="7">
    <w:nsid w:val="614FD4A1"/>
    <w:multiLevelType w:val="hybridMultilevel"/>
    <w:lvl w:ilvl="0">
      <w:lvlJc w:val="left"/>
      <w:lvlText w:val="%1."/>
      <w:numFmt w:val="decimal"/>
      <w:start w:val="6"/>
    </w:lvl>
  </w:abstractNum>
  <w:abstractNum w:abstractNumId="8">
    <w:nsid w:val="419AC241"/>
    <w:multiLevelType w:val="hybridMultilevel"/>
    <w:lvl w:ilvl="0">
      <w:lvlJc w:val="left"/>
      <w:lvlText w:val="%1."/>
      <w:numFmt w:val="decimal"/>
      <w:start w:val="7"/>
    </w:lvl>
  </w:abstractNum>
  <w:abstractNum w:abstractNumId="9">
    <w:nsid w:val="5577F8E1"/>
    <w:multiLevelType w:val="hybridMultilevel"/>
    <w:lvl w:ilvl="0">
      <w:lvlJc w:val="left"/>
      <w:lvlText w:val="%1"/>
      <w:numFmt w:val="decimal"/>
      <w:start w:val="1"/>
    </w:lvl>
    <w:lvl w:ilvl="1">
      <w:lvlJc w:val="left"/>
      <w:lvlText w:val="(%2)"/>
      <w:numFmt w:val="lowerLetter"/>
      <w:start w:val="1"/>
    </w:lvl>
  </w:abstractNum>
  <w:abstractNum w:abstractNumId="10">
    <w:nsid w:val="440BADFC"/>
    <w:multiLevelType w:val="hybridMultilevel"/>
    <w:lvl w:ilvl="0">
      <w:lvlJc w:val="left"/>
      <w:lvlText w:val="%1."/>
      <w:numFmt w:val="decimal"/>
      <w:start w:val="8"/>
    </w:lvl>
    <w:lvl w:ilvl="1">
      <w:lvlJc w:val="left"/>
      <w:lvlText w:val="%2"/>
      <w:numFmt w:val="lowerLetter"/>
      <w:start w:val="1"/>
    </w:lvl>
  </w:abstractNum>
  <w:abstractNum w:abstractNumId="11">
    <w:nsid w:val="5072367"/>
    <w:multiLevelType w:val="hybridMultilevel"/>
    <w:lvl w:ilvl="0">
      <w:lvlJc w:val="left"/>
      <w:lvlText w:val="(%1)"/>
      <w:numFmt w:val="lowerLetter"/>
      <w:start w:val="1"/>
    </w:lvl>
  </w:abstractNum>
  <w:abstractNum w:abstractNumId="12">
    <w:nsid w:val="3804823E"/>
    <w:multiLevelType w:val="hybridMultilevel"/>
    <w:lvl w:ilvl="0">
      <w:lvlJc w:val="left"/>
      <w:lvlText w:val="%1."/>
      <w:numFmt w:val="decimal"/>
      <w:start w:val="9"/>
    </w:lvl>
  </w:abstractNum>
  <w:abstractNum w:abstractNumId="13">
    <w:nsid w:val="77465F01"/>
    <w:multiLevelType w:val="hybridMultilevel"/>
    <w:lvl w:ilvl="0">
      <w:lvlJc w:val="left"/>
      <w:lvlText w:val="%1."/>
      <w:numFmt w:val="decimal"/>
      <w:start w:val="10"/>
    </w:lvl>
  </w:abstractNum>
  <w:abstractNum w:abstractNumId="14">
    <w:nsid w:val="7724C67E"/>
    <w:multiLevelType w:val="hybridMultilevel"/>
    <w:lvl w:ilvl="0">
      <w:lvlJc w:val="left"/>
      <w:lvlText w:val="(%1)"/>
      <w:numFmt w:val="lowerLetter"/>
      <w:start w:val="3"/>
    </w:lvl>
  </w:abstractNum>
  <w:abstractNum w:abstractNumId="15">
    <w:nsid w:val="5C482A97"/>
    <w:multiLevelType w:val="hybridMultilevel"/>
    <w:lvl w:ilvl="0">
      <w:lvlJc w:val="left"/>
      <w:lvlText w:val="(%1)"/>
      <w:numFmt w:val="lowerLetter"/>
      <w:start w:val="5"/>
    </w:lvl>
  </w:abstractNum>
  <w:abstractNum w:abstractNumId="16">
    <w:nsid w:val="2463B9EA"/>
    <w:multiLevelType w:val="hybridMultilevel"/>
    <w:lvl w:ilvl="0">
      <w:lvlJc w:val="left"/>
      <w:lvlText w:val="(%1)"/>
      <w:numFmt w:val="lowerLetter"/>
      <w:start w:val="1"/>
    </w:lvl>
  </w:abstractNum>
  <w:abstractNum w:abstractNumId="17">
    <w:nsid w:val="5E884ADC"/>
    <w:multiLevelType w:val="hybridMultilevel"/>
    <w:lvl w:ilvl="0">
      <w:lvlJc w:val="left"/>
      <w:lvlText w:val="(%1)"/>
      <w:numFmt w:val="lowerLetter"/>
      <w:start w:val="3"/>
    </w:lvl>
  </w:abstractNum>
  <w:abstractNum w:abstractNumId="18">
    <w:nsid w:val="51EAD36B"/>
    <w:multiLevelType w:val="hybridMultilevel"/>
    <w:lvl w:ilvl="0">
      <w:lvlJc w:val="left"/>
      <w:lvlText w:val="(%1)"/>
      <w:numFmt w:val="lowerLetter"/>
      <w:start w:val="1"/>
    </w:lvl>
  </w:abstractNum>
  <w:abstractNum w:abstractNumId="19">
    <w:nsid w:val="2D517796"/>
    <w:multiLevelType w:val="hybridMultilevel"/>
    <w:lvl w:ilvl="0">
      <w:lvlJc w:val="left"/>
      <w:lvlText w:val="%1"/>
      <w:numFmt w:val="lowerLetter"/>
      <w:start w:val="1"/>
    </w:lvl>
    <w:lvl w:ilvl="1">
      <w:lvlJc w:val="left"/>
      <w:lvlText w:val="(%2)"/>
      <w:numFmt w:val="lowerRoman"/>
      <w:start w:val="1"/>
    </w:lvl>
  </w:abstractNum>
  <w:abstractNum w:abstractNumId="20">
    <w:nsid w:val="580BD78F"/>
    <w:multiLevelType w:val="hybridMultilevel"/>
    <w:lvl w:ilvl="0">
      <w:lvlJc w:val="left"/>
      <w:lvlText w:val="(%1)"/>
      <w:numFmt w:val="lowerLetter"/>
      <w:start w:val="3"/>
    </w:lvl>
    <w:lvl w:ilvl="1">
      <w:lvlJc w:val="left"/>
      <w:lvlText w:val="%2"/>
      <w:numFmt w:val="lowerRoman"/>
      <w:start w:val="1"/>
    </w:lvl>
  </w:abstractNum>
  <w:abstractNum w:abstractNumId="21">
    <w:nsid w:val="153EA438"/>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2">
    <w:nsid w:val="3855585C"/>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23">
    <w:nsid w:val="70A64E2A"/>
    <w:multiLevelType w:val="hybridMultilevel"/>
    <w:lvl w:ilvl="0">
      <w:lvlJc w:val="left"/>
      <w:lvlText w:val="(%1)"/>
      <w:numFmt w:val="lowerLetter"/>
      <w:start w:val="1"/>
    </w:lvl>
    <w:lvl w:ilvl="1">
      <w:lvlJc w:val="left"/>
      <w:lvlText w:val="(%2)"/>
      <w:numFmt w:val="lowerRoman"/>
      <w:start w:val="1"/>
    </w:lvl>
  </w:abstractNum>
  <w:abstractNum w:abstractNumId="24">
    <w:nsid w:val="6A2342EC"/>
    <w:multiLevelType w:val="hybridMultilevel"/>
    <w:lvl w:ilvl="0">
      <w:lvlJc w:val="left"/>
      <w:lvlText w:val="(%1)"/>
      <w:numFmt w:val="lowerLetter"/>
      <w:start w:val="3"/>
    </w:lvl>
  </w:abstractNum>
  <w:abstractNum w:abstractNumId="25">
    <w:nsid w:val="2A487CB0"/>
    <w:multiLevelType w:val="hybridMultilevel"/>
    <w:lvl w:ilvl="0">
      <w:lvlJc w:val="left"/>
      <w:lvlText w:val="(%1)"/>
      <w:numFmt w:val="lowerLetter"/>
      <w:start w:val="1"/>
    </w:lvl>
  </w:abstractNum>
  <w:abstractNum w:abstractNumId="26">
    <w:nsid w:val="1D4ED43B"/>
    <w:multiLevelType w:val="hybridMultilevel"/>
    <w:lvl w:ilvl="0">
      <w:lvlJc w:val="left"/>
      <w:lvlText w:val="%1."/>
      <w:numFmt w:val="decimal"/>
      <w:start w:val="12"/>
    </w:lvl>
  </w:abstractNum>
  <w:abstractNum w:abstractNumId="27">
    <w:nsid w:val="725A06FB"/>
    <w:multiLevelType w:val="hybridMultilevel"/>
    <w:lvl w:ilvl="0">
      <w:lvlJc w:val="left"/>
      <w:lvlText w:val="(%1)"/>
      <w:numFmt w:val="lowerLetter"/>
      <w:start w:val="1"/>
    </w:lvl>
  </w:abstractNum>
  <w:abstractNum w:abstractNumId="28">
    <w:nsid w:val="2CD89A32"/>
    <w:multiLevelType w:val="hybridMultilevel"/>
    <w:lvl w:ilvl="0">
      <w:lvlJc w:val="left"/>
      <w:lvlText w:val="(%1)"/>
      <w:numFmt w:val="lowerLetter"/>
      <w:start w:val="3"/>
    </w:lvl>
  </w:abstractNum>
  <w:abstractNum w:abstractNumId="29">
    <w:nsid w:val="57E4CCAF"/>
    <w:multiLevelType w:val="hybridMultilevel"/>
    <w:lvl w:ilvl="0">
      <w:lvlJc w:val="left"/>
      <w:lvlText w:val="(%1)"/>
      <w:numFmt w:val="lowerLetter"/>
      <w:start w:val="5"/>
    </w:lvl>
  </w:abstractNum>
  <w:abstractNum w:abstractNumId="30">
    <w:nsid w:val="7A6D8D3C"/>
    <w:multiLevelType w:val="hybridMultilevel"/>
    <w:lvl w:ilvl="0">
      <w:lvlJc w:val="left"/>
      <w:lvlText w:val="(%1)"/>
      <w:numFmt w:val="lowerLetter"/>
      <w:start w:val="6"/>
    </w:lvl>
  </w:abstractNum>
  <w:abstractNum w:abstractNumId="31">
    <w:nsid w:val="4B588F54"/>
    <w:multiLevelType w:val="hybridMultilevel"/>
    <w:lvl w:ilvl="0">
      <w:lvlJc w:val="left"/>
      <w:lvlText w:val="(%1)"/>
      <w:numFmt w:val="lowerLetter"/>
      <w:start w:val="9"/>
    </w:lvl>
  </w:abstractNum>
  <w:abstractNum w:abstractNumId="32">
    <w:nsid w:val="542289EC"/>
    <w:multiLevelType w:val="hybridMultilevel"/>
    <w:lvl w:ilvl="0">
      <w:lvlJc w:val="left"/>
      <w:lvlText w:val="(%1)"/>
      <w:numFmt w:val="lowerLetter"/>
      <w:start w:val="1"/>
    </w:lvl>
  </w:abstractNum>
  <w:abstractNum w:abstractNumId="33">
    <w:nsid w:val="6DE91B18"/>
    <w:multiLevelType w:val="hybridMultilevel"/>
    <w:lvl w:ilvl="0">
      <w:lvlJc w:val="left"/>
      <w:lvlText w:val="(%1)"/>
      <w:numFmt w:val="lowerLetter"/>
      <w:start w:val="1"/>
    </w:lvl>
  </w:abstractNum>
  <w:abstractNum w:abstractNumId="34">
    <w:nsid w:val="38437FDB"/>
    <w:multiLevelType w:val="hybridMultilevel"/>
    <w:lvl w:ilvl="0">
      <w:lvlJc w:val="left"/>
      <w:lvlText w:val="(%1)"/>
      <w:numFmt w:val="lowerLetter"/>
      <w:start w:val="1"/>
    </w:lvl>
  </w:abstractNum>
  <w:abstractNum w:abstractNumId="35">
    <w:nsid w:val="7644A45C"/>
    <w:multiLevelType w:val="hybridMultilevel"/>
    <w:lvl w:ilvl="0">
      <w:lvlJc w:val="left"/>
      <w:lvlText w:val="(%1)"/>
      <w:numFmt w:val="lowerLetter"/>
      <w:start w:val="3"/>
    </w:lvl>
  </w:abstractNum>
  <w:abstractNum w:abstractNumId="36">
    <w:nsid w:val="32FFF902"/>
    <w:multiLevelType w:val="hybridMultilevel"/>
    <w:lvl w:ilvl="0">
      <w:lvlJc w:val="left"/>
      <w:lvlText w:val="%1."/>
      <w:numFmt w:val="decimal"/>
      <w:start w:val="14"/>
    </w:lvl>
  </w:abstractNum>
  <w:abstractNum w:abstractNumId="37">
    <w:nsid w:val="684A481A"/>
    <w:multiLevelType w:val="hybridMultilevel"/>
    <w:lvl w:ilvl="0">
      <w:lvlJc w:val="left"/>
      <w:lvlText w:val="(%1)"/>
      <w:numFmt w:val="lowerLetter"/>
      <w:start w:val="1"/>
    </w:lvl>
  </w:abstractNum>
  <w:abstractNum w:abstractNumId="38">
    <w:nsid w:val="579478FE"/>
    <w:multiLevelType w:val="hybridMultilevel"/>
    <w:lvl w:ilvl="0">
      <w:lvlJc w:val="left"/>
      <w:lvlText w:val="(%1)"/>
      <w:numFmt w:val="lowerLetter"/>
      <w:start w:val="3"/>
    </w:lvl>
  </w:abstractNum>
  <w:abstractNum w:abstractNumId="39">
    <w:nsid w:val="749ABB43"/>
    <w:multiLevelType w:val="hybridMultilevel"/>
    <w:lvl w:ilvl="0">
      <w:lvlJc w:val="left"/>
      <w:lvlText w:val="(%1)"/>
      <w:numFmt w:val="lowerLetter"/>
      <w:start w:val="1"/>
    </w:lvl>
  </w:abstractNum>
  <w:abstractNum w:abstractNumId="40">
    <w:nsid w:val="3DC240FB"/>
    <w:multiLevelType w:val="hybridMultilevel"/>
    <w:lvl w:ilvl="0">
      <w:lvlJc w:val="left"/>
      <w:lvlText w:val="%1."/>
      <w:numFmt w:val="decimal"/>
      <w:start w:val="15"/>
    </w:lvl>
  </w:abstractNum>
  <w:abstractNum w:abstractNumId="41">
    <w:nsid w:val="1BA026FA"/>
    <w:multiLevelType w:val="hybridMultilevel"/>
    <w:lvl w:ilvl="0">
      <w:lvlJc w:val="left"/>
      <w:lvlText w:val="%1."/>
      <w:numFmt w:val="decimal"/>
      <w:start w:val="16"/>
    </w:lvl>
  </w:abstractNum>
  <w:abstractNum w:abstractNumId="42">
    <w:nsid w:val="79A1DEAA"/>
    <w:multiLevelType w:val="hybridMultilevel"/>
    <w:lvl w:ilvl="0">
      <w:lvlJc w:val="left"/>
      <w:lvlText w:val="(%1)"/>
      <w:numFmt w:val="lowerLetter"/>
      <w:start w:val="1"/>
    </w:lvl>
  </w:abstractNum>
  <w:abstractNum w:abstractNumId="43">
    <w:nsid w:val="75C6C33A"/>
    <w:multiLevelType w:val="hybridMultilevel"/>
    <w:lvl w:ilvl="0">
      <w:lvlJc w:val="left"/>
      <w:lvlText w:val="(%1)"/>
      <w:numFmt w:val="lowerLetter"/>
      <w:start w:val="5"/>
    </w:lvl>
  </w:abstractNum>
  <w:abstractNum w:abstractNumId="44">
    <w:nsid w:val="12E685FB"/>
    <w:multiLevelType w:val="hybridMultilevel"/>
    <w:lvl w:ilvl="0">
      <w:lvlJc w:val="left"/>
      <w:lvlText w:val="%1."/>
      <w:numFmt w:val="decimal"/>
      <w:start w:val="17"/>
    </w:lvl>
  </w:abstractNum>
  <w:abstractNum w:abstractNumId="45">
    <w:nsid w:val="70C6A529"/>
    <w:multiLevelType w:val="hybridMultilevel"/>
    <w:lvl w:ilvl="0">
      <w:lvlJc w:val="left"/>
      <w:lvlText w:val="(%1)"/>
      <w:numFmt w:val="lowerLetter"/>
      <w:start w:val="3"/>
    </w:lvl>
    <w:lvl w:ilvl="1">
      <w:lvlJc w:val="left"/>
      <w:lvlText w:val="(%2)"/>
      <w:numFmt w:val="lowerRoman"/>
      <w:start w:val="1"/>
    </w:lvl>
  </w:abstractNum>
  <w:abstractNum w:abstractNumId="46">
    <w:nsid w:val="520EEDD1"/>
    <w:multiLevelType w:val="hybridMultilevel"/>
    <w:lvl w:ilvl="0">
      <w:lvlJc w:val="left"/>
      <w:lvlText w:val="(%1)"/>
      <w:numFmt w:val="lowerLetter"/>
      <w:start w:val="1"/>
    </w:lvl>
    <w:lvl w:ilvl="1">
      <w:lvlJc w:val="left"/>
      <w:lvlText w:val="(%2)"/>
      <w:numFmt w:val="lowerRoman"/>
      <w:start w:val="1"/>
    </w:lvl>
  </w:abstractNum>
  <w:abstractNum w:abstractNumId="47">
    <w:nsid w:val="374A3FE6"/>
    <w:multiLevelType w:val="hybridMultilevel"/>
    <w:lvl w:ilvl="0">
      <w:lvlJc w:val="left"/>
      <w:lvlText w:val="%1."/>
      <w:numFmt w:val="decimal"/>
      <w:start w:val="1"/>
    </w:lvl>
  </w:abstractNum>
  <w:abstractNum w:abstractNumId="48">
    <w:nsid w:val="4F4EF005"/>
    <w:multiLevelType w:val="hybridMultilevel"/>
    <w:lvl w:ilvl="0">
      <w:lvlJc w:val="left"/>
      <w:lvlText w:val="%1."/>
      <w:numFmt w:val="decimal"/>
      <w:start w:val="3"/>
    </w:lvl>
  </w:abstractNum>
  <w:abstractNum w:abstractNumId="49">
    <w:nsid w:val="23F9C13C"/>
    <w:multiLevelType w:val="hybridMultilevel"/>
    <w:lvl w:ilvl="0">
      <w:lvlJc w:val="left"/>
      <w:lvlText w:val="(%1)"/>
      <w:numFmt w:val="lowerLetter"/>
      <w:start w:val="1"/>
    </w:lvl>
  </w:abstractNum>
  <w:abstractNum w:abstractNumId="50">
    <w:nsid w:val="649BB77C"/>
    <w:multiLevelType w:val="hybridMultilevel"/>
    <w:lvl w:ilvl="0">
      <w:lvlJc w:val="left"/>
      <w:lvlText w:val="(%1)"/>
      <w:numFmt w:val="lowerLetter"/>
      <w:start w:val="2"/>
    </w:lvl>
  </w:abstractNum>
  <w:abstractNum w:abstractNumId="51">
    <w:nsid w:val="275AC794"/>
    <w:multiLevelType w:val="hybridMultilevel"/>
    <w:lvl w:ilvl="0">
      <w:lvlJc w:val="left"/>
      <w:lvlText w:val="%1."/>
      <w:numFmt w:val="decimal"/>
      <w:start w:val="6"/>
    </w:lvl>
  </w:abstractNum>
  <w:abstractNum w:abstractNumId="52">
    <w:nsid w:val="39386575"/>
    <w:multiLevelType w:val="hybridMultilevel"/>
    <w:lvl w:ilvl="0">
      <w:lvlJc w:val="left"/>
      <w:lvlText w:val="%1."/>
      <w:numFmt w:val="decimal"/>
      <w:start w:val="8"/>
    </w:lvl>
  </w:abstractNum>
  <w:abstractNum w:abstractNumId="53">
    <w:nsid w:val="1CF10FD8"/>
    <w:multiLevelType w:val="hybridMultilevel"/>
    <w:lvl w:ilvl="0">
      <w:lvlJc w:val="left"/>
      <w:lvlText w:val="%1"/>
      <w:numFmt w:val="decimal"/>
      <w:start w:val="1"/>
    </w:lvl>
    <w:lvl w:ilvl="1">
      <w:lvlJc w:val="left"/>
      <w:lvlText w:val="(%2)"/>
      <w:numFmt w:val="lowerLetter"/>
      <w:start w:val="1"/>
    </w:lvl>
  </w:abstractNum>
  <w:abstractNum w:abstractNumId="54">
    <w:nsid w:val="180115BE"/>
    <w:multiLevelType w:val="hybridMultilevel"/>
    <w:lvl w:ilvl="0">
      <w:lvlJc w:val="left"/>
      <w:lvlText w:val="%1."/>
      <w:numFmt w:val="decimal"/>
      <w:start w:val="9"/>
    </w:lvl>
    <w:lvl w:ilvl="1">
      <w:lvlJc w:val="left"/>
      <w:lvlText w:val="%2"/>
      <w:numFmt w:val="lowerLetter"/>
      <w:start w:val="1"/>
    </w:lvl>
  </w:abstractNum>
  <w:abstractNum w:abstractNumId="55">
    <w:nsid w:val="235BA861"/>
    <w:multiLevelType w:val="hybridMultilevel"/>
    <w:lvl w:ilvl="0">
      <w:lvlJc w:val="left"/>
      <w:lvlText w:val="%1."/>
      <w:numFmt w:val="decimal"/>
      <w:start w:val="11"/>
    </w:lvl>
  </w:abstractNum>
  <w:abstractNum w:abstractNumId="56">
    <w:nsid w:val="47398C89"/>
    <w:multiLevelType w:val="hybridMultilevel"/>
    <w:lvl w:ilvl="0">
      <w:lvlJc w:val="left"/>
      <w:lvlText w:val="%1."/>
      <w:numFmt w:val="decimal"/>
      <w:start w:val="13"/>
    </w:lvl>
  </w:abstractNum>
  <w:abstractNum w:abstractNumId="57">
    <w:nsid w:val="354FE9F9"/>
    <w:multiLevelType w:val="hybridMultilevel"/>
    <w:lvl w:ilvl="0">
      <w:lvlJc w:val="left"/>
      <w:lvlText w:val="·"/>
      <w:numFmt w:val="bullet"/>
      <w:start w:val="1"/>
    </w:lvl>
  </w:abstractNum>
  <w:abstractNum w:abstractNumId="58">
    <w:nsid w:val="15B5AF5C"/>
    <w:multiLevelType w:val="hybridMultilevel"/>
    <w:lvl w:ilvl="0">
      <w:lvlJc w:val="left"/>
      <w:lvlText w:val="•"/>
      <w:numFmt w:val="bullet"/>
      <w:start w:val="1"/>
    </w:lvl>
  </w:abstractNum>
  <w:abstractNum w:abstractNumId="59">
    <w:nsid w:val="741226B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2025-03-17T15:29:10Z</dcterms:created>
  <dcterms:modified xsi:type="dcterms:W3CDTF">2025-03-17T15:29:10Z</dcterms:modified>
</cp:coreProperties>
</file>