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-3175</wp:posOffset>
            </wp:positionV>
            <wp:extent cx="51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139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397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AVITA MEDICAL, INC.</w:t>
      </w:r>
    </w:p>
    <w:p>
      <w:pPr>
        <w:spacing w:after="0" w:line="64" w:lineRule="exact"/>
        <w:rPr>
          <w:sz w:val="24"/>
          <w:szCs w:val="24"/>
          <w:color w:val="auto"/>
        </w:rPr>
      </w:pPr>
    </w:p>
    <w:tbl>
      <w:tblPr>
        <w:tblLayout w:type="fixed"/>
        <w:tblInd w:w="200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94"/>
        </w:trPr>
        <w:tc>
          <w:tcPr>
            <w:tcW w:w="1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r>
      <w:tr>
        <w:trPr>
          <w:trHeight w:val="285"/>
        </w:trPr>
        <w:tc>
          <w:tcPr>
            <w:tcW w:w="17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00" w:type="dxa"/>
            <w:vAlign w:val="bottom"/>
            <w:gridSpan w:val="3"/>
          </w:tcPr>
          <w:p>
            <w:pPr>
              <w:jc w:val="center"/>
              <w:ind w:left="4145"/>
              <w:spacing w:after="0"/>
              <w:rPr>
                <w:sz w:val="20"/>
                <w:szCs w:val="20"/>
                <w:color w:val="auto"/>
              </w:rPr>
            </w:pPr>
            <w:r>
              <w:rPr>
                <w:rFonts w:ascii="Times New Roman" w:cs="Times New Roman" w:eastAsia="Times New Roman" w:hAnsi="Times New Roman"/>
                <w:sz w:val="16"/>
                <w:szCs w:val="16"/>
                <w:b w:val="1"/>
                <w:bCs w:val="1"/>
                <w:color w:val="auto"/>
              </w:rPr>
              <w:t>85-1021707</w:t>
            </w:r>
          </w:p>
        </w:tc>
      </w:tr>
      <w:tr>
        <w:trPr>
          <w:trHeight w:val="148"/>
        </w:trPr>
        <w:tc>
          <w:tcPr>
            <w:tcW w:w="1720" w:type="dxa"/>
            <w:vAlign w:val="bottom"/>
          </w:tcPr>
          <w:p>
            <w:pPr>
              <w:jc w:val="center"/>
              <w:ind w:right="31"/>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80" w:type="dxa"/>
            <w:vAlign w:val="bottom"/>
          </w:tcPr>
          <w:p>
            <w:pPr>
              <w:jc w:val="center"/>
              <w:ind w:left="1137"/>
              <w:spacing w:after="0" w:line="14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70"/>
        </w:trPr>
        <w:tc>
          <w:tcPr>
            <w:tcW w:w="1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w w:val="99"/>
              </w:rPr>
              <w:t>28159 Avenue Stanford</w:t>
            </w:r>
          </w:p>
        </w:tc>
      </w:tr>
      <w:tr>
        <w:trPr>
          <w:trHeight w:val="203"/>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Suite 220</w:t>
            </w:r>
          </w:p>
        </w:tc>
      </w:tr>
      <w:tr>
        <w:trPr>
          <w:trHeight w:val="198"/>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Valencia, CA 91355</w:t>
            </w:r>
          </w:p>
        </w:tc>
      </w:tr>
      <w:tr>
        <w:trPr>
          <w:trHeight w:val="166"/>
        </w:trPr>
        <w:tc>
          <w:tcPr>
            <w:tcW w:w="1720" w:type="dxa"/>
            <w:vAlign w:val="bottom"/>
          </w:tcPr>
          <w:p>
            <w:pPr>
              <w:spacing w:after="0"/>
              <w:rPr>
                <w:sz w:val="14"/>
                <w:szCs w:val="14"/>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and Zip Code)</w:t>
            </w:r>
          </w:p>
        </w:tc>
      </w:tr>
    </w:tbl>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4380" w:type="dxa"/>
            <w:vAlign w:val="bottom"/>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4"/>
                <w:szCs w:val="14"/>
                <w:color w:val="auto"/>
              </w:rPr>
            </w:pPr>
          </w:p>
        </w:tc>
        <w:tc>
          <w:tcPr>
            <w:tcW w:w="2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438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07"/>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8"/>
                <w:szCs w:val="18"/>
                <w:color w:val="auto"/>
              </w:rPr>
            </w:pPr>
          </w:p>
        </w:tc>
        <w:tc>
          <w:tcPr>
            <w:tcW w:w="224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RCEL</w:t>
            </w:r>
          </w:p>
        </w:tc>
        <w:tc>
          <w:tcPr>
            <w:tcW w:w="100" w:type="dxa"/>
            <w:vAlign w:val="bottom"/>
          </w:tcPr>
          <w:p>
            <w:pPr>
              <w:spacing w:after="0"/>
              <w:rPr>
                <w:sz w:val="18"/>
                <w:szCs w:val="18"/>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71"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4" w:right="339" w:bottom="1440" w:gutter="0" w:footer="0" w:header="0"/>
        </w:sectPr>
      </w:pPr>
    </w:p>
    <w:p>
      <w:pPr>
        <w:spacing w:after="0" w:line="33"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Smaller reporting company</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spacing w:after="0"/>
              <w:rPr>
                <w:sz w:val="24"/>
                <w:szCs w:val="24"/>
                <w:color w:val="auto"/>
              </w:rPr>
            </w:pPr>
          </w:p>
        </w:tc>
      </w:tr>
    </w:tbl>
    <w:p>
      <w:pPr>
        <w:spacing w:after="0" w:line="34"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14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par value $0.0001, outstanding as of May 6, 2024 was 25,799,735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20" w:space="320"/>
            <w:col w:w="200"/>
          </w:cols>
          <w:pgMar w:left="320" w:top="9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40" w:type="dxa"/>
            <w:vAlign w:val="bottom"/>
            <w:gridSpan w:val="12"/>
          </w:tcPr>
          <w:p>
            <w:pPr>
              <w:ind w:left="1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40" w:type="dxa"/>
            <w:vAlign w:val="bottom"/>
          </w:tcPr>
          <w:p>
            <w:pPr>
              <w:spacing w:after="0"/>
              <w:rPr>
                <w:sz w:val="20"/>
                <w:szCs w:val="20"/>
                <w:color w:val="auto"/>
              </w:rPr>
            </w:pPr>
          </w:p>
        </w:tc>
      </w:tr>
      <w:tr>
        <w:trPr>
          <w:trHeight w:val="432"/>
        </w:trPr>
        <w:tc>
          <w:tcPr>
            <w:tcW w:w="20" w:type="dxa"/>
            <w:vAlign w:val="bottom"/>
            <w:tcBorders>
              <w:bottom w:val="single" w:sz="8" w:color="0000EE"/>
            </w:tcBorders>
          </w:tcPr>
          <w:p>
            <w:pPr>
              <w:spacing w:after="0"/>
              <w:rPr>
                <w:sz w:val="24"/>
                <w:szCs w:val="24"/>
                <w:color w:val="auto"/>
              </w:rPr>
            </w:pPr>
          </w:p>
        </w:tc>
        <w:tc>
          <w:tcPr>
            <w:tcW w:w="5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8"/>
              </w:rPr>
              <w:t>SPECIAL NOTE REGARDING FORWARD-LOOKING STATEMENT</w:t>
            </w:r>
          </w:p>
        </w:tc>
        <w:tc>
          <w:tcPr>
            <w:tcW w:w="40" w:type="dxa"/>
            <w:vAlign w:val="bottom"/>
            <w:tcBorders>
              <w:bottom w:val="single" w:sz="8" w:color="0000EE"/>
            </w:tcBorders>
          </w:tcPr>
          <w:p>
            <w:pPr>
              <w:spacing w:after="0"/>
              <w:rPr>
                <w:sz w:val="24"/>
                <w:szCs w:val="24"/>
                <w:color w:val="auto"/>
              </w:rPr>
            </w:pPr>
          </w:p>
        </w:tc>
        <w:tc>
          <w:tcPr>
            <w:tcW w:w="458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20" w:type="dxa"/>
            <w:vAlign w:val="bottom"/>
          </w:tcPr>
          <w:p>
            <w:pPr>
              <w:spacing w:after="0"/>
              <w:rPr>
                <w:sz w:val="24"/>
                <w:szCs w:val="24"/>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020" w:type="dxa"/>
            <w:vAlign w:val="bottom"/>
            <w:gridSpan w:val="1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31"/>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 xml:space="preserve">Consolidated Balance Sheets – As of March 31, 2024 (unaudited) and December 31, 2023 </w:t>
            </w:r>
            <w:r>
              <w:rPr>
                <w:rFonts w:ascii="Times New Roman" w:cs="Times New Roman" w:eastAsia="Times New Roman" w:hAnsi="Times New Roman"/>
                <w:sz w:val="18"/>
                <w:szCs w:val="18"/>
                <w:color w:val="000000"/>
              </w:rPr>
              <w:t>(audited)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three-months ended March 31, 2024 and 2023 (unaudited)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three-months ended March 31, 2024 and 2023 (unaudited)</w:t>
            </w:r>
          </w:p>
        </w:tc>
        <w:tc>
          <w:tcPr>
            <w:tcW w:w="20" w:type="dxa"/>
            <w:vAlign w:val="bottom"/>
            <w:tcBorders>
              <w:bottom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three-months ended March 31, 2024 and 2023 (unaudited)</w:t>
            </w:r>
          </w:p>
        </w:tc>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three-months ended March 31, 2024 and 2023 (unaudited)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20" w:type="dxa"/>
            <w:vAlign w:val="bottom"/>
            <w:tcBorders>
              <w:top w:val="single" w:sz="8" w:color="0000FF"/>
              <w:bottom w:val="single" w:sz="8" w:color="0000EE"/>
            </w:tcBorders>
          </w:tcPr>
          <w:p>
            <w:pPr>
              <w:spacing w:after="0"/>
              <w:rPr>
                <w:sz w:val="24"/>
                <w:szCs w:val="24"/>
                <w:color w:val="auto"/>
              </w:rPr>
            </w:pPr>
          </w:p>
        </w:tc>
        <w:tc>
          <w:tcPr>
            <w:tcW w:w="3580" w:type="dxa"/>
            <w:vAlign w:val="bottom"/>
            <w:tcBorders>
              <w:top w:val="single" w:sz="8" w:color="0000FF"/>
            </w:tcBorders>
            <w:gridSpan w:val="7"/>
          </w:tcPr>
          <w:p>
            <w:pPr>
              <w:spacing w:after="0"/>
              <w:rPr>
                <w:sz w:val="24"/>
                <w:szCs w:val="24"/>
                <w:color w:val="auto"/>
              </w:rPr>
            </w:pPr>
          </w:p>
        </w:tc>
        <w:tc>
          <w:tcPr>
            <w:tcW w:w="154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8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5"/>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8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0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8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4"/>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840" w:type="dxa"/>
            <w:vAlign w:val="bottom"/>
            <w:gridSpan w:val="16"/>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4"/>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24"/>
                <w:szCs w:val="24"/>
                <w:color w:val="auto"/>
              </w:rPr>
            </w:pPr>
          </w:p>
        </w:tc>
        <w:tc>
          <w:tcPr>
            <w:tcW w:w="482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4"/>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4"/>
                <w:szCs w:val="24"/>
                <w:color w:val="auto"/>
              </w:rPr>
            </w:pPr>
          </w:p>
        </w:tc>
        <w:tc>
          <w:tcPr>
            <w:tcW w:w="7860" w:type="dxa"/>
            <w:vAlign w:val="bottom"/>
            <w:gridSpan w:val="17"/>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45"/>
        </w:trPr>
        <w:tc>
          <w:tcPr>
            <w:tcW w:w="20" w:type="dxa"/>
            <w:vAlign w:val="bottom"/>
          </w:tcPr>
          <w:p>
            <w:pPr>
              <w:spacing w:after="0"/>
              <w:rPr>
                <w:sz w:val="24"/>
                <w:szCs w:val="24"/>
                <w:color w:val="auto"/>
              </w:rPr>
            </w:pPr>
          </w:p>
        </w:tc>
        <w:tc>
          <w:tcPr>
            <w:tcW w:w="10180" w:type="dxa"/>
            <w:vAlign w:val="bottom"/>
            <w:gridSpan w:val="24"/>
          </w:tcPr>
          <w:p>
            <w:pPr>
              <w:ind w:left="440"/>
              <w:spacing w:after="0"/>
              <w:rPr>
                <w:sz w:val="20"/>
                <w:szCs w:val="20"/>
                <w:color w:val="auto"/>
              </w:rPr>
            </w:pPr>
            <w:r>
              <w:rPr>
                <w:rFonts w:ascii="Times New Roman" w:cs="Times New Roman" w:eastAsia="Times New Roman" w:hAnsi="Times New Roman"/>
                <w:sz w:val="18"/>
                <w:szCs w:val="18"/>
                <w:color w:val="0000FF"/>
              </w:rPr>
              <w:t>Signatures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243"/>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our ability to expand our sales organization to address effectively existing and new markets that we intend to target; future employment and contributions of personnel; tax and rising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w:t>
      </w:r>
    </w:p>
    <w:p>
      <w:pPr>
        <w:spacing w:after="0" w:line="173"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82" w:lineRule="exact"/>
        <w:rPr>
          <w:sz w:val="20"/>
          <w:szCs w:val="20"/>
          <w:color w:val="auto"/>
        </w:rPr>
      </w:pPr>
    </w:p>
    <w:p>
      <w:pPr>
        <w:ind w:right="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(audited)</w:t>
            </w: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BARDA receivables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104,006</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Plant and equipment, net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20"/>
                <w:szCs w:val="20"/>
                <w:color w:val="auto"/>
              </w:rPr>
            </w:pPr>
          </w:p>
        </w:tc>
      </w:tr>
      <w:tr>
        <w:trPr>
          <w:trHeight w:val="20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STOCKHOLDERS' EQUITY</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0"/>
                <w:szCs w:val="20"/>
                <w:color w:val="auto"/>
              </w:rPr>
            </w:pPr>
          </w:p>
        </w:tc>
      </w:tr>
      <w:tr>
        <w:trPr>
          <w:trHeight w:val="241"/>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200,000,000 shares authorized, 25,789,051 and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25,682,078, shares issued and outstanding at March 31, 2024 and December 31, 2023,</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2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(944 )</w:t>
            </w:r>
          </w:p>
        </w:tc>
        <w:tc>
          <w:tcPr>
            <w:tcW w:w="1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353,205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350,039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(3,068 )</w:t>
            </w:r>
          </w:p>
        </w:tc>
        <w:tc>
          <w:tcPr>
            <w:tcW w:w="1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(316,627 )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(297,969 )</w:t>
            </w:r>
          </w:p>
        </w:tc>
      </w:tr>
      <w:tr>
        <w:trPr>
          <w:trHeight w:val="237"/>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00" w:type="dxa"/>
            <w:vAlign w:val="bottom"/>
            <w:tcBorders>
              <w:top w:val="single" w:sz="8" w:color="CFF0FC"/>
            </w:tcBorders>
          </w:tcPr>
          <w:p>
            <w:pPr>
              <w:spacing w:after="0"/>
              <w:rPr>
                <w:sz w:val="20"/>
                <w:szCs w:val="20"/>
                <w:color w:val="auto"/>
              </w:rPr>
            </w:pPr>
          </w:p>
        </w:tc>
      </w:tr>
      <w:tr>
        <w:trPr>
          <w:trHeight w:val="2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-5271135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-5271135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-4337050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-3256915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-2322195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-350520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80" w:type="dxa"/>
            <w:vAlign w:val="bottom"/>
          </w:tcPr>
          <w:p>
            <w:pPr>
              <w:spacing w:after="0"/>
              <w:rPr>
                <w:sz w:val="19"/>
                <w:szCs w:val="19"/>
                <w:color w:val="auto"/>
              </w:rPr>
            </w:pPr>
          </w:p>
        </w:tc>
        <w:tc>
          <w:tcPr>
            <w:tcW w:w="18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r>
      <w:tr>
        <w:trPr>
          <w:trHeight w:val="243"/>
        </w:trPr>
        <w:tc>
          <w:tcPr>
            <w:tcW w:w="60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shd w:val="clear" w:color="auto" w:fill="CFF0FC"/>
          </w:tcPr>
          <w:p>
            <w:pPr>
              <w:spacing w:after="0"/>
              <w:rPr>
                <w:sz w:val="21"/>
                <w:szCs w:val="2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(1,667 )</w:t>
            </w:r>
          </w:p>
        </w:tc>
      </w:tr>
      <w:tr>
        <w:trPr>
          <w:trHeight w:val="237"/>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4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(12,640 )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(6,540 )</w:t>
            </w: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(8,963 )</w:t>
            </w:r>
          </w:p>
        </w:tc>
        <w:tc>
          <w:tcPr>
            <w:tcW w:w="6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(8,295 )</w:t>
            </w: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(4,586 )</w:t>
            </w:r>
          </w:p>
        </w:tc>
      </w:tr>
      <w:tr>
        <w:trPr>
          <w:trHeight w:val="20"/>
        </w:trPr>
        <w:tc>
          <w:tcPr>
            <w:tcW w:w="6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(26,797 )</w:t>
            </w:r>
          </w:p>
        </w:tc>
        <w:tc>
          <w:tcPr>
            <w:tcW w:w="6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(19,421 )</w:t>
            </w:r>
          </w:p>
        </w:tc>
      </w:tr>
      <w:tr>
        <w:trPr>
          <w:trHeight w:val="20"/>
        </w:trPr>
        <w:tc>
          <w:tcPr>
            <w:tcW w:w="60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(17,206 )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(9,911 )</w:t>
            </w: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(1,356 )</w:t>
            </w:r>
          </w:p>
        </w:tc>
        <w:tc>
          <w:tcPr>
            <w:tcW w:w="6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(18,628 )</w:t>
            </w:r>
          </w:p>
        </w:tc>
        <w:tc>
          <w:tcPr>
            <w:tcW w:w="6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(9,190 )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6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(18,658 )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(9,220 )</w:t>
            </w:r>
          </w:p>
        </w:tc>
      </w:tr>
      <w:tr>
        <w:trPr>
          <w:trHeight w:val="224"/>
        </w:trPr>
        <w:tc>
          <w:tcPr>
            <w:tcW w:w="6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(0.73 )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25,637,783</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25,202,088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-2536825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-1593850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-642620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-624840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80" w:type="dxa"/>
            <w:vAlign w:val="bottom"/>
            <w:gridSpan w:val="5"/>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223"/>
        </w:trPr>
        <w:tc>
          <w:tcPr>
            <w:tcW w:w="7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r>
      <w:tr>
        <w:trPr>
          <w:trHeight w:val="243"/>
        </w:trPr>
        <w:tc>
          <w:tcPr>
            <w:tcW w:w="74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(18,658 )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(9,220 )</w:t>
            </w: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due to credit risk on Long-term debt</w:t>
            </w: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(1,092 )</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gain/(loss) on marketable securities, net of tax</w:t>
            </w:r>
          </w:p>
        </w:tc>
        <w:tc>
          <w:tcPr>
            <w:tcW w:w="20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(89 )</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(19,839 )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(8,989 )</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continue"/>
          </w:tcPr>
          <w:p>
            <w:pPr>
              <w:spacing w:after="0"/>
              <w:rPr>
                <w:sz w:val="5"/>
                <w:szCs w:val="5"/>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7"/>
                <w:szCs w:val="7"/>
                <w:color w:val="auto"/>
              </w:rPr>
            </w:pPr>
          </w:p>
        </w:tc>
        <w:tc>
          <w:tcPr>
            <w:tcW w:w="6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00" w:type="dxa"/>
            <w:vAlign w:val="bottom"/>
          </w:tcPr>
          <w:p>
            <w:pPr>
              <w:spacing w:after="0"/>
              <w:rPr>
                <w:sz w:val="7"/>
                <w:szCs w:val="7"/>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00" w:type="dxa"/>
            <w:vAlign w:val="bottom"/>
          </w:tcPr>
          <w:p>
            <w:pPr>
              <w:spacing w:after="0"/>
              <w:rPr>
                <w:sz w:val="7"/>
                <w:szCs w:val="7"/>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9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25,682,078</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(1,130 ) $</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350,039</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(1,887 ) $</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(297,969 )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(18,658 )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(18,658 )</w:t>
            </w:r>
          </w:p>
        </w:tc>
        <w:tc>
          <w:tcPr>
            <w:tcW w:w="0" w:type="dxa"/>
            <w:vAlign w:val="bottom"/>
          </w:tcPr>
          <w:p>
            <w:pPr>
              <w:spacing w:after="0"/>
              <w:rPr>
                <w:sz w:val="1"/>
                <w:szCs w:val="1"/>
                <w:color w:val="auto"/>
              </w:rPr>
            </w:pPr>
          </w:p>
        </w:tc>
      </w:tr>
      <w:tr>
        <w:trPr>
          <w:trHeight w:val="176"/>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106,973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40" w:type="dxa"/>
            <w:vAlign w:val="bottom"/>
            <w:tcBorders>
              <w:right w:val="single" w:sz="8" w:color="CFF0FC"/>
            </w:tcBorders>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NQDC Plan</w:t>
            </w:r>
          </w:p>
        </w:tc>
        <w:tc>
          <w:tcPr>
            <w:tcW w:w="94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6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6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right w:val="single" w:sz="8" w:color="CFF0FC"/>
            </w:tcBorders>
            <w:vMerge w:val="continue"/>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continue"/>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(128 )</w:t>
            </w:r>
          </w:p>
        </w:tc>
        <w:tc>
          <w:tcPr>
            <w:tcW w:w="0" w:type="dxa"/>
            <w:vAlign w:val="bottom"/>
          </w:tcPr>
          <w:p>
            <w:pPr>
              <w:spacing w:after="0"/>
              <w:rPr>
                <w:sz w:val="1"/>
                <w:szCs w:val="1"/>
                <w:color w:val="auto"/>
              </w:rPr>
            </w:pPr>
          </w:p>
        </w:tc>
      </w:tr>
      <w:tr>
        <w:trPr>
          <w:trHeight w:val="176"/>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(89 )</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due to credit risk on Long-term debt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(1,092 )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(1,092 )</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25,789,051</w:t>
            </w:r>
          </w:p>
        </w:tc>
        <w:tc>
          <w:tcPr>
            <w:tcW w:w="12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(944 ) $</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353,205</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(3,068 ) $</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(316,627 )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94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continue"/>
          </w:tcPr>
          <w:p>
            <w:pPr>
              <w:spacing w:after="0"/>
              <w:rPr>
                <w:sz w:val="5"/>
                <w:szCs w:val="5"/>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7"/>
                <w:szCs w:val="7"/>
                <w:color w:val="auto"/>
              </w:rPr>
            </w:pPr>
          </w:p>
        </w:tc>
        <w:tc>
          <w:tcPr>
            <w:tcW w:w="640" w:type="dxa"/>
            <w:vAlign w:val="bottom"/>
            <w:gridSpan w:val="2"/>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00" w:type="dxa"/>
            <w:vAlign w:val="bottom"/>
          </w:tcPr>
          <w:p>
            <w:pPr>
              <w:spacing w:after="0"/>
              <w:rPr>
                <w:sz w:val="7"/>
                <w:szCs w:val="7"/>
                <w:color w:val="auto"/>
              </w:rPr>
            </w:pPr>
          </w:p>
        </w:tc>
        <w:tc>
          <w:tcPr>
            <w:tcW w:w="840" w:type="dxa"/>
            <w:vAlign w:val="bottom"/>
            <w:gridSpan w:val="2"/>
            <w:vMerge w:val="restart"/>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3"/>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00" w:type="dxa"/>
            <w:vAlign w:val="bottom"/>
          </w:tcPr>
          <w:p>
            <w:pPr>
              <w:spacing w:after="0"/>
              <w:rPr>
                <w:sz w:val="7"/>
                <w:szCs w:val="7"/>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9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25,208,436</w:t>
            </w:r>
          </w:p>
        </w:tc>
        <w:tc>
          <w:tcPr>
            <w:tcW w:w="5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 $</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339,825</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(262,588 )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(9,220 )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(9,220 )</w:t>
            </w:r>
          </w:p>
        </w:tc>
        <w:tc>
          <w:tcPr>
            <w:tcW w:w="0" w:type="dxa"/>
            <w:vAlign w:val="bottom"/>
          </w:tcPr>
          <w:p>
            <w:pPr>
              <w:spacing w:after="0"/>
              <w:rPr>
                <w:sz w:val="1"/>
                <w:szCs w:val="1"/>
                <w:color w:val="auto"/>
              </w:rPr>
            </w:pPr>
          </w:p>
        </w:tc>
      </w:tr>
      <w:tr>
        <w:trPr>
          <w:trHeight w:val="176"/>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Company common stock held by the NQDC Plan</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87,650</w:t>
            </w:r>
          </w:p>
        </w:tc>
        <w:tc>
          <w:tcPr>
            <w:tcW w:w="12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(765 )</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(558 )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(558 )</w:t>
            </w:r>
          </w:p>
        </w:tc>
        <w:tc>
          <w:tcPr>
            <w:tcW w:w="0" w:type="dxa"/>
            <w:vAlign w:val="bottom"/>
          </w:tcPr>
          <w:p>
            <w:pPr>
              <w:spacing w:after="0"/>
              <w:rPr>
                <w:sz w:val="1"/>
                <w:szCs w:val="1"/>
                <w:color w:val="auto"/>
              </w:rPr>
            </w:pPr>
          </w:p>
        </w:tc>
      </w:tr>
      <w:tr>
        <w:trPr>
          <w:trHeight w:val="175"/>
        </w:trPr>
        <w:tc>
          <w:tcPr>
            <w:tcW w:w="39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gain</w:t>
            </w: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25,327,761</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(892 )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342,400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(271,808 )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-1748155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-1731010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-1748155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-1731010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-1748155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-1731010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-1748155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-1731010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-1748155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-1731010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-1748155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-1731010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-145415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-145415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-145415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-145415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-145415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gridSpan w:val="5"/>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223"/>
        </w:trPr>
        <w:tc>
          <w:tcPr>
            <w:tcW w:w="7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(18,658 )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(9,220 )</w:t>
            </w: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long-term debt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Remeasurement and foreign currency transaction gain</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Excess and obsolete inventory related charges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BARDA deferred costs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cost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premium of marketable securities</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(677 )</w:t>
            </w:r>
          </w:p>
        </w:tc>
        <w:tc>
          <w:tcPr>
            <w:tcW w:w="2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changes in the fair value of NQDC plan</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BARDA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(1,864 )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(1,659 )</w:t>
            </w:r>
          </w:p>
        </w:tc>
        <w:tc>
          <w:tcPr>
            <w:tcW w:w="2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(224 )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Corporate-owned life insurance ("COLI") asset</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(215 )</w:t>
            </w:r>
          </w:p>
        </w:tc>
        <w:tc>
          <w:tcPr>
            <w:tcW w:w="2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(526 )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(46 )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(763 )</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wages and fringe benefits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(2,170 )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(2,957 )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non-qualified deferred compensation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(109 )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Non-qualified deferred compensation plan liability</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(165 )</w:t>
            </w:r>
          </w:p>
        </w:tc>
        <w:tc>
          <w:tcPr>
            <w:tcW w:w="2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213"/>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operations</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(20,864</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(2,904 )</w:t>
            </w:r>
          </w:p>
        </w:tc>
        <w:tc>
          <w:tcPr>
            <w:tcW w:w="2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(5,183 )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24,271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200" w:type="dxa"/>
            <w:vAlign w:val="bottom"/>
          </w:tcPr>
          <w:p>
            <w:pPr>
              <w:spacing w:after="0"/>
              <w:rPr>
                <w:sz w:val="19"/>
                <w:szCs w:val="19"/>
                <w:color w:val="auto"/>
              </w:rPr>
            </w:pPr>
          </w:p>
        </w:tc>
        <w:tc>
          <w:tcPr>
            <w:tcW w:w="1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(1,147 )</w:t>
            </w:r>
          </w:p>
        </w:tc>
        <w:tc>
          <w:tcPr>
            <w:tcW w:w="2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3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Patent filing fees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(83 )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6"/>
        </w:trPr>
        <w:tc>
          <w:tcPr>
            <w:tcW w:w="74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15,066</w:t>
            </w:r>
          </w:p>
        </w:tc>
        <w:tc>
          <w:tcPr>
            <w:tcW w:w="4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18,787</w:t>
            </w:r>
          </w:p>
        </w:tc>
        <w:tc>
          <w:tcPr>
            <w:tcW w:w="100" w:type="dxa"/>
            <w:vAlign w:val="bottom"/>
            <w:tcBorders>
              <w:top w:val="single" w:sz="8" w:color="CFF0FC"/>
            </w:tcBorders>
          </w:tcPr>
          <w:p>
            <w:pPr>
              <w:spacing w:after="0"/>
              <w:rPr>
                <w:sz w:val="18"/>
                <w:szCs w:val="18"/>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FF0FC"/>
            </w:tcBorders>
          </w:tcPr>
          <w:p>
            <w:pPr>
              <w:spacing w:after="0"/>
              <w:rPr>
                <w:sz w:val="19"/>
                <w:szCs w:val="19"/>
                <w:color w:val="auto"/>
              </w:rPr>
            </w:pPr>
          </w:p>
        </w:tc>
      </w:tr>
      <w:tr>
        <w:trPr>
          <w:trHeight w:val="230"/>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(5,167 )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9,886</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4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18,164</w:t>
            </w:r>
          </w:p>
        </w:tc>
        <w:tc>
          <w:tcPr>
            <w:tcW w:w="100" w:type="dxa"/>
            <w:vAlign w:val="bottom"/>
            <w:tcBorders>
              <w:top w:val="single" w:sz="8" w:color="CFF0FC"/>
            </w:tcBorders>
          </w:tcPr>
          <w:p>
            <w:pPr>
              <w:spacing w:after="0"/>
              <w:rPr>
                <w:sz w:val="19"/>
                <w:szCs w:val="19"/>
                <w:color w:val="auto"/>
              </w:rPr>
            </w:pPr>
          </w:p>
        </w:tc>
      </w:tr>
      <w:tr>
        <w:trPr>
          <w:trHeight w:val="26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16,951</w:t>
            </w:r>
          </w:p>
        </w:tc>
        <w:tc>
          <w:tcPr>
            <w:tcW w:w="4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taxes paid during the period</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4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Plant and equipment purchases not yet paid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Right-of-use-asset obtained in exchange for lease liabilities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-2099310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-1653540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-1207770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-899160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-882015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229"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18"/>
          <w:szCs w:val="18"/>
          <w:color w:val="auto"/>
        </w:rPr>
        <w:t>AVITA Medical, Inc. and its subsidiaries (collectively, “AVITA Medical”, “we”, “our”, “us”, or “Company”) is a commercial-stage regenerative medicine company transforming the standard of care in wound management and skin restoration with innovative devices. At the forefront of the Company's portfolio is its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System (“RECELL System” or “RECELL”), approved by the FDA for the treatment of thermal burn wounds and full-thickness skin defects ("FTSD"), and for repigmentation of stable depigmented vitiligo lesions. RECELL harnesses the regenerative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 of care. This breakthrough technology serves as the catalyst for a new treatment paradigm enabling improved clinical outcomes.</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10, 2024, the Company entered into an exclusive multi-year distribution agreement with Stedical Scientific, Inc.</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("Stedical") to commercialize PermeaDerm® Biosynthetic Wound Matrix ("PermeaDerm") in the United States (the "Stedical Agreement"). PermeaDerm is cleared by the FDA as a transparent matrix for use in the treatment of a variety of wound types until healing is achieved. Under the terms of the agreement, the Company holds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2023 filed with the SEC on February 22, 2024 and the Australian Securities Exchange ("ASX") on February 23, 2024 (the “2023 Annual Report").</w:t>
      </w:r>
    </w:p>
    <w:p>
      <w:pPr>
        <w:spacing w:after="0" w:line="19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the 2023 Annual Report that have had a material impact on the Company’s Consolidated Financial Statements. See the summary of the Company’s significant accounting policies set forth in the notes to its Consolidated Financial Statements included in the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transactions and balances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w:t>
      </w:r>
      <w:r>
        <w:rPr>
          <w:rFonts w:ascii="Times New Roman" w:cs="Times New Roman" w:eastAsia="Times New Roman" w:hAnsi="Times New Roman"/>
          <w:sz w:val="18"/>
          <w:szCs w:val="18"/>
          <w:i w:val="1"/>
          <w:iCs w:val="1"/>
          <w:color w:val="auto"/>
        </w:rPr>
        <w:t>egment Reporting (Topic 280): Improvements to Reportable Segment Disclosures.</w:t>
      </w:r>
      <w:r>
        <w:rPr>
          <w:rFonts w:ascii="Times New Roman" w:cs="Times New Roman" w:eastAsia="Times New Roman" w:hAnsi="Times New Roman"/>
          <w:sz w:val="18"/>
          <w:szCs w:val="18"/>
          <w:color w:val="auto"/>
        </w:rPr>
        <w:t xml:space="preserve">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GAAP, the disclosure of additional measures of segment profit or loss that are used by the CODM in assessing segment performance and deciding how to allocate resources. All disclosure requirements under </w:t>
      </w:r>
      <w:r>
        <w:rPr>
          <w:rFonts w:ascii="Times New Roman" w:cs="Times New Roman" w:eastAsia="Times New Roman" w:hAnsi="Times New Roman"/>
          <w:sz w:val="18"/>
          <w:szCs w:val="18"/>
          <w:i w:val="1"/>
          <w:iCs w:val="1"/>
          <w:color w:val="auto"/>
        </w:rPr>
        <w:t>ASU 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07</w:t>
      </w:r>
      <w:r>
        <w:rPr>
          <w:rFonts w:ascii="Times New Roman" w:cs="Times New Roman" w:eastAsia="Times New Roman" w:hAnsi="Times New Roman"/>
          <w:sz w:val="18"/>
          <w:szCs w:val="18"/>
          <w:color w:val="auto"/>
        </w:rPr>
        <w:t xml:space="preserve"> are also required for public entities with a single reportable segment. The ASU is effective for the Company’s 2023 Annual Report on Form 10-K for the fiscal year ending December 31, 2025, and subsequent interim periods, with early adoption permitted. The Company is currently evaluating the impact of adopting this ASU on its consolidated financial statements and disclosures.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The amendments require (i) enhanced disclosures in connection with an entity's effective tax rate reconciliation and (ii) income taxes paid disaggregated by jurisdiction. The amendments are effective for annual periods beginning after December 15, 2024. The Company is currently evaluating the impact of adopting this ASU on its consolidated financial statements and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that affect the reported amounts (including estimate of the average selling price for PermeaDerm sales, allowance for credit losses, reserves for inventory excess and obsolescence, carrying value of long-lived assets, the useful lives of long-lived assets, accounting for marketable securities, income taxes, fair value of the debt, fair value of warrants and stock-based compensation) and related disclosures. Estimates have been prepared on the basis of the current and available information. However, actual results could differ from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Other comprehensive gain (loss) in Stockholders’ Equity. Gains and losses resulting from foreign currency transactions are included in earnings in the Consolidated Statement of Operations. Gains and losses resulting from foreign currency transactions were minimal for the three-months ended March 31, 2024 and 2023.</w:t>
      </w:r>
    </w:p>
    <w:p>
      <w:pPr>
        <w:spacing w:after="0" w:line="187" w:lineRule="exact"/>
        <w:rPr>
          <w:sz w:val="20"/>
          <w:szCs w:val="20"/>
          <w:color w:val="auto"/>
        </w:rPr>
      </w:pPr>
    </w:p>
    <w:p>
      <w:pPr>
        <w:ind w:right="500" w:firstLine="749"/>
        <w:spacing w:after="0" w:line="261" w:lineRule="auto"/>
        <w:rPr>
          <w:sz w:val="20"/>
          <w:szCs w:val="20"/>
          <w:color w:val="auto"/>
        </w:rPr>
      </w:pPr>
      <w:r>
        <w:rPr>
          <w:rFonts w:ascii="Times New Roman" w:cs="Times New Roman" w:eastAsia="Times New Roman" w:hAnsi="Times New Roman"/>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are included in earnings in the Consolidated Statement of Operations. Gains and losses for remeasurement and foreign currency transactions were minimal during the three-months ended March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Cash and cash equivalents consist of cash held at deposit institutions and cash equivalents. Cash equivalents consist primarily of money market funds. Cash equivalents also includes short-term highly liquid investments with original maturities of three months or less from the date of purchase. The Company holds cash at deposit institutions in the amount of $4.9 million and $10.7 million as of March 31, 2024 and December 31, 2023, respectively. The Company does not have cash on deposit denominated in foreign currency in foreign institutions as of March 31, 2024. As of December 31, 2023, the Company had $69,000 of cash on deposit denominated in foreign currencies in foreign institutions. As of March 31, 2024 and December 31, 2023, the Company held cash equivalents in the amount of $12.0 million and $11.4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trade receivables and debt and other liabilities. As of March 31, 2024 and December 31, 2023, substantially all the Company’s cash was deposited in accounts at financial institutions, and amounts exceed federally insured limits and are subject to the risk of bank failure.</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no single commercial customer accounted for more than 10% of net accounts receivable or more than 10% of revenues for the three-months ended March 31, 2024 and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amortized cost and estimated fair values of securities available-for-sale: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-2673985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-2656840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-2673985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-2656840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-2673985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-2656840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-2339340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-2339340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-2339340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-839470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-839470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-839470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maturities of our available-for-sale securities are summarized in the following table using contractual maturities. Actual maturities may differ from contractual maturities due to obligations that are called or prepaid.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31"/>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2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income (expense), net, in the accompanying Consolidated Statements of Operations. The Company had net unrealized gains of $7,000 and $95,000 as of March 31, 2024 and December 31, 2023, respectively. The Company did not have sales of investments during the three-months ended March 31, 2024 and 2023 that resulted in realized gains or losses. As of March 31, 2024, and December 31, 2023, the Company did not recognize credit losses. The Company has accrued interest income receivable of $182,000 and $227,000 as of March 31, 2024, and December 31, 2023, respectively, in Prepaids and other current assets.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p>
      <w:pPr>
        <w:ind w:right="80"/>
        <w:spacing w:after="0" w:line="282" w:lineRule="auto"/>
        <w:rPr>
          <w:sz w:val="20"/>
          <w:szCs w:val="20"/>
          <w:color w:val="auto"/>
        </w:rPr>
      </w:pPr>
      <w:r>
        <w:rPr>
          <w:rFonts w:ascii="Times New Roman" w:cs="Times New Roman" w:eastAsia="Times New Roman" w:hAnsi="Times New Roman"/>
          <w:sz w:val="18"/>
          <w:szCs w:val="18"/>
          <w:color w:val="auto"/>
        </w:rPr>
        <w:t>that reflect the Company’s assumptions about the factors market participants would use in valuing the asset or liability and are developed based on the best information available in the circumstances. The hierarchy consists of the following three levels:</w:t>
      </w:r>
    </w:p>
    <w:p>
      <w:pPr>
        <w:sectPr>
          <w:pgSz w:w="11900" w:h="16838" w:orient="portrait"/>
          <w:cols w:equalWidth="0" w:num="1">
            <w:col w:w="11240"/>
          </w:cols>
          <w:pgMar w:left="320" w:top="1012" w:right="339" w:bottom="1440" w:gutter="0" w:footer="0" w:header="0"/>
        </w:sectPr>
      </w:pP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reporting entity can measurement 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access at the</w:t>
      </w:r>
    </w:p>
    <w:p>
      <w:pPr>
        <w:spacing w:after="0" w:line="452" w:lineRule="exact"/>
        <w:rPr>
          <w:sz w:val="20"/>
          <w:szCs w:val="20"/>
          <w:color w:val="auto"/>
        </w:rPr>
      </w:pPr>
    </w:p>
    <w:p>
      <w:pPr>
        <w:sectPr>
          <w:pgSz w:w="11900" w:h="16838" w:orient="portrait"/>
          <w:cols w:equalWidth="0" w:num="2">
            <w:col w:w="9660" w:space="460"/>
            <w:col w:w="1120"/>
          </w:cols>
          <w:pgMar w:left="320" w:top="1012" w:right="339"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directly or</w:t>
      </w:r>
    </w:p>
    <w:p>
      <w:pPr>
        <w:spacing w:after="0" w:line="39" w:lineRule="exact"/>
        <w:rPr>
          <w:sz w:val="20"/>
          <w:szCs w:val="20"/>
          <w:color w:val="auto"/>
        </w:rPr>
      </w:pPr>
    </w:p>
    <w:p>
      <w:pPr>
        <w:sectPr>
          <w:pgSz w:w="11900" w:h="16838" w:orient="portrait"/>
          <w:cols w:equalWidth="0" w:num="2">
            <w:col w:w="9760" w:space="720"/>
            <w:col w:w="760"/>
          </w:cols>
          <w:pgMar w:left="320" w:top="10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indirectly.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 Inputs are unobservable inputs for the asset or liability</w:t>
      </w:r>
    </w:p>
    <w:p>
      <w:pPr>
        <w:sectPr>
          <w:pgSz w:w="11900" w:h="16838" w:orient="portrait"/>
          <w:cols w:equalWidth="0" w:num="1">
            <w:col w:w="11240"/>
          </w:cols>
          <w:pgMar w:left="320" w:top="1012" w:right="339" w:bottom="1440" w:gutter="0" w:footer="0" w:header="0"/>
          <w:type w:val="continuous"/>
        </w:sectPr>
      </w:pP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Pr>
          <w:p>
            <w:pPr>
              <w:spacing w:after="0"/>
              <w:rPr>
                <w:sz w:val="21"/>
                <w:szCs w:val="2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shd w:val="clear" w:color="auto" w:fill="CFF0FC"/>
          </w:tcPr>
          <w:p>
            <w:pPr>
              <w:spacing w:after="0"/>
              <w:rPr>
                <w:sz w:val="20"/>
                <w:szCs w:val="20"/>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00" w:type="dxa"/>
            <w:vAlign w:val="bottom"/>
          </w:tcPr>
          <w:p>
            <w:pPr>
              <w:spacing w:after="0"/>
              <w:rPr>
                <w:sz w:val="20"/>
                <w:szCs w:val="20"/>
                <w:color w:val="auto"/>
              </w:rPr>
            </w:pPr>
          </w:p>
        </w:tc>
      </w:tr>
      <w:tr>
        <w:trPr>
          <w:trHeight w:val="27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63,250</w:t>
            </w:r>
          </w:p>
        </w:tc>
        <w:tc>
          <w:tcPr>
            <w:tcW w:w="100" w:type="dxa"/>
            <w:vAlign w:val="bottom"/>
            <w:shd w:val="clear" w:color="auto" w:fill="CFF0FC"/>
          </w:tcPr>
          <w:p>
            <w:pPr>
              <w:spacing w:after="0"/>
              <w:rPr>
                <w:sz w:val="24"/>
                <w:szCs w:val="24"/>
                <w:color w:val="auto"/>
              </w:rPr>
            </w:pPr>
          </w:p>
        </w:tc>
      </w:tr>
      <w:tr>
        <w:trPr>
          <w:trHeight w:val="219"/>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21"/>
                <w:szCs w:val="2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-1602105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-1602105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-1602105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-1276350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-1259205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-1276350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-1259205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-1276350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-1259205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-633730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-633730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-633730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3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tcPr>
          <w:p>
            <w:pPr>
              <w:spacing w:after="0"/>
              <w:rPr>
                <w:sz w:val="20"/>
                <w:szCs w:val="20"/>
                <w:color w:val="auto"/>
              </w:rPr>
            </w:pPr>
          </w:p>
        </w:tc>
      </w:tr>
      <w:tr>
        <w:trPr>
          <w:trHeight w:val="27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78,358</w:t>
            </w:r>
          </w:p>
        </w:tc>
        <w:tc>
          <w:tcPr>
            <w:tcW w:w="100" w:type="dxa"/>
            <w:vAlign w:val="bottom"/>
            <w:shd w:val="clear" w:color="auto" w:fill="CFF0FC"/>
          </w:tcPr>
          <w:p>
            <w:pPr>
              <w:spacing w:after="0"/>
              <w:rPr>
                <w:sz w:val="24"/>
                <w:szCs w:val="24"/>
                <w:color w:val="auto"/>
              </w:rPr>
            </w:pPr>
          </w:p>
        </w:tc>
      </w:tr>
      <w:tr>
        <w:trPr>
          <w:trHeight w:val="219"/>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1"/>
                <w:szCs w:val="2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20"/>
                <w:szCs w:val="20"/>
                <w:color w:val="auto"/>
              </w:rPr>
            </w:pPr>
          </w:p>
        </w:tc>
      </w:tr>
      <w:tr>
        <w:trPr>
          <w:trHeight w:val="648"/>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-3136900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-3136900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-3136900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-2510790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-2510790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-2510790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-2185035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-2167890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-2185035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-2167890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-2185035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-2167890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-1542415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-1542415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-1542415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the summary of changes in the fair value of our Level 3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41"/>
        </w:trPr>
        <w:tc>
          <w:tcPr>
            <w:tcW w:w="38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Warrant liability</w:t>
            </w:r>
          </w:p>
        </w:tc>
        <w:tc>
          <w:tcPr>
            <w:tcW w:w="100" w:type="dxa"/>
            <w:vAlign w:val="bottom"/>
          </w:tcPr>
          <w:p>
            <w:pPr>
              <w:spacing w:after="0"/>
              <w:rPr>
                <w:sz w:val="20"/>
                <w:szCs w:val="20"/>
                <w:color w:val="auto"/>
              </w:rPr>
            </w:pPr>
          </w:p>
        </w:tc>
      </w:tr>
      <w:tr>
        <w:trPr>
          <w:trHeight w:val="239"/>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on issuance date</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in earnings</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in other comprehensive loss</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 at fair value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are valued based upon observable market prices. Level 2 assets consist of U.S Treasury securities and U.S. Government Agency obligations.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its recorded as Level 2. There were no transfers between fair value measurement levels during the period ended March 31, 2024 and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fair value of the debt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debt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debt valuation.</w:t>
      </w:r>
    </w:p>
    <w:p>
      <w:pPr>
        <w:spacing w:after="0" w:line="183"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404040"/>
        </w:rPr>
        <w:t>As the debt is subject to net revenue requirements, the valuation of the debt was determined using the Monte Carlo Simulation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or TTM is equal to or higher than the targeted revenues per the Credit Agreement. The MCS performs 100,000 iterations of various simulated revenues to determine the fair value of the debt.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below assumptions were used in the Monte Carlo simulation</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600" w:type="dxa"/>
            <w:vAlign w:val="bottom"/>
          </w:tcPr>
          <w:p>
            <w:pPr>
              <w:spacing w:after="0"/>
              <w:rPr>
                <w:sz w:val="24"/>
                <w:szCs w:val="24"/>
                <w:color w:val="auto"/>
              </w:rPr>
            </w:pPr>
          </w:p>
        </w:tc>
        <w:tc>
          <w:tcPr>
            <w:tcW w:w="22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r>
      <w:tr>
        <w:trPr>
          <w:trHeight w:val="23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4.20 %</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38"/>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64.00 %</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64.00 %</w:t>
            </w:r>
          </w:p>
        </w:tc>
      </w:tr>
      <w:tr>
        <w:trPr>
          <w:trHeight w:val="24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discount rate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16.99 %</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fair value of the warrant liability is recognized in connection with the Credit Agreement. The fair value of the warrant liability was determined based on significant inputs not observable in the market, which represents a Level 3 measurement within the fair value hierarchy. The fair value of the warrant liability, which is reported within Warrant liabilities on the Consolidated Balance Sheets, is estimated by the Company based on the Black-Scholes option pricing model with the following key inputs: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gridSpan w:val="2"/>
          </w:tcPr>
          <w:p>
            <w:pPr>
              <w:spacing w:after="0"/>
              <w:rPr>
                <w:sz w:val="21"/>
                <w:szCs w:val="21"/>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Price of common stock</w:t>
            </w:r>
          </w:p>
        </w:tc>
        <w:tc>
          <w:tcPr>
            <w:tcW w:w="4080" w:type="dxa"/>
            <w:vAlign w:val="bottom"/>
            <w:gridSpan w:val="2"/>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9.56 years</w:t>
            </w:r>
          </w:p>
        </w:tc>
        <w:tc>
          <w:tcPr>
            <w:tcW w:w="280" w:type="dxa"/>
            <w:vAlign w:val="bottom"/>
          </w:tcPr>
          <w:p>
            <w:pPr>
              <w:spacing w:after="0"/>
              <w:rPr>
                <w:sz w:val="20"/>
                <w:szCs w:val="20"/>
                <w:color w:val="auto"/>
              </w:rPr>
            </w:pPr>
          </w:p>
        </w:tc>
        <w:tc>
          <w:tcPr>
            <w:tcW w:w="21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9.81 years</w:t>
            </w:r>
          </w:p>
        </w:tc>
        <w:tc>
          <w:tcPr>
            <w:tcW w:w="60" w:type="dxa"/>
            <w:vAlign w:val="bottom"/>
          </w:tcPr>
          <w:p>
            <w:pPr>
              <w:spacing w:after="0"/>
              <w:rPr>
                <w:sz w:val="20"/>
                <w:szCs w:val="20"/>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31.39 %</w:t>
            </w:r>
          </w:p>
        </w:tc>
        <w:tc>
          <w:tcPr>
            <w:tcW w:w="28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31.07 %</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08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4.16 %</w:t>
            </w:r>
          </w:p>
        </w:tc>
        <w:tc>
          <w:tcPr>
            <w:tcW w:w="28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3.84 %</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0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661"/>
        </w:trPr>
        <w:tc>
          <w:tcPr>
            <w:tcW w:w="3600" w:type="dxa"/>
            <w:vAlign w:val="bottom"/>
          </w:tcPr>
          <w:p>
            <w:pPr>
              <w:spacing w:after="0"/>
              <w:rPr>
                <w:sz w:val="24"/>
                <w:szCs w:val="24"/>
                <w:color w:val="auto"/>
              </w:rPr>
            </w:pPr>
          </w:p>
        </w:tc>
        <w:tc>
          <w:tcPr>
            <w:tcW w:w="408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12"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Revenues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Company’s revenue consists of sale of the RECELL System to hospitals, treatment centers and distributors. Revenue also includes the sale of PermeaDerm to customers (collectively “commercial customers”). Revenue also includes maintenance fee received from BARDA to ensure first right of access. In the prior year, the Company recorded service revenue for the emergency preparedness services provided to BARDA (collectively "customers"). Services are included in Revenues within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Distributor Transactions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For international markets, the Company exclusively partners with third-party distributors (COSMOTEC and PolyMedics Innovation GmbH).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of the Company's Annual Report for the year-ended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PermeaDerm Sales</w:t>
      </w:r>
    </w:p>
    <w:p>
      <w:pPr>
        <w:spacing w:after="0" w:line="229"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As provided in the Stedical Scientific Distribution Agreement, the Company’s gross margin from the sale of PermeaDerm will be 50% of the average sales price. The Company and Stedical will split the gross revenue from sale of the products evenly through the purchase of products at 50% of Average Sale Price (“ASP”). The Company recognizes revenue when the customer obtains control of promised goods, in an amount that reflects the consideration which the Company expects to be entitled in exchange for those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Revenues from remaining performance obligations are calculated as the dollar value of the remaining performance obligations on executed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and relate to COSMOTEC. The estimated revenue expected to be recognized in the future related to performance obligations that are unsatisfied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partially unsatisfied) pursuant to the Company’s existing customer agreements is $382,000 and $390,000 as of March 31, 2024 and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These amounts are split between current and long-term in Other current liabilities and other Contract liabilities, respectively,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The Company has $33,000 in Other current liabilities as of March 31, 2024 and December 31, 2023 and $349,000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$357,000 Contract liabilities as of March 31, 2024 and December 31, 2023, respectively. The Company expects to recognize these amounts as revenue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basis over the term of the contract with COSMOTEC.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Contract assets include amounts related to the Company’s contractual right to consideration for both completed and partially completed performance for which the Company does not have the right to payment. As of March 31, 2024 and December 31, 2023, the Company does not have any contract assets.</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prior to satisfying its obligation to transfer goods to a customer. The Company had $382,000 and $390,000 of total contract liabilities as of March 31, 2024 and December 31, 2023, respectively. As of March 31, 2024 and December 31, 2023, a total of $33,000 was included in Other current liabilities and $349,000 and $357,000, respectively, in Contract liabilities in the Consolidated Balance Sheets. The balance relates to the unsatisfied performance obligation from COSMOTEC. The Company recognized approximately $8,000 of revenue from COSMOTEC for amounts included in the beginning balance of contract liabilities for the three-months ended March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geographical regions, by customer type and by product. As noted in the segment footnote, the Company’s business consists of one reporting segment. A reconciliation of disaggregated revenue by geographical region, customer type and product is provided in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October 18, 2023 (“Closing Date”) the Company entered into a Credit Agreement, by and between the Company, as borrower, and an affiliate of OrbiMed Advisors, LLC as the lender and administrative agent (the “Lender”). The Credit Agreement provides for a five-year senior secured credit facility in an aggregate principal amount of up to $90.0 million, of which (i) $40.0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was made available on the Closing Date (the “Initial Commitment Amount”), (ii) $25.0 million is available, at the Company’s discretion, on or prior to December 31, 2024, subject to certain net revenue requirements, and (iii) $25.0 million is available, at the Company’s discretion, on or prior to June 30, 2025, subject to certain net revenue requirements. The maturity date of the agreement is October 18, 2028 ("Maturity Date"). On the Closing date, the Company closed on the Initial Commitment Amount of $40.0 million, less certain fees and expenses payable to or on behalf of the Lender. The Company received net proceeds of $38.8 million upon closing after deducting the Lender's transaction costs in connection with the issuance.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the applicable repayment premium and exit fee of 3% on the principal amount of the loans. The repayment premium varies between 0.0% - 3.0%, depending on certain conditions that are defined in the Credit Agreement. The repayment premium incorporates the make-whole amount. The make-whole amount represents the remaining scheduled interest payments on the loan during the period commencing on the prepayment date through the 24-month anniversary of the closing date. The Credit Agreement further states that the Company will be required to repay the principal amount of the loans if the Company does not achieve certain net revenue thresholds. If, for any quarter until the maturity date, the Company’s net revenue does not equal or exceed the applicable trailing twelve-month amount as set forth in the Credit Agreement, then the Company shall repay in equal quarterly installments equal to 5.0% of the outstanding principal amount on the date the net revenue amount was not satisfied, together with a repayment premium and exit fee. The Company shall repay amounts outstanding in full immediately upon an acceleration as a result of an event of default as set forth in the Credit Agreement, together with a repayment premium and other fees. As of March 31, 2024, the Company has not made any repayments on the outstanding debt balance.</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term of the Credit Agreement, interest payable in cash by the Company shall accrue on any outstanding debt at a rate per annum equal to the greater of (x) the SOFR rate for such period and (y) 4.00% plus, in either case, 8.00%. As of March 31, 2024, the interest rate was 13.33%. During an event of default, any outstanding amount will bear interest at a rate of 4.00% in excess of the otherwise applicable rate of interest. The Company will pay certain fees with respect to the Credit Agreement, including an upfront fee, an unused fee on the undrawn portion of the Loan Facility, an administration fee, a repayment premium and an exit fee, as well as certain other fees and expenses of the Lender. The undrawn fee accrues at 0.5% of the undrawn balance and its recorded as an asset in the Consolidated Balance Sheets.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As of March 31, 2024, the Company was in compliance with all financial covenants in the Credit Agreement.</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Each of the Credit Agreement and the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and guarantors will be required to maintain at least $10.0 million of unrestricted cash and cash equivalents.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the Closing Date, the Company issued to an affiliate of the Lender a warrant (the “Warrant”) to purchase up to 409,661 shares of the Company’s Common Stock, par value $0.0001 per share (“Common Stock”), at an exercise price of $10.9847 per share, with a term of 10 years from the issuance date. The Warrant contains customary share adjustment provisions, as well as weighted average price protection in certain circumstances.</w:t>
      </w:r>
    </w:p>
    <w:p>
      <w:pPr>
        <w:spacing w:after="0" w:line="17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As permitted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elected the fair value option to record the long-term debt and warrant with changes in fair value recorded in the Consolidated Statements of Operations in Other income (expense), net. Changes related to instrument specific credit risk are revalued by comparing the amount of the total change in fair value of the long-term debt to the amount of change in fair value that would have occurred if the Company’s credit spread had not changed between the reporting periods, and is recorded in other comprehensive income in the Consolidated Balance Sheet. The difference between the fair value of the long-term debt and the unpaid principal balance of $40.0 million is an additional liability of $1.3 million and reduction to the liability of $188,000 as of March 31, 2024 and December 31, 2023, respectively. For changes in fair value refer to Note 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During January 2024, the Company modified the lease agreement of the Ventura production facility to extend the lease term. The modification resulted in an increase of approximately $1.3 million to the operating lease ROU assets and operating lease liabilities. There was no impact on earnings as a result of the lease modification.</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operating lease expenses which are included in operating expenses in the Consolidated Statements of Operations (in thousands):</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Three-Months Ended</w:t>
            </w:r>
          </w:p>
        </w:tc>
      </w:tr>
      <w:tr>
        <w:trPr>
          <w:trHeight w:val="241"/>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80" w:type="dxa"/>
            <w:vAlign w:val="bottom"/>
          </w:tcPr>
          <w:p>
            <w:pPr>
              <w:spacing w:after="0"/>
              <w:rPr>
                <w:sz w:val="20"/>
                <w:szCs w:val="20"/>
                <w:color w:val="auto"/>
              </w:rPr>
            </w:pPr>
          </w:p>
        </w:tc>
      </w:tr>
      <w:tr>
        <w:trPr>
          <w:trHeight w:val="23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0"/>
                <w:szCs w:val="20"/>
                <w:color w:val="auto"/>
              </w:rPr>
            </w:pPr>
          </w:p>
        </w:tc>
      </w:tr>
      <w:tr>
        <w:trPr>
          <w:trHeight w:val="23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r>
        <w:trPr>
          <w:trHeight w:val="277"/>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three-months ended March 31, 2024 and 2023 (in thousands):</w:t>
      </w:r>
    </w:p>
    <w:p>
      <w:pPr>
        <w:spacing w:after="0" w:line="23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Three-Months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28575</wp:posOffset>
            </wp:positionV>
            <wp:extent cx="2100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0" w:lineRule="exact"/>
        <w:rPr>
          <w:sz w:val="20"/>
          <w:szCs w:val="20"/>
          <w:color w:val="auto"/>
        </w:rPr>
      </w:pPr>
    </w:p>
    <w:p>
      <w:pPr>
        <w:ind w:left="7160"/>
        <w:spacing w:after="0"/>
        <w:tabs>
          <w:tab w:leader="none" w:pos="8840" w:val="left"/>
        </w:tabs>
        <w:rPr>
          <w:sz w:val="20"/>
          <w:szCs w:val="20"/>
          <w:color w:val="auto"/>
        </w:rPr>
      </w:pPr>
      <w:r>
        <w:rPr>
          <w:rFonts w:ascii="Times New Roman" w:cs="Times New Roman" w:eastAsia="Times New Roman" w:hAnsi="Times New Roman"/>
          <w:sz w:val="18"/>
          <w:szCs w:val="18"/>
          <w:b w:val="1"/>
          <w:bCs w:val="1"/>
          <w:color w:val="auto"/>
        </w:rPr>
        <w:t>March 31, 2024</w:t>
      </w:r>
      <w:r>
        <w:rPr>
          <w:sz w:val="20"/>
          <w:szCs w:val="20"/>
          <w:color w:val="auto"/>
        </w:rPr>
        <w:tab/>
      </w:r>
      <w:r>
        <w:rPr>
          <w:rFonts w:ascii="Times New Roman" w:cs="Times New Roman" w:eastAsia="Times New Roman" w:hAnsi="Times New Roman"/>
          <w:sz w:val="17"/>
          <w:szCs w:val="17"/>
          <w:b w:val="1"/>
          <w:bCs w:val="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28575</wp:posOffset>
            </wp:positionV>
            <wp:extent cx="2100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-127635</wp:posOffset>
            </wp:positionV>
            <wp:extent cx="591502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15025" cy="154305"/>
                    </a:xfrm>
                    <a:prstGeom prst="rect">
                      <a:avLst/>
                    </a:prstGeom>
                    <a:noFill/>
                  </pic:spPr>
                </pic:pic>
              </a:graphicData>
            </a:graphic>
          </wp:anchor>
        </w:drawing>
      </w:r>
    </w:p>
    <w:p>
      <w:pPr>
        <w:spacing w:after="0" w:line="16" w:lineRule="exact"/>
        <w:rPr>
          <w:sz w:val="20"/>
          <w:szCs w:val="20"/>
          <w:color w:val="auto"/>
        </w:rPr>
      </w:pPr>
    </w:p>
    <w:p>
      <w:pPr>
        <w:ind w:left="1160"/>
        <w:spacing w:after="0"/>
        <w:tabs>
          <w:tab w:leader="none" w:pos="6880" w:val="left"/>
          <w:tab w:leader="none" w:pos="8300" w:val="left"/>
          <w:tab w:leader="none" w:pos="9900" w:val="left"/>
        </w:tabs>
        <w:rPr>
          <w:sz w:val="20"/>
          <w:szCs w:val="20"/>
          <w:color w:val="auto"/>
        </w:rPr>
      </w:pPr>
      <w:r>
        <w:rPr>
          <w:rFonts w:ascii="Times New Roman" w:cs="Times New Roman" w:eastAsia="Times New Roman" w:hAnsi="Times New Roman"/>
          <w:sz w:val="18"/>
          <w:szCs w:val="18"/>
          <w:color w:val="auto"/>
        </w:rPr>
        <w:t>Operating cash outflows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  $</w:t>
      </w:r>
      <w:r>
        <w:rPr>
          <w:sz w:val="20"/>
          <w:szCs w:val="20"/>
          <w:color w:val="auto"/>
        </w:rPr>
        <w:tab/>
      </w:r>
      <w:r>
        <w:rPr>
          <w:rFonts w:ascii="Times New Roman" w:cs="Times New Roman" w:eastAsia="Times New Roman" w:hAnsi="Times New Roman"/>
          <w:sz w:val="17"/>
          <w:szCs w:val="17"/>
          <w:color w:val="auto"/>
        </w:rPr>
        <w:t>205</w:t>
      </w:r>
    </w:p>
    <w:p>
      <w:pPr>
        <w:spacing w:after="0" w:line="374"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as of March 31, 2024 and December 31, 2023, related to operating leases was as follows (in thousands, except for operating lease weighted average remaining lease term and operating lease weighted average discount rate):</w:t>
      </w:r>
    </w:p>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60" w:type="dxa"/>
            <w:vAlign w:val="bottom"/>
            <w:gridSpan w:val="5"/>
          </w:tcPr>
          <w:p>
            <w:pPr>
              <w:jc w:val="right"/>
              <w:ind w:right="176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41"/>
        </w:trPr>
        <w:tc>
          <w:tcPr>
            <w:tcW w:w="5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gridSpan w:val="2"/>
          </w:tcPr>
          <w:p>
            <w:pPr>
              <w:spacing w:after="0"/>
              <w:rPr>
                <w:sz w:val="20"/>
                <w:szCs w:val="20"/>
                <w:color w:val="auto"/>
              </w:rPr>
            </w:pPr>
          </w:p>
        </w:tc>
      </w:tr>
      <w:tr>
        <w:trPr>
          <w:trHeight w:val="23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right-of-use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1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9.42 %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-145415</wp:posOffset>
            </wp:positionV>
            <wp:extent cx="584644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-976630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-959485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-976630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-959485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-325120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-307975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-325120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-307975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2024, maturities of the Company’s operating lease liabilities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FF0FC"/>
          </w:tcPr>
          <w:p>
            <w:pPr>
              <w:spacing w:after="0"/>
              <w:rPr>
                <w:sz w:val="21"/>
                <w:szCs w:val="21"/>
                <w:color w:val="auto"/>
              </w:rPr>
            </w:pP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20"/>
                <w:szCs w:val="20"/>
                <w:color w:val="auto"/>
              </w:rPr>
            </w:pPr>
          </w:p>
        </w:tc>
      </w:tr>
      <w:tr>
        <w:trPr>
          <w:trHeight w:val="247"/>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FF0FC"/>
          </w:tcPr>
          <w:p>
            <w:pPr>
              <w:spacing w:after="0"/>
              <w:rPr>
                <w:sz w:val="21"/>
                <w:szCs w:val="21"/>
                <w:color w:val="auto"/>
              </w:rPr>
            </w:pP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0"/>
                <w:szCs w:val="20"/>
                <w:color w:val="auto"/>
              </w:rPr>
            </w:pPr>
          </w:p>
        </w:tc>
      </w:tr>
      <w:tr>
        <w:trPr>
          <w:trHeight w:val="247"/>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20"/>
                <w:szCs w:val="20"/>
                <w:color w:val="auto"/>
              </w:rPr>
            </w:pPr>
          </w:p>
        </w:tc>
      </w:tr>
      <w:tr>
        <w:trPr>
          <w:trHeight w:val="24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(593 )</w:t>
            </w:r>
          </w:p>
        </w:tc>
      </w:tr>
      <w:tr>
        <w:trPr>
          <w:trHeight w:val="237"/>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Borders>
              <w:top w:val="single" w:sz="8" w:color="CFF0FC"/>
            </w:tcBorders>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2024, there were no leases entered into that had not yet commenced.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Inventory</w:t>
            </w:r>
          </w:p>
        </w:tc>
        <w:tc>
          <w:tcPr>
            <w:tcW w:w="1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composition of inventory is as follows (in thousands):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6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2,693</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FF0FC"/>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4,032</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7,171</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-187960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Company values its inventories to reflect the lower of cost or net realizable value. Charges for estimated excess and obsolescence are recorded in cost of sales in the Consolidated Statements of Operations and were $83,000 and $67,000 for the three-months ended March 31, 2024 and 2023, respectively. The inventory balance as of March 31, 2024, includes inventory purchased from Stedical for the sales of PermeaDerm.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intangible assets, net is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020" w:type="dxa"/>
            <w:vAlign w:val="bottom"/>
          </w:tcPr>
          <w:p>
            <w:pPr>
              <w:spacing w:after="0"/>
              <w:rPr>
                <w:sz w:val="17"/>
                <w:szCs w:val="17"/>
                <w:color w:val="auto"/>
              </w:rPr>
            </w:pPr>
          </w:p>
        </w:tc>
        <w:tc>
          <w:tcPr>
            <w:tcW w:w="162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17"/>
                <w:szCs w:val="17"/>
                <w:color w:val="auto"/>
              </w:rPr>
            </w:pPr>
          </w:p>
        </w:tc>
        <w:tc>
          <w:tcPr>
            <w:tcW w:w="1620" w:type="dxa"/>
            <w:vAlign w:val="bottom"/>
          </w:tcPr>
          <w:p>
            <w:pPr>
              <w:jc w:val="center"/>
              <w:ind w:left="172"/>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200" w:type="dxa"/>
            <w:vAlign w:val="bottom"/>
          </w:tcPr>
          <w:p>
            <w:pPr>
              <w:spacing w:after="0"/>
              <w:rPr>
                <w:sz w:val="17"/>
                <w:szCs w:val="17"/>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Carry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w:t>
            </w:r>
          </w:p>
        </w:tc>
      </w:tr>
      <w:tr>
        <w:trPr>
          <w:trHeight w:val="222"/>
        </w:trPr>
        <w:tc>
          <w:tcPr>
            <w:tcW w:w="2020" w:type="dxa"/>
            <w:vAlign w:val="bottom"/>
          </w:tcPr>
          <w:p>
            <w:pPr>
              <w:spacing w:after="0"/>
              <w:rPr>
                <w:sz w:val="19"/>
                <w:szCs w:val="19"/>
                <w:color w:val="auto"/>
              </w:rPr>
            </w:pP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1</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(17 )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2</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3</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5</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6</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8</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9</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10</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11</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(146 )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r>
      <w:tr>
        <w:trPr>
          <w:trHeight w:val="20"/>
        </w:trPr>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-187960</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-187960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-187960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right="180" w:firstLine="803"/>
        <w:spacing w:after="0" w:line="261" w:lineRule="auto"/>
        <w:rPr>
          <w:sz w:val="20"/>
          <w:szCs w:val="20"/>
          <w:color w:val="auto"/>
        </w:rPr>
      </w:pPr>
      <w:r>
        <w:rPr>
          <w:rFonts w:ascii="Times New Roman" w:cs="Times New Roman" w:eastAsia="Times New Roman" w:hAnsi="Times New Roman"/>
          <w:sz w:val="18"/>
          <w:szCs w:val="18"/>
          <w:color w:val="auto"/>
        </w:rPr>
        <w:t>During the three-months ended March 31, 2024 and 2023, the Company did not identify any events or changes in circumstances that indicated that the carrying value of its intangibles may not be recoverable. As such, there was no impairment of intangibles assets recognized for the three-months ended March 31, 2024 and 2023 Amortization expense of intangibles included in the Consolidated Statements of Operations was $17,000 and $9,000 for the three months ended March 31, 2024 and 2023, respectively.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expects the future amortization of amortizable intangible assets held at March 31, 2024 to be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-1096645</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Plant and Equipment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plant and equipment, net is as follows (in thousands):</w:t>
      </w:r>
    </w:p>
    <w:p>
      <w:pPr>
        <w:spacing w:after="0" w:line="235" w:lineRule="exact"/>
        <w:rPr>
          <w:sz w:val="20"/>
          <w:szCs w:val="20"/>
          <w:color w:val="auto"/>
        </w:rPr>
      </w:pPr>
    </w:p>
    <w:tbl>
      <w:tblPr>
        <w:tblLayout w:type="fixed"/>
        <w:tblInd w:w="102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8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24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14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3 - 5 years  $</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21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3 - 5 years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Lesser of life or lease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80" w:type="dxa"/>
            <w:vAlign w:val="bottom"/>
          </w:tcPr>
          <w:p>
            <w:pPr>
              <w:spacing w:after="0"/>
              <w:rPr>
                <w:sz w:val="20"/>
                <w:szCs w:val="20"/>
                <w:color w:val="auto"/>
              </w:rPr>
            </w:pPr>
          </w:p>
        </w:tc>
        <w:tc>
          <w:tcPr>
            <w:tcW w:w="2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term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RECELL moulds</w:t>
            </w:r>
          </w:p>
        </w:tc>
        <w:tc>
          <w:tcPr>
            <w:tcW w:w="21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5 years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(2,618 )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(2,432 )</w:t>
            </w: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plant and equipment, net</w:t>
            </w:r>
          </w:p>
        </w:tc>
        <w:tc>
          <w:tcPr>
            <w:tcW w:w="19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-25400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Construction in progress consists primarily of leasehold improvements for the renovations to the Ventura production facility and materials for the manufacture of the RECELL GO devices.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Depreciation expense related to plant and equipment was $186,000 and $126,000 for the three-months ended March 31, 2024 and 2023 respectively. During the three-months ended March 31, 2024 and 2023, the Company did not identify any events or changes in circumstances that indicated that the carrying value of its plant and equipment may not be recoverable. As such, there was no impairment of plant and equipment recognized for the three-months ended March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and Long-Term Assets and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 (in thousands):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452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3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60" w:type="dxa"/>
            <w:vAlign w:val="bottom"/>
            <w:shd w:val="clear" w:color="auto" w:fill="CFF0FC"/>
          </w:tcPr>
          <w:p>
            <w:pPr>
              <w:jc w:val="right"/>
              <w:ind w:right="1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20"/>
                <w:szCs w:val="20"/>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Unsettled investment receivable</w:t>
            </w:r>
          </w:p>
        </w:tc>
        <w:tc>
          <w:tcPr>
            <w:tcW w:w="1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from Stedical</w:t>
            </w:r>
          </w:p>
        </w:tc>
        <w:tc>
          <w:tcPr>
            <w:tcW w:w="17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r>
      <w:tr>
        <w:trPr>
          <w:trHeight w:val="24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17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r>
      <w:tr>
        <w:trPr>
          <w:trHeight w:val="277"/>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1760" w:type="dxa"/>
            <w:vAlign w:val="bottom"/>
            <w:tcBorders>
              <w:bottom w:val="single" w:sz="8" w:color="auto"/>
            </w:tcBorders>
            <w:shd w:val="clear" w:color="auto" w:fill="CFF0FC"/>
          </w:tcPr>
          <w:p>
            <w:pPr>
              <w:jc w:val="right"/>
              <w:ind w:right="1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Prepaid expenses primarily consist of prepaid benefits and insurance.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lease deposits</w:t>
            </w:r>
          </w:p>
        </w:tc>
        <w:tc>
          <w:tcPr>
            <w:tcW w:w="308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prepaids</w:t>
            </w: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14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08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-1096645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tbl>
      <w:tblPr>
        <w:tblLayout w:type="fixed"/>
        <w:tblInd w:w="76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3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3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760" w:type="dxa"/>
            <w:vAlign w:val="bottom"/>
            <w:shd w:val="clear" w:color="auto" w:fill="CFF0FC"/>
          </w:tcPr>
          <w:p>
            <w:pPr>
              <w:jc w:val="right"/>
              <w:ind w:right="1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FF0FC"/>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COSMOTEC deferred revenue</w:t>
            </w:r>
          </w:p>
        </w:tc>
        <w:tc>
          <w:tcPr>
            <w:tcW w:w="1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760" w:type="dxa"/>
            <w:vAlign w:val="bottom"/>
            <w:tcBorders>
              <w:bottom w:val="single" w:sz="8" w:color="auto"/>
            </w:tcBorders>
          </w:tcPr>
          <w:p>
            <w:pPr>
              <w:jc w:val="right"/>
              <w:ind w:right="1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Reporting Segment and Geographic Information</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Long-lived assets are primarily located in the United States as of March 31, 2024, and December 31, 2023.</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region for the three-months March 31, 2024 and 2023 were as follows (in thousands):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4680" w:type="dxa"/>
            <w:vAlign w:val="bottom"/>
            <w:gridSpan w:val="6"/>
          </w:tcPr>
          <w:p>
            <w:pPr>
              <w:ind w:left="1460"/>
              <w:spacing w:after="0"/>
              <w:rPr>
                <w:sz w:val="20"/>
                <w:szCs w:val="20"/>
                <w:color w:val="auto"/>
              </w:rPr>
            </w:pPr>
            <w:r>
              <w:rPr>
                <w:rFonts w:ascii="Times New Roman" w:cs="Times New Roman" w:eastAsia="Times New Roman" w:hAnsi="Times New Roman"/>
                <w:sz w:val="18"/>
                <w:szCs w:val="18"/>
                <w:b w:val="1"/>
                <w:bCs w:val="1"/>
                <w:color w:val="auto"/>
              </w:rPr>
              <w:t>Three-Months Ended</w:t>
            </w:r>
          </w:p>
        </w:tc>
      </w:tr>
      <w:tr>
        <w:trPr>
          <w:trHeight w:val="241"/>
        </w:trPr>
        <w:tc>
          <w:tcPr>
            <w:tcW w:w="4740" w:type="dxa"/>
            <w:vAlign w:val="bottom"/>
          </w:tcPr>
          <w:p>
            <w:pPr>
              <w:spacing w:after="0"/>
              <w:rPr>
                <w:sz w:val="20"/>
                <w:szCs w:val="20"/>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0" w:type="dxa"/>
            <w:vAlign w:val="bottom"/>
          </w:tcPr>
          <w:p>
            <w:pPr>
              <w:spacing w:after="0"/>
              <w:rPr>
                <w:sz w:val="20"/>
                <w:szCs w:val="20"/>
                <w:color w:val="auto"/>
              </w:rPr>
            </w:pP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region:</w:t>
            </w:r>
          </w:p>
        </w:tc>
        <w:tc>
          <w:tcPr>
            <w:tcW w:w="18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8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1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8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r>
      <w:tr>
        <w:trPr>
          <w:trHeight w:val="277"/>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customer type for the three-months ended March 31, 2024 and 2023 were as follows (in thousands):</w:t>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4460" w:type="dxa"/>
            <w:vAlign w:val="bottom"/>
            <w:gridSpan w:val="6"/>
          </w:tcPr>
          <w:p>
            <w:pPr>
              <w:ind w:left="1360"/>
              <w:spacing w:after="0"/>
              <w:rPr>
                <w:sz w:val="20"/>
                <w:szCs w:val="20"/>
                <w:color w:val="auto"/>
              </w:rPr>
            </w:pPr>
            <w:r>
              <w:rPr>
                <w:rFonts w:ascii="Times New Roman" w:cs="Times New Roman" w:eastAsia="Times New Roman" w:hAnsi="Times New Roman"/>
                <w:sz w:val="18"/>
                <w:szCs w:val="18"/>
                <w:b w:val="1"/>
                <w:bCs w:val="1"/>
                <w:color w:val="auto"/>
              </w:rPr>
              <w:t>Three-Months Ended</w:t>
            </w:r>
          </w:p>
        </w:tc>
      </w:tr>
      <w:tr>
        <w:trPr>
          <w:trHeight w:val="241"/>
        </w:trPr>
        <w:tc>
          <w:tcPr>
            <w:tcW w:w="452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0" w:type="dxa"/>
            <w:vAlign w:val="bottom"/>
          </w:tcPr>
          <w:p>
            <w:pPr>
              <w:spacing w:after="0"/>
              <w:rPr>
                <w:sz w:val="20"/>
                <w:szCs w:val="20"/>
                <w:color w:val="auto"/>
              </w:rPr>
            </w:pPr>
          </w:p>
        </w:tc>
      </w:tr>
      <w:tr>
        <w:trPr>
          <w:trHeight w:val="23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customer type:</w:t>
            </w:r>
          </w:p>
        </w:tc>
        <w:tc>
          <w:tcPr>
            <w:tcW w:w="17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Commercial sales</w:t>
            </w:r>
          </w:p>
        </w:tc>
        <w:tc>
          <w:tcPr>
            <w:tcW w:w="1720" w:type="dxa"/>
            <w:vAlign w:val="bottom"/>
          </w:tcPr>
          <w:p>
            <w:pPr>
              <w:jc w:val="right"/>
              <w:ind w:right="15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11,068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80" w:type="dxa"/>
            <w:vAlign w:val="bottom"/>
          </w:tcPr>
          <w:p>
            <w:pPr>
              <w:spacing w:after="0"/>
              <w:rPr>
                <w:sz w:val="20"/>
                <w:szCs w:val="20"/>
                <w:color w:val="auto"/>
              </w:rPr>
            </w:pPr>
          </w:p>
        </w:tc>
      </w:tr>
      <w:tr>
        <w:trPr>
          <w:trHeight w:val="24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commercial revenue recognized</w:t>
            </w:r>
          </w:p>
        </w:tc>
        <w:tc>
          <w:tcPr>
            <w:tcW w:w="17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BARDA services for emergency preparedness</w:t>
            </w:r>
          </w:p>
        </w:tc>
        <w:tc>
          <w:tcPr>
            <w:tcW w:w="1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r>
      <w:tr>
        <w:trPr>
          <w:trHeight w:val="243"/>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BARDA revenue for right of first access</w:t>
            </w:r>
          </w:p>
        </w:tc>
        <w:tc>
          <w:tcPr>
            <w:tcW w:w="17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ind w:right="15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11,104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8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Commercial revenue by product for the three-months ended March 31, 2024 and 2023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740" w:type="dxa"/>
            <w:vAlign w:val="bottom"/>
            <w:gridSpan w:val="6"/>
          </w:tcPr>
          <w:p>
            <w:pPr>
              <w:ind w:left="148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840" w:type="dxa"/>
            <w:vAlign w:val="bottom"/>
          </w:tcPr>
          <w:p>
            <w:pPr>
              <w:spacing w:after="0"/>
              <w:rPr>
                <w:sz w:val="21"/>
                <w:szCs w:val="21"/>
                <w:color w:val="auto"/>
              </w:rPr>
            </w:pPr>
          </w:p>
        </w:tc>
      </w:tr>
      <w:tr>
        <w:trPr>
          <w:trHeight w:val="238"/>
        </w:trPr>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4"/>
        </w:trPr>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revenue by product:</w:t>
            </w:r>
          </w:p>
        </w:tc>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0"/>
        </w:trPr>
        <w:tc>
          <w:tcPr>
            <w:tcW w:w="860" w:type="dxa"/>
            <w:vAlign w:val="bottom"/>
          </w:tcPr>
          <w:p>
            <w:pPr>
              <w:spacing w:after="0"/>
              <w:rPr>
                <w:sz w:val="21"/>
                <w:szCs w:val="21"/>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w:t>
            </w:r>
          </w:p>
        </w:tc>
        <w:tc>
          <w:tcPr>
            <w:tcW w:w="12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shd w:val="clear" w:color="auto" w:fill="CFF0FC"/>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wound care products</w:t>
            </w:r>
          </w:p>
        </w:tc>
        <w:tc>
          <w:tcPr>
            <w:tcW w:w="1280" w:type="dxa"/>
            <w:vAlign w:val="bottom"/>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2"/>
        </w:trPr>
        <w:tc>
          <w:tcPr>
            <w:tcW w:w="860" w:type="dxa"/>
            <w:vAlign w:val="bottom"/>
          </w:tcPr>
          <w:p>
            <w:pPr>
              <w:spacing w:after="0"/>
              <w:rPr>
                <w:sz w:val="21"/>
                <w:szCs w:val="21"/>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commercial sales</w:t>
            </w:r>
          </w:p>
        </w:tc>
        <w:tc>
          <w:tcPr>
            <w:tcW w:w="3100" w:type="dxa"/>
            <w:vAlign w:val="bottom"/>
            <w:gridSpan w:val="2"/>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shd w:val="clear" w:color="auto" w:fill="CFF0FC"/>
          </w:tcPr>
          <w:p>
            <w:pPr>
              <w:spacing w:after="0"/>
              <w:rPr>
                <w:sz w:val="21"/>
                <w:szCs w:val="21"/>
                <w:color w:val="auto"/>
              </w:rPr>
            </w:pPr>
          </w:p>
        </w:tc>
        <w:tc>
          <w:tcPr>
            <w:tcW w:w="8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33"/>
        </w:trPr>
        <w:tc>
          <w:tcPr>
            <w:tcW w:w="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00" w:type="dxa"/>
            <w:vAlign w:val="bottom"/>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-933450</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-916940</wp:posOffset>
            </wp:positionV>
            <wp:extent cx="59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-933450</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-916940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color w:val="auto"/>
        </w:rPr>
        <w:t>Cost of sales by customer type for the three-months ended March 31, 2024 and 2023 were as follows (in thousands):</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245"/>
        </w:trPr>
        <w:tc>
          <w:tcPr>
            <w:tcW w:w="4720" w:type="dxa"/>
            <w:vAlign w:val="bottom"/>
          </w:tcPr>
          <w:p>
            <w:pPr>
              <w:spacing w:after="0"/>
              <w:rPr>
                <w:sz w:val="21"/>
                <w:szCs w:val="21"/>
                <w:color w:val="auto"/>
              </w:rPr>
            </w:pPr>
          </w:p>
        </w:tc>
        <w:tc>
          <w:tcPr>
            <w:tcW w:w="4380" w:type="dxa"/>
            <w:vAlign w:val="bottom"/>
            <w:gridSpan w:val="6"/>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Three-Months Ended</w:t>
            </w:r>
          </w:p>
        </w:tc>
      </w:tr>
      <w:tr>
        <w:trPr>
          <w:trHeight w:val="241"/>
        </w:trPr>
        <w:tc>
          <w:tcPr>
            <w:tcW w:w="472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0" w:type="dxa"/>
            <w:vAlign w:val="bottom"/>
          </w:tcPr>
          <w:p>
            <w:pPr>
              <w:spacing w:after="0"/>
              <w:rPr>
                <w:sz w:val="20"/>
                <w:szCs w:val="20"/>
                <w:color w:val="auto"/>
              </w:rPr>
            </w:pPr>
          </w:p>
        </w:tc>
      </w:tr>
      <w:tr>
        <w:trPr>
          <w:trHeight w:val="23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cost</w:t>
            </w:r>
          </w:p>
        </w:tc>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1,513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BARDA:</w:t>
            </w:r>
          </w:p>
        </w:tc>
        <w:tc>
          <w:tcPr>
            <w:tcW w:w="16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cost</w:t>
            </w:r>
          </w:p>
        </w:tc>
        <w:tc>
          <w:tcPr>
            <w:tcW w:w="1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Emergency preparedness service cost</w:t>
            </w:r>
          </w:p>
        </w:tc>
        <w:tc>
          <w:tcPr>
            <w:tcW w:w="16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1,513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-187960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March 31, 2024 and December 31, 2023, the Company did not have any outstanding or threatened litigation that would have a material impact on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Purchase Commitments with Stedical</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minimum purchase of PermeaDerm product for the initial term of five years. For 2024, the Company has an obligation to purchase a minimum of $5.0 million of inventory from Stedical. As of March 31, 2024, the Company has purchased $2.6 million in inventory with another $2.4 million remaining. This obligation is not recorded in the Company's Consolidated Balance Sheets. For the first three years of the agreement, the minimum purchase should increase annually by an amount equal to the percentage growth in the Company's annual US based revenues excluding PermeaDerm revenue, or a minimum increase of at least 20% over the prior year purchase commitment. For years after the third year, the minimum purchase obligation shall increase annually by an amount equal to the percentage growth of the Company's annual US-based revenues excluding PermeaDerm sales. The minimum purchase obligation should never decrease from the previous year.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and Preferred Stock</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Company’s CHESS Depositary Interests (“CDIs”) are quoted on the ASX under the ticker code, “AVH.” The Company’s shares of Common Stock are quoted on the Nasdaq Capital Market (“Nasdaq”) under the ticker code, “RCEL”. One share of Common Stock on Nasdaq is equivalent to five CDIs on the ASX.</w:t>
      </w:r>
    </w:p>
    <w:p>
      <w:pPr>
        <w:spacing w:after="0" w:line="203" w:lineRule="exact"/>
        <w:rPr>
          <w:sz w:val="20"/>
          <w:szCs w:val="20"/>
          <w:color w:val="auto"/>
        </w:rPr>
      </w:pPr>
    </w:p>
    <w:p>
      <w:pPr>
        <w:ind w:right="420" w:firstLine="749"/>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March 31, 2024, and December 31, 2023, 25,789,051 and 25,682,078 shares of Common Stock, respectively, were issued and outstanding and no shares of preferred stock were outstanding during any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Payment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Expenses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Accounting for Share-Based Payment.</w:t>
      </w:r>
      <w:r>
        <w:rPr>
          <w:rFonts w:ascii="Times New Roman" w:cs="Times New Roman" w:eastAsia="Times New Roman" w:hAnsi="Times New Roman"/>
          <w:sz w:val="18"/>
          <w:szCs w:val="18"/>
          <w:color w:val="auto"/>
        </w:rPr>
        <w:t xml:space="preserve"> The Company recorded stock-based compensation and Employee Stock Purchase Plan ("ESPP") expense of $2.6 million for the three-months ended March 31, 2024 and 2023, respectively. No income tax benefit was recognized in the Consolidated Statements of Operations for stock-based payment arrangements for the three-months ended March 31, 2024 and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 w:name="page21"/>
    <w:bookmarkEnd w:id="20"/>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included stock-based compensation expense for all equity awards and the ESPP as part of operating expenses in the accompanying Consolidated Statements of Operations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6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r>
      <w:tr>
        <w:trPr>
          <w:trHeight w:val="239"/>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2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0"/>
                <w:szCs w:val="20"/>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0"/>
                <w:szCs w:val="20"/>
                <w:color w:val="auto"/>
              </w:rPr>
            </w:pPr>
          </w:p>
        </w:tc>
      </w:tr>
      <w:tr>
        <w:trPr>
          <w:trHeight w:val="243"/>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tcBorders>
              <w:bottom w:val="single" w:sz="8" w:color="auto"/>
            </w:tcBorders>
            <w:shd w:val="clear" w:color="auto" w:fill="CFF0FC"/>
          </w:tcPr>
          <w:p>
            <w:pPr>
              <w:spacing w:after="0"/>
              <w:rPr>
                <w:sz w:val="21"/>
                <w:szCs w:val="21"/>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share option activity as of March 31, 2024, and changes during the period ended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Service Only Share Options</w:t>
            </w: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Performance Based</w:t>
            </w:r>
          </w:p>
        </w:tc>
        <w:tc>
          <w:tcPr>
            <w:tcW w:w="2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 Share Options</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c>
          <w:tcPr>
            <w:tcW w:w="2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shares at December 31, 2023</w:t>
            </w: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2,397,571</w:t>
            </w:r>
          </w:p>
        </w:tc>
        <w:tc>
          <w:tcPr>
            <w:tcW w:w="120" w:type="dxa"/>
            <w:vAlign w:val="bottom"/>
            <w:shd w:val="clear" w:color="auto" w:fill="CFF0FC"/>
          </w:tcPr>
          <w:p>
            <w:pPr>
              <w:spacing w:after="0"/>
              <w:rPr>
                <w:sz w:val="21"/>
                <w:szCs w:val="21"/>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292,587</w:t>
            </w:r>
          </w:p>
        </w:tc>
        <w:tc>
          <w:tcPr>
            <w:tcW w:w="100" w:type="dxa"/>
            <w:vAlign w:val="bottom"/>
            <w:shd w:val="clear" w:color="auto" w:fill="CFF0FC"/>
          </w:tcPr>
          <w:p>
            <w:pPr>
              <w:spacing w:after="0"/>
              <w:rPr>
                <w:sz w:val="21"/>
                <w:szCs w:val="21"/>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1,156,000</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(86,244 )</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(20,729 )</w:t>
            </w: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(106,973 )</w:t>
            </w: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(25,786 )</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(39,174 )</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(64,960 )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(128,185 )</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(4,656 )</w:t>
            </w: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(132,841 )</w:t>
            </w:r>
          </w:p>
        </w:tc>
        <w:tc>
          <w:tcPr>
            <w:tcW w:w="0" w:type="dxa"/>
            <w:vAlign w:val="bottom"/>
          </w:tcPr>
          <w:p>
            <w:pPr>
              <w:spacing w:after="0"/>
              <w:rPr>
                <w:sz w:val="1"/>
                <w:szCs w:val="1"/>
                <w:color w:val="auto"/>
              </w:rPr>
            </w:pPr>
          </w:p>
        </w:tc>
      </w:tr>
      <w:tr>
        <w:trPr>
          <w:trHeight w:val="241"/>
        </w:trPr>
        <w:tc>
          <w:tcPr>
            <w:tcW w:w="4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shares at March 31, 2024</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3,313,356</w:t>
            </w:r>
          </w:p>
        </w:tc>
        <w:tc>
          <w:tcPr>
            <w:tcW w:w="120" w:type="dxa"/>
            <w:vAlign w:val="bottom"/>
            <w:tcBorders>
              <w:top w:val="single" w:sz="8" w:color="CFF0FC"/>
            </w:tcBorders>
          </w:tcPr>
          <w:p>
            <w:pPr>
              <w:spacing w:after="0"/>
              <w:rPr>
                <w:sz w:val="20"/>
                <w:szCs w:val="20"/>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228,028</w:t>
            </w:r>
          </w:p>
        </w:tc>
        <w:tc>
          <w:tcPr>
            <w:tcW w:w="100" w:type="dxa"/>
            <w:vAlign w:val="bottom"/>
            <w:tcBorders>
              <w:top w:val="single" w:sz="8" w:color="CFF0FC"/>
            </w:tcBorders>
          </w:tcPr>
          <w:p>
            <w:pPr>
              <w:spacing w:after="0"/>
              <w:rPr>
                <w:sz w:val="20"/>
                <w:szCs w:val="20"/>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3,541,384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839,751</w:t>
            </w: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190,532</w:t>
            </w:r>
          </w:p>
        </w:tc>
        <w:tc>
          <w:tcPr>
            <w:tcW w:w="10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 March 31, 2024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3,313,356</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5"/>
        </w:trPr>
        <w:tc>
          <w:tcPr>
            <w:tcW w:w="1124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A summary of the status of the Company’s unvested RSUs as of March 31, 2024, and changes that occurred during the period is presented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below:</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Shares</w:t>
            </w:r>
          </w:p>
        </w:tc>
        <w:tc>
          <w:tcPr>
            <w:tcW w:w="2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Tenure-Based RSUs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Condition RSUs</w:t>
            </w:r>
          </w:p>
        </w:tc>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 RSUs</w:t>
            </w: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 at December 31, 2023</w:t>
            </w: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207,112</w:t>
            </w:r>
          </w:p>
        </w:tc>
        <w:tc>
          <w:tcPr>
            <w:tcW w:w="120" w:type="dxa"/>
            <w:vAlign w:val="bottom"/>
            <w:shd w:val="clear" w:color="auto" w:fill="CFF0FC"/>
          </w:tcPr>
          <w:p>
            <w:pPr>
              <w:spacing w:after="0"/>
              <w:rPr>
                <w:sz w:val="20"/>
                <w:szCs w:val="20"/>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(17,400 )</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(3,504 )</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(20,904 )</w:t>
            </w:r>
          </w:p>
        </w:tc>
        <w:tc>
          <w:tcPr>
            <w:tcW w:w="0" w:type="dxa"/>
            <w:vAlign w:val="bottom"/>
          </w:tcPr>
          <w:p>
            <w:pPr>
              <w:spacing w:after="0"/>
              <w:rPr>
                <w:sz w:val="1"/>
                <w:szCs w:val="1"/>
                <w:color w:val="auto"/>
              </w:rPr>
            </w:pPr>
          </w:p>
        </w:tc>
      </w:tr>
      <w:tr>
        <w:trPr>
          <w:trHeight w:val="281"/>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 at March 31, 2024</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189,712</w:t>
            </w:r>
          </w:p>
        </w:tc>
        <w:tc>
          <w:tcPr>
            <w:tcW w:w="12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10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214,228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-2305685</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-2305685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right="220" w:firstLine="749"/>
        <w:spacing w:after="0" w:line="289" w:lineRule="auto"/>
        <w:rPr>
          <w:sz w:val="20"/>
          <w:szCs w:val="20"/>
          <w:color w:val="auto"/>
        </w:rPr>
      </w:pPr>
      <w:r>
        <w:rPr>
          <w:rFonts w:ascii="Times New Roman" w:cs="Times New Roman" w:eastAsia="Times New Roman" w:hAnsi="Times New Roman"/>
          <w:sz w:val="17"/>
          <w:szCs w:val="17"/>
          <w:color w:val="auto"/>
        </w:rPr>
        <w:t>In June 2023, the stockholders approved the ESPP, which became effective on July 1, 2023. On June 30, 2023, the Company filed Registration Statement on Form S-8 to register 1,000,000 shares of Common Stock under the ESPP, as a result of the Company’s stockholders approving the ESPP at the 2023 Annual Meeting. The ESPP features two six-month offering periods per year, running from June 1 to November 30 and December 1 to May 31.</w:t>
      </w:r>
    </w:p>
    <w:p>
      <w:pPr>
        <w:spacing w:after="0" w:line="158"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the three-months ended March 31, 2024, the Company recorded $186,000 in ESPP expense. During the three-months ended March 31, 2023, the Company did not have any ESPP expense. The Company had $583,000 and $122,000 in accrued payroll contributions as of March 31, 2024 and December 31, 2023, respectively. As of March 31, 2024, the Company had 927,681 shares remaining to be issued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5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Tax expense for the three-months ended March 31, 2024 and 2023 was $30,000. These amounts are related to state minimum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0"/>
        </w:trPr>
        <w:tc>
          <w:tcPr>
            <w:tcW w:w="6680" w:type="dxa"/>
            <w:vAlign w:val="bottom"/>
          </w:tcPr>
          <w:p>
            <w:pPr>
              <w:spacing w:after="0"/>
              <w:rPr>
                <w:sz w:val="24"/>
                <w:szCs w:val="24"/>
                <w:color w:val="auto"/>
              </w:rPr>
            </w:pPr>
          </w:p>
        </w:tc>
        <w:tc>
          <w:tcPr>
            <w:tcW w:w="35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68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95"/>
              </w:rPr>
              <w:t>(18,658 )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(9,220 )</w:t>
            </w: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shares—outstanding, basic and diluted</w:t>
            </w:r>
          </w:p>
        </w:tc>
        <w:tc>
          <w:tcPr>
            <w:tcW w:w="1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(0.73 )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tcPr>
          <w:p>
            <w:pPr>
              <w:spacing w:after="0"/>
              <w:rPr>
                <w:sz w:val="21"/>
                <w:szCs w:val="21"/>
                <w:color w:val="auto"/>
              </w:rPr>
            </w:pPr>
          </w:p>
        </w:tc>
        <w:tc>
          <w:tcPr>
            <w:tcW w:w="3420" w:type="dxa"/>
            <w:vAlign w:val="bottom"/>
            <w:tcBorders>
              <w:bottom w:val="single" w:sz="8" w:color="auto"/>
            </w:tcBorders>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Three-Months Ended</w:t>
            </w: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960" w:type="dxa"/>
            <w:vAlign w:val="bottom"/>
          </w:tcPr>
          <w:p>
            <w:pPr>
              <w:spacing w:after="0"/>
              <w:rPr>
                <w:sz w:val="20"/>
                <w:szCs w:val="20"/>
                <w:color w:val="auto"/>
              </w:rPr>
            </w:pPr>
          </w:p>
        </w:tc>
        <w:tc>
          <w:tcPr>
            <w:tcW w:w="342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20"/>
                <w:szCs w:val="20"/>
                <w:color w:val="auto"/>
              </w:rPr>
            </w:pPr>
          </w:p>
        </w:tc>
      </w:tr>
      <w:tr>
        <w:trPr>
          <w:trHeight w:val="23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2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3,541,384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2,218,496</w:t>
            </w:r>
          </w:p>
        </w:tc>
        <w:tc>
          <w:tcPr>
            <w:tcW w:w="100" w:type="dxa"/>
            <w:vAlign w:val="bottom"/>
          </w:tcPr>
          <w:p>
            <w:pPr>
              <w:spacing w:after="0"/>
              <w:rPr>
                <w:sz w:val="20"/>
                <w:szCs w:val="20"/>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214,228</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371,368</w:t>
            </w:r>
          </w:p>
        </w:tc>
        <w:tc>
          <w:tcPr>
            <w:tcW w:w="100" w:type="dxa"/>
            <w:vAlign w:val="bottom"/>
            <w:shd w:val="clear" w:color="auto" w:fill="CFF0FC"/>
          </w:tcPr>
          <w:p>
            <w:pPr>
              <w:spacing w:after="0"/>
              <w:rPr>
                <w:sz w:val="21"/>
                <w:szCs w:val="21"/>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409,661</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Company’s basic net loss per share is calculated by dividing the net loss by the weighted-average number of shares of common stock outstanding for the relevant period. In accordance with </w:t>
      </w:r>
      <w:r>
        <w:rPr>
          <w:rFonts w:ascii="Times New Roman" w:cs="Times New Roman" w:eastAsia="Times New Roman" w:hAnsi="Times New Roman"/>
          <w:sz w:val="18"/>
          <w:szCs w:val="18"/>
          <w:i w:val="1"/>
          <w:iCs w:val="1"/>
          <w:color w:val="auto"/>
        </w:rPr>
        <w:t>ASC 710-10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83,893 shares of Common Stock held by the rabbi trust are excluded from the denominator in the basic and diluted net loss per common share calculations. For details on shares of common stock held by the rabbi trust refer to Note 18.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ended March 31, 2024 and 2023, diluted net loss per common share is the same as the basic net loss per share for those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Retirement Plans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up to the maximum allowable. Total Company's matching contributions to the 401(k) Plan were $835,000 and $423,000 for the three-months ended March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Company’s NQDC plan, which became effective in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were $34,000 and $42,000 for the three-months ended March 31, 2024 and 2023, respectively. The Company’s deferred compensation plan liability was $4.3 million and $3.8 million as of March 31, 2024 and December 31, 2023, respectively. These liabilities are split between current and long term on the Consolidated Balance Sheets. As of March 31, 2024, $429,000 is included in Current non-qualified deferred compensation liability and $3.9 million in the long term non-qualified deferred compensation liability. As of December 31, 2023, $168,000 is included in Current non-qualified deferred compensation liability and $3.7 million in the long-term non-qualified deferred compensation liability. During the three-months ended March 31, 2024, the Company had distributions of approximately $215,000 in the deferred compensation liability for terminated employees. During the three-months ended March 31, 2023, the Company did not have any distributions.</w:t>
      </w:r>
    </w:p>
    <w:p>
      <w:pPr>
        <w:spacing w:after="0" w:line="18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 established a COLI to fund the NQDC Plan. Amounts in the COLI are invested in a number of funds. The securities are carried at the cash surrender value on the Consolidated Balance Sheets. We record investment gains and losses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COLI as Other income (expense), net. Refer to Note 4, Fair Value Measurements for the fair values of the COLI policies and the NQDC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Rabbi Trust</w:t>
      </w:r>
    </w:p>
    <w:p>
      <w:pPr>
        <w:spacing w:after="0" w:line="21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During April 2022, the Company established a rabbi trust to hold the assets of the NQDC Plan. The rabbi trust holds the COLI asset and the Common Stock from deferred RSU awards that have vested. The NQDC Plan permits diversification of fully vested shares into other equity securities subject to a six-month and one day holding period. In accordance with </w:t>
      </w:r>
      <w:r>
        <w:rPr>
          <w:rFonts w:ascii="Times New Roman" w:cs="Times New Roman" w:eastAsia="Times New Roman" w:hAnsi="Times New Roman"/>
          <w:sz w:val="18"/>
          <w:szCs w:val="18"/>
          <w:i w:val="1"/>
          <w:iCs w:val="1"/>
          <w:color w:val="auto"/>
        </w:rPr>
        <w:t>ASR 268, Redeemable Preferred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ASC 718, 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prior to vesting, the deferred share awards are classified as an equity instrument and changes in fair value of the amount owed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are not recognized. The redemption amounts of the deferred awards are based on the vested percentage and are recorded outside of permanent equity as Non-qualified deferred compensation share awards on the Consolidated Balance Sheets. As of March 31, 2024 and December 31, 2023, a total of 117,326 and 81,052, shares awards have been deferred, respectively. Vested shares are converted to Common Stock and are reclassified to permanent equity. Common Stock held in the rabbi trust is classified in a manner similar to treasury stock and presented separately on the Consolidated Balance Sheets as Common Stock held by the NQDC Plan. As of March 31, 2024 and December 31, 2023 a total of 83,893 and 99,106 shares were held in the rabbi trust at the redemption value of $944,000 and $1.1 million, respectively.</w:t>
      </w:r>
    </w:p>
    <w:p>
      <w:pPr>
        <w:spacing w:after="0" w:line="194"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Non-qualified deferred compensation plan share award activity as of March 31, 2024 and December 31, 2023 (in thousands):</w:t>
      </w:r>
    </w:p>
    <w:p>
      <w:pPr>
        <w:spacing w:after="0" w:line="17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3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share awards:</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redemption value</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share awards held by NDQC</w:t>
            </w: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(1,401 )</w:t>
            </w:r>
          </w:p>
        </w:tc>
      </w:tr>
      <w:tr>
        <w:trPr>
          <w:trHeight w:val="236"/>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FF0FC"/>
            </w:tcBorders>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56"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Quarterly Report on Form 10-Q and determined that no events that have occurred that would require adjustment to or disclosures in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158"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82" w:lineRule="exact"/>
        <w:rPr>
          <w:sz w:val="20"/>
          <w:szCs w:val="20"/>
          <w:color w:val="auto"/>
        </w:rPr>
      </w:pPr>
    </w:p>
    <w:p>
      <w:pPr>
        <w:ind w:right="3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Please see “Special Statement Regarding Forward-Looking Statements” on page 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18"/>
          <w:szCs w:val="18"/>
          <w:color w:val="auto"/>
        </w:rPr>
        <w:t>AVITA Medical, Inc. ("we", "our", "us") is a commercial-stage regenerative medicine company transforming the standard of care in wound care management and skin restoration with innovative devices. At the forefront of our portfolio is our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(“RECELL System” or “RECELL”), approved by the United States Food &amp; Drug Administration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 of care. This breakthrough technology serves as the catalyst for a new treatment paradigm enabling improved clinical outcomes.</w:t>
      </w:r>
    </w:p>
    <w:p>
      <w:pPr>
        <w:spacing w:after="0" w:line="19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focused on becoming the leading provider of regenerative medicine addressing unmet medical needs in burn injuries, full-thickness skin defects, and in skin repigmentation, such as vitiligo. We will continue to drive commercial revenue growth to generate positive cash flow and achieve operating profit. To achieve these objectives, we intend to:</w:t>
      </w:r>
    </w:p>
    <w:p>
      <w:pPr>
        <w:spacing w:after="0" w:line="2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standard of care in the U.S. burns industry by increasing RECELL penetration and adoption in burn centers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U.S. trauma centers to increase utilization of RECELL for the treatment of full-thickness skin defects</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following FDA approval to increase market adoption and expand our customer base</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PMA supplement for RECELL GO mini, which is designed to address smaller wounds.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presence within the European Union and Australia through the exclusive use of third-party distributors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upon commercial activities in Japan through our partnership with COSMOTEC Company, Ltd ("COSMOTEC") with our current Pharmaceuticals and Medical Devices Act (“PMDA”) approval for RECELL with an indication in burns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business development opportunities that are complementary to our core RECELL indications and/or our targeted markets, such as the agreement with Stedical Scientific, Inc.</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payor coverage for RECELL in the U.S. for the treatment of vitiligo lesions; initial phase of coverage expected during the fourth quarter of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Business Environment and Current Trends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macroeconomic environment may have unexpected adverse effects on businesses and healthcare institutions globally that may continue to negatively impact our consolidated operating results. There remains significant uncertainty in the current macroeconomic environment due to factors including supply chain shortages, increased cost of healthcare, increased inflation rates, a competitive and tight labor market, and other related global economic conditions and geopolitical conditions. If these conditions continue or worsen, they could adversely impact our future operating results.</w:t>
      </w:r>
    </w:p>
    <w:p>
      <w:pPr>
        <w:spacing w:after="0" w:line="180"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Ukraine or in the Middle East, the continuation of the military conflict in these regions and/or an escalation of the conflicts beyond their current scope may further weaken the global economy and could result in additional inflationary pressures and supply chain constraints.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10, 2024, we entered into an exclusive multi-year distribution agreement with Stedical Scientific, Inc.</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commercialize PermeaDerm® Biosynthetic Wound Matrix in the United States ("PermeaDerm"). PermeaDerm is cleared by the FDA as a transparent matrix for use in the treatment of a variety of wound types until healing is achieved. Under the terms of the agreement, we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18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On January 31, 2024 we entered into an exclusive Distribution Agreement with Fidelis Sustainability Distribution, LLC ("Fidelis"). As part of the agreement, the Company appointed Fidelis as the exclusive distributor of RECELL products in the U.S. Government healthcare facilities such as Veteran Affairs and the Department of Defense.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February 16, 2024, we executed a contract modification with BARDA to extend the period of performance,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original contract dated September 29, 2015, from December 31, 2023 to September 28, 2025. Under the modified contract, BARDA will have access to AVITA Medical’s RECELL inventory in the event of a national emergency. In the case of a national emergency, BARDA will pay for RECELL devices at a reduced price for the first 1,000 units and retail price for any units over 1,000 requested. No additional inventory build will be required as part of this modification as the Company has sufficient inventory in stock to fulfill this requirement. BARDA will pay AVITA Medical approximately $333,000 in maintenance fees over the term of the contract to ensure first right of access.</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June 29, 2023, we submitted a premarket approval ("PMA") supplement to the FDA for RECELL GO. RECELL GO maintains the FDA Breakthrough Device designation from predecessor devices. On September 29, 2023, we received notice from the FDA that additional information regarding the PMA was required for the continuation of a substantive review for RECELL GO. This request, which is not unique to the Breakthrough Devices Program, placed the application file on hold while we addressed the FDA's questions. We submitted our complete response to the FDA on February 28, 2024, at which point the application reentered the 180-day cycle, with 90 days remaining in the review period. This timing would imply FDA approval, immediately followed by a product launch on May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three-months ended March 31, 2024 compared to the three-months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40" w:type="dxa"/>
            <w:vAlign w:val="bottom"/>
            <w:gridSpan w:val="6"/>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Borders>
              <w:top w:val="single" w:sz="8" w:color="auto"/>
            </w:tcBorders>
            <w:gridSpan w:val="2"/>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(1,513 )</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(1,667 )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(12,640 )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(6,540 )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(6,100 )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(8,963 )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(8,295 )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5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2"/>
                <w:szCs w:val="22"/>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(5,194 )</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(4,586 )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(26,797 )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(19,421 )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(7,376 )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(7,295 )</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0" w:type="dxa"/>
            <w:vAlign w:val="bottom"/>
          </w:tcPr>
          <w:p>
            <w:pPr>
              <w:spacing w:after="0" w:line="20" w:lineRule="exact"/>
              <w:rPr>
                <w:sz w:val="1"/>
                <w:szCs w:val="1"/>
                <w:color w:val="auto"/>
              </w:rPr>
            </w:pPr>
          </w:p>
        </w:tc>
      </w:tr>
      <w:tr>
        <w:trPr>
          <w:trHeight w:val="228"/>
        </w:trPr>
        <w:tc>
          <w:tcPr>
            <w:tcW w:w="4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(17,206 )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(9,911 )</w:t>
            </w:r>
          </w:p>
        </w:tc>
        <w:tc>
          <w:tcPr>
            <w:tcW w:w="1360" w:type="dxa"/>
            <w:vAlign w:val="bottom"/>
            <w:gridSpan w:val="2"/>
            <w:vMerge w:val="continue"/>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(1,356 )</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(1,352 )</w:t>
            </w:r>
          </w:p>
        </w:tc>
        <w:tc>
          <w:tcPr>
            <w:tcW w:w="11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(9,438 )</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0" w:type="dxa"/>
            <w:vAlign w:val="bottom"/>
          </w:tcPr>
          <w:p>
            <w:pPr>
              <w:spacing w:after="0" w:line="20" w:lineRule="exact"/>
              <w:rPr>
                <w:sz w:val="1"/>
                <w:szCs w:val="1"/>
                <w:color w:val="auto"/>
              </w:rPr>
            </w:pPr>
          </w:p>
        </w:tc>
      </w:tr>
      <w:tr>
        <w:trPr>
          <w:trHeight w:val="228"/>
        </w:trPr>
        <w:tc>
          <w:tcPr>
            <w:tcW w:w="4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(18,628 )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(9,190 )</w:t>
            </w:r>
          </w:p>
        </w:tc>
        <w:tc>
          <w:tcPr>
            <w:tcW w:w="1360" w:type="dxa"/>
            <w:vAlign w:val="bottom"/>
            <w:gridSpan w:val="2"/>
            <w:vMerge w:val="continue"/>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(18,658 )</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(9,220 )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(9,438 )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-2528570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Total net revenues increased by 5.3%, or $0.6 million, to $11.1 million, compared to $10.6 million in the same period in the prior year. Our commercial revenue was $11.1 million in the three-months ended March 31, 2024, an increase of $0.6 million, or 5.8%, compared to $10.5 million in the corresponding period in the prior year. The growth in commercial revenues was largely driven by deeper penetration within individual customer accounts and new accounts for Full Thickness Skin Defect ("FTSD"</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Gross profit margin was 86.4% compared to 84.2% in the corresponding period in the prior year. The increase was largely driven by increase in revenues and lower shipping costs.</w:t>
      </w:r>
    </w:p>
    <w:p>
      <w:pPr>
        <w:spacing w:after="0" w:line="162" w:lineRule="exact"/>
        <w:rPr>
          <w:sz w:val="20"/>
          <w:szCs w:val="20"/>
          <w:color w:val="auto"/>
        </w:rPr>
      </w:pPr>
    </w:p>
    <w:p>
      <w:pPr>
        <w:jc w:val="both"/>
        <w:ind w:right="420" w:firstLine="749"/>
        <w:spacing w:after="0" w:line="261" w:lineRule="auto"/>
        <w:rPr>
          <w:sz w:val="20"/>
          <w:szCs w:val="20"/>
          <w:color w:val="auto"/>
        </w:rPr>
      </w:pPr>
      <w:r>
        <w:rPr>
          <w:rFonts w:ascii="Times New Roman" w:cs="Times New Roman" w:eastAsia="Times New Roman" w:hAnsi="Times New Roman"/>
          <w:sz w:val="18"/>
          <w:szCs w:val="18"/>
          <w:color w:val="auto"/>
        </w:rPr>
        <w:t>BARDA income decreased to zero, compared to $0.6 million in the corresponding period in the prior year due to reimbursable clinical trials winding down. BARDA income in the prior year consisted of funding from the Biomedical Advanced Research and Development Authority, under the Assistant Secretary for Preparedness and Response, within the U.S. Department of Health and Human Services, under ongoing USG Contract No. HHSO100201500028C.</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operating expenses increased by 38.0% or $7.4 million to $26.8 million, compared with $19.4 million in the corresponding period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w:t>
      </w:r>
    </w:p>
    <w:p>
      <w:pPr>
        <w:spacing w:after="0" w:line="20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93.3%, or $6.1 million, to $12.6 million, compared to $6.5 million in the corresponding period in the prior year. Higher costs in the current year were primarily related to an increase in salaries and benefits, commissions, professional fees and travel expenses. The increase in salaries and benefits is due to the expansion of the sales force to support our growing commercial capabilities. Higher commissions were directly associated with the increase in revenues. The increase in professional fees is primarily due to pricing studies for future product development. The increase in travel is due to the expansion of the sales force.</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8.1%, or $0.7 million, to $9.0 million, compared to $8.3 million in the same period in the prior year. The increase was attributable to higher salaries and benefits and an increase in recruitment fees, partially offset by lower stock-based compensation.</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13.3%, or $0.6 million, to $5.2 million, compared to $4.6 million in the same period in the prior year. The increase is primarily due to salaries and benefits and share-based compensation, offset by a decrease in professional fees and research and development expenses. The increase in salaries and benefits and stock-based compensation is due to the deployment of a team of Medical Science Liaisons. The decrease was partially offset by lower professional fees and diminished development expenses for RECELL GO due to the latent development phase of the project.</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08" w:right="279" w:bottom="1440" w:gutter="0" w:footer="0" w:header="0"/>
        </w:sectPr>
      </w:pPr>
    </w:p>
    <w:bookmarkStart w:id="26" w:name="page27"/>
    <w:bookmarkEnd w:id="26"/>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Interest expense increased approximately $1.4 million in comparison to the same period in the prior year due to the interest expense related to the long-term debt as part of the OrbiMed Credit Agreement, for an aggregate principal amount owed of $40.0 million.</w:t>
      </w:r>
    </w:p>
    <w:p>
      <w:pPr>
        <w:spacing w:after="0" w:line="16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by $0.8 million or 109% to net expense of $66,000 from net income of $725,000 in the corresponding period in the prior year. We recognized $0.4 million and $0.9 million of non-cash charges due to the change in fair value of the debt and the warrant liability, respectively. In addition, we had an increase of approximately $0.5 million in income related to our investment activities and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expect to utilize cash reserves until U.S. sales of our products reach a level sufficient to fund ongoing operations. We have historically funded research and development activities, and more recently its substantial investment in sales and marketing activities, through raising capital by issuing securities and the issuance of debt. On October 18, 2023, we entered into a Credit Agreement with an affiliate of OrbiMed Advisors, LLC. The Credit Agreement provides for a five-year senior secured credit facility in an aggregate principal amount of up to $90.0 million, of which $40.0 million was drawn during fourth quarter of 2023. In addition, an aggregate of $50.0 million will be made available in two separate $25.0 million tranches, at our discretion, subject to certain net revenue requirements. The first tranche of $25.0 million is available on or before December 31, 2024. The second tranche of $25.0 million is available on or prior to June 30, 2025, only if the first tranche was drawn upon. We have monthly interest rate payments for the debt at a rate equal to the greater of (a) forward-looking one-month term SOFR rate and (b) four percent (4.0%) per annum, plus eight percent (8.0%). In the event that we do not meet certain twelve-month trailing revenue targets at the end of certain fiscal quarters, the outstanding balance of the loan must be repaid in equal quarterly installments of 5.0% of the funded amount through the maturity date. As of March 31, 2024, our projected revenues, for the trailing twelve months ending December 31, 2024, exceeded the minimum revenue requirements under the credit agreement. We had approximately $17.0 million in cash and cash equivalents and $51.2 million in marketable securities.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the date of these financial statements, we believe we have sufficient cash reserves to fund operations for the next 12-months.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gridSpan w:val="5"/>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r>
      <w:tr>
        <w:trPr>
          <w:trHeight w:val="22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operations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(20,864 )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(9,073 )</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18,787</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(5,167 )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9,886</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16,951</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28,050</w:t>
            </w:r>
          </w:p>
        </w:tc>
        <w:tc>
          <w:tcPr>
            <w:tcW w:w="10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$20.9 million and $9.1 million during the three-months ended March 31, 2024, and 2023, respectively. The increase in net cash used in operations was primarily due to lower revenue, higher operating costs and increased cash outflow due to the inventory purchases as part of the Stedical Agreement.</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$15.1 million and $18.8 million during the three-months ended March 31, 2024 and 2023, respectively. The decrease in cash provided by investing activities is primarily attributable to lower cash inflows from maturities of marketable securities in the current year compared to the prior year, offset by an increase in cash outflow for capital expenditures and patent filing fees. The increase in capital expenditures in the current year is primarily related to the leasehold improvement in the Ventura production facility to enhance manufacturing output.</w:t>
      </w:r>
    </w:p>
    <w:p>
      <w:pPr>
        <w:spacing w:after="0" w:line="180"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$0.6 million and $0.2 million during the three-months ended March 31, 2024, and 2023, respectively. The increase in cash provided by financing activities is related to proceeds from the exercises of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Management and Material Cash Requirements</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aim to manage capital so that the Company continues as a going concern while also maintaining optimal returns to stockholders and benefits for other stakeholders. We also aim to maintain a capital structure that ensures the lowest cost of capital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ind w:right="620"/>
        <w:spacing w:after="0" w:line="282" w:lineRule="auto"/>
        <w:rPr>
          <w:sz w:val="20"/>
          <w:szCs w:val="20"/>
          <w:color w:val="auto"/>
        </w:rPr>
      </w:pPr>
      <w:r>
        <w:rPr>
          <w:rFonts w:ascii="Times New Roman" w:cs="Times New Roman" w:eastAsia="Times New Roman" w:hAnsi="Times New Roman"/>
          <w:sz w:val="18"/>
          <w:szCs w:val="18"/>
          <w:color w:val="auto"/>
        </w:rPr>
        <w:t>available to us. We regularly review our capital structure and seek to take advantage of available opportunities to improve outcomes for us and our stockholders.</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three-months ended March 31, 2024, there were no dividends paid and we have no plans to commence the payment of dividends. As part of the Stedical Agreement, we have minimum purchase requirements for PermeaDerm inventory of $5.0 million dollars. As of March 31, 2024, we have purchased $2.6 million and have approximately $2.4 million remaining to satisfy the requirement. With the exception of the inventory purchases from Stedical, we do not have any other purchase commitments or long-term contractual obligations, except for lease obligations as of March 31, 2024. Refer to Note 7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 We have no committed plans to issue further shares on the market but will continue to assess market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the Company’s Quarterly Report on Form 10-Q for the quarter-ended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March 31, 2024, our Chief Executive Officer and our Chief Financial Officer concluded that our disclosure controls and procedures, as defined in Securities Exchange Act Rule 13a-15(e) and 15d-15(e), were effective.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the SEC’s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controls over financial reporting (as defined in Rules 13a-15(f) and 15d-15(f) under the Exchange Act) during the first quarter of fiscal year 2024 covered by this Quarterly Report on Form 10-Q that have materially affected, or are reasonably likely to materially affect, our internal controls over financial reporting.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in the 2023 Annual Report and as updated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the risk factors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2023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8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the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40" w:type="dxa"/>
            <w:vAlign w:val="bottom"/>
          </w:tcPr>
          <w:p>
            <w:pPr>
              <w:spacing w:after="0"/>
              <w:rPr>
                <w:sz w:val="13"/>
                <w:szCs w:val="13"/>
                <w:color w:val="auto"/>
              </w:rPr>
            </w:pPr>
          </w:p>
        </w:tc>
        <w:tc>
          <w:tcPr>
            <w:tcW w:w="10080" w:type="dxa"/>
            <w:vAlign w:val="bottom"/>
            <w:gridSpan w:val="14"/>
            <w:vMerge w:val="restart"/>
          </w:tcPr>
          <w:p>
            <w:pPr>
              <w:ind w:left="1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0" w:type="dxa"/>
            <w:vAlign w:val="bottom"/>
          </w:tcPr>
          <w:p>
            <w:pPr>
              <w:spacing w:after="0"/>
              <w:rPr>
                <w:sz w:val="16"/>
                <w:szCs w:val="16"/>
                <w:color w:val="auto"/>
              </w:rPr>
            </w:pPr>
          </w:p>
        </w:tc>
        <w:tc>
          <w:tcPr>
            <w:tcW w:w="1008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0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Certificate of Incorporation (incorporated by reference to Exhibit 3.1 to the registrant’s Form 8-K12B filed on June 30, 2020)</w:t>
              </w:r>
            </w:hyperlink>
          </w:p>
        </w:tc>
        <w:tc>
          <w:tcPr>
            <w:tcW w:w="20" w:type="dxa"/>
            <w:vAlign w:val="bottom"/>
            <w:tcBorders>
              <w:bottom w:val="single" w:sz="8" w:color="0000EE"/>
            </w:tcBorders>
          </w:tcPr>
          <w:p>
            <w:pPr>
              <w:spacing w:after="0"/>
              <w:rPr>
                <w:sz w:val="24"/>
                <w:szCs w:val="24"/>
                <w:color w:val="auto"/>
              </w:rPr>
            </w:pPr>
          </w:p>
        </w:tc>
        <w:tc>
          <w:tcPr>
            <w:tcW w:w="1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Certificate of Amendment of Certificate of Incorporation (incorporated by reference to Exhibit 3.2 of the registrant’s Form 10-KT filed on</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46">
              <w:r>
                <w:rPr>
                  <w:rFonts w:ascii="Times New Roman" w:cs="Times New Roman" w:eastAsia="Times New Roman" w:hAnsi="Times New Roman"/>
                  <w:sz w:val="18"/>
                  <w:szCs w:val="18"/>
                  <w:color w:val="0000FF"/>
                  <w:w w:val="98"/>
                </w:rPr>
                <w:t>February 28, 2022)</w:t>
              </w:r>
            </w:hyperlink>
          </w:p>
        </w:tc>
        <w:tc>
          <w:tcPr>
            <w:tcW w:w="8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10080" w:type="dxa"/>
            <w:vAlign w:val="bottom"/>
            <w:gridSpan w:val="14"/>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Amended and Restated Bylaws (incorporated by reference to Exhibit 3.3 of the registrant’s Form 10-KT filed on February 28, 2022)</w:t>
              </w:r>
            </w:hyperlink>
          </w:p>
        </w:tc>
        <w:tc>
          <w:tcPr>
            <w:tcW w:w="0" w:type="dxa"/>
            <w:vAlign w:val="bottom"/>
          </w:tcPr>
          <w:p>
            <w:pPr>
              <w:spacing w:after="0"/>
              <w:rPr>
                <w:sz w:val="1"/>
                <w:szCs w:val="1"/>
                <w:color w:val="auto"/>
              </w:rPr>
            </w:pPr>
          </w:p>
        </w:tc>
      </w:tr>
      <w:tr>
        <w:trPr>
          <w:trHeight w:val="37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95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Exclusive Distribution Agreement between AVITA Medical Americas, LLC and Stedical Scientific, Inc, dated January 10, 2024</w:t>
            </w:r>
            <w:r>
              <w:rPr>
                <w:rFonts w:ascii="Times New Roman" w:cs="Times New Roman" w:eastAsia="Times New Roman" w:hAnsi="Times New Roman"/>
                <w:sz w:val="18"/>
                <w:szCs w:val="18"/>
                <w:color w:val="000000"/>
              </w:rPr>
              <w:t>*</w:t>
            </w:r>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9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Second Amendment to Lease Agreement between the registrant and Hartco Ventura Inc. dated January 1, 2024</w:t>
            </w:r>
            <w:r>
              <w:rPr>
                <w:rFonts w:ascii="Times New Roman" w:cs="Times New Roman" w:eastAsia="Times New Roman" w:hAnsi="Times New Roman"/>
                <w:sz w:val="18"/>
                <w:szCs w:val="18"/>
                <w:color w:val="000000"/>
              </w:rPr>
              <w:t>*</w:t>
            </w:r>
          </w:p>
        </w:tc>
        <w:tc>
          <w:tcPr>
            <w:tcW w:w="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9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24"/>
                <w:szCs w:val="24"/>
                <w:color w:val="auto"/>
              </w:rPr>
            </w:pPr>
          </w:p>
        </w:tc>
        <w:tc>
          <w:tcPr>
            <w:tcW w:w="80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Amendment of Solicitation/Modification of Contract dated February 16, 2024 by and between the registrant and</w:t>
            </w:r>
          </w:p>
        </w:tc>
        <w:tc>
          <w:tcPr>
            <w:tcW w:w="2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BARDA</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4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Chief Executive Officer</w:t>
            </w:r>
          </w:p>
        </w:tc>
        <w:tc>
          <w:tcPr>
            <w:tcW w:w="6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4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c>
          <w:tcPr>
            <w:tcW w:w="60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40" w:type="dxa"/>
            <w:vAlign w:val="bottom"/>
          </w:tcPr>
          <w:p>
            <w:pPr>
              <w:spacing w:after="0"/>
              <w:rPr>
                <w:sz w:val="24"/>
                <w:szCs w:val="24"/>
                <w:color w:val="auto"/>
              </w:rPr>
            </w:pPr>
          </w:p>
        </w:tc>
        <w:tc>
          <w:tcPr>
            <w:tcW w:w="2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18 U.S.C. Section 1350 Certifications</w:t>
            </w:r>
          </w:p>
        </w:tc>
        <w:tc>
          <w:tcPr>
            <w:tcW w:w="40" w:type="dxa"/>
            <w:vAlign w:val="bottom"/>
            <w:tcBorders>
              <w:bottom w:val="single" w:sz="8" w:color="0000EE"/>
            </w:tcBorders>
          </w:tcPr>
          <w:p>
            <w:pPr>
              <w:spacing w:after="0"/>
              <w:rPr>
                <w:sz w:val="24"/>
                <w:szCs w:val="24"/>
                <w:color w:val="auto"/>
              </w:rPr>
            </w:pPr>
          </w:p>
        </w:tc>
        <w:tc>
          <w:tcPr>
            <w:tcW w:w="7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101.SCH</w:t>
            </w:r>
          </w:p>
        </w:tc>
        <w:tc>
          <w:tcPr>
            <w:tcW w:w="140" w:type="dxa"/>
            <w:vAlign w:val="bottom"/>
          </w:tcPr>
          <w:p>
            <w:pPr>
              <w:spacing w:after="0"/>
              <w:rPr>
                <w:sz w:val="24"/>
                <w:szCs w:val="24"/>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hanging="723"/>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20"/>
        <w:spacing w:after="0"/>
        <w:tabs>
          <w:tab w:leader="none" w:pos="560" w:val="left"/>
          <w:tab w:leader="none" w:pos="5960" w:val="left"/>
        </w:tabs>
        <w:rPr>
          <w:sz w:val="20"/>
          <w:szCs w:val="20"/>
          <w:color w:val="auto"/>
        </w:rPr>
      </w:pPr>
      <w:r>
        <w:rPr>
          <w:rFonts w:ascii="Times New Roman" w:cs="Times New Roman" w:eastAsia="Times New Roman" w:hAnsi="Times New Roman"/>
          <w:sz w:val="18"/>
          <w:szCs w:val="18"/>
          <w:color w:val="auto"/>
        </w:rPr>
        <w:t>Date:</w:t>
        <w:tab/>
        <w:t>May 13, 2024</w:t>
      </w:r>
      <w:r>
        <w:rPr>
          <w:sz w:val="20"/>
          <w:szCs w:val="20"/>
          <w:color w:val="auto"/>
        </w:rPr>
        <w:tab/>
      </w:r>
      <w:r>
        <w:rPr>
          <w:rFonts w:ascii="Times New Roman" w:cs="Times New Roman" w:eastAsia="Times New Roman" w:hAnsi="Times New Roman"/>
          <w:sz w:val="17"/>
          <w:szCs w:val="17"/>
          <w:color w:val="auto"/>
        </w:rPr>
        <w:t>AVITA MEDICAL, INC.</w:t>
      </w:r>
    </w:p>
    <w:p>
      <w:pPr>
        <w:spacing w:after="0" w:line="26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James Corbett</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David O'Toole</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CERTAIN IDENTIFIED INFORMATION HAS BEEN EXCLUDED FROM THE EXHIBIT BECAUSE IT BOTH (I) IS NOT MATERIAL AND (II) WOULD BE COMPETITIVELY HARMFUL IF PUBLICLY DISCLOSED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EXCLUSIVE DISTRIBUTION AGREEMENT</w:t>
      </w:r>
    </w:p>
    <w:p>
      <w:pPr>
        <w:spacing w:after="0" w:line="139" w:lineRule="exact"/>
        <w:rPr>
          <w:sz w:val="20"/>
          <w:szCs w:val="20"/>
          <w:color w:val="auto"/>
        </w:rPr>
      </w:pPr>
    </w:p>
    <w:p>
      <w:pPr>
        <w:ind w:right="320" w:firstLine="749"/>
        <w:spacing w:after="0" w:line="246" w:lineRule="auto"/>
        <w:rPr>
          <w:sz w:val="20"/>
          <w:szCs w:val="20"/>
          <w:color w:val="auto"/>
        </w:rPr>
      </w:pPr>
      <w:r>
        <w:rPr>
          <w:rFonts w:ascii="Times New Roman" w:cs="Times New Roman" w:eastAsia="Times New Roman" w:hAnsi="Times New Roman"/>
          <w:sz w:val="20"/>
          <w:szCs w:val="20"/>
          <w:color w:val="auto"/>
        </w:rPr>
        <w:t>This Exclusive Distribution Agreement (this "Agreement"), is effective as of the date of the last signature (the "Effective Date"), and is entered into between AVITA Medical Americas, LLC having its principle place of business at 28159 Avenue Stanford, Suite 220 Valencia, CA ("Distributor"), and Stedical Scientific, Inc. having its principle place of business at 2888 Loker Avenue East, Suite 319 Carlsbad, CA 92010 ("Seller"), and together with Distributor, the "Parties", and each, a "Party"). This Agreement replaces and supersedes any prior agreements between the Parties, which are of no further effect.</w:t>
      </w:r>
    </w:p>
    <w:p>
      <w:pPr>
        <w:spacing w:after="0" w:line="117" w:lineRule="exact"/>
        <w:rPr>
          <w:sz w:val="20"/>
          <w:szCs w:val="20"/>
          <w:color w:val="auto"/>
        </w:rPr>
      </w:pPr>
    </w:p>
    <w:p>
      <w:pPr>
        <w:ind w:left="760" w:right="380"/>
        <w:spacing w:after="0" w:line="387" w:lineRule="auto"/>
        <w:rPr>
          <w:sz w:val="20"/>
          <w:szCs w:val="20"/>
          <w:color w:val="auto"/>
        </w:rPr>
      </w:pPr>
      <w:r>
        <w:rPr>
          <w:rFonts w:ascii="Times New Roman" w:cs="Times New Roman" w:eastAsia="Times New Roman" w:hAnsi="Times New Roman"/>
          <w:sz w:val="20"/>
          <w:szCs w:val="20"/>
          <w:color w:val="auto"/>
        </w:rPr>
        <w:t>WHEREAS, Seller is in the business of manufacturing and selling the Products (as defined in Schedule A) in the United States; WHEREAS, Distributor intends to market and sell the Products in the United States (the “Territory”);</w:t>
      </w:r>
    </w:p>
    <w:p>
      <w:pPr>
        <w:spacing w:after="0" w:line="1" w:lineRule="exact"/>
        <w:rPr>
          <w:sz w:val="20"/>
          <w:szCs w:val="20"/>
          <w:color w:val="auto"/>
        </w:rPr>
      </w:pPr>
    </w:p>
    <w:p>
      <w:pPr>
        <w:jc w:val="both"/>
        <w:ind w:right="200" w:firstLine="749"/>
        <w:spacing w:after="0" w:line="254" w:lineRule="auto"/>
        <w:rPr>
          <w:sz w:val="20"/>
          <w:szCs w:val="20"/>
          <w:color w:val="auto"/>
        </w:rPr>
      </w:pPr>
      <w:r>
        <w:rPr>
          <w:rFonts w:ascii="Times New Roman" w:cs="Times New Roman" w:eastAsia="Times New Roman" w:hAnsi="Times New Roman"/>
          <w:sz w:val="20"/>
          <w:szCs w:val="20"/>
          <w:color w:val="auto"/>
        </w:rPr>
        <w:t>WHEREAS, Seller desires to appoint Distributor as its exclusive distributor to sell the Products in the field of skin therapeutics in all health care settings (the “Field of Use”) to customers located in the Territory and Distributor desires to accept such appointment, subject to the terms and conditions of this Agreement;</w:t>
      </w:r>
    </w:p>
    <w:p>
      <w:pPr>
        <w:spacing w:after="0" w:line="107" w:lineRule="exact"/>
        <w:rPr>
          <w:sz w:val="20"/>
          <w:szCs w:val="20"/>
          <w:color w:val="auto"/>
        </w:rPr>
      </w:pPr>
    </w:p>
    <w:p>
      <w:pPr>
        <w:ind w:right="70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terms and conditions set out herein, and for other good and valuable consideration, the receipt and sufficiency of which are hereby acknowledged, the Parties agree as follows:</w:t>
      </w:r>
    </w:p>
    <w:p>
      <w:pPr>
        <w:spacing w:after="0" w:line="92"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Appointment, Rights of First Negotiation and Refusal, Location of Manufacturing.</w:t>
      </w:r>
    </w:p>
    <w:p>
      <w:pPr>
        <w:spacing w:after="0" w:line="134" w:lineRule="exact"/>
        <w:rPr>
          <w:rFonts w:ascii="Times New Roman" w:cs="Times New Roman" w:eastAsia="Times New Roman" w:hAnsi="Times New Roman"/>
          <w:sz w:val="20"/>
          <w:szCs w:val="20"/>
          <w:color w:val="auto"/>
        </w:rPr>
      </w:pPr>
    </w:p>
    <w:p>
      <w:pPr>
        <w:ind w:left="840" w:right="40" w:hanging="44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Exclusive Appointment. Seller appoints Distributor as its exclusive authorized distributor of the Products listed in Schedule A within the Territory during the Term and Distributor accepts such appointment. Distributor shall not directly or indirectly actively market, advertise, promote, sell, or distribute the Products to any person or entity located outside the Territory, including selling, or distributing the Products to any person where ultimate resale to any person or entity outside the Territory occurs or is reasonably foreseeable to occur.</w:t>
      </w:r>
    </w:p>
    <w:p>
      <w:pPr>
        <w:spacing w:after="0" w:line="117" w:lineRule="exact"/>
        <w:rPr>
          <w:rFonts w:ascii="Times New Roman" w:cs="Times New Roman" w:eastAsia="Times New Roman" w:hAnsi="Times New Roman"/>
          <w:sz w:val="20"/>
          <w:szCs w:val="20"/>
          <w:color w:val="auto"/>
        </w:rPr>
      </w:pPr>
    </w:p>
    <w:p>
      <w:pPr>
        <w:ind w:left="840" w:right="60" w:hanging="449"/>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1.2. Right of First Negotiation. If at any time, from the Effective Date until the termination of the Agreement (the “ROFN Period”), Seller (1) receives a bona fide written offer from a third-party to acquire more than 50% of Seller’s equity or a sale of substantially all of its assets that are the subject of this Agreement, whether by merger, reorganization, acquisition, sale, or otherwise (each a “Change of Control”) or (2) Seller intends to explore the market for a Change of Control transaction, Seller shall immediately notify Distributor of the existence of such offer or intent. Upon receipt of such notice, Distributor will have thirty days (a “ROFN Notice Period”) to deliver a binding letter of intent to Seller to engage in a Change of Control transaction with Seller. Seller shall not accept any third-party offers during a ROFN Notice Period. Seller is under no obligation to accept Distributor’s letter of intent and may enter into a Change of Control transaction with a third-party after the expiration of the ROFN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1183005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ind w:left="832" w:hanging="448"/>
        <w:spacing w:after="0" w:line="245" w:lineRule="auto"/>
        <w:rPr>
          <w:sz w:val="20"/>
          <w:szCs w:val="20"/>
          <w:color w:val="auto"/>
        </w:rPr>
      </w:pPr>
      <w:r>
        <w:rPr>
          <w:rFonts w:ascii="Times New Roman" w:cs="Times New Roman" w:eastAsia="Times New Roman" w:hAnsi="Times New Roman"/>
          <w:sz w:val="20"/>
          <w:szCs w:val="20"/>
          <w:color w:val="auto"/>
        </w:rPr>
        <w:t>1.3. Relocation of Manufacturing. If Seller desires to relocate its manufacturing facilities (other than to another facility in the State of California approved by Distributor) Seller shall offer to assign its manufacturing contract at its existing location to Distributor. In exchange for the assignment, Distributor shall make a one-time payment of [******]to Seller within 60 days of the assignment and pay on a quarterly basis, within 30 days after the end of a quarter, a [******]% royalty on gross revenues generated from sale of Products after the assignment occurs. If such an assignment occurs, Distributor shall no longer make any payments under the terms of this Agreement other than the one-time payment and the royalty payments.</w:t>
      </w:r>
    </w:p>
    <w:p>
      <w:pPr>
        <w:spacing w:after="0" w:line="117" w:lineRule="exact"/>
        <w:rPr>
          <w:sz w:val="20"/>
          <w:szCs w:val="20"/>
          <w:color w:val="auto"/>
        </w:rPr>
      </w:pPr>
    </w:p>
    <w:p>
      <w:pPr>
        <w:ind w:left="832" w:right="140" w:hanging="448"/>
        <w:spacing w:after="0" w:line="254" w:lineRule="auto"/>
        <w:rPr>
          <w:sz w:val="20"/>
          <w:szCs w:val="20"/>
          <w:color w:val="auto"/>
        </w:rPr>
      </w:pPr>
      <w:r>
        <w:rPr>
          <w:rFonts w:ascii="Times New Roman" w:cs="Times New Roman" w:eastAsia="Times New Roman" w:hAnsi="Times New Roman"/>
          <w:sz w:val="20"/>
          <w:szCs w:val="20"/>
          <w:color w:val="auto"/>
        </w:rPr>
        <w:t>1.4. Research and Development Collaboration. The Parties agree that they are open to exploring future collaboration(s) for mutually agreed upon research and development projects or clinical research or trials and entering into a cost-sharing arrangement for such endeavors.</w:t>
      </w:r>
    </w:p>
    <w:p>
      <w:pPr>
        <w:spacing w:after="0" w:line="93" w:lineRule="exact"/>
        <w:rPr>
          <w:sz w:val="20"/>
          <w:szCs w:val="20"/>
          <w:color w:val="auto"/>
        </w:rPr>
      </w:pPr>
    </w:p>
    <w:p>
      <w:pPr>
        <w:ind w:left="372" w:right="460" w:hanging="372"/>
        <w:spacing w:after="0" w:line="269" w:lineRule="auto"/>
        <w:tabs>
          <w:tab w:leader="none" w:pos="37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of the Parties. The Parties agree that the essence of their business relationship shall be built on providing both Parties with predictability, responsiveness, dependability, and communication. To that end, the Parties agree:</w:t>
      </w:r>
    </w:p>
    <w:p>
      <w:pPr>
        <w:spacing w:after="0" w:line="91" w:lineRule="exact"/>
        <w:rPr>
          <w:rFonts w:ascii="Times New Roman" w:cs="Times New Roman" w:eastAsia="Times New Roman" w:hAnsi="Times New Roman"/>
          <w:sz w:val="20"/>
          <w:szCs w:val="20"/>
          <w:color w:val="auto"/>
        </w:rPr>
      </w:pPr>
    </w:p>
    <w:p>
      <w:pPr>
        <w:ind w:left="832" w:right="40" w:hanging="449"/>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2.1. Upon receipt of a reasonable request for a specific action, the receiving Party shall reply within five business days stating either (i) the date upon which it will provide the corresponding deliverable, (ii) a counter proposal for achieving the same business goal, or</w:t>
      </w:r>
    </w:p>
    <w:p>
      <w:pPr>
        <w:ind w:left="1172" w:hanging="349"/>
        <w:spacing w:after="0"/>
        <w:tabs>
          <w:tab w:leader="none" w:pos="1172"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intent to not comply with the request.</w:t>
      </w:r>
    </w:p>
    <w:p>
      <w:pPr>
        <w:spacing w:after="0" w:line="126" w:lineRule="exact"/>
        <w:rPr>
          <w:sz w:val="20"/>
          <w:szCs w:val="20"/>
          <w:color w:val="auto"/>
        </w:rPr>
      </w:pPr>
    </w:p>
    <w:p>
      <w:pPr>
        <w:ind w:left="832" w:right="100" w:hanging="448"/>
        <w:spacing w:after="0" w:line="254" w:lineRule="auto"/>
        <w:rPr>
          <w:sz w:val="20"/>
          <w:szCs w:val="20"/>
          <w:color w:val="auto"/>
        </w:rPr>
      </w:pPr>
      <w:r>
        <w:rPr>
          <w:rFonts w:ascii="Times New Roman" w:cs="Times New Roman" w:eastAsia="Times New Roman" w:hAnsi="Times New Roman"/>
          <w:sz w:val="20"/>
          <w:szCs w:val="20"/>
          <w:color w:val="auto"/>
        </w:rPr>
        <w:t>2.2. Should any governmental entity with jurisdiction over the use or sale of the Products in the Territory request information that is in the other Party’s possession, that Party shall have three business days from the date of receipt of such request to (i) provide the information to the requesting Party; or (ii) propose an alternative due date for the deliverable.</w:t>
      </w:r>
    </w:p>
    <w:p>
      <w:pPr>
        <w:spacing w:after="0" w:line="93" w:lineRule="exact"/>
        <w:rPr>
          <w:sz w:val="20"/>
          <w:szCs w:val="20"/>
          <w:color w:val="auto"/>
        </w:rPr>
      </w:pPr>
    </w:p>
    <w:p>
      <w:pPr>
        <w:ind w:left="832" w:right="700" w:hanging="448"/>
        <w:spacing w:after="0" w:line="269" w:lineRule="auto"/>
        <w:rPr>
          <w:sz w:val="20"/>
          <w:szCs w:val="20"/>
          <w:color w:val="auto"/>
        </w:rPr>
      </w:pPr>
      <w:r>
        <w:rPr>
          <w:rFonts w:ascii="Times New Roman" w:cs="Times New Roman" w:eastAsia="Times New Roman" w:hAnsi="Times New Roman"/>
          <w:sz w:val="20"/>
          <w:szCs w:val="20"/>
          <w:color w:val="auto"/>
        </w:rPr>
        <w:t>2.3. Should either Party experience difficulty in meeting the terms in this Section 2, that Party shall promptly communicate the difficulty to the other Party’s designated contact.</w:t>
      </w:r>
    </w:p>
    <w:p>
      <w:pPr>
        <w:spacing w:after="0" w:line="92" w:lineRule="exact"/>
        <w:rPr>
          <w:sz w:val="20"/>
          <w:szCs w:val="20"/>
          <w:color w:val="auto"/>
        </w:rPr>
      </w:pPr>
    </w:p>
    <w:p>
      <w:pPr>
        <w:ind w:left="372" w:hanging="372"/>
        <w:spacing w:after="0"/>
        <w:tabs>
          <w:tab w:leader="none" w:pos="37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Services</w:t>
      </w:r>
    </w:p>
    <w:p>
      <w:pPr>
        <w:spacing w:after="0" w:line="148" w:lineRule="exact"/>
        <w:rPr>
          <w:rFonts w:ascii="Times New Roman" w:cs="Times New Roman" w:eastAsia="Times New Roman" w:hAnsi="Times New Roman"/>
          <w:sz w:val="20"/>
          <w:szCs w:val="20"/>
          <w:color w:val="auto"/>
        </w:rPr>
      </w:pPr>
    </w:p>
    <w:p>
      <w:pPr>
        <w:ind w:left="3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Distributor Obligations. Distributor shall:</w:t>
      </w:r>
    </w:p>
    <w:p>
      <w:pPr>
        <w:spacing w:after="0" w:line="134" w:lineRule="exact"/>
        <w:rPr>
          <w:rFonts w:ascii="Times New Roman" w:cs="Times New Roman" w:eastAsia="Times New Roman" w:hAnsi="Times New Roman"/>
          <w:sz w:val="20"/>
          <w:szCs w:val="20"/>
          <w:color w:val="auto"/>
        </w:rPr>
      </w:pPr>
    </w:p>
    <w:p>
      <w:pPr>
        <w:ind w:left="1132" w:hanging="383"/>
        <w:spacing w:after="0"/>
        <w:tabs>
          <w:tab w:leader="none" w:pos="113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local laws and regulations regarding the marketing, promotion, and sale of the Products;</w:t>
      </w:r>
    </w:p>
    <w:p>
      <w:pPr>
        <w:spacing w:after="0" w:line="148" w:lineRule="exact"/>
        <w:rPr>
          <w:rFonts w:ascii="Times New Roman" w:cs="Times New Roman" w:eastAsia="Times New Roman" w:hAnsi="Times New Roman"/>
          <w:sz w:val="20"/>
          <w:szCs w:val="20"/>
          <w:color w:val="auto"/>
        </w:rPr>
      </w:pPr>
    </w:p>
    <w:p>
      <w:pPr>
        <w:ind w:left="1132" w:right="20" w:hanging="383"/>
        <w:spacing w:after="0" w:line="254" w:lineRule="auto"/>
        <w:tabs>
          <w:tab w:leader="none" w:pos="113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advertise, promote, and sell the Products in the Territory in a manner that reflects favorably at all times on the Products and the good name, goodwill, and reputation of Seller and consistent with good business practice, in each case using its reasonable best efforts to maximize the sales volume of the Products;</w:t>
      </w:r>
    </w:p>
    <w:p>
      <w:pPr>
        <w:spacing w:after="0" w:line="106" w:lineRule="exact"/>
        <w:rPr>
          <w:rFonts w:ascii="Times New Roman" w:cs="Times New Roman" w:eastAsia="Times New Roman" w:hAnsi="Times New Roman"/>
          <w:sz w:val="20"/>
          <w:szCs w:val="20"/>
          <w:color w:val="auto"/>
        </w:rPr>
      </w:pPr>
    </w:p>
    <w:p>
      <w:pPr>
        <w:ind w:left="1132" w:hanging="383"/>
        <w:spacing w:after="0"/>
        <w:tabs>
          <w:tab w:leader="none" w:pos="113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market, advertise, promote, or sell products that are directly competitive with the Products;</w:t>
      </w:r>
    </w:p>
    <w:p>
      <w:pPr>
        <w:spacing w:after="0" w:line="134" w:lineRule="exact"/>
        <w:rPr>
          <w:rFonts w:ascii="Times New Roman" w:cs="Times New Roman" w:eastAsia="Times New Roman" w:hAnsi="Times New Roman"/>
          <w:sz w:val="20"/>
          <w:szCs w:val="20"/>
          <w:color w:val="auto"/>
        </w:rPr>
      </w:pPr>
    </w:p>
    <w:p>
      <w:pPr>
        <w:ind w:left="1132" w:right="40" w:hanging="383"/>
        <w:spacing w:after="0" w:line="269" w:lineRule="auto"/>
        <w:tabs>
          <w:tab w:leader="none" w:pos="113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place or places of business in the Territory, including adequate office, storage, and warehouse facilities and all other facilities as required for Distributor to perform its duties under this Agreement;</w:t>
      </w:r>
    </w:p>
    <w:p>
      <w:pPr>
        <w:spacing w:after="0" w:line="91" w:lineRule="exact"/>
        <w:rPr>
          <w:rFonts w:ascii="Times New Roman" w:cs="Times New Roman" w:eastAsia="Times New Roman" w:hAnsi="Times New Roman"/>
          <w:sz w:val="20"/>
          <w:szCs w:val="20"/>
          <w:color w:val="auto"/>
        </w:rPr>
      </w:pPr>
    </w:p>
    <w:p>
      <w:pPr>
        <w:ind w:left="1132" w:right="440" w:hanging="383"/>
        <w:spacing w:after="0" w:line="269" w:lineRule="auto"/>
        <w:tabs>
          <w:tab w:leader="none" w:pos="113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and maintain at all times a representative quantity of each Product sufficient for and consistent with the needs of customers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951865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33" w:name="page34"/>
    <w:bookmarkEnd w:id="33"/>
    <w:p>
      <w:pPr>
        <w:spacing w:after="0" w:line="351" w:lineRule="exact"/>
        <w:rPr>
          <w:sz w:val="20"/>
          <w:szCs w:val="20"/>
          <w:color w:val="auto"/>
        </w:rPr>
      </w:pPr>
    </w:p>
    <w:p>
      <w:pPr>
        <w:ind w:left="760" w:right="220" w:hanging="383"/>
        <w:spacing w:after="0" w:line="269"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sufficient knowledge of the industry and products competitive with the Products (including specifications, features, and benefits) so as to be able to explain in detail to customers:</w:t>
      </w:r>
    </w:p>
    <w:p>
      <w:pPr>
        <w:spacing w:after="0" w:line="78" w:lineRule="exact"/>
        <w:rPr>
          <w:rFonts w:ascii="Times New Roman" w:cs="Times New Roman" w:eastAsia="Times New Roman" w:hAnsi="Times New Roman"/>
          <w:sz w:val="20"/>
          <w:szCs w:val="20"/>
          <w:color w:val="auto"/>
        </w:rPr>
      </w:pPr>
    </w:p>
    <w:p>
      <w:pPr>
        <w:ind w:left="1120" w:hanging="369"/>
        <w:spacing w:after="0"/>
        <w:tabs>
          <w:tab w:leader="none" w:pos="112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differences between the Products and competing products; and</w:t>
      </w:r>
    </w:p>
    <w:p>
      <w:pPr>
        <w:spacing w:after="0" w:line="148" w:lineRule="exact"/>
        <w:rPr>
          <w:rFonts w:ascii="Times New Roman" w:cs="Times New Roman" w:eastAsia="Times New Roman" w:hAnsi="Times New Roman"/>
          <w:sz w:val="20"/>
          <w:szCs w:val="20"/>
          <w:color w:val="auto"/>
        </w:rPr>
      </w:pPr>
    </w:p>
    <w:p>
      <w:pPr>
        <w:ind w:left="1120" w:hanging="369"/>
        <w:spacing w:after="0"/>
        <w:tabs>
          <w:tab w:leader="none" w:pos="112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on standard protocols and features of each Product;</w:t>
      </w:r>
    </w:p>
    <w:p>
      <w:pPr>
        <w:spacing w:after="0" w:line="148" w:lineRule="exact"/>
        <w:rPr>
          <w:rFonts w:ascii="Times New Roman" w:cs="Times New Roman" w:eastAsia="Times New Roman" w:hAnsi="Times New Roman"/>
          <w:sz w:val="20"/>
          <w:szCs w:val="20"/>
          <w:color w:val="auto"/>
        </w:rPr>
      </w:pPr>
    </w:p>
    <w:p>
      <w:pPr>
        <w:ind w:left="760" w:right="120" w:hanging="383"/>
        <w:spacing w:after="0" w:line="249"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utilize a sales and marketing organization predominantly comprised of Distributor employees sufficient to develop to the satisfaction of Seller the market potential for the sale of the Products, and maintain employees and facilities sufficient to make the Products available for shipment by Distributor to each of its customers in the Territory within a reasonable period of time on receipt of order;</w:t>
      </w:r>
    </w:p>
    <w:p>
      <w:pPr>
        <w:spacing w:after="0" w:line="98" w:lineRule="exact"/>
        <w:rPr>
          <w:rFonts w:ascii="Times New Roman" w:cs="Times New Roman" w:eastAsia="Times New Roman" w:hAnsi="Times New Roman"/>
          <w:sz w:val="20"/>
          <w:szCs w:val="20"/>
          <w:color w:val="auto"/>
        </w:rPr>
      </w:pPr>
    </w:p>
    <w:p>
      <w:pPr>
        <w:ind w:left="760" w:hanging="383"/>
        <w:spacing w:after="0"/>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execute a marketing plan sufficient to fulfill its obligations under this Agreement;</w:t>
      </w:r>
    </w:p>
    <w:p>
      <w:pPr>
        <w:spacing w:after="0" w:line="148" w:lineRule="exact"/>
        <w:rPr>
          <w:rFonts w:ascii="Times New Roman" w:cs="Times New Roman" w:eastAsia="Times New Roman" w:hAnsi="Times New Roman"/>
          <w:sz w:val="20"/>
          <w:szCs w:val="20"/>
          <w:color w:val="auto"/>
        </w:rPr>
      </w:pPr>
    </w:p>
    <w:p>
      <w:pPr>
        <w:ind w:left="760" w:right="480" w:hanging="383"/>
        <w:spacing w:after="0" w:line="269"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any materially misleading or untrue statements concerning Seller or the Products, including refraining from any disparagement of Seller or the Products;</w:t>
      </w:r>
    </w:p>
    <w:p>
      <w:pPr>
        <w:spacing w:after="0" w:line="91" w:lineRule="exact"/>
        <w:rPr>
          <w:rFonts w:ascii="Times New Roman" w:cs="Times New Roman" w:eastAsia="Times New Roman" w:hAnsi="Times New Roman"/>
          <w:sz w:val="20"/>
          <w:szCs w:val="20"/>
          <w:color w:val="auto"/>
        </w:rPr>
      </w:pPr>
    </w:p>
    <w:p>
      <w:pPr>
        <w:ind w:left="760" w:right="300" w:hanging="383"/>
        <w:spacing w:after="0" w:line="269"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Seller complete and accurate monthly reports including at a minimum the items listed in Schedule B and maintain books, records and accounts of all transactions and permit full examination thereof by Seller;</w:t>
      </w:r>
    </w:p>
    <w:p>
      <w:pPr>
        <w:spacing w:after="0" w:line="78" w:lineRule="exact"/>
        <w:rPr>
          <w:rFonts w:ascii="Times New Roman" w:cs="Times New Roman" w:eastAsia="Times New Roman" w:hAnsi="Times New Roman"/>
          <w:sz w:val="20"/>
          <w:szCs w:val="20"/>
          <w:color w:val="auto"/>
        </w:rPr>
      </w:pPr>
    </w:p>
    <w:p>
      <w:pPr>
        <w:ind w:left="760" w:hanging="383"/>
        <w:spacing w:after="0"/>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and promote the Products as a distinct product line and not as a bundle with other products sold by Distributor; and</w:t>
      </w:r>
    </w:p>
    <w:p>
      <w:pPr>
        <w:spacing w:after="0" w:line="148" w:lineRule="exact"/>
        <w:rPr>
          <w:rFonts w:ascii="Times New Roman" w:cs="Times New Roman" w:eastAsia="Times New Roman" w:hAnsi="Times New Roman"/>
          <w:sz w:val="20"/>
          <w:szCs w:val="20"/>
          <w:color w:val="auto"/>
        </w:rPr>
      </w:pPr>
    </w:p>
    <w:p>
      <w:pPr>
        <w:ind w:left="760" w:right="180" w:hanging="383"/>
        <w:spacing w:after="0" w:line="254"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existing inventory of Seller’s Products currently held by [******] Distributor shall ship the [******] inventory to Seller’s Tustin, CA location where it will be relabeled and shipped to Distributor’s Ventura, CA location. The Parties shall ultimately bear the cost of the repurchase and repackaging equally in accordance with the terms of Section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  Seller Obligations. Seller shall:</w:t>
      </w:r>
    </w:p>
    <w:p>
      <w:pPr>
        <w:spacing w:after="0" w:line="135" w:lineRule="exact"/>
        <w:rPr>
          <w:sz w:val="20"/>
          <w:szCs w:val="20"/>
          <w:color w:val="auto"/>
        </w:rPr>
      </w:pPr>
    </w:p>
    <w:p>
      <w:pPr>
        <w:ind w:left="760" w:right="380" w:hanging="383"/>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any information and support that may be reasonably requested by Distributor regarding the marketing, advertising, promotion, and sale of Products;</w:t>
      </w:r>
    </w:p>
    <w:p>
      <w:pPr>
        <w:spacing w:after="0" w:line="91" w:lineRule="exact"/>
        <w:rPr>
          <w:rFonts w:ascii="Times New Roman" w:cs="Times New Roman" w:eastAsia="Times New Roman" w:hAnsi="Times New Roman"/>
          <w:sz w:val="20"/>
          <w:szCs w:val="20"/>
          <w:color w:val="auto"/>
        </w:rPr>
      </w:pPr>
    </w:p>
    <w:p>
      <w:pPr>
        <w:ind w:left="760" w:right="40" w:hanging="383"/>
        <w:spacing w:after="0" w:line="254"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Distributor to participate, at its own expense, in any marketing, advertising, promotion, and sales programs or events that Seller may make generally available to its authorized distributors of Products, provided that Seller may alter or eliminate any program at any time;</w:t>
      </w:r>
    </w:p>
    <w:p>
      <w:pPr>
        <w:spacing w:after="0" w:line="106" w:lineRule="exact"/>
        <w:rPr>
          <w:rFonts w:ascii="Times New Roman" w:cs="Times New Roman" w:eastAsia="Times New Roman" w:hAnsi="Times New Roman"/>
          <w:sz w:val="20"/>
          <w:szCs w:val="20"/>
          <w:color w:val="auto"/>
        </w:rPr>
      </w:pPr>
    </w:p>
    <w:p>
      <w:pPr>
        <w:ind w:left="760" w:right="180" w:hanging="383"/>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market and sell the Products outside the Territory, provided that such marketing and sale does not impede Seller’s ability to fulfill its obligations under this Agreement;</w:t>
      </w:r>
    </w:p>
    <w:p>
      <w:pPr>
        <w:spacing w:after="0" w:line="78" w:lineRule="exact"/>
        <w:rPr>
          <w:rFonts w:ascii="Times New Roman" w:cs="Times New Roman" w:eastAsia="Times New Roman" w:hAnsi="Times New Roman"/>
          <w:sz w:val="20"/>
          <w:szCs w:val="20"/>
          <w:color w:val="auto"/>
        </w:rPr>
      </w:pPr>
    </w:p>
    <w:p>
      <w:pPr>
        <w:ind w:left="760" w:hanging="383"/>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promotional information and material for use by Distributor in accordance with this Agreement;</w:t>
      </w:r>
    </w:p>
    <w:p>
      <w:pPr>
        <w:spacing w:after="0" w:line="148" w:lineRule="exact"/>
        <w:rPr>
          <w:rFonts w:ascii="Times New Roman" w:cs="Times New Roman" w:eastAsia="Times New Roman" w:hAnsi="Times New Roman"/>
          <w:sz w:val="20"/>
          <w:szCs w:val="20"/>
          <w:color w:val="auto"/>
        </w:rPr>
      </w:pPr>
    </w:p>
    <w:p>
      <w:pPr>
        <w:ind w:left="760" w:hanging="383"/>
        <w:spacing w:after="0" w:line="254"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per calendar year, provide up to four nonconsecutive weeks of in-person training on the technology of the Products and their uses to Distributor employees at Distributor’s facility. Distributor must explicitly request this training in writing and Seller shall respond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961390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34" w:name="page35"/>
    <w:bookmarkEnd w:id="34"/>
    <w:p>
      <w:pPr>
        <w:jc w:val="center"/>
        <w:ind w:right="-71"/>
        <w:spacing w:after="0"/>
        <w:rPr>
          <w:sz w:val="20"/>
          <w:szCs w:val="20"/>
          <w:color w:val="auto"/>
        </w:rPr>
      </w:pPr>
      <w:r>
        <w:rPr>
          <w:rFonts w:ascii="Times New Roman" w:cs="Times New Roman" w:eastAsia="Times New Roman" w:hAnsi="Times New Roman"/>
          <w:sz w:val="20"/>
          <w:szCs w:val="20"/>
          <w:color w:val="auto"/>
        </w:rPr>
        <w:t>thirty days. The cost of such training, including reasonable expenses, shall be shared equally between the Parties;</w:t>
      </w:r>
    </w:p>
    <w:p>
      <w:pPr>
        <w:spacing w:after="0" w:line="148" w:lineRule="exact"/>
        <w:rPr>
          <w:sz w:val="20"/>
          <w:szCs w:val="20"/>
          <w:color w:val="auto"/>
        </w:rPr>
      </w:pPr>
    </w:p>
    <w:p>
      <w:pPr>
        <w:ind w:left="1132" w:hanging="383"/>
        <w:spacing w:after="0"/>
        <w:tabs>
          <w:tab w:leader="none" w:pos="11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Distributor’s questions related to technical or market access issues within five business days;</w:t>
      </w:r>
    </w:p>
    <w:p>
      <w:pPr>
        <w:spacing w:after="0" w:line="134" w:lineRule="exact"/>
        <w:rPr>
          <w:rFonts w:ascii="Times New Roman" w:cs="Times New Roman" w:eastAsia="Times New Roman" w:hAnsi="Times New Roman"/>
          <w:sz w:val="20"/>
          <w:szCs w:val="20"/>
          <w:color w:val="auto"/>
        </w:rPr>
      </w:pPr>
    </w:p>
    <w:p>
      <w:pPr>
        <w:ind w:left="1132" w:right="400" w:hanging="383"/>
        <w:spacing w:after="0" w:line="269" w:lineRule="auto"/>
        <w:tabs>
          <w:tab w:leader="none" w:pos="11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obtain and during the Term always maintain full marketing authorization for the Products in the whole Territory under applicable law; and</w:t>
      </w:r>
    </w:p>
    <w:p>
      <w:pPr>
        <w:spacing w:after="0" w:line="91" w:lineRule="exact"/>
        <w:rPr>
          <w:rFonts w:ascii="Times New Roman" w:cs="Times New Roman" w:eastAsia="Times New Roman" w:hAnsi="Times New Roman"/>
          <w:sz w:val="20"/>
          <w:szCs w:val="20"/>
          <w:color w:val="auto"/>
        </w:rPr>
      </w:pPr>
    </w:p>
    <w:p>
      <w:pPr>
        <w:ind w:left="1132" w:right="180" w:hanging="383"/>
        <w:spacing w:after="0" w:line="254" w:lineRule="auto"/>
        <w:tabs>
          <w:tab w:leader="none" w:pos="11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best efforts to produce a ready-to-sell [******], version of the Products within 12 to 24 months of the Effective Date. Product profile and technical specifications to be mutually agreed upon by the Parties. Distributor shall be the exclusive distributor of this Product in the Field of Use in the Territory.</w:t>
      </w:r>
    </w:p>
    <w:p>
      <w:pPr>
        <w:spacing w:after="0" w:line="10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3.3.  Regulatory Obligations.</w:t>
      </w:r>
    </w:p>
    <w:p>
      <w:pPr>
        <w:spacing w:after="0" w:line="135" w:lineRule="exact"/>
        <w:rPr>
          <w:sz w:val="20"/>
          <w:szCs w:val="20"/>
          <w:color w:val="auto"/>
        </w:rPr>
      </w:pPr>
    </w:p>
    <w:p>
      <w:pPr>
        <w:ind w:left="1132" w:right="460" w:hanging="383"/>
        <w:spacing w:after="0" w:line="269" w:lineRule="auto"/>
        <w:tabs>
          <w:tab w:leader="none" w:pos="113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 shall not, except with the prior written approval of Seller, (i) change the intended purpose of a Product, or (ii) modify a Product in such a way that compliance with the applicable requirements may be affected.</w:t>
      </w:r>
    </w:p>
    <w:p>
      <w:pPr>
        <w:spacing w:after="0" w:line="91" w:lineRule="exact"/>
        <w:rPr>
          <w:rFonts w:ascii="Times New Roman" w:cs="Times New Roman" w:eastAsia="Times New Roman" w:hAnsi="Times New Roman"/>
          <w:sz w:val="20"/>
          <w:szCs w:val="20"/>
          <w:color w:val="auto"/>
        </w:rPr>
      </w:pPr>
    </w:p>
    <w:p>
      <w:pPr>
        <w:ind w:left="1132" w:right="40" w:hanging="383"/>
        <w:spacing w:after="0" w:line="269" w:lineRule="auto"/>
        <w:tabs>
          <w:tab w:leader="none" w:pos="113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 shall keep up to date records demonstrating at all times to which customers it has sold any Product and require any of its customers who are not end customers to do so, allowing for the traceability of the Products to the final customer.</w:t>
      </w:r>
    </w:p>
    <w:p>
      <w:pPr>
        <w:spacing w:after="0" w:line="91" w:lineRule="exact"/>
        <w:rPr>
          <w:rFonts w:ascii="Times New Roman" w:cs="Times New Roman" w:eastAsia="Times New Roman" w:hAnsi="Times New Roman"/>
          <w:sz w:val="20"/>
          <w:szCs w:val="20"/>
          <w:color w:val="auto"/>
        </w:rPr>
      </w:pPr>
    </w:p>
    <w:p>
      <w:pPr>
        <w:ind w:left="1132" w:right="240" w:hanging="383"/>
        <w:spacing w:after="0" w:line="269" w:lineRule="auto"/>
        <w:tabs>
          <w:tab w:leader="none" w:pos="113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may specify or change the regulatory obligations with respect to the performance of this Agreement by entering into a separate Quality Agreement.</w:t>
      </w:r>
    </w:p>
    <w:p>
      <w:pPr>
        <w:spacing w:after="0" w:line="78"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to Purchase and Sell Products; Minimum Purchase Requirements.</w:t>
      </w:r>
    </w:p>
    <w:p>
      <w:pPr>
        <w:spacing w:after="0" w:line="148" w:lineRule="exact"/>
        <w:rPr>
          <w:rFonts w:ascii="Times New Roman" w:cs="Times New Roman" w:eastAsia="Times New Roman" w:hAnsi="Times New Roman"/>
          <w:sz w:val="20"/>
          <w:szCs w:val="20"/>
          <w:color w:val="auto"/>
        </w:rPr>
      </w:pPr>
    </w:p>
    <w:p>
      <w:pPr>
        <w:ind w:left="832" w:hanging="44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 Terms of Sale; Orders. Seller and Distributor shall effectively split the gross revenue from sale of the Products evenly through the purchase of Products at 50% of average sale price (“ASP”) as described in this Section 4. Seller shall ultimately be responsible for the cost of manufacturing the Products.</w:t>
      </w:r>
    </w:p>
    <w:p>
      <w:pPr>
        <w:spacing w:after="0" w:line="106" w:lineRule="exact"/>
        <w:rPr>
          <w:rFonts w:ascii="Times New Roman" w:cs="Times New Roman" w:eastAsia="Times New Roman" w:hAnsi="Times New Roman"/>
          <w:sz w:val="20"/>
          <w:szCs w:val="20"/>
          <w:color w:val="auto"/>
        </w:rPr>
      </w:pPr>
    </w:p>
    <w:p>
      <w:pPr>
        <w:ind w:left="1132" w:right="60" w:hanging="383"/>
        <w:spacing w:after="0" w:line="269" w:lineRule="auto"/>
        <w:tabs>
          <w:tab w:leader="none" w:pos="113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prices are exclusive of all sales, use and excise taxes, and any other similar taxes, duties, and charges of any kind imposed by any governmental authority on any amounts payable by Distributor under this Agreement.</w:t>
      </w:r>
    </w:p>
    <w:p>
      <w:pPr>
        <w:spacing w:after="0" w:line="78" w:lineRule="exact"/>
        <w:rPr>
          <w:rFonts w:ascii="Times New Roman" w:cs="Times New Roman" w:eastAsia="Times New Roman" w:hAnsi="Times New Roman"/>
          <w:sz w:val="20"/>
          <w:szCs w:val="20"/>
          <w:color w:val="auto"/>
        </w:rPr>
      </w:pPr>
    </w:p>
    <w:p>
      <w:pPr>
        <w:ind w:left="1132" w:right="180" w:hanging="383"/>
        <w:spacing w:after="0" w:line="269" w:lineRule="auto"/>
        <w:tabs>
          <w:tab w:leader="none" w:pos="113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 is responsible for all charges, costs, and taxes, provided that, Distributor is not responsible for any taxes imposed on, or regarding, Seller's income, revenues, gross receipts, personnel or real or personal property or other assets.</w:t>
      </w:r>
    </w:p>
    <w:p>
      <w:pPr>
        <w:spacing w:after="0" w:line="91" w:lineRule="exact"/>
        <w:rPr>
          <w:rFonts w:ascii="Times New Roman" w:cs="Times New Roman" w:eastAsia="Times New Roman" w:hAnsi="Times New Roman"/>
          <w:sz w:val="20"/>
          <w:szCs w:val="20"/>
          <w:color w:val="auto"/>
        </w:rPr>
      </w:pPr>
    </w:p>
    <w:p>
      <w:pPr>
        <w:ind w:left="1132" w:right="300" w:hanging="383"/>
        <w:spacing w:after="0" w:line="269" w:lineRule="auto"/>
        <w:tabs>
          <w:tab w:leader="none" w:pos="113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 shall pay interest on all late payments, calculated daily and compounded monthly, at the lesser of the rate of ten percent per month or the highest rate permissible under applicable law, whichever is lower.</w:t>
      </w:r>
    </w:p>
    <w:p>
      <w:pPr>
        <w:spacing w:after="0" w:line="9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4.2.  Price (First Twelve Months).</w:t>
      </w:r>
    </w:p>
    <w:p>
      <w:pPr>
        <w:spacing w:after="0" w:line="135" w:lineRule="exact"/>
        <w:rPr>
          <w:sz w:val="20"/>
          <w:szCs w:val="20"/>
          <w:color w:val="auto"/>
        </w:rPr>
      </w:pPr>
    </w:p>
    <w:p>
      <w:pPr>
        <w:ind w:left="1132" w:right="580" w:hanging="383"/>
        <w:spacing w:after="0" w:line="269" w:lineRule="auto"/>
        <w:tabs>
          <w:tab w:leader="none" w:pos="113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first twelve months after the Effective Date, Distributor shall purchase Products from Seller monthly as needed, depending on the supply of Products remaining from the repurchase from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1183005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413" w:right="419" w:bottom="1440" w:gutter="0" w:footer="0" w:header="0"/>
        </w:sectPr>
      </w:pPr>
    </w:p>
    <w:bookmarkStart w:id="35" w:name="page36"/>
    <w:bookmarkEnd w:id="35"/>
    <w:p>
      <w:pPr>
        <w:ind w:left="383" w:right="100" w:hanging="383"/>
        <w:spacing w:after="0" w:line="249" w:lineRule="auto"/>
        <w:tabs>
          <w:tab w:leader="none" w:pos="38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first quarter after the Effective Date, Distributor shall estimate a monthly average sales price ASP for the Products and the price Distributor pays to Seller for Products shall be 50% of the estimated ASP. The ASP shall be expressed in United States Dollars (“USD”). Thereafter, the price Distributor pays to Seller for Products shall be 50% of ASP of the Products from the previous quarter as reported on the report described in Schedule B.</w:t>
      </w:r>
    </w:p>
    <w:p>
      <w:pPr>
        <w:spacing w:after="0" w:line="112" w:lineRule="exact"/>
        <w:rPr>
          <w:rFonts w:ascii="Times New Roman" w:cs="Times New Roman" w:eastAsia="Times New Roman" w:hAnsi="Times New Roman"/>
          <w:sz w:val="20"/>
          <w:szCs w:val="20"/>
          <w:color w:val="auto"/>
        </w:rPr>
      </w:pPr>
    </w:p>
    <w:p>
      <w:pPr>
        <w:ind w:left="383" w:right="140" w:hanging="383"/>
        <w:spacing w:after="0" w:line="269" w:lineRule="auto"/>
        <w:tabs>
          <w:tab w:leader="none" w:pos="38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quarterly basis, the Parties will make any necessary true-up payments to account for the [******] repurchased inventory and any variance in actual ASP.</w:t>
      </w:r>
    </w:p>
    <w:p>
      <w:pPr>
        <w:spacing w:after="0" w:line="78" w:lineRule="exact"/>
        <w:rPr>
          <w:rFonts w:ascii="Times New Roman" w:cs="Times New Roman" w:eastAsia="Times New Roman" w:hAnsi="Times New Roman"/>
          <w:sz w:val="20"/>
          <w:szCs w:val="20"/>
          <w:color w:val="auto"/>
        </w:rPr>
      </w:pPr>
    </w:p>
    <w:p>
      <w:pPr>
        <w:ind w:left="383" w:right="60" w:hanging="383"/>
        <w:spacing w:after="0" w:line="243" w:lineRule="auto"/>
        <w:tabs>
          <w:tab w:leader="none" w:pos="38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example only, if, for the first quarter after the Effective Date, Distributor estimates the ASP of a Product to be $60, the price Distributor pays to Seller for that Product shall be $30 (50% of $60) for that quarter. If the actual ASP for that quarter is $70, Distributor shall, at the end of that quarter, make a true-up payment to Seller reflecting the additional $5 (50% of the $10 difference) per Product owed to Seller and the price Distributor pays to Seller for the following quarter shall be $35 per Product. Conversely, If the actual ASP for that quarter is $50, Seller shall, at the end of that quarter, either (i) make a true-up payment to Distributor reflecting the $5 (again reflecting 50% of the $10 difference) per product overpayment by Distributor or (ii) provide Distributor with a Product credit equivalent to that true-up payment and the price Distributor pays to Seller for the following quarter shall be $25 per Product. Such true-up payments or product credits and selling price adjustments shall continue for the Term of the Agreement and any Renewal Terms.</w:t>
      </w:r>
    </w:p>
    <w:p>
      <w:pPr>
        <w:spacing w:after="0" w:line="118" w:lineRule="exact"/>
        <w:rPr>
          <w:sz w:val="20"/>
          <w:szCs w:val="20"/>
          <w:color w:val="auto"/>
        </w:rPr>
      </w:pPr>
    </w:p>
    <w:p>
      <w:pPr>
        <w:ind w:left="83" w:right="40" w:hanging="448"/>
        <w:spacing w:after="0" w:line="249" w:lineRule="auto"/>
        <w:rPr>
          <w:sz w:val="20"/>
          <w:szCs w:val="20"/>
          <w:color w:val="auto"/>
        </w:rPr>
      </w:pPr>
      <w:r>
        <w:rPr>
          <w:rFonts w:ascii="Times New Roman" w:cs="Times New Roman" w:eastAsia="Times New Roman" w:hAnsi="Times New Roman"/>
          <w:sz w:val="20"/>
          <w:szCs w:val="20"/>
          <w:color w:val="auto"/>
        </w:rPr>
        <w:t>4.3. Price (After First Twelve Months). For every quarter after the one-year anniversary of the Effective Date, the price of the Products for that quarter shall be 50% of ASP of the Products from the previous quarter as reported on the report described in Schedule B. The ASP shall be expressed in USD. On a quarterly basis, the Parties will make any necessary true-up payments to account for any variance in actual ASP similar to the example provided in Section 4.2(d).</w:t>
      </w:r>
    </w:p>
    <w:p>
      <w:pPr>
        <w:spacing w:after="0" w:line="112" w:lineRule="exact"/>
        <w:rPr>
          <w:sz w:val="20"/>
          <w:szCs w:val="20"/>
          <w:color w:val="auto"/>
        </w:rPr>
      </w:pPr>
    </w:p>
    <w:p>
      <w:pPr>
        <w:ind w:left="83" w:right="60" w:hanging="448"/>
        <w:spacing w:after="0" w:line="249" w:lineRule="auto"/>
        <w:rPr>
          <w:sz w:val="20"/>
          <w:szCs w:val="20"/>
          <w:color w:val="auto"/>
        </w:rPr>
      </w:pPr>
      <w:r>
        <w:rPr>
          <w:rFonts w:ascii="Times New Roman" w:cs="Times New Roman" w:eastAsia="Times New Roman" w:hAnsi="Times New Roman"/>
          <w:sz w:val="20"/>
          <w:szCs w:val="20"/>
          <w:color w:val="auto"/>
        </w:rPr>
        <w:t>4.4. Payment Terms. For the first twelve months of the Agreement, Distributor shall pay all amounts due to Seller within ten days of Seller's shipment of ordered Products. For the remainder of the Agreement’s Term and any Renewal Term, Distributor shall pay all amounts due to Seller within thirty days of Seller’s shipment of ordered Products. Distributor shall make all payments in USD by wire transfer or automated clearing house. Seller’s bank wire information is provided in Schedule A.</w:t>
      </w:r>
    </w:p>
    <w:p>
      <w:pPr>
        <w:spacing w:after="0" w:line="99" w:lineRule="exact"/>
        <w:rPr>
          <w:sz w:val="20"/>
          <w:szCs w:val="20"/>
          <w:color w:val="auto"/>
        </w:rPr>
      </w:pPr>
    </w:p>
    <w:p>
      <w:pPr>
        <w:ind w:left="83" w:hanging="448"/>
        <w:spacing w:after="0" w:line="254" w:lineRule="auto"/>
        <w:rPr>
          <w:sz w:val="20"/>
          <w:szCs w:val="20"/>
          <w:color w:val="auto"/>
        </w:rPr>
      </w:pPr>
      <w:r>
        <w:rPr>
          <w:rFonts w:ascii="Times New Roman" w:cs="Times New Roman" w:eastAsia="Times New Roman" w:hAnsi="Times New Roman"/>
          <w:sz w:val="20"/>
          <w:szCs w:val="20"/>
          <w:color w:val="auto"/>
        </w:rPr>
        <w:t>4.5. Availability/Changes in Products. Seller may, in its sole discretion, add or make changes to Products in, or remove Products from Schedule A upon one-year prior notice to Distributor, in each case, without obligation to modify or change any Products previously delivered or to supply new goods meeting earlier specifications.</w:t>
      </w:r>
    </w:p>
    <w:p>
      <w:pPr>
        <w:spacing w:after="0" w:line="107" w:lineRule="exact"/>
        <w:rPr>
          <w:sz w:val="20"/>
          <w:szCs w:val="20"/>
          <w:color w:val="auto"/>
        </w:rPr>
      </w:pPr>
    </w:p>
    <w:p>
      <w:pPr>
        <w:ind w:left="83" w:right="540" w:hanging="448"/>
        <w:spacing w:after="0" w:line="269" w:lineRule="auto"/>
        <w:rPr>
          <w:sz w:val="20"/>
          <w:szCs w:val="20"/>
          <w:color w:val="auto"/>
        </w:rPr>
      </w:pPr>
      <w:r>
        <w:rPr>
          <w:rFonts w:ascii="Times New Roman" w:cs="Times New Roman" w:eastAsia="Times New Roman" w:hAnsi="Times New Roman"/>
          <w:sz w:val="20"/>
          <w:szCs w:val="20"/>
          <w:color w:val="auto"/>
        </w:rPr>
        <w:t>4.6. Minimum Purchase Requirements. Distributor’s purchasing of Products from Seller shall be subject to certain minimum sale requirements, the timing and establishment of which is explained below.</w:t>
      </w:r>
    </w:p>
    <w:p>
      <w:pPr>
        <w:spacing w:after="0" w:line="92" w:lineRule="exact"/>
        <w:rPr>
          <w:sz w:val="20"/>
          <w:szCs w:val="20"/>
          <w:color w:val="auto"/>
        </w:rPr>
      </w:pPr>
    </w:p>
    <w:p>
      <w:pPr>
        <w:ind w:left="383" w:right="300" w:hanging="383"/>
        <w:spacing w:after="0" w:line="269" w:lineRule="auto"/>
        <w:tabs>
          <w:tab w:leader="none" w:pos="38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2024, Distributor shall purchase Products sufficient to achieve [******] worth of end customer sales (“Initial Minimum Purchase Requirement”).</w:t>
      </w:r>
    </w:p>
    <w:p>
      <w:pPr>
        <w:spacing w:after="0" w:line="78" w:lineRule="exact"/>
        <w:rPr>
          <w:rFonts w:ascii="Times New Roman" w:cs="Times New Roman" w:eastAsia="Times New Roman" w:hAnsi="Times New Roman"/>
          <w:sz w:val="20"/>
          <w:szCs w:val="20"/>
          <w:color w:val="auto"/>
        </w:rPr>
      </w:pPr>
    </w:p>
    <w:p>
      <w:pPr>
        <w:ind w:left="383" w:right="260" w:hanging="383"/>
        <w:spacing w:after="0" w:line="254" w:lineRule="auto"/>
        <w:tabs>
          <w:tab w:leader="none" w:pos="38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November 30, 2024 (and annually thereafter until the termination or expiration of this Agreement), Distributor shall inform Seller the amount of Products required to achieve targeted end customer sales for the upcoming year divided quarterly. For the first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961390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36" w:name="page37"/>
    <w:bookmarkEnd w:id="36"/>
    <w:p>
      <w:pPr>
        <w:ind w:left="1132" w:right="40"/>
        <w:spacing w:after="0" w:line="245" w:lineRule="auto"/>
        <w:rPr>
          <w:sz w:val="20"/>
          <w:szCs w:val="20"/>
          <w:color w:val="auto"/>
        </w:rPr>
      </w:pPr>
      <w:r>
        <w:rPr>
          <w:rFonts w:ascii="Times New Roman" w:cs="Times New Roman" w:eastAsia="Times New Roman" w:hAnsi="Times New Roman"/>
          <w:sz w:val="20"/>
          <w:szCs w:val="20"/>
          <w:color w:val="auto"/>
        </w:rPr>
        <w:t>of the Agreement, the targeted end customer sales shall increase annually by an amount equal to the percentage growth in Distributor’s annual US-based revenue from the prior year (excluding sale of the Products), but in any event shall increase at least 20% over the prior year. For every year after the third year of the Agreement, the targeted end customer sales shall increase annually by an amount equal to the percentage growth in Distributor’s annual US-based revenue from the prior year (again excluding sale of the Products), but in any event shall never decrease from the prior year. This end customer sales target requirement shall become the “Minimum Purchase Requirement”.</w:t>
      </w:r>
    </w:p>
    <w:p>
      <w:pPr>
        <w:spacing w:after="0" w:line="117" w:lineRule="exact"/>
        <w:rPr>
          <w:sz w:val="20"/>
          <w:szCs w:val="20"/>
          <w:color w:val="auto"/>
        </w:rPr>
      </w:pPr>
    </w:p>
    <w:p>
      <w:pPr>
        <w:ind w:left="1132" w:right="180" w:hanging="383"/>
        <w:spacing w:after="0" w:line="254" w:lineRule="auto"/>
        <w:tabs>
          <w:tab w:leader="none" w:pos="1132"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Distributor purchases, in a given period of time, less than the Initial Minimum Purchase Requirement or the Minimum Purchase Requirements, as the case may be, Distributor shall be able to cure such failure by a cash payment equivalent to the shortfall or by purchasing a sufficient amount of the Products to reach the Minimum Purchase Requirement.</w:t>
      </w:r>
    </w:p>
    <w:p>
      <w:pPr>
        <w:spacing w:after="0" w:line="93"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 Reporting Obligations.</w:t>
      </w:r>
    </w:p>
    <w:p>
      <w:pPr>
        <w:spacing w:after="0" w:line="148" w:lineRule="exact"/>
        <w:rPr>
          <w:rFonts w:ascii="Times New Roman" w:cs="Times New Roman" w:eastAsia="Times New Roman" w:hAnsi="Times New Roman"/>
          <w:sz w:val="20"/>
          <w:szCs w:val="20"/>
          <w:color w:val="auto"/>
        </w:rPr>
      </w:pPr>
    </w:p>
    <w:p>
      <w:pPr>
        <w:ind w:left="832" w:right="40" w:hanging="44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 Customer Complaints and Adverse Events. Distributor shall report to Seller as without undue delay after such complaint has come to Distributor´s attention, any complaint from a customer concerning the use of a Product or any report of an adverse patient reaction from being treated with a Product. In the event of death or an unanticipated serious deterioration in a patient's state of health, the report shall be provided by Distributor to Seller immediately.</w:t>
      </w:r>
    </w:p>
    <w:p>
      <w:pPr>
        <w:spacing w:after="0" w:line="112" w:lineRule="exact"/>
        <w:rPr>
          <w:rFonts w:ascii="Times New Roman" w:cs="Times New Roman" w:eastAsia="Times New Roman" w:hAnsi="Times New Roman"/>
          <w:sz w:val="20"/>
          <w:szCs w:val="20"/>
          <w:color w:val="auto"/>
        </w:rPr>
      </w:pPr>
    </w:p>
    <w:p>
      <w:pPr>
        <w:ind w:left="372" w:right="4820"/>
        <w:spacing w:after="0" w:line="40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shall be made to Seller’s Quality Assurance Department via e-mail: [******]</w:t>
      </w:r>
    </w:p>
    <w:p>
      <w:pPr>
        <w:spacing w:after="0" w:line="336" w:lineRule="exact"/>
        <w:rPr>
          <w:rFonts w:ascii="Times New Roman" w:cs="Times New Roman" w:eastAsia="Times New Roman" w:hAnsi="Times New Roman"/>
          <w:sz w:val="20"/>
          <w:szCs w:val="20"/>
          <w:color w:val="auto"/>
        </w:rPr>
      </w:pPr>
    </w:p>
    <w:p>
      <w:pPr>
        <w:ind w:left="752" w:hanging="378"/>
        <w:spacing w:after="0"/>
        <w:tabs>
          <w:tab w:leader="none" w:pos="75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832" w:hanging="448"/>
        <w:spacing w:after="0" w:line="269" w:lineRule="auto"/>
        <w:rPr>
          <w:sz w:val="20"/>
          <w:szCs w:val="20"/>
          <w:color w:val="auto"/>
        </w:rPr>
      </w:pPr>
      <w:r>
        <w:rPr>
          <w:rFonts w:ascii="Times New Roman" w:cs="Times New Roman" w:eastAsia="Times New Roman" w:hAnsi="Times New Roman"/>
          <w:sz w:val="20"/>
          <w:szCs w:val="20"/>
          <w:color w:val="auto"/>
        </w:rPr>
        <w:t>5.2. Monthly Reporting. Beginning on the one-month anniversary of the Effective Date, and continuing until the Agreement expires or is terminated, Distributor shall deliver to Seller a report in compliance with the requirements of Schedule B.</w:t>
      </w:r>
    </w:p>
    <w:p>
      <w:pPr>
        <w:spacing w:after="0" w:line="92" w:lineRule="exact"/>
        <w:rPr>
          <w:sz w:val="20"/>
          <w:szCs w:val="20"/>
          <w:color w:val="auto"/>
        </w:rPr>
      </w:pPr>
    </w:p>
    <w:p>
      <w:pPr>
        <w:ind w:left="372" w:hanging="372"/>
        <w:spacing w:after="0"/>
        <w:tabs>
          <w:tab w:leader="none" w:pos="37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Procedure.</w:t>
      </w:r>
    </w:p>
    <w:p>
      <w:pPr>
        <w:spacing w:after="0" w:line="148" w:lineRule="exact"/>
        <w:rPr>
          <w:rFonts w:ascii="Times New Roman" w:cs="Times New Roman" w:eastAsia="Times New Roman" w:hAnsi="Times New Roman"/>
          <w:sz w:val="20"/>
          <w:szCs w:val="20"/>
          <w:color w:val="auto"/>
        </w:rPr>
      </w:pPr>
    </w:p>
    <w:p>
      <w:pPr>
        <w:ind w:left="832" w:right="40" w:hanging="44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Purchase Orders. Distributor shall issue all purchase orders ("Purchase Order(s)") to Seller in written form via e-mail. By placing an order, Distributor makes an offer to purchase Products under the terms and conditions of this Agreement and the following commercial terms listed in the purchase order ("Purchase Order Transaction Terms"), and on no other terms: (a) the Products to be purchased, including Product names (b) the quantities ordered; and (c) the requested delivery date. Except regarding the Purchase Order Transaction Terms, any variations made to the terms and conditions of this Agreement by Distributor in any Purchase Order are void and have no effect.</w:t>
      </w:r>
    </w:p>
    <w:p>
      <w:pPr>
        <w:spacing w:after="0" w:line="103" w:lineRule="exact"/>
        <w:rPr>
          <w:rFonts w:ascii="Times New Roman" w:cs="Times New Roman" w:eastAsia="Times New Roman" w:hAnsi="Times New Roman"/>
          <w:sz w:val="20"/>
          <w:szCs w:val="20"/>
          <w:color w:val="auto"/>
        </w:rPr>
      </w:pPr>
    </w:p>
    <w:p>
      <w:pPr>
        <w:ind w:left="832" w:right="20" w:hanging="44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 Acceptance and Rejection of Purchase Orders. Seller, in its sole discretion, may accept or reject any Purchase Order. Seller may accept any Purchase Order by confirming the order (whether by written confirmation, invoice, or otherwise) or by delivering the Products, whichever occurs first. If Seller does not accept the Purchase Order under the terms of this Section 6.2 within thirty days of Seller's receipt of the Purchase Order, the Purchase Order will lapse. Distributor has no right to cancel any Purchase Order submitted by it. If Seller rejects a Purchase Order or it lapses, or if Seller does not ship Products under an order, the quantity of Products which was subject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967740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3" w:right="379" w:bottom="1440" w:gutter="0" w:footer="0" w:header="0"/>
        </w:sectPr>
      </w:pPr>
    </w:p>
    <w:bookmarkStart w:id="37" w:name="page38"/>
    <w:bookmarkEnd w:id="37"/>
    <w:p>
      <w:pPr>
        <w:jc w:val="center"/>
        <w:ind w:right="-71"/>
        <w:spacing w:after="0"/>
        <w:rPr>
          <w:sz w:val="20"/>
          <w:szCs w:val="20"/>
          <w:color w:val="auto"/>
        </w:rPr>
      </w:pPr>
      <w:r>
        <w:rPr>
          <w:rFonts w:ascii="Times New Roman" w:cs="Times New Roman" w:eastAsia="Times New Roman" w:hAnsi="Times New Roman"/>
          <w:sz w:val="20"/>
          <w:szCs w:val="20"/>
          <w:color w:val="auto"/>
        </w:rPr>
        <w:t>such Purchase Order shall nevertheless count against Seller´s Minimum Purchase Requirements for the respective quarter.</w:t>
      </w:r>
    </w:p>
    <w:p>
      <w:pPr>
        <w:spacing w:after="0" w:line="148" w:lineRule="exact"/>
        <w:rPr>
          <w:sz w:val="20"/>
          <w:szCs w:val="20"/>
          <w:color w:val="auto"/>
        </w:rPr>
      </w:pPr>
    </w:p>
    <w:p>
      <w:pPr>
        <w:ind w:left="372" w:hanging="372"/>
        <w:spacing w:after="0"/>
        <w:tabs>
          <w:tab w:leader="none" w:pos="3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Shipment and Delivery.</w:t>
      </w:r>
    </w:p>
    <w:p>
      <w:pPr>
        <w:spacing w:after="0" w:line="134" w:lineRule="exact"/>
        <w:rPr>
          <w:rFonts w:ascii="Times New Roman" w:cs="Times New Roman" w:eastAsia="Times New Roman" w:hAnsi="Times New Roman"/>
          <w:sz w:val="20"/>
          <w:szCs w:val="20"/>
          <w:color w:val="auto"/>
        </w:rPr>
      </w:pPr>
    </w:p>
    <w:p>
      <w:pPr>
        <w:ind w:left="832" w:right="40" w:hanging="449"/>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 Shipment and Delivery Requirements. Unless otherwise expressly agreed to by the Parties, Seller shall, at Distributor’s expense, deliver the Products to Distributor’s facility located [******], United States, using Seller's standard methods for packaging and shipping the Products. Seller may, in its sole discretion, without liability or penalty, make partial shipments of Products, each of which constitutes a separate sale, and Distributor shall pay for the units shipped in accordance with the payment terms specified in Section 4 whether such shipment is in whole or partial fulfillment of a Purchase Order, provided, however, that if partial shipments are made, Seller shall re-imburse to Distributor the difference between the transportation costs which Distributor has paid for all partial shipments and the transportation costs which Distributor would have had to pay if all the partial shipments would have been made in one shipment. Seller will use commercially reasonable efforts to timely provide the Products for shipment to meet the times quoted for delivery.</w:t>
      </w:r>
    </w:p>
    <w:p>
      <w:pPr>
        <w:spacing w:after="0" w:line="118" w:lineRule="exact"/>
        <w:rPr>
          <w:rFonts w:ascii="Times New Roman" w:cs="Times New Roman" w:eastAsia="Times New Roman" w:hAnsi="Times New Roman"/>
          <w:sz w:val="20"/>
          <w:szCs w:val="20"/>
          <w:color w:val="auto"/>
        </w:rPr>
      </w:pPr>
    </w:p>
    <w:p>
      <w:pPr>
        <w:ind w:left="3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7.2.  Title and Risk of Loss. Title and risk of loss passes to Distributor upon departure of the Products from a Seller facility.</w:t>
      </w:r>
    </w:p>
    <w:p>
      <w:pPr>
        <w:spacing w:after="0" w:line="148" w:lineRule="exact"/>
        <w:rPr>
          <w:rFonts w:ascii="Times New Roman" w:cs="Times New Roman" w:eastAsia="Times New Roman" w:hAnsi="Times New Roman"/>
          <w:sz w:val="20"/>
          <w:szCs w:val="20"/>
          <w:color w:val="auto"/>
        </w:rPr>
      </w:pPr>
    </w:p>
    <w:p>
      <w:pPr>
        <w:ind w:left="832" w:right="60" w:hanging="449"/>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 Acceptance of Products. Distributor shall inspect Products received under this Agreement. Within five business days after receipt of the Products at Distributor´s facility, Distributor shall check the Products received match the Products ordered, for quantity and for visible damages. Distributor shall be deemed to have accepted the Products in respect to identity, quantity, and visible defects after such five business days term unless it earlier notifies Seller in writing (e-mail being sufficient) and furnishes written evidence or other documentation as required by Seller that the Products have visible defects or do not conform to the ordered quantity or are not identical to the ordered Products. If Distributor later detects defects of the Products, it shall notify Seller in writing (e-mail being sufficient) within five business days after detection of such defect.</w:t>
      </w:r>
    </w:p>
    <w:p>
      <w:pPr>
        <w:spacing w:after="0" w:line="105" w:lineRule="exact"/>
        <w:rPr>
          <w:sz w:val="20"/>
          <w:szCs w:val="20"/>
          <w:color w:val="auto"/>
        </w:rPr>
      </w:pPr>
    </w:p>
    <w:p>
      <w:pPr>
        <w:ind w:left="832" w:right="380"/>
        <w:spacing w:after="0" w:line="269" w:lineRule="auto"/>
        <w:rPr>
          <w:sz w:val="20"/>
          <w:szCs w:val="20"/>
          <w:color w:val="auto"/>
        </w:rPr>
      </w:pPr>
      <w:r>
        <w:rPr>
          <w:rFonts w:ascii="Times New Roman" w:cs="Times New Roman" w:eastAsia="Times New Roman" w:hAnsi="Times New Roman"/>
          <w:sz w:val="20"/>
          <w:szCs w:val="20"/>
          <w:color w:val="auto"/>
        </w:rPr>
        <w:t>If Distributor notifies Seller pursuant to this Section 7.3, then Seller shall determine, in its sole discretion, whether to repair or replace the Products.</w:t>
      </w:r>
    </w:p>
    <w:p>
      <w:pPr>
        <w:spacing w:after="0" w:line="92" w:lineRule="exact"/>
        <w:rPr>
          <w:sz w:val="20"/>
          <w:szCs w:val="20"/>
          <w:color w:val="auto"/>
        </w:rPr>
      </w:pPr>
    </w:p>
    <w:p>
      <w:pPr>
        <w:ind w:left="832"/>
        <w:spacing w:after="0" w:line="249" w:lineRule="auto"/>
        <w:rPr>
          <w:sz w:val="20"/>
          <w:szCs w:val="20"/>
          <w:color w:val="auto"/>
        </w:rPr>
      </w:pPr>
      <w:r>
        <w:rPr>
          <w:rFonts w:ascii="Times New Roman" w:cs="Times New Roman" w:eastAsia="Times New Roman" w:hAnsi="Times New Roman"/>
          <w:sz w:val="20"/>
          <w:szCs w:val="20"/>
          <w:color w:val="auto"/>
        </w:rPr>
        <w:t>Distributor shall ship at Seller´s expense and risk of loss, all goods to be returned, repaired, or replaced under this Section 7.3 to Seller's facility located at [******]. If Seller exercises its option to replace the Products, Seller shall, after receiving Distributor's shipment of the Products under this provision, ship to Distributor, at Seller's expense and Seller´s risk of loss, the replaced Products to an address of Distributor’s choosing.</w:t>
      </w:r>
    </w:p>
    <w:p>
      <w:pPr>
        <w:spacing w:after="0" w:line="112" w:lineRule="exact"/>
        <w:rPr>
          <w:sz w:val="20"/>
          <w:szCs w:val="20"/>
          <w:color w:val="auto"/>
        </w:rPr>
      </w:pPr>
    </w:p>
    <w:p>
      <w:pPr>
        <w:ind w:left="832" w:right="180"/>
        <w:spacing w:after="0" w:line="269" w:lineRule="auto"/>
        <w:rPr>
          <w:sz w:val="20"/>
          <w:szCs w:val="20"/>
          <w:color w:val="auto"/>
        </w:rPr>
      </w:pPr>
      <w:r>
        <w:rPr>
          <w:rFonts w:ascii="Times New Roman" w:cs="Times New Roman" w:eastAsia="Times New Roman" w:hAnsi="Times New Roman"/>
          <w:sz w:val="20"/>
          <w:szCs w:val="20"/>
          <w:color w:val="auto"/>
        </w:rPr>
        <w:t>Except as provided under Sections 7.3 and 14.1, all sales of Products to Distributor under this Agreement are made on a one-way basis and Distributor has no other right to return Products purchased under this Agreement.</w:t>
      </w:r>
    </w:p>
    <w:p>
      <w:pPr>
        <w:spacing w:after="0" w:line="78" w:lineRule="exact"/>
        <w:rPr>
          <w:sz w:val="20"/>
          <w:szCs w:val="20"/>
          <w:color w:val="auto"/>
        </w:rPr>
      </w:pPr>
    </w:p>
    <w:p>
      <w:pPr>
        <w:ind w:left="832" w:right="80" w:hanging="448"/>
        <w:spacing w:after="0" w:line="249" w:lineRule="auto"/>
        <w:rPr>
          <w:sz w:val="20"/>
          <w:szCs w:val="20"/>
          <w:color w:val="auto"/>
        </w:rPr>
      </w:pPr>
      <w:r>
        <w:rPr>
          <w:rFonts w:ascii="Times New Roman" w:cs="Times New Roman" w:eastAsia="Times New Roman" w:hAnsi="Times New Roman"/>
          <w:sz w:val="20"/>
          <w:szCs w:val="20"/>
          <w:color w:val="auto"/>
        </w:rPr>
        <w:t>7.4. Seller's Trademark License Grant. Seller hereby grants to Distributor a non-exclusive, non-transferable, and non-sublicensable license in the Territory during the Term solely in connection with the promotion, advertising, and sale of the Products in accordance with the terms and conditions of this Agreement to use all Seller's trademarks and service marks, whether registered or unregistered, including the listed registrations and applications and any registrations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964565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38" w:name="page39"/>
    <w:bookmarkEnd w:id="38"/>
    <w:p>
      <w:pPr>
        <w:ind w:left="832" w:right="20"/>
        <w:spacing w:after="0" w:line="246" w:lineRule="auto"/>
        <w:rPr>
          <w:sz w:val="20"/>
          <w:szCs w:val="20"/>
          <w:color w:val="auto"/>
        </w:rPr>
      </w:pPr>
      <w:r>
        <w:rPr>
          <w:rFonts w:ascii="Times New Roman" w:cs="Times New Roman" w:eastAsia="Times New Roman" w:hAnsi="Times New Roman"/>
          <w:sz w:val="20"/>
          <w:szCs w:val="20"/>
          <w:color w:val="auto"/>
        </w:rPr>
        <w:t>may be granted pursuant to such applications. On expiration or earlier termination of this Agreement or upon Seller request, Distributor shall promptly discontinue the display or use of any trademark or service mark or change the way it is displayed or used with regard to the Products. Upon expiration or earlier termination of this Agreement, Distributor's rights under this Section 7 shall cease immediately. Other than the express licenses granted by this Section 7, Seller grants no right or license to Distributor, by implication, estoppel or otherwise, to the Products or any intellectual property rights of Seller or its affiliates.</w:t>
      </w:r>
    </w:p>
    <w:p>
      <w:pPr>
        <w:spacing w:after="0" w:line="117" w:lineRule="exact"/>
        <w:rPr>
          <w:sz w:val="20"/>
          <w:szCs w:val="20"/>
          <w:color w:val="auto"/>
        </w:rPr>
      </w:pPr>
    </w:p>
    <w:p>
      <w:pPr>
        <w:ind w:left="372" w:hanging="372"/>
        <w:spacing w:after="0"/>
        <w:tabs>
          <w:tab w:leader="none" w:pos="37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Distributor’s Handling of Products and Promotional Materials.</w:t>
      </w:r>
    </w:p>
    <w:p>
      <w:pPr>
        <w:spacing w:after="0" w:line="134" w:lineRule="exact"/>
        <w:rPr>
          <w:rFonts w:ascii="Times New Roman" w:cs="Times New Roman" w:eastAsia="Times New Roman" w:hAnsi="Times New Roman"/>
          <w:sz w:val="20"/>
          <w:szCs w:val="20"/>
          <w:color w:val="auto"/>
        </w:rPr>
      </w:pPr>
    </w:p>
    <w:p>
      <w:pPr>
        <w:ind w:left="3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8.1.  The handling and intake of the Products and the storage of the Products by Distributor shall be in strict accordance with any and all</w:t>
      </w:r>
    </w:p>
    <w:p>
      <w:pPr>
        <w:spacing w:after="0" w:line="33" w:lineRule="exact"/>
        <w:rPr>
          <w:rFonts w:ascii="Times New Roman" w:cs="Times New Roman" w:eastAsia="Times New Roman" w:hAnsi="Times New Roman"/>
          <w:sz w:val="20"/>
          <w:szCs w:val="20"/>
          <w:color w:val="auto"/>
        </w:rPr>
      </w:pPr>
    </w:p>
    <w:p>
      <w:pPr>
        <w:ind w:left="832" w:right="4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and quality requirements of Seller, unless a regulatory body with jurisdiction over the Products in the Territory or Distributor provide stricter requirements, in which case the most stringent requirement shall govern. Distributor shall not re-sterilize without the prior written consent of Seller.</w:t>
      </w:r>
    </w:p>
    <w:p>
      <w:pPr>
        <w:spacing w:after="0" w:line="119" w:lineRule="exact"/>
        <w:rPr>
          <w:rFonts w:ascii="Times New Roman" w:cs="Times New Roman" w:eastAsia="Times New Roman" w:hAnsi="Times New Roman"/>
          <w:sz w:val="20"/>
          <w:szCs w:val="20"/>
          <w:color w:val="auto"/>
        </w:rPr>
      </w:pPr>
    </w:p>
    <w:p>
      <w:pPr>
        <w:ind w:left="832" w:right="180" w:hanging="44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 Distributor and Seller shall work together to create mutually agreeable packaging and promotional materials that comply with all relevant legal and regulatory requirements.</w:t>
      </w:r>
    </w:p>
    <w:p>
      <w:pPr>
        <w:spacing w:after="0" w:line="91"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Termination.</w:t>
      </w:r>
    </w:p>
    <w:p>
      <w:pPr>
        <w:spacing w:after="0" w:line="134" w:lineRule="exact"/>
        <w:rPr>
          <w:rFonts w:ascii="Times New Roman" w:cs="Times New Roman" w:eastAsia="Times New Roman" w:hAnsi="Times New Roman"/>
          <w:sz w:val="20"/>
          <w:szCs w:val="20"/>
          <w:color w:val="auto"/>
        </w:rPr>
      </w:pPr>
    </w:p>
    <w:p>
      <w:pPr>
        <w:ind w:left="832" w:right="180" w:hanging="449"/>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 Term. The term of this Agreement commences on the Effective Date and terminates on the fifth anniversary of that date, unless terminated earlier under the terms of this Agreement (the "Term"). At least thirty days before the expiration of the Term, the Parties may extend the Term by a mutual written agreement. If Distributor has successfully achieved [******] in US-based customer sales during the Term, the Agreement shall automatically renew for additional five-year period (a “Renewal Term”), unless terminated earlier under the terms of this Agreement, subject to an adjustment of Minimum Purchase Requirements as set forth in Section 4.6(b) above. At the commencement of the first Renewal Term and any subsequent Renewal Terms, the Parties shall negotiate the US-based customer sales goal necessary to automatically commence the next Renewal Term. This renewal for additional five-year Renewal Term shall be revolving, which means that if at the end of such Renewal Term the conditions for another Renewal Term are met, this Agreement shall again automatically renew.</w:t>
      </w:r>
    </w:p>
    <w:p>
      <w:pPr>
        <w:spacing w:after="0" w:line="118" w:lineRule="exact"/>
        <w:rPr>
          <w:rFonts w:ascii="Times New Roman" w:cs="Times New Roman" w:eastAsia="Times New Roman" w:hAnsi="Times New Roman"/>
          <w:sz w:val="20"/>
          <w:szCs w:val="20"/>
          <w:color w:val="auto"/>
        </w:rPr>
      </w:pPr>
    </w:p>
    <w:p>
      <w:pPr>
        <w:ind w:left="832" w:right="120" w:hanging="44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Mutual Termination Rights. Either Party may terminate this Agreement upon prior written notice to the other Party if the other Party is in material breach of this Agreement and either the breach cannot be cured or, if the breach can be cured, it is not cured within forty-five days following the other Party's receipt of notice of such breach. Either Party may also terminate this Agreement if the other Party:</w:t>
      </w:r>
    </w:p>
    <w:p>
      <w:pPr>
        <w:spacing w:after="0" w:line="112" w:lineRule="exact"/>
        <w:rPr>
          <w:rFonts w:ascii="Times New Roman" w:cs="Times New Roman" w:eastAsia="Times New Roman" w:hAnsi="Times New Roman"/>
          <w:sz w:val="20"/>
          <w:szCs w:val="20"/>
          <w:color w:val="auto"/>
        </w:rPr>
      </w:pPr>
    </w:p>
    <w:p>
      <w:pPr>
        <w:ind w:left="1492" w:hanging="369"/>
        <w:spacing w:after="0"/>
        <w:tabs>
          <w:tab w:leader="none" w:pos="149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insolvent or is generally unable to pay, or fails to pay, its debts as they become due;</w:t>
      </w:r>
    </w:p>
    <w:p>
      <w:pPr>
        <w:spacing w:after="0" w:line="134" w:lineRule="exact"/>
        <w:rPr>
          <w:rFonts w:ascii="Times New Roman" w:cs="Times New Roman" w:eastAsia="Times New Roman" w:hAnsi="Times New Roman"/>
          <w:sz w:val="20"/>
          <w:szCs w:val="20"/>
          <w:color w:val="auto"/>
        </w:rPr>
      </w:pPr>
    </w:p>
    <w:p>
      <w:pPr>
        <w:ind w:left="1492" w:right="20" w:hanging="369"/>
        <w:spacing w:after="0" w:line="269" w:lineRule="auto"/>
        <w:tabs>
          <w:tab w:leader="none" w:pos="149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files or has filed against it, a petition for voluntary or involuntary bankruptcy or otherwise becomes subject, voluntarily, or involuntarily, to any proceeding under any domestic or foreign bankruptcy or insolvency law;</w:t>
      </w:r>
    </w:p>
    <w:p>
      <w:pPr>
        <w:spacing w:after="0" w:line="91" w:lineRule="exact"/>
        <w:rPr>
          <w:rFonts w:ascii="Times New Roman" w:cs="Times New Roman" w:eastAsia="Times New Roman" w:hAnsi="Times New Roman"/>
          <w:sz w:val="20"/>
          <w:szCs w:val="20"/>
          <w:color w:val="auto"/>
        </w:rPr>
      </w:pPr>
    </w:p>
    <w:p>
      <w:pPr>
        <w:ind w:left="1492" w:right="440" w:hanging="369"/>
        <w:spacing w:after="0" w:line="269" w:lineRule="auto"/>
        <w:tabs>
          <w:tab w:leader="none" w:pos="149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seeks reorganization, arrangement, adjustment, winding-up, liquidation, dissolution, composition, or other relief with respect to it or its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39" w:name="page40"/>
    <w:bookmarkEnd w:id="39"/>
    <w:p>
      <w:pPr>
        <w:ind w:left="1492" w:hanging="369"/>
        <w:spacing w:after="0"/>
        <w:tabs>
          <w:tab w:leader="none" w:pos="149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or seeks to make a general assignment for the benefit of its creditors; or</w:t>
      </w:r>
    </w:p>
    <w:p>
      <w:pPr>
        <w:spacing w:after="0" w:line="148" w:lineRule="exact"/>
        <w:rPr>
          <w:rFonts w:ascii="Times New Roman" w:cs="Times New Roman" w:eastAsia="Times New Roman" w:hAnsi="Times New Roman"/>
          <w:sz w:val="20"/>
          <w:szCs w:val="20"/>
          <w:color w:val="auto"/>
        </w:rPr>
      </w:pPr>
    </w:p>
    <w:p>
      <w:pPr>
        <w:ind w:left="1492" w:right="80" w:hanging="369"/>
        <w:spacing w:after="0" w:line="269" w:lineRule="auto"/>
        <w:tabs>
          <w:tab w:leader="none" w:pos="149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applies for or has a receiver, trustee, custodian, or similar agent appointed by order of any court of competent jurisdiction to take charge of or sell any material portion of its property or business.</w:t>
      </w:r>
    </w:p>
    <w:p>
      <w:pPr>
        <w:spacing w:after="0" w:line="78" w:lineRule="exact"/>
        <w:rPr>
          <w:rFonts w:ascii="Times New Roman" w:cs="Times New Roman" w:eastAsia="Times New Roman" w:hAnsi="Times New Roman"/>
          <w:sz w:val="20"/>
          <w:szCs w:val="20"/>
          <w:color w:val="auto"/>
        </w:rPr>
      </w:pPr>
    </w:p>
    <w:p>
      <w:pPr>
        <w:ind w:left="1492" w:right="500" w:hanging="369"/>
        <w:spacing w:after="0" w:line="269" w:lineRule="auto"/>
        <w:tabs>
          <w:tab w:leader="none" w:pos="149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indicted under any Anti-Bribery Law or conducts itself in such a way that raises a reasonable suspicion that it has violated any Anti-Bribery Law as defined in sub-Section 12.1.</w:t>
      </w:r>
    </w:p>
    <w:p>
      <w:pPr>
        <w:spacing w:after="0" w:line="92" w:lineRule="exact"/>
        <w:rPr>
          <w:sz w:val="20"/>
          <w:szCs w:val="20"/>
          <w:color w:val="auto"/>
        </w:rPr>
      </w:pPr>
    </w:p>
    <w:p>
      <w:pPr>
        <w:ind w:left="832" w:right="20" w:hanging="448"/>
        <w:spacing w:after="0" w:line="243" w:lineRule="auto"/>
        <w:rPr>
          <w:sz w:val="20"/>
          <w:szCs w:val="20"/>
          <w:color w:val="auto"/>
        </w:rPr>
      </w:pPr>
      <w:r>
        <w:rPr>
          <w:rFonts w:ascii="Times New Roman" w:cs="Times New Roman" w:eastAsia="Times New Roman" w:hAnsi="Times New Roman"/>
          <w:sz w:val="20"/>
          <w:szCs w:val="20"/>
          <w:color w:val="auto"/>
        </w:rPr>
        <w:t>9.3. Seller Termination Rights. Seller may terminate this Agreement upon one year notice if Distributor (1) fails to reach its Minimum Purchase Obligation for two consecutive years and (2) also fails to cure such shortfall with a cash payment or sufficient purchase of Products. By way of example only, if, in the first year after the Effective Date, Distributor fails to purchase sufficient Product to reach the Initial Minimum Purchase Requirement, then Distributor may elect to (i) purchase Products sufficient to eliminate the shortfall, (ii) make an equivalent cash payment to Seller, or (iii) do nothing. In the second year after the Effective Date, if the Distributor fails to purchase sufficient Product to reach the Minimum Purchase Obligation, then Distributor may elect to (i) purchase Products sufficient to eliminate the shortfall, (ii) make an equivalent cash payment to Seller, or (iii) do nothing. If Distributor elects to do nothing in these scenarios for two consecutive years, then Seller may exercise its termination rights under this Section 9.3.</w:t>
      </w:r>
    </w:p>
    <w:p>
      <w:pPr>
        <w:spacing w:after="0" w:line="118"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9.4.  Effect of Expiration or Termination. Upon the expiration or earlier termination of this Agreement:</w:t>
      </w:r>
    </w:p>
    <w:p>
      <w:pPr>
        <w:spacing w:after="0" w:line="135" w:lineRule="exact"/>
        <w:rPr>
          <w:sz w:val="20"/>
          <w:szCs w:val="20"/>
          <w:color w:val="auto"/>
        </w:rPr>
      </w:pPr>
    </w:p>
    <w:p>
      <w:pPr>
        <w:ind w:left="1132" w:hanging="383"/>
        <w:spacing w:after="0"/>
        <w:tabs>
          <w:tab w:leader="none" w:pos="113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Purchase Orders shall not be affected by the termination;</w:t>
      </w:r>
    </w:p>
    <w:p>
      <w:pPr>
        <w:spacing w:after="0" w:line="148" w:lineRule="exact"/>
        <w:rPr>
          <w:rFonts w:ascii="Times New Roman" w:cs="Times New Roman" w:eastAsia="Times New Roman" w:hAnsi="Times New Roman"/>
          <w:sz w:val="20"/>
          <w:szCs w:val="20"/>
          <w:color w:val="auto"/>
        </w:rPr>
      </w:pPr>
    </w:p>
    <w:p>
      <w:pPr>
        <w:ind w:left="1132" w:right="520" w:hanging="383"/>
        <w:spacing w:after="0" w:line="269" w:lineRule="auto"/>
        <w:tabs>
          <w:tab w:leader="none" w:pos="113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promptly return or destroy all documents and tangible materials (and any copies) containing, reflecting, incorporating, or based on the other Party's Confidential Information;</w:t>
      </w:r>
    </w:p>
    <w:p>
      <w:pPr>
        <w:spacing w:after="0" w:line="91" w:lineRule="exact"/>
        <w:rPr>
          <w:rFonts w:ascii="Times New Roman" w:cs="Times New Roman" w:eastAsia="Times New Roman" w:hAnsi="Times New Roman"/>
          <w:sz w:val="20"/>
          <w:szCs w:val="20"/>
          <w:color w:val="auto"/>
        </w:rPr>
      </w:pPr>
    </w:p>
    <w:p>
      <w:pPr>
        <w:ind w:left="1132" w:hanging="383"/>
        <w:spacing w:after="0" w:line="269" w:lineRule="auto"/>
        <w:tabs>
          <w:tab w:leader="none" w:pos="113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 shall transfer (or provide an unlimited, worldwide, fully paid-up license to) any and all intellectual property created by Distributor in performance of this Agreement; and</w:t>
      </w:r>
    </w:p>
    <w:p>
      <w:pPr>
        <w:spacing w:after="0" w:line="78" w:lineRule="exact"/>
        <w:rPr>
          <w:rFonts w:ascii="Times New Roman" w:cs="Times New Roman" w:eastAsia="Times New Roman" w:hAnsi="Times New Roman"/>
          <w:sz w:val="20"/>
          <w:szCs w:val="20"/>
          <w:color w:val="auto"/>
        </w:rPr>
      </w:pPr>
    </w:p>
    <w:p>
      <w:pPr>
        <w:ind w:left="1132" w:right="160" w:hanging="383"/>
        <w:spacing w:after="0" w:line="254" w:lineRule="auto"/>
        <w:tabs>
          <w:tab w:leader="none" w:pos="113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repurchase, in consideration for the original Seller´s purchase price, all Distributor’s inventory of Product with at least six months shelf life remaining, except for such Products which are subject of a binding purchase agreement between Distributor and a customer.</w:t>
      </w:r>
    </w:p>
    <w:p>
      <w:pPr>
        <w:spacing w:after="0" w:line="106" w:lineRule="exact"/>
        <w:rPr>
          <w:rFonts w:ascii="Times New Roman" w:cs="Times New Roman" w:eastAsia="Times New Roman" w:hAnsi="Times New Roman"/>
          <w:sz w:val="20"/>
          <w:szCs w:val="20"/>
          <w:color w:val="auto"/>
        </w:rPr>
      </w:pPr>
    </w:p>
    <w:p>
      <w:pPr>
        <w:ind w:left="372" w:hanging="372"/>
        <w:spacing w:after="0" w:line="245" w:lineRule="auto"/>
        <w:tabs>
          <w:tab w:leader="none" w:pos="37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From time to time during the Term, either Party may disclose or make available to the other Party information about its business affairs, products, confidential intellectual property, trade secrets, third-party confidential information, and other sensitive or proprietary information (collectively, "Confidential Information"). Confidential Information shall not include information that: (a) at the time of disclosure or later is in the public domain; (b) is known to the receiving party at the time of disclosure; or (c) is rightfully obtained by receiving party on a non-confidential basis from a third party or (d) is developed by the receiving party independent from and without use of the disclosing party´s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1190625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13" w:right="399" w:bottom="1440" w:gutter="0" w:footer="0" w:header="0"/>
        </w:sectPr>
      </w:pPr>
    </w:p>
    <w:bookmarkStart w:id="40" w:name="page41"/>
    <w:bookmarkEnd w:id="40"/>
    <w:p>
      <w:pPr>
        <w:jc w:val="both"/>
        <w:ind w:left="372" w:right="820"/>
        <w:spacing w:after="0" w:line="295" w:lineRule="auto"/>
        <w:rPr>
          <w:sz w:val="20"/>
          <w:szCs w:val="20"/>
          <w:color w:val="auto"/>
        </w:rPr>
      </w:pPr>
      <w:r>
        <w:rPr>
          <w:rFonts w:ascii="Times New Roman" w:cs="Times New Roman" w:eastAsia="Times New Roman" w:hAnsi="Times New Roman"/>
          <w:sz w:val="19"/>
          <w:szCs w:val="19"/>
          <w:color w:val="auto"/>
        </w:rPr>
        <w:t>The receiving party shall not disclose any such Confidential Information to any person or entity, except to the receiving party's employees who have a need to know the Confidential Information for the receiving party to perform its obligations hereunder.</w:t>
      </w:r>
    </w:p>
    <w:p>
      <w:pPr>
        <w:spacing w:after="0" w:line="70" w:lineRule="exact"/>
        <w:rPr>
          <w:sz w:val="20"/>
          <w:szCs w:val="20"/>
          <w:color w:val="auto"/>
        </w:rPr>
      </w:pPr>
    </w:p>
    <w:p>
      <w:pPr>
        <w:ind w:left="372" w:hanging="372"/>
        <w:spacing w:after="0" w:line="249" w:lineRule="auto"/>
        <w:tabs>
          <w:tab w:leader="none" w:pos="3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Laws. Distributor represents and warrants to Seller that (a) Distributor is in compliance with and shall comply with all applicable laws, regulations, and ordinances, including but not limited to all laws in the Territory regarding the sale and promotion of the Products; and (b) Distributor has and shall maintain in effect all the licenses, permissions, authorizations, consents, and permits that it needs to carry out its obligations under this Agreement.</w:t>
      </w:r>
    </w:p>
    <w:p>
      <w:pPr>
        <w:spacing w:after="0" w:line="98"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Anti-Bribery Representations and Warranties. Each party represents and warrants to the other party that:</w:t>
      </w:r>
    </w:p>
    <w:p>
      <w:pPr>
        <w:spacing w:after="0" w:line="148" w:lineRule="exact"/>
        <w:rPr>
          <w:rFonts w:ascii="Times New Roman" w:cs="Times New Roman" w:eastAsia="Times New Roman" w:hAnsi="Times New Roman"/>
          <w:sz w:val="20"/>
          <w:szCs w:val="20"/>
          <w:color w:val="auto"/>
        </w:rPr>
      </w:pPr>
    </w:p>
    <w:p>
      <w:pPr>
        <w:ind w:left="832" w:right="180" w:hanging="44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12.1. Such party and its shareholders, partners, officers, directors, employees, agents, and anyone acting on its behalf (collectively, the "Representatives") are and shall remain in compliance with all applicable anti-bribery and anti-corruption laws, including the US Foreign Corrupt Practices Act and any laws or regulations of the Territory concerning similar subject matter (collectively, the "Anti-Bribery Laws").</w:t>
      </w:r>
    </w:p>
    <w:p>
      <w:pPr>
        <w:spacing w:after="0" w:line="112" w:lineRule="exact"/>
        <w:rPr>
          <w:rFonts w:ascii="Times New Roman" w:cs="Times New Roman" w:eastAsia="Times New Roman" w:hAnsi="Times New Roman"/>
          <w:sz w:val="20"/>
          <w:szCs w:val="20"/>
          <w:color w:val="auto"/>
        </w:rPr>
      </w:pPr>
    </w:p>
    <w:p>
      <w:pPr>
        <w:ind w:left="832" w:right="360" w:hanging="44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12.2. Neither such party nor any of its Representatives has, directly or indirectly, offered, paid, promised, or authorized the giving of money or anything of value to any:</w:t>
      </w:r>
    </w:p>
    <w:p>
      <w:pPr>
        <w:spacing w:after="0" w:line="78" w:lineRule="exact"/>
        <w:rPr>
          <w:rFonts w:ascii="Times New Roman" w:cs="Times New Roman" w:eastAsia="Times New Roman" w:hAnsi="Times New Roman"/>
          <w:sz w:val="20"/>
          <w:szCs w:val="20"/>
          <w:color w:val="auto"/>
        </w:rPr>
      </w:pPr>
    </w:p>
    <w:p>
      <w:pPr>
        <w:ind w:left="1132" w:hanging="383"/>
        <w:spacing w:after="0"/>
        <w:tabs>
          <w:tab w:leader="none" w:pos="113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Official (as defined in Section 12.5(c));</w:t>
      </w:r>
    </w:p>
    <w:p>
      <w:pPr>
        <w:spacing w:after="0" w:line="148" w:lineRule="exact"/>
        <w:rPr>
          <w:rFonts w:ascii="Times New Roman" w:cs="Times New Roman" w:eastAsia="Times New Roman" w:hAnsi="Times New Roman"/>
          <w:sz w:val="20"/>
          <w:szCs w:val="20"/>
          <w:color w:val="auto"/>
        </w:rPr>
      </w:pPr>
    </w:p>
    <w:p>
      <w:pPr>
        <w:ind w:left="1132" w:hanging="383"/>
        <w:spacing w:after="0"/>
        <w:tabs>
          <w:tab w:leader="none" w:pos="113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 or entity; or</w:t>
      </w:r>
    </w:p>
    <w:p>
      <w:pPr>
        <w:spacing w:after="0" w:line="148" w:lineRule="exact"/>
        <w:rPr>
          <w:rFonts w:ascii="Times New Roman" w:cs="Times New Roman" w:eastAsia="Times New Roman" w:hAnsi="Times New Roman"/>
          <w:sz w:val="20"/>
          <w:szCs w:val="20"/>
          <w:color w:val="auto"/>
        </w:rPr>
      </w:pPr>
    </w:p>
    <w:p>
      <w:pPr>
        <w:jc w:val="both"/>
        <w:ind w:left="1132" w:right="120" w:hanging="383"/>
        <w:spacing w:after="0" w:line="295" w:lineRule="auto"/>
        <w:tabs>
          <w:tab w:leader="none" w:pos="1132"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person or entity while knowing or having reason to believe that some portion or all of the payment or thing of value will be offered, given, or promised, directly or indirectly, to a Government Official or another person or entity; for the purpose of:</w:t>
      </w:r>
    </w:p>
    <w:p>
      <w:pPr>
        <w:spacing w:after="0" w:line="56" w:lineRule="exact"/>
        <w:rPr>
          <w:rFonts w:ascii="Times New Roman" w:cs="Times New Roman" w:eastAsia="Times New Roman" w:hAnsi="Times New Roman"/>
          <w:sz w:val="19"/>
          <w:szCs w:val="19"/>
          <w:color w:val="auto"/>
        </w:rPr>
      </w:pPr>
    </w:p>
    <w:p>
      <w:pPr>
        <w:ind w:left="1492" w:right="120" w:hanging="369"/>
        <w:spacing w:after="0" w:line="269" w:lineRule="auto"/>
        <w:tabs>
          <w:tab w:leader="none" w:pos="149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influencing any act or decision of such Government Official or such person or entity in their official capacity, including a decision to do or omit to do any act in violation of their lawful duties or proper performance of functions; or</w:t>
      </w:r>
    </w:p>
    <w:p>
      <w:pPr>
        <w:spacing w:after="0" w:line="91" w:lineRule="exact"/>
        <w:rPr>
          <w:rFonts w:ascii="Times New Roman" w:cs="Times New Roman" w:eastAsia="Times New Roman" w:hAnsi="Times New Roman"/>
          <w:sz w:val="20"/>
          <w:szCs w:val="20"/>
          <w:color w:val="auto"/>
        </w:rPr>
      </w:pPr>
    </w:p>
    <w:p>
      <w:pPr>
        <w:ind w:left="1492" w:right="60" w:hanging="369"/>
        <w:spacing w:after="0" w:line="269" w:lineRule="auto"/>
        <w:tabs>
          <w:tab w:leader="none" w:pos="149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inducing such Government Official or such person or entity to use their influence or position with any Government Entity (as defined in Section 12.5(b)) or other person or entity to influence any act or decision.</w:t>
      </w:r>
    </w:p>
    <w:p>
      <w:pPr>
        <w:spacing w:after="0" w:line="9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in order to obtain or retain business for, direct business to, or secure an improper advantage for a party to this Agreement.</w:t>
      </w:r>
    </w:p>
    <w:p>
      <w:pPr>
        <w:spacing w:after="0" w:line="135"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12.3. Neither such party nor any of its Representatives:</w:t>
      </w:r>
    </w:p>
    <w:p>
      <w:pPr>
        <w:spacing w:after="0" w:line="148" w:lineRule="exact"/>
        <w:rPr>
          <w:sz w:val="20"/>
          <w:szCs w:val="20"/>
          <w:color w:val="auto"/>
        </w:rPr>
      </w:pPr>
    </w:p>
    <w:p>
      <w:pPr>
        <w:ind w:left="1132" w:right="100" w:hanging="383"/>
        <w:spacing w:after="0" w:line="269" w:lineRule="auto"/>
        <w:tabs>
          <w:tab w:leader="none" w:pos="11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Government Official or employs any Government Official or Close Family Member (as defined in Section 12.5(a)) of any Government Official; or</w:t>
      </w:r>
    </w:p>
    <w:p>
      <w:pPr>
        <w:spacing w:after="0" w:line="91" w:lineRule="exact"/>
        <w:rPr>
          <w:rFonts w:ascii="Times New Roman" w:cs="Times New Roman" w:eastAsia="Times New Roman" w:hAnsi="Times New Roman"/>
          <w:sz w:val="20"/>
          <w:szCs w:val="20"/>
          <w:color w:val="auto"/>
        </w:rPr>
      </w:pPr>
    </w:p>
    <w:p>
      <w:pPr>
        <w:ind w:left="1132" w:right="40" w:hanging="383"/>
        <w:spacing w:after="0" w:line="254" w:lineRule="auto"/>
        <w:tabs>
          <w:tab w:leader="none" w:pos="11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personal, business, or other relationship or association with any Government Official or Close Family Member of any Government Official who may have responsibility for or oversight of any business activities of Seller or any of its subsidiaries, other than any relationships or associations that have been disclosed in writing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1184275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41" w:name="page42"/>
    <w:bookmarkEnd w:id="41"/>
    <w:p>
      <w:pPr>
        <w:ind w:left="832" w:hanging="448"/>
        <w:spacing w:after="0" w:line="249" w:lineRule="auto"/>
        <w:rPr>
          <w:sz w:val="20"/>
          <w:szCs w:val="20"/>
          <w:color w:val="auto"/>
        </w:rPr>
      </w:pPr>
      <w:r>
        <w:rPr>
          <w:rFonts w:ascii="Times New Roman" w:cs="Times New Roman" w:eastAsia="Times New Roman" w:hAnsi="Times New Roman"/>
          <w:sz w:val="20"/>
          <w:szCs w:val="20"/>
          <w:color w:val="auto"/>
        </w:rPr>
        <w:t>12.4. Neither such party nor any of its Representatives is or has been the subject of any investigation, inquiry, or enforcement proceeding by any court, governmental, administrative, or regulatory body, or customer regarding any violation or alleged violation of any Anti-Bribery Law. To the knowledge of such party, (i) no such investigation, inquiry, or proceeding has been threatened or is pending; and (ii) there are no circumstances likely to give rise to any such investigation, inquiry, or proceeding.</w:t>
      </w:r>
    </w:p>
    <w:p>
      <w:pPr>
        <w:spacing w:after="0" w:line="11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12.5. For purposes of this Agreement:</w:t>
      </w:r>
    </w:p>
    <w:p>
      <w:pPr>
        <w:spacing w:after="0" w:line="135" w:lineRule="exact"/>
        <w:rPr>
          <w:sz w:val="20"/>
          <w:szCs w:val="20"/>
          <w:color w:val="auto"/>
        </w:rPr>
      </w:pPr>
    </w:p>
    <w:p>
      <w:pPr>
        <w:jc w:val="both"/>
        <w:ind w:left="1132" w:right="40" w:hanging="383"/>
        <w:spacing w:after="0" w:line="254" w:lineRule="auto"/>
        <w:tabs>
          <w:tab w:leader="none" w:pos="11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"Close Family Member" means (i) the individual's spouse; (ii) the individual's and the spouse's grandparents, parents, siblings, children, nieces, nephews, aunts, uncles, and first cousins; (iii) the spouse of any persons listed in subcategory (ii); and (iv) any other person who shares the same household with the individual.</w:t>
      </w:r>
    </w:p>
    <w:p>
      <w:pPr>
        <w:spacing w:after="0" w:line="106" w:lineRule="exact"/>
        <w:rPr>
          <w:rFonts w:ascii="Times New Roman" w:cs="Times New Roman" w:eastAsia="Times New Roman" w:hAnsi="Times New Roman"/>
          <w:sz w:val="20"/>
          <w:szCs w:val="20"/>
          <w:color w:val="auto"/>
        </w:rPr>
      </w:pPr>
    </w:p>
    <w:p>
      <w:pPr>
        <w:ind w:left="1132" w:right="140" w:hanging="383"/>
        <w:spacing w:after="0" w:line="249" w:lineRule="auto"/>
        <w:tabs>
          <w:tab w:leader="none" w:pos="11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Entity" means (i) any national, state, regional, or local government (including, in each case, any agency, department, or subdivision of such government); (ii) any political party; (iii) any entity or business that is owned or controlled by any of those bodies listed in subcategory (i) or (ii); or (iv) any international organization, such as the United Nations or the World Bank.</w:t>
      </w:r>
    </w:p>
    <w:p>
      <w:pPr>
        <w:spacing w:after="0" w:line="112" w:lineRule="exact"/>
        <w:rPr>
          <w:rFonts w:ascii="Times New Roman" w:cs="Times New Roman" w:eastAsia="Times New Roman" w:hAnsi="Times New Roman"/>
          <w:sz w:val="20"/>
          <w:szCs w:val="20"/>
          <w:color w:val="auto"/>
        </w:rPr>
      </w:pPr>
    </w:p>
    <w:p>
      <w:pPr>
        <w:ind w:left="1132" w:hanging="383"/>
        <w:spacing w:after="0" w:line="246" w:lineRule="auto"/>
        <w:tabs>
          <w:tab w:leader="none" w:pos="11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Official" means (i) any director, officer, employee, agent, or representative (including anyone elected, nominated, or appointed to be a director, officer, employee, agent, or representative) of any Government Entity, or anyone otherwise acting in an official capacity on behalf of a Government Entity; (ii) any political party, political party official, or political party employee; (iii) any candidate for public or political office; (iv) any royal or ruling family member; or (v) any agent or representative of any of those persons listed in subcategories (i) through (iv).</w:t>
      </w:r>
    </w:p>
    <w:p>
      <w:pPr>
        <w:spacing w:after="0" w:line="104" w:lineRule="exact"/>
        <w:rPr>
          <w:sz w:val="20"/>
          <w:szCs w:val="20"/>
          <w:color w:val="auto"/>
        </w:rPr>
      </w:pPr>
    </w:p>
    <w:p>
      <w:pPr>
        <w:ind w:left="832" w:right="140" w:hanging="448"/>
        <w:spacing w:after="0" w:line="254" w:lineRule="auto"/>
        <w:rPr>
          <w:sz w:val="20"/>
          <w:szCs w:val="20"/>
          <w:color w:val="auto"/>
        </w:rPr>
      </w:pPr>
      <w:r>
        <w:rPr>
          <w:rFonts w:ascii="Times New Roman" w:cs="Times New Roman" w:eastAsia="Times New Roman" w:hAnsi="Times New Roman"/>
          <w:sz w:val="20"/>
          <w:szCs w:val="20"/>
          <w:color w:val="auto"/>
        </w:rPr>
        <w:t>12.6. such party has adopted and maintains adequate policies, procedures, and controls to ensure that Distributor has complied and is in compliance with all Anti-Bribery Laws, including at a minimum policies and procedures relating to prevention of bribery, accounting for financial transactions, due diligence on third parties, and training of personnel.</w:t>
      </w:r>
    </w:p>
    <w:p>
      <w:pPr>
        <w:spacing w:after="0" w:line="107" w:lineRule="exact"/>
        <w:rPr>
          <w:sz w:val="20"/>
          <w:szCs w:val="20"/>
          <w:color w:val="auto"/>
        </w:rPr>
      </w:pPr>
    </w:p>
    <w:p>
      <w:pPr>
        <w:ind w:left="372" w:hanging="372"/>
        <w:spacing w:after="0"/>
        <w:tabs>
          <w:tab w:leader="none" w:pos="37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Product Warranty and Disclaimer.</w:t>
      </w:r>
    </w:p>
    <w:p>
      <w:pPr>
        <w:spacing w:after="0" w:line="148" w:lineRule="exact"/>
        <w:rPr>
          <w:rFonts w:ascii="Times New Roman" w:cs="Times New Roman" w:eastAsia="Times New Roman" w:hAnsi="Times New Roman"/>
          <w:sz w:val="20"/>
          <w:szCs w:val="20"/>
          <w:color w:val="auto"/>
        </w:rPr>
      </w:pPr>
    </w:p>
    <w:p>
      <w:pPr>
        <w:ind w:left="832" w:right="20" w:hanging="449"/>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13.1. Limited Product Warranty. Seller warrants that the Products are free from defects in material and workmanship under normal use and service with proper maintenance, that the Products are fit for their intended purpose, and that the Products do not infringe upon Third Party´s intellectual property rights, both for a period of time which shall be the shelf life of the Products plus three months. The term for such warranties shall begin upon receipt of the Product by Distributor at its facility. Distributor or its customer shall promptly notify Seller of any known warranty claims and shall cooperate in the investigation of such claims. If any Product is proven to not conform with this warranty during the applicable warranty period, Seller shall, at its exclusive option, either repair or replace the Product or, if such repair or replacement is not successful, refund the purchase price paid by Distributor for each non-conforming Product. Any Product returned under this Section shall follow the return procedure in Section 7.3.</w:t>
      </w:r>
    </w:p>
    <w:p>
      <w:pPr>
        <w:spacing w:after="0" w:line="92"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20"/>
          <w:szCs w:val="20"/>
          <w:color w:val="auto"/>
        </w:rPr>
        <w:t>Seller shall have no obligation under the warranty set forth above if Distributor or its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1218565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42" w:name="page43"/>
    <w:bookmarkEnd w:id="42"/>
    <w:p>
      <w:pPr>
        <w:ind w:left="1132" w:hanging="383"/>
        <w:spacing w:after="0"/>
        <w:tabs>
          <w:tab w:leader="none" w:pos="11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notify Seller in writing during the warranty period of a non-conformity; or</w:t>
      </w:r>
    </w:p>
    <w:p>
      <w:pPr>
        <w:spacing w:after="0" w:line="148" w:lineRule="exact"/>
        <w:rPr>
          <w:rFonts w:ascii="Times New Roman" w:cs="Times New Roman" w:eastAsia="Times New Roman" w:hAnsi="Times New Roman"/>
          <w:sz w:val="20"/>
          <w:szCs w:val="20"/>
          <w:color w:val="auto"/>
        </w:rPr>
      </w:pPr>
    </w:p>
    <w:p>
      <w:pPr>
        <w:ind w:left="1132" w:right="720" w:hanging="383"/>
        <w:spacing w:after="0" w:line="269" w:lineRule="auto"/>
        <w:tabs>
          <w:tab w:leader="none" w:pos="11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uses, misuses, or neglects the Product in a manner inconsistent with the Product's specifications or use or maintenance directions, modifies the Product, or improperly installs, handles, or maintains the Product.</w:t>
      </w:r>
    </w:p>
    <w:p>
      <w:pPr>
        <w:spacing w:after="0" w:line="78" w:lineRule="exact"/>
        <w:rPr>
          <w:sz w:val="20"/>
          <w:szCs w:val="20"/>
          <w:color w:val="auto"/>
        </w:rPr>
      </w:pPr>
    </w:p>
    <w:p>
      <w:pPr>
        <w:ind w:left="372" w:firstLine="374"/>
        <w:spacing w:after="0" w:line="249" w:lineRule="auto"/>
        <w:rPr>
          <w:sz w:val="20"/>
          <w:szCs w:val="20"/>
          <w:color w:val="auto"/>
        </w:rPr>
      </w:pPr>
      <w:r>
        <w:rPr>
          <w:rFonts w:ascii="Times New Roman" w:cs="Times New Roman" w:eastAsia="Times New Roman" w:hAnsi="Times New Roman"/>
          <w:sz w:val="20"/>
          <w:szCs w:val="20"/>
          <w:color w:val="auto"/>
        </w:rPr>
        <w:t>Except as explicitly authorized in this Agreement or in a separate written agreement with Seller, Distributor shall not service, repair, modify, alter, replace, reverse engineer, or otherwise change the Products it sells to its customers. Notwithstanding Distributor´s statutory warranty towards its customers, Distributor shall not provide its own warranty regarding any Product which goes beyond the statutory warranty.</w:t>
      </w:r>
    </w:p>
    <w:p>
      <w:pPr>
        <w:spacing w:after="0" w:line="112" w:lineRule="exact"/>
        <w:rPr>
          <w:sz w:val="20"/>
          <w:szCs w:val="20"/>
          <w:color w:val="auto"/>
        </w:rPr>
      </w:pPr>
    </w:p>
    <w:p>
      <w:pPr>
        <w:ind w:left="832" w:right="60" w:hanging="448"/>
        <w:spacing w:after="0" w:line="246" w:lineRule="auto"/>
        <w:rPr>
          <w:sz w:val="20"/>
          <w:szCs w:val="20"/>
          <w:color w:val="auto"/>
        </w:rPr>
      </w:pPr>
      <w:r>
        <w:rPr>
          <w:rFonts w:ascii="Times New Roman" w:cs="Times New Roman" w:eastAsia="Times New Roman" w:hAnsi="Times New Roman"/>
          <w:sz w:val="20"/>
          <w:szCs w:val="20"/>
          <w:color w:val="auto"/>
        </w:rPr>
        <w:t>13.2. DISCLAIMER. EXCEPT FOR THE WARRANTIES SET OUT UNDER THIS SECTION 13, NEITHER SELLER NOR ANY PERSON ON SELLER'S BEHALF HAS MADE OR MAKES FOR DISTRIBUTOR'S OR ITS CUSTOMERS' BENEFIT ANY EXPRESS OR IMPLIED REPRESENTATION OR WARRANTY WHATSOEVER, DISTRIBUTOR ACKNOWLEDGES THAT IT HAS NOT RELIED ON ANY REPRESENTATION OR WARRANTY MADE BY SELLER, OR ANY OTHER PERSON ON SELLER'S BEHALF EXCEPT THOSE SET FORTH IN THIS AGREEMENT.</w:t>
      </w:r>
    </w:p>
    <w:p>
      <w:pPr>
        <w:spacing w:after="0" w:line="117" w:lineRule="exact"/>
        <w:rPr>
          <w:sz w:val="20"/>
          <w:szCs w:val="20"/>
          <w:color w:val="auto"/>
        </w:rPr>
      </w:pPr>
    </w:p>
    <w:p>
      <w:pPr>
        <w:ind w:left="372" w:hanging="372"/>
        <w:spacing w:after="0" w:line="242" w:lineRule="auto"/>
        <w:tabs>
          <w:tab w:leader="none" w:pos="37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Distributor´s Indemnification. Subject to the terms and conditions of this Agreement, Distributor shall indemnify, hold harmless, and defend Seller and its parent, officers, directors, partners, members, shareholders, employees, agents, affiliates, successors, and permitted assigns (collectively, "Seller Indemnified Party") against any and all losses, damages, liabilities, deficiencies, claims, actions, judgments, settlements, interest, awards, penalties, fines, costs, or expenses of whatever kind, including attorneys' fees, fees and the costs of enforcing any right to indemnification under this Agreement, and the cost of pursuing any insurance providers relating to any claim of a third party or Seller arising out of or occurring in connection with: (a) Distributor's acts or omissions as Distributor of the Products, including negligence, willful misconduct, or breach of this Agreement; (b) Distributor or its employees or agents making assertions or promoting claims about the Product that do not conform with the Products’ approved indications; (c) Distributor or its employees or agents whether willfully or negligently, using the Product outside of its approved specifications and instructions for use; (d) any failure by Distributor or its personnel to comply with any applicable laws; or (e) any breach of Distributor of its agreement with a third party as a result of or in connection with entering into, performing under, or terminating this Agreement.</w:t>
      </w:r>
    </w:p>
    <w:p>
      <w:pPr>
        <w:spacing w:after="0" w:line="108" w:lineRule="exact"/>
        <w:rPr>
          <w:rFonts w:ascii="Times New Roman" w:cs="Times New Roman" w:eastAsia="Times New Roman" w:hAnsi="Times New Roman"/>
          <w:sz w:val="20"/>
          <w:szCs w:val="20"/>
          <w:color w:val="auto"/>
        </w:rPr>
      </w:pPr>
    </w:p>
    <w:p>
      <w:pPr>
        <w:ind w:left="372" w:right="60" w:hanging="372"/>
        <w:spacing w:after="0" w:line="242" w:lineRule="auto"/>
        <w:tabs>
          <w:tab w:leader="none" w:pos="37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Indemnification. Subject to the terms and conditions of this Agreement, Seller shall indemnify, hold harmless, and defend Distributor and its parent, officers, directors, partners, members, shareholders, employees, agents, affiliates, successors, and permitted assigns (collectively, "Distributor Indemnified Party") against any and all losses, damages, liabilities, deficiencies, claims, actions, judgments, settlements, interest, awards, penalties, fines, costs, or expenses of whatever kind, including attorneys' fees, fees and the costs of enforcing any right to indemnification under this Agreement, and the cost of pursuing any insurance providers relating to any claim of a third party or Distributor arising out of or occurring in connection with: (a) Seller´s acts or omissions as Seller of the Products, including negligence, willful misconduct, or breach of this Agreement; (b) Seller or its employees or agents making assertions or promoting claims about the Product that do not conform with the Products’ approved indications; (c) any failure by Distributor or its personnel to comply with any applicable laws (d) product liability claims of third parties in respect to the Products, except if such Products have been used outside of its approved specifications and instructions, as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972185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43" w:name="page44"/>
    <w:bookmarkEnd w:id="43"/>
    <w:p>
      <w:pPr>
        <w:ind w:left="372" w:right="40"/>
        <w:spacing w:after="0" w:line="245" w:lineRule="auto"/>
        <w:rPr>
          <w:sz w:val="20"/>
          <w:szCs w:val="20"/>
          <w:color w:val="auto"/>
        </w:rPr>
      </w:pPr>
      <w:r>
        <w:rPr>
          <w:rFonts w:ascii="Times New Roman" w:cs="Times New Roman" w:eastAsia="Times New Roman" w:hAnsi="Times New Roman"/>
          <w:sz w:val="20"/>
          <w:szCs w:val="20"/>
          <w:color w:val="auto"/>
        </w:rPr>
        <w:t>the instruction for use and except if the Products have been modified by the Distributor; (e) any breach of Seller of its agreement with a third party as a result of or in connection with entering into, performing under, or terminating this Agreement; or (f) any claim by a third party that the Products or Distributor’s sale of the Products infringes the intellectual property rights of a third party (an “IP Claim”). In addition to the indemnification obligations of this Section, in the event of an IP Claim, Seller shall either (i) modify the Products so that they do not infringe or (ii) provide alternative non-infringing Products, in either case the revised or alternative Products shall have quality and characteristics equal to or greater than the infringing Products.</w:t>
      </w:r>
    </w:p>
    <w:p>
      <w:pPr>
        <w:spacing w:after="0" w:line="117" w:lineRule="exact"/>
        <w:rPr>
          <w:sz w:val="20"/>
          <w:szCs w:val="20"/>
          <w:color w:val="auto"/>
        </w:rPr>
      </w:pPr>
    </w:p>
    <w:p>
      <w:pPr>
        <w:ind w:left="372" w:right="240" w:hanging="372"/>
        <w:spacing w:after="0" w:line="258" w:lineRule="auto"/>
        <w:tabs>
          <w:tab w:leader="none" w:pos="37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 of Liability. IN NO EVENT SHALL A PARTY OR ANY OF ITS REPRESENTATIVES BE LIABLE FOR, OR BE OBLIGED TO INDEMNIFY THE OTHER PARTY FROM, CONSEQUENTIAL, INDIRECT, INCIDENTAL, SPECIAL, EXEMPLARY, PUNITIVE, OR ENHANCED DAMAGES, ARISING OUT OF, OR RELATING TO, AND/OR IN CONNECTION WITH ANY BREACH OF THIS AGREEMENT, REGARDLESS OF (A) WHETHER SUCH DAMAGES WERE FORESEEABLE,</w:t>
      </w:r>
    </w:p>
    <w:p>
      <w:pPr>
        <w:ind w:left="37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WHETHER OR NOT SUCH PARTY WAS ADVISED OF THE POSSIBILITY OF SUCH DAMAGES AND (C) THE LEGAL OR EQUITABLE THEORY (CONTRACT, TORT OR OTHERWISE) UPON WHICH THE CLAIM IS BASED. IN NO EVENT SHALL A PARTY´S LIABILITY ARISING OUT OF OR RELATED TO THIS AGREEMENT, WHETHER ARISING OUT OF OR RELATED TO BREACH OF CONTRACT, TORT (INCLUDING NEGLIGENCE), OR OTHERWISE, EXCEED THE TOTAL OF THE AMOUNTS PAID AND AMOUNTS ACCRUED BUT NOT YET PAID BY DISTRIBUTOR TO SELLER UNDER THIS AGREEMENT IN THE THREE MONTH PERIOD PRECEDING THE EVENT GIVING RISE TO THE CLAIM THE FOREGOING LIMITATIONS APPLY EVEN IF THE OTHER PARTY´S REMEDIES UNDER THIS AGREEMENT FAIL OF THEIR ESSENTIAL PURPOSE.</w:t>
      </w:r>
    </w:p>
    <w:p>
      <w:pPr>
        <w:spacing w:after="0" w:line="109" w:lineRule="exact"/>
        <w:rPr>
          <w:rFonts w:ascii="Times New Roman" w:cs="Times New Roman" w:eastAsia="Times New Roman" w:hAnsi="Times New Roman"/>
          <w:sz w:val="19"/>
          <w:szCs w:val="19"/>
          <w:color w:val="auto"/>
        </w:rPr>
      </w:pPr>
    </w:p>
    <w:p>
      <w:pPr>
        <w:ind w:left="372" w:hanging="372"/>
        <w:spacing w:after="0" w:line="245" w:lineRule="auto"/>
        <w:tabs>
          <w:tab w:leader="none" w:pos="37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For a period of two years after the Effective Date, each Party shall, at its own expense, maintain and carry insurance in full force and effect that includes, but is not limited to, commercial general liability (including product liability) with limits no less than $3MM USD for each occurrence and $5MM USD in the aggregate with financially sound and reputable insurers. Upon the other party´s request, a party shall provide such other party with a certificate of insurance and policy endorsements for all insurance coverage required by this Section 17 and shall not do anything to invalidate such insurance. Each party shall provide the other party with ninety days' advance written notice in the event of a cancellation or material change in its insurance policy.</w:t>
      </w:r>
    </w:p>
    <w:p>
      <w:pPr>
        <w:spacing w:after="0" w:line="116" w:lineRule="exact"/>
        <w:rPr>
          <w:rFonts w:ascii="Times New Roman" w:cs="Times New Roman" w:eastAsia="Times New Roman" w:hAnsi="Times New Roman"/>
          <w:sz w:val="20"/>
          <w:szCs w:val="20"/>
          <w:color w:val="auto"/>
        </w:rPr>
      </w:pPr>
    </w:p>
    <w:p>
      <w:pPr>
        <w:ind w:left="372" w:right="60" w:hanging="372"/>
        <w:spacing w:after="0" w:line="249" w:lineRule="auto"/>
        <w:tabs>
          <w:tab w:leader="none" w:pos="37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Assistance to Distributor. If Distributor is exposed to claims of third parties related to the performance or failure of the Products (including, but not limited to, customers of Distributor), Seller shall, at Distributor’s expense, use reasonable best efforts to assist Distributor in the defense against such claims, including but not limited to, through the provision of documents and studies on the Products.</w:t>
      </w:r>
    </w:p>
    <w:p>
      <w:pPr>
        <w:spacing w:after="0" w:line="112" w:lineRule="exact"/>
        <w:rPr>
          <w:rFonts w:ascii="Times New Roman" w:cs="Times New Roman" w:eastAsia="Times New Roman" w:hAnsi="Times New Roman"/>
          <w:sz w:val="20"/>
          <w:szCs w:val="20"/>
          <w:color w:val="auto"/>
        </w:rPr>
      </w:pPr>
    </w:p>
    <w:p>
      <w:pPr>
        <w:ind w:left="372" w:right="240" w:hanging="372"/>
        <w:spacing w:after="0" w:line="254" w:lineRule="auto"/>
        <w:tabs>
          <w:tab w:leader="none" w:pos="37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Representation Regarding Agreement with [******]. Seller represents and warrants that it is able to terminate its existing contract with [******] and facilitate Distributor’s purchase of existing inventory held by [******] without violating the rights of any third party including but not limited to [******].</w:t>
      </w:r>
    </w:p>
    <w:p>
      <w:pPr>
        <w:spacing w:after="0" w:line="93" w:lineRule="exact"/>
        <w:rPr>
          <w:rFonts w:ascii="Times New Roman" w:cs="Times New Roman" w:eastAsia="Times New Roman" w:hAnsi="Times New Roman"/>
          <w:sz w:val="20"/>
          <w:szCs w:val="20"/>
          <w:color w:val="auto"/>
        </w:rPr>
      </w:pPr>
    </w:p>
    <w:p>
      <w:pPr>
        <w:ind w:left="372" w:right="40" w:hanging="372"/>
        <w:spacing w:after="0" w:line="254" w:lineRule="auto"/>
        <w:tabs>
          <w:tab w:leader="none" w:pos="37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 Agreement. This Agreement, including and together with any related exhibits, schedules, and attachments constitutes the sole and entire agreement of the Parties with respect to the subject matter contained herein, and supersedes all prior and contemporaneous understandings,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961390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44" w:name="page45"/>
    <w:bookmarkEnd w:id="44"/>
    <w:p>
      <w:pPr>
        <w:ind w:left="372" w:right="240"/>
        <w:spacing w:after="0" w:line="254" w:lineRule="auto"/>
        <w:rPr>
          <w:sz w:val="20"/>
          <w:szCs w:val="20"/>
          <w:color w:val="auto"/>
        </w:rPr>
      </w:pPr>
      <w:r>
        <w:rPr>
          <w:rFonts w:ascii="Times New Roman" w:cs="Times New Roman" w:eastAsia="Times New Roman" w:hAnsi="Times New Roman"/>
          <w:sz w:val="20"/>
          <w:szCs w:val="20"/>
          <w:color w:val="auto"/>
        </w:rPr>
        <w:t>representations, and warranties, both written and oral, regarding such subject matter. In the event of conflict between the terms of this Agreement and the terms of any purchase order or other document submitted by one Party to the other, this Agreement shall control unless the Parties specifically otherwise agree in writing.</w:t>
      </w:r>
    </w:p>
    <w:p>
      <w:pPr>
        <w:spacing w:after="0" w:line="107" w:lineRule="exact"/>
        <w:rPr>
          <w:sz w:val="20"/>
          <w:szCs w:val="20"/>
          <w:color w:val="auto"/>
        </w:rPr>
      </w:pPr>
    </w:p>
    <w:p>
      <w:pPr>
        <w:ind w:left="372" w:hanging="372"/>
        <w:spacing w:after="0" w:line="246" w:lineRule="auto"/>
        <w:tabs>
          <w:tab w:leader="none" w:pos="37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Survival. Subject to the limitations and other provisions of this Agreement: (a) the representations and warranties of the Distributor contained herein will survive the expiration or earlier termination of this Agreement for a period of eighteen months after such expiration or termination; and (b) any other provision that, in order to give proper effect to its intent, should survive such expiration or termination, will survive the expiration or earlier termination of this Agreement for the period specified therein, or if nothing is specified for a period of eighteen months after such expiration or termination.</w:t>
      </w:r>
    </w:p>
    <w:p>
      <w:pPr>
        <w:spacing w:after="0" w:line="103" w:lineRule="exact"/>
        <w:rPr>
          <w:rFonts w:ascii="Times New Roman" w:cs="Times New Roman" w:eastAsia="Times New Roman" w:hAnsi="Times New Roman"/>
          <w:sz w:val="20"/>
          <w:szCs w:val="20"/>
          <w:color w:val="auto"/>
        </w:rPr>
      </w:pPr>
    </w:p>
    <w:p>
      <w:pPr>
        <w:ind w:left="372" w:hanging="372"/>
        <w:spacing w:after="0" w:line="245" w:lineRule="auto"/>
        <w:tabs>
          <w:tab w:leader="none" w:pos="37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All notices, requests, consents, claims, demands, waivers, and other communications under this Agreement must be in writing and addressed to the other Party at its address set forth below (or to such other address that the receiving Party may designate from time to time in accordance with this Section). Unless otherwise agreed herein, all notices must be delivered by personal delivery, nationally recognized overnight courier, or certified or registered mail (in each case, return receipt requested, postage prepaid). Except as otherwise provided in this Agreement, a notice is effective only (a) on receipt by the receiving Party, and (b) if the Party giving the notice has complied with the requirements of this Section.</w:t>
      </w:r>
    </w:p>
    <w:p>
      <w:pPr>
        <w:spacing w:after="0" w:line="116" w:lineRule="exact"/>
        <w:rPr>
          <w:rFonts w:ascii="Times New Roman" w:cs="Times New Roman" w:eastAsia="Times New Roman" w:hAnsi="Times New Roman"/>
          <w:sz w:val="20"/>
          <w:szCs w:val="20"/>
          <w:color w:val="auto"/>
        </w:rPr>
      </w:pPr>
    </w:p>
    <w:p>
      <w:pPr>
        <w:ind w:left="3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to Seller:   [******]</w:t>
      </w:r>
    </w:p>
    <w:p>
      <w:pPr>
        <w:spacing w:after="0" w:line="148" w:lineRule="exact"/>
        <w:rPr>
          <w:sz w:val="20"/>
          <w:szCs w:val="20"/>
          <w:color w:val="auto"/>
        </w:rPr>
      </w:pPr>
    </w:p>
    <w:p>
      <w:pPr>
        <w:ind w:left="372"/>
        <w:spacing w:after="0"/>
        <w:tabs>
          <w:tab w:leader="none" w:pos="2332" w:val="left"/>
        </w:tabs>
        <w:rPr>
          <w:sz w:val="20"/>
          <w:szCs w:val="20"/>
          <w:color w:val="auto"/>
        </w:rPr>
      </w:pPr>
      <w:r>
        <w:rPr>
          <w:rFonts w:ascii="Times New Roman" w:cs="Times New Roman" w:eastAsia="Times New Roman" w:hAnsi="Times New Roman"/>
          <w:sz w:val="20"/>
          <w:szCs w:val="20"/>
          <w:color w:val="auto"/>
        </w:rPr>
        <w:t>Notice to Distributor:</w:t>
      </w:r>
      <w:r>
        <w:rPr>
          <w:sz w:val="20"/>
          <w:szCs w:val="20"/>
          <w:color w:val="auto"/>
        </w:rPr>
        <w:tab/>
      </w:r>
      <w:r>
        <w:rPr>
          <w:rFonts w:ascii="Times New Roman" w:cs="Times New Roman" w:eastAsia="Times New Roman" w:hAnsi="Times New Roman"/>
          <w:sz w:val="19"/>
          <w:szCs w:val="19"/>
          <w:color w:val="auto"/>
        </w:rPr>
        <w:t>[******]</w:t>
      </w:r>
    </w:p>
    <w:p>
      <w:pPr>
        <w:spacing w:after="0" w:line="135" w:lineRule="exact"/>
        <w:rPr>
          <w:sz w:val="20"/>
          <w:szCs w:val="20"/>
          <w:color w:val="auto"/>
        </w:rPr>
      </w:pPr>
    </w:p>
    <w:p>
      <w:pPr>
        <w:ind w:left="2992"/>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372" w:right="20" w:hanging="372"/>
        <w:spacing w:after="0" w:line="263" w:lineRule="auto"/>
        <w:tabs>
          <w:tab w:leader="none" w:pos="37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Severability. If any term or provision of this Agreement is invalid, illegal, or unenforceable in any jurisdiction, such invalidity, illegality, or unenforceability shall not affect the enforceability of any other term or provision of this Agreement or invalidate or render unenforceable such term or provision in any other jurisdiction. Upon a determination that any term or provision is invalid, illegal, or unenforceable, the Parties shall negotiate in good faith to modify this Agreement to affect the original intent of the Parties as closely as possible in order that the transactions contemplated hereby be consummated as originally contemplated to the greatest extent possible.</w:t>
      </w:r>
    </w:p>
    <w:p>
      <w:pPr>
        <w:spacing w:after="0" w:line="98" w:lineRule="exact"/>
        <w:rPr>
          <w:rFonts w:ascii="Times New Roman" w:cs="Times New Roman" w:eastAsia="Times New Roman" w:hAnsi="Times New Roman"/>
          <w:sz w:val="19"/>
          <w:szCs w:val="19"/>
          <w:color w:val="auto"/>
        </w:rPr>
      </w:pPr>
    </w:p>
    <w:p>
      <w:pPr>
        <w:ind w:left="372" w:right="300" w:hanging="372"/>
        <w:spacing w:after="0" w:line="269" w:lineRule="auto"/>
        <w:tabs>
          <w:tab w:leader="none" w:pos="37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No amendment to this Agreement is effective unless it is in writing and signed by an authorized representative of each Party.</w:t>
      </w:r>
    </w:p>
    <w:p>
      <w:pPr>
        <w:spacing w:after="0" w:line="78" w:lineRule="exact"/>
        <w:rPr>
          <w:rFonts w:ascii="Times New Roman" w:cs="Times New Roman" w:eastAsia="Times New Roman" w:hAnsi="Times New Roman"/>
          <w:sz w:val="20"/>
          <w:szCs w:val="20"/>
          <w:color w:val="auto"/>
        </w:rPr>
      </w:pPr>
    </w:p>
    <w:p>
      <w:pPr>
        <w:ind w:left="372" w:right="20" w:hanging="372"/>
        <w:spacing w:after="0" w:line="246" w:lineRule="auto"/>
        <w:tabs>
          <w:tab w:leader="none" w:pos="37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No waiver by any Party of any of the provisions of this Agreement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17" w:lineRule="exact"/>
        <w:rPr>
          <w:rFonts w:ascii="Times New Roman" w:cs="Times New Roman" w:eastAsia="Times New Roman" w:hAnsi="Times New Roman"/>
          <w:sz w:val="20"/>
          <w:szCs w:val="20"/>
          <w:color w:val="auto"/>
        </w:rPr>
      </w:pPr>
    </w:p>
    <w:p>
      <w:pPr>
        <w:ind w:left="372" w:right="200" w:hanging="372"/>
        <w:spacing w:after="0" w:line="249" w:lineRule="auto"/>
        <w:tabs>
          <w:tab w:leader="none" w:pos="37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Control. Neither Party shall assign any of its rights or delegate any of its obligations under the Agreement without the prior written consent of the other Party; provided, however, that either Party may assign its rights and delegate its obligations upon 90 days prior written notice to the other Party to an entity with which it has completed a Change of Control transaction. No assignment or delegation shall relieve the assigning or delegating Party of any of its obligations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964565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3" w:right="379" w:bottom="1440" w:gutter="0" w:footer="0" w:header="0"/>
        </w:sectPr>
      </w:pPr>
    </w:p>
    <w:bookmarkStart w:id="45" w:name="page46"/>
    <w:bookmarkEnd w:id="45"/>
    <w:p>
      <w:pPr>
        <w:ind w:left="372" w:right="460"/>
        <w:spacing w:after="0" w:line="269" w:lineRule="auto"/>
        <w:rPr>
          <w:sz w:val="20"/>
          <w:szCs w:val="20"/>
          <w:color w:val="auto"/>
        </w:rPr>
      </w:pPr>
      <w:r>
        <w:rPr>
          <w:rFonts w:ascii="Times New Roman" w:cs="Times New Roman" w:eastAsia="Times New Roman" w:hAnsi="Times New Roman"/>
          <w:sz w:val="20"/>
          <w:szCs w:val="20"/>
          <w:color w:val="auto"/>
        </w:rPr>
        <w:t>Agreement unless the non-assigning or non-delegating Party enters into a novation releasing the assigning or delegating Party of its obligation under the Agreement. Any purported assignment or delegation in violation of this Section 26 shall be null and void.</w:t>
      </w:r>
    </w:p>
    <w:p>
      <w:pPr>
        <w:spacing w:after="0" w:line="92" w:lineRule="exact"/>
        <w:rPr>
          <w:sz w:val="20"/>
          <w:szCs w:val="20"/>
          <w:color w:val="auto"/>
        </w:rPr>
      </w:pPr>
    </w:p>
    <w:p>
      <w:pPr>
        <w:ind w:left="372" w:right="400" w:hanging="372"/>
        <w:spacing w:after="0" w:line="269" w:lineRule="auto"/>
        <w:tabs>
          <w:tab w:leader="none" w:pos="3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Successors and Assigns. This Agreement is binding on and inures to the benefit of the Parties to this Agreement and their respective permitted successors and permitted assigns.</w:t>
      </w:r>
    </w:p>
    <w:p>
      <w:pPr>
        <w:spacing w:after="0" w:line="78" w:lineRule="exact"/>
        <w:rPr>
          <w:rFonts w:ascii="Times New Roman" w:cs="Times New Roman" w:eastAsia="Times New Roman" w:hAnsi="Times New Roman"/>
          <w:sz w:val="20"/>
          <w:szCs w:val="20"/>
          <w:color w:val="auto"/>
        </w:rPr>
      </w:pPr>
    </w:p>
    <w:p>
      <w:pPr>
        <w:ind w:left="372" w:right="280" w:hanging="372"/>
        <w:spacing w:after="0" w:line="254" w:lineRule="auto"/>
        <w:tabs>
          <w:tab w:leader="none" w:pos="3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Third-Party Beneficiaries. Subject to the next paragraph, this Agreement benefits solely the Parties to this Agreement and their respective permitted successors and permitted assigns and nothing in this Agreement, express or implied, confers on any other Person any legal or equitable right, benefit, or remedy of any nature whatsoever under or by reason of this Agreement.</w:t>
      </w:r>
    </w:p>
    <w:p>
      <w:pPr>
        <w:spacing w:after="0" w:line="106" w:lineRule="exact"/>
        <w:rPr>
          <w:rFonts w:ascii="Times New Roman" w:cs="Times New Roman" w:eastAsia="Times New Roman" w:hAnsi="Times New Roman"/>
          <w:sz w:val="20"/>
          <w:szCs w:val="20"/>
          <w:color w:val="auto"/>
        </w:rPr>
      </w:pPr>
    </w:p>
    <w:p>
      <w:pPr>
        <w:ind w:left="372" w:right="70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designate the Distributor Indemnified Parties and the Seller Indemnified Partes as third-party beneficiaries of Sections 14 and 15 with the right to enforce such Sections.</w:t>
      </w:r>
    </w:p>
    <w:p>
      <w:pPr>
        <w:spacing w:after="0" w:line="91" w:lineRule="exact"/>
        <w:rPr>
          <w:rFonts w:ascii="Times New Roman" w:cs="Times New Roman" w:eastAsia="Times New Roman" w:hAnsi="Times New Roman"/>
          <w:sz w:val="20"/>
          <w:szCs w:val="20"/>
          <w:color w:val="auto"/>
        </w:rPr>
      </w:pPr>
    </w:p>
    <w:p>
      <w:pPr>
        <w:ind w:left="372" w:right="20" w:hanging="372"/>
        <w:spacing w:after="0" w:line="243" w:lineRule="auto"/>
        <w:tabs>
          <w:tab w:leader="none" w:pos="3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Choice of Law &amp; Forum. Any dispute, claim or controversy arising out of or relating to this Agreement or the breach, termination, enforcement, interpretation, or validity thereof, including the determination of the scope or applicability of this agreement to arbitrate, shall be determined by arbitration in Los Angeles, CA before one arbitrator. The arbitration shall be administered by Judicial Arbitration and Mediation Services, Inc. (“JAMS”) pursuant to its Comprehensive Arbitration Rules and Procedures and in accordance with the Expedited Procedures in those Rules. Judgment on the award may be entered in any court having jurisdiction. This clause shall not preclude parties from seeking provisional remedies in aid of arbitration from a court of appropriate jurisdiction. For enforcement of any arbitration award, provisional remedies, or any matters that are not subject to arbitration. the Parties to this Agreement hereby submit to the exclusive jurisdiction of the California courts, both state and federal.</w:t>
      </w:r>
    </w:p>
    <w:p>
      <w:pPr>
        <w:spacing w:after="0" w:line="108" w:lineRule="exact"/>
        <w:rPr>
          <w:rFonts w:ascii="Times New Roman" w:cs="Times New Roman" w:eastAsia="Times New Roman" w:hAnsi="Times New Roman"/>
          <w:sz w:val="20"/>
          <w:szCs w:val="20"/>
          <w:color w:val="auto"/>
        </w:rPr>
      </w:pPr>
    </w:p>
    <w:p>
      <w:pPr>
        <w:ind w:left="372" w:right="100" w:hanging="372"/>
        <w:spacing w:after="0" w:line="242" w:lineRule="auto"/>
        <w:tabs>
          <w:tab w:leader="none" w:pos="3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Force Majeure. No Party shall be liable or responsible to the other Party, or be deemed to have defaulted under or breached this Agreement, for any failure or delay in fulfilling or performing any term of this Agreement (except for any obligations of the Distributor to make payments to Seller hereunder), when and to the extent such failure or delay is caused by or results from acts beyond the impacted party's ("Impacted Party") control, including, without limitation, the following force majeure events ("Force Majeure Event(s)"): (a) acts of God; (b) flood, fire, earthquake, global pandemic, or explosion; (c) war, invasion, hostilities (whether war is declared or not), terrorist threats or acts, riot or other civil unrest; (d) government order, law, or actions; (e) embargoes or blockades in effect after the Effective Date of this Agreement; and (f) national or regional emergency; The Impacted Party shall give notice within five days of the Force Majeure Event to the other Party, stating the period of time the occurrence is expected to continue. The Impacted Party shall use diligent efforts to end the failure or delay and ensure the effects of such Force Majeure Event are minimized. The Impacted Party shall resume the performance of its obligations as soon as reasonably practicable after the removal of the cause. In the event that the Impacted Party's failure or delay remains uncured for a period of sixty consecutive days following written notice given by it under this Section 30, the other Party may thereafter terminate this Agreement upon ten days written notice.</w:t>
      </w:r>
    </w:p>
    <w:p>
      <w:pPr>
        <w:spacing w:after="0" w:line="119" w:lineRule="exact"/>
        <w:rPr>
          <w:rFonts w:ascii="Times New Roman" w:cs="Times New Roman" w:eastAsia="Times New Roman" w:hAnsi="Times New Roman"/>
          <w:sz w:val="20"/>
          <w:szCs w:val="20"/>
          <w:color w:val="auto"/>
        </w:rPr>
      </w:pPr>
    </w:p>
    <w:p>
      <w:pPr>
        <w:ind w:left="372" w:hanging="372"/>
        <w:spacing w:after="0" w:line="249" w:lineRule="auto"/>
        <w:tabs>
          <w:tab w:leader="none" w:pos="3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Relationship of the Parties. The relationship between the Parties is that of independent contractors. Nothing contained in this Agreement shall be construed as creating any agency, partnership, franchise, business opportunity, joint venture or other form of joint enterprise, employment, or fiduciary relationship between the Parties, and neither Party shall have authority to contract for or bind the other Party in any manner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964565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46" w:name="page47"/>
    <w:bookmarkEnd w:id="46"/>
    <w:p>
      <w:pPr>
        <w:spacing w:after="0" w:line="351" w:lineRule="exact"/>
        <w:rPr>
          <w:sz w:val="20"/>
          <w:szCs w:val="20"/>
          <w:color w:val="auto"/>
        </w:rPr>
      </w:pPr>
    </w:p>
    <w:p>
      <w:pPr>
        <w:ind w:left="380" w:right="440" w:hanging="372"/>
        <w:spacing w:after="0" w:line="269" w:lineRule="auto"/>
        <w:tabs>
          <w:tab w:leader="none" w:pos="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This Agreement may be executed in counterparts, each of which is deemed an original, but all of which together are deemed to be one and the same agreement.</w:t>
      </w:r>
    </w:p>
    <w:p>
      <w:pPr>
        <w:spacing w:after="0" w:line="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last date written below by their respective officers thereunto duly authorized.</w:t>
      </w:r>
    </w:p>
    <w:p>
      <w:pPr>
        <w:spacing w:after="0" w:line="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1115695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Stedical Scientific,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By/s/ Lin Sun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Lin Sun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Chairman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10, 2024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AVITA Medical Americas, LLC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James Corbett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James Corbett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CEO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Signature Page to Exclusive Distribution Agreement Between AVITA Medical Americas LLC and Stedical Scientific, Inc. 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1125855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 and Price List</w:t>
      </w:r>
    </w:p>
    <w:p>
      <w:pPr>
        <w:spacing w:after="0" w:line="135" w:lineRule="exact"/>
        <w:rPr>
          <w:sz w:val="20"/>
          <w:szCs w:val="20"/>
          <w:color w:val="auto"/>
        </w:rPr>
      </w:pPr>
    </w:p>
    <w:p>
      <w:pPr>
        <w:ind w:left="1140" w:right="140" w:hanging="758"/>
        <w:spacing w:after="0" w:line="254" w:lineRule="auto"/>
        <w:tabs>
          <w:tab w:leader="none" w:pos="11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or “Products” means all models of Seller’s variable porosity dressing products with the trade name PermeaDerm Biosynthetic Wound Matrix and any new releases, enhancements or modifications thereof as agreed by Distributor and Seller from time to time.</w:t>
      </w:r>
    </w:p>
    <w:p>
      <w:pPr>
        <w:spacing w:after="0" w:line="106"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1 PRICING</w:t>
      </w:r>
    </w:p>
    <w:p>
      <w:pPr>
        <w:spacing w:after="0" w:line="148" w:lineRule="exact"/>
        <w:rPr>
          <w:sz w:val="20"/>
          <w:szCs w:val="20"/>
          <w:color w:val="auto"/>
        </w:rPr>
      </w:pPr>
    </w:p>
    <w:tbl>
      <w:tblPr>
        <w:tblLayout w:type="fixed"/>
        <w:tblInd w:w="750" w:type="dxa"/>
        <w:tblCellMar>
          <w:top w:w="0" w:type="dxa"/>
          <w:left w:w="0" w:type="dxa"/>
          <w:bottom w:w="0" w:type="dxa"/>
          <w:right w:w="0" w:type="dxa"/>
        </w:tblCellMar>
      </w:tblPr>
      <w:tr>
        <w:trPr>
          <w:trHeight w:val="374"/>
        </w:trPr>
        <w:tc>
          <w:tcPr>
            <w:tcW w:w="524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20"/>
                <w:szCs w:val="20"/>
                <w:color w:val="auto"/>
              </w:rPr>
              <w:t>Product</w:t>
            </w:r>
          </w:p>
        </w:tc>
        <w:tc>
          <w:tcPr>
            <w:tcW w:w="522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0"/>
                <w:szCs w:val="20"/>
                <w:color w:val="auto"/>
              </w:rPr>
              <w:t>Price</w:t>
            </w:r>
          </w:p>
        </w:tc>
      </w:tr>
      <w:tr>
        <w:trPr>
          <w:trHeight w:val="112"/>
        </w:trPr>
        <w:tc>
          <w:tcPr>
            <w:tcW w:w="524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5220" w:type="dxa"/>
            <w:vAlign w:val="bottom"/>
            <w:tcBorders>
              <w:bottom w:val="single" w:sz="8" w:color="auto"/>
              <w:right w:val="single" w:sz="8" w:color="auto"/>
            </w:tcBorders>
            <w:shd w:val="clear" w:color="auto" w:fill="BFBFBF"/>
          </w:tcPr>
          <w:p>
            <w:pPr>
              <w:spacing w:after="0"/>
              <w:rPr>
                <w:sz w:val="9"/>
                <w:szCs w:val="9"/>
                <w:color w:val="auto"/>
              </w:rPr>
            </w:pPr>
          </w:p>
        </w:tc>
      </w:tr>
      <w:tr>
        <w:trPr>
          <w:trHeight w:val="354"/>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PermeaDerm B</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Per Section 4 of the Agreement</w:t>
            </w:r>
          </w:p>
        </w:tc>
      </w:tr>
      <w:tr>
        <w:trPr>
          <w:trHeight w:val="358"/>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r>
      <w:tr>
        <w:trPr>
          <w:trHeight w:val="351"/>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PermeaDerm C</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Per Section 4 of the Agreement</w:t>
            </w:r>
          </w:p>
        </w:tc>
      </w:tr>
      <w:tr>
        <w:trPr>
          <w:trHeight w:val="628"/>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r>
      <w:tr>
        <w:trPr>
          <w:trHeight w:val="351"/>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PermeaDerm Glove</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Per Section 4 of the Agreement</w:t>
            </w:r>
          </w:p>
        </w:tc>
      </w:tr>
      <w:tr>
        <w:trPr>
          <w:trHeight w:val="358"/>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r>
    </w:tbl>
    <w:p>
      <w:pPr>
        <w:spacing w:after="0" w:line="342"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BANKING INFORMATION]</w:t>
      </w:r>
    </w:p>
    <w:p>
      <w:pPr>
        <w:spacing w:after="0" w:line="148" w:lineRule="exact"/>
        <w:rPr>
          <w:sz w:val="20"/>
          <w:szCs w:val="20"/>
          <w:color w:val="auto"/>
        </w:rPr>
      </w:pPr>
    </w:p>
    <w:tbl>
      <w:tblPr>
        <w:tblLayout w:type="fixed"/>
        <w:tblInd w:w="750" w:type="dxa"/>
        <w:tblCellMar>
          <w:top w:w="0" w:type="dxa"/>
          <w:left w:w="0" w:type="dxa"/>
          <w:bottom w:w="0" w:type="dxa"/>
          <w:right w:w="0" w:type="dxa"/>
        </w:tblCellMar>
      </w:tblPr>
      <w:tr>
        <w:trPr>
          <w:trHeight w:val="378"/>
        </w:trPr>
        <w:tc>
          <w:tcPr>
            <w:tcW w:w="51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Beneficiary Name</w:t>
            </w:r>
          </w:p>
        </w:tc>
        <w:tc>
          <w:tcPr>
            <w:tcW w:w="5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Stedical Scientific, Inc.</w:t>
            </w:r>
          </w:p>
        </w:tc>
      </w:tr>
      <w:tr>
        <w:trPr>
          <w:trHeight w:val="358"/>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58"/>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58"/>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58"/>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58"/>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58"/>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54"/>
        </w:trPr>
        <w:tc>
          <w:tcPr>
            <w:tcW w:w="5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-1914525</wp:posOffset>
            </wp:positionV>
            <wp:extent cx="6558280" cy="19284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6558280" cy="19284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1123315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Monthly Reporting Parameters</w:t>
      </w:r>
    </w:p>
    <w:p>
      <w:pPr>
        <w:spacing w:after="0" w:line="200" w:lineRule="exact"/>
        <w:rPr>
          <w:sz w:val="20"/>
          <w:szCs w:val="20"/>
          <w:color w:val="auto"/>
        </w:rPr>
      </w:pPr>
    </w:p>
    <w:p>
      <w:pPr>
        <w:spacing w:after="0" w:line="3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Distributor shall provide to Seller, beginning on the tenth business day after the one-month anniversary of the Effective Date, monthly reports that (1) are in English, (2) are in an easily readable, electronic format and (3) provide the following information from the previous calendar month:</w:t>
      </w:r>
    </w:p>
    <w:p>
      <w:pPr>
        <w:spacing w:after="0" w:line="93" w:lineRule="exact"/>
        <w:rPr>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report of all customer complaints reported in accordance with Section 5;</w:t>
      </w:r>
    </w:p>
    <w:p>
      <w:pPr>
        <w:spacing w:after="0" w:line="148" w:lineRule="exact"/>
        <w:rPr>
          <w:rFonts w:ascii="Times New Roman" w:cs="Times New Roman" w:eastAsia="Times New Roman" w:hAnsi="Times New Roman"/>
          <w:sz w:val="20"/>
          <w:szCs w:val="20"/>
          <w:color w:val="auto"/>
        </w:rPr>
      </w:pPr>
    </w:p>
    <w:p>
      <w:pPr>
        <w:ind w:left="1140" w:right="120" w:hanging="758"/>
        <w:spacing w:after="0" w:line="269" w:lineRule="auto"/>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Rolling 180 day forecast for Distributor inventory needs. For the first 60 days of the Agreement, the forecast shall not vary by more than 10%; for the next 120 days of the Agreement, the forecast shall not vary by more than 20%.</w:t>
      </w:r>
    </w:p>
    <w:p>
      <w:pPr>
        <w:spacing w:after="0" w:line="91"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Products sold, by Product name;</w:t>
      </w:r>
    </w:p>
    <w:p>
      <w:pPr>
        <w:spacing w:after="0" w:line="134"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sale price of Products on both a monthly and quarterly basis, by Product name</w:t>
      </w:r>
    </w:p>
    <w:p>
      <w:pPr>
        <w:spacing w:after="0" w:line="148"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hospitals purchasing;</w:t>
      </w:r>
    </w:p>
    <w:p>
      <w:pPr>
        <w:spacing w:after="0" w:line="148"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new customers;</w:t>
      </w:r>
    </w:p>
    <w:p>
      <w:pPr>
        <w:spacing w:after="0" w:line="134"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patients treated, by indication; (using reasonable commercial efforts to reach a realistic estimate)</w:t>
      </w:r>
    </w:p>
    <w:p>
      <w:pPr>
        <w:spacing w:after="0" w:line="148"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intelligence of competitive activity;</w:t>
      </w:r>
    </w:p>
    <w:p>
      <w:pPr>
        <w:spacing w:after="0" w:line="148"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Emerging training deficits (if any);</w:t>
      </w:r>
    </w:p>
    <w:p>
      <w:pPr>
        <w:spacing w:after="0" w:line="134"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physician studies involving the Products of which Distributor becomes aware; and</w:t>
      </w:r>
    </w:p>
    <w:p>
      <w:pPr>
        <w:spacing w:after="0" w:line="148"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pertinent information related to the performance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151515"/>
        </w:rPr>
        <w:t>SECOND AMENDMENT TO LEASE (Units I,J,K,L,M,N,H)</w:t>
      </w:r>
    </w:p>
    <w:p>
      <w:pPr>
        <w:spacing w:after="0" w:line="323" w:lineRule="exact"/>
        <w:rPr>
          <w:sz w:val="20"/>
          <w:szCs w:val="20"/>
          <w:color w:val="auto"/>
        </w:rPr>
      </w:pPr>
    </w:p>
    <w:p>
      <w:pPr>
        <w:ind w:left="20" w:right="540" w:firstLine="750"/>
        <w:spacing w:after="0" w:line="222" w:lineRule="auto"/>
        <w:rPr>
          <w:sz w:val="20"/>
          <w:szCs w:val="20"/>
          <w:color w:val="auto"/>
        </w:rPr>
      </w:pPr>
      <w:r>
        <w:rPr>
          <w:rFonts w:ascii="Times New Roman" w:cs="Times New Roman" w:eastAsia="Times New Roman" w:hAnsi="Times New Roman"/>
          <w:sz w:val="22"/>
          <w:szCs w:val="22"/>
          <w:color w:val="151515"/>
        </w:rPr>
        <w:t>THIS SECOND AMENDMENT TO LEASE made and entered into this 1</w:t>
      </w:r>
      <w:r>
        <w:rPr>
          <w:rFonts w:ascii="Times New Roman" w:cs="Times New Roman" w:eastAsia="Times New Roman" w:hAnsi="Times New Roman"/>
          <w:sz w:val="28"/>
          <w:szCs w:val="28"/>
          <w:color w:val="151515"/>
          <w:vertAlign w:val="superscript"/>
        </w:rPr>
        <w:t>st</w:t>
      </w:r>
      <w:r>
        <w:rPr>
          <w:rFonts w:ascii="Times New Roman" w:cs="Times New Roman" w:eastAsia="Times New Roman" w:hAnsi="Times New Roman"/>
          <w:sz w:val="22"/>
          <w:szCs w:val="22"/>
          <w:color w:val="151515"/>
        </w:rPr>
        <w:t xml:space="preserve"> day of January</w:t>
      </w:r>
      <w:r>
        <w:rPr>
          <w:rFonts w:ascii="Times New Roman" w:cs="Times New Roman" w:eastAsia="Times New Roman" w:hAnsi="Times New Roman"/>
          <w:sz w:val="22"/>
          <w:szCs w:val="22"/>
          <w:color w:val="3F3F3F"/>
        </w:rPr>
        <w:t>,</w:t>
      </w:r>
      <w:r>
        <w:rPr>
          <w:rFonts w:ascii="Times New Roman" w:cs="Times New Roman" w:eastAsia="Times New Roman" w:hAnsi="Times New Roman"/>
          <w:sz w:val="22"/>
          <w:szCs w:val="22"/>
          <w:color w:val="151515"/>
        </w:rPr>
        <w:t xml:space="preserve"> 2024 by and between _Hartco-Ventura, Inc</w:t>
      </w:r>
      <w:r>
        <w:rPr>
          <w:rFonts w:ascii="Times New Roman" w:cs="Times New Roman" w:eastAsia="Times New Roman" w:hAnsi="Times New Roman"/>
          <w:sz w:val="22"/>
          <w:szCs w:val="22"/>
          <w:color w:val="3F3F3F"/>
        </w:rPr>
        <w:t>.</w:t>
      </w:r>
      <w:r>
        <w:rPr>
          <w:rFonts w:ascii="Times New Roman" w:cs="Times New Roman" w:eastAsia="Times New Roman" w:hAnsi="Times New Roman"/>
          <w:sz w:val="22"/>
          <w:szCs w:val="22"/>
          <w:color w:val="151515"/>
        </w:rPr>
        <w:t xml:space="preserve"> as current Landlord, hereinafter referred to as "Lessor", and Avita Medical Americas, LLC, A Delaware Limited Liability Company hereinafter referred to as "Lessee".</w:t>
      </w: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151515"/>
        </w:rPr>
        <w:t>WITNESSETH</w:t>
      </w:r>
    </w:p>
    <w:p>
      <w:pPr>
        <w:spacing w:after="0" w:line="237" w:lineRule="exact"/>
        <w:rPr>
          <w:sz w:val="20"/>
          <w:szCs w:val="20"/>
          <w:color w:val="auto"/>
        </w:rPr>
      </w:pPr>
    </w:p>
    <w:p>
      <w:pPr>
        <w:ind w:left="20" w:right="80" w:firstLine="756"/>
        <w:spacing w:after="0" w:line="227" w:lineRule="auto"/>
        <w:rPr>
          <w:sz w:val="20"/>
          <w:szCs w:val="20"/>
          <w:color w:val="auto"/>
        </w:rPr>
      </w:pPr>
      <w:r>
        <w:rPr>
          <w:rFonts w:ascii="Times New Roman" w:cs="Times New Roman" w:eastAsia="Times New Roman" w:hAnsi="Times New Roman"/>
          <w:sz w:val="22"/>
          <w:szCs w:val="22"/>
          <w:color w:val="151515"/>
        </w:rPr>
        <w:t>WHEREAS, Lessor leased certain premises in the HARTCO-VENTURA Business Center, at 3007 Bunsen Ave. in the city of Ventura, County of Ventura, State of California, to Lessee, pursuant to the certain lease dated the 25</w:t>
      </w:r>
      <w:r>
        <w:rPr>
          <w:rFonts w:ascii="Times New Roman" w:cs="Times New Roman" w:eastAsia="Times New Roman" w:hAnsi="Times New Roman"/>
          <w:sz w:val="28"/>
          <w:szCs w:val="28"/>
          <w:color w:val="151515"/>
          <w:vertAlign w:val="superscript"/>
        </w:rPr>
        <w:t>th</w:t>
      </w:r>
      <w:r>
        <w:rPr>
          <w:rFonts w:ascii="Times New Roman" w:cs="Times New Roman" w:eastAsia="Times New Roman" w:hAnsi="Times New Roman"/>
          <w:sz w:val="22"/>
          <w:szCs w:val="22"/>
          <w:color w:val="151515"/>
        </w:rPr>
        <w:t xml:space="preserve"> day of January, 2018; said Lease and amendment(s) thereto hereinafter collectively referred to as the "Lease", the premises being more particularly described therein; and</w:t>
      </w: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151515"/>
        </w:rPr>
        <w:t>WHEREAS, Lessor and Lessee therefore wish to extend said Lease;</w:t>
      </w:r>
    </w:p>
    <w:p>
      <w:pPr>
        <w:spacing w:after="0" w:line="247" w:lineRule="exact"/>
        <w:rPr>
          <w:sz w:val="20"/>
          <w:szCs w:val="20"/>
          <w:color w:val="auto"/>
        </w:rPr>
      </w:pPr>
    </w:p>
    <w:p>
      <w:pPr>
        <w:ind w:left="20" w:right="200" w:firstLine="753"/>
        <w:spacing w:after="0" w:line="290" w:lineRule="auto"/>
        <w:rPr>
          <w:sz w:val="20"/>
          <w:szCs w:val="20"/>
          <w:color w:val="auto"/>
        </w:rPr>
      </w:pPr>
      <w:r>
        <w:rPr>
          <w:rFonts w:ascii="Times New Roman" w:cs="Times New Roman" w:eastAsia="Times New Roman" w:hAnsi="Times New Roman"/>
          <w:sz w:val="22"/>
          <w:szCs w:val="22"/>
          <w:color w:val="151515"/>
        </w:rPr>
        <w:t>NOW THEREFORE, in consideration of these present and the agreement of each other</w:t>
      </w:r>
      <w:r>
        <w:rPr>
          <w:rFonts w:ascii="Times New Roman" w:cs="Times New Roman" w:eastAsia="Times New Roman" w:hAnsi="Times New Roman"/>
          <w:sz w:val="22"/>
          <w:szCs w:val="22"/>
          <w:color w:val="3F3F3F"/>
        </w:rPr>
        <w:t>,</w:t>
      </w:r>
      <w:r>
        <w:rPr>
          <w:rFonts w:ascii="Times New Roman" w:cs="Times New Roman" w:eastAsia="Times New Roman" w:hAnsi="Times New Roman"/>
          <w:sz w:val="22"/>
          <w:szCs w:val="22"/>
          <w:color w:val="151515"/>
        </w:rPr>
        <w:t xml:space="preserve"> Lessor and Lessee agree that the said Lease shall be and the same is hereby amended as of the 1</w:t>
      </w:r>
      <w:r>
        <w:rPr>
          <w:rFonts w:ascii="Times New Roman" w:cs="Times New Roman" w:eastAsia="Times New Roman" w:hAnsi="Times New Roman"/>
          <w:sz w:val="28"/>
          <w:szCs w:val="28"/>
          <w:color w:val="151515"/>
          <w:vertAlign w:val="superscript"/>
        </w:rPr>
        <w:t>st</w:t>
      </w:r>
      <w:r>
        <w:rPr>
          <w:rFonts w:ascii="Times New Roman" w:cs="Times New Roman" w:eastAsia="Times New Roman" w:hAnsi="Times New Roman"/>
          <w:sz w:val="22"/>
          <w:szCs w:val="22"/>
          <w:color w:val="151515"/>
        </w:rPr>
        <w:t xml:space="preserve"> day of January</w:t>
      </w:r>
      <w:r>
        <w:rPr>
          <w:rFonts w:ascii="Times New Roman" w:cs="Times New Roman" w:eastAsia="Times New Roman" w:hAnsi="Times New Roman"/>
          <w:sz w:val="22"/>
          <w:szCs w:val="22"/>
          <w:color w:val="3F3F3F"/>
        </w:rPr>
        <w:t>,</w:t>
      </w:r>
      <w:r>
        <w:rPr>
          <w:rFonts w:ascii="Times New Roman" w:cs="Times New Roman" w:eastAsia="Times New Roman" w:hAnsi="Times New Roman"/>
          <w:sz w:val="22"/>
          <w:szCs w:val="22"/>
          <w:color w:val="151515"/>
        </w:rPr>
        <w:t xml:space="preserve"> 2024.</w:t>
      </w:r>
    </w:p>
    <w:p>
      <w:pPr>
        <w:spacing w:after="0" w:line="44" w:lineRule="exact"/>
        <w:rPr>
          <w:sz w:val="20"/>
          <w:szCs w:val="20"/>
          <w:color w:val="auto"/>
        </w:rPr>
      </w:pPr>
    </w:p>
    <w:p>
      <w:pPr>
        <w:ind w:left="1040" w:hanging="363"/>
        <w:spacing w:after="0"/>
        <w:tabs>
          <w:tab w:leader="none" w:pos="1040" w:val="left"/>
        </w:tabs>
        <w:numPr>
          <w:ilvl w:val="1"/>
          <w:numId w:val="38"/>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 xml:space="preserve">The term of the Lease shall be extended 36 months with the amended expiration date of </w:t>
      </w:r>
      <w:r>
        <w:rPr>
          <w:rFonts w:ascii="Times New Roman" w:cs="Times New Roman" w:eastAsia="Times New Roman" w:hAnsi="Times New Roman"/>
          <w:sz w:val="22"/>
          <w:szCs w:val="22"/>
          <w:b w:val="1"/>
          <w:bCs w:val="1"/>
          <w:color w:val="151515"/>
        </w:rPr>
        <w:t>September 30,2027.</w:t>
      </w:r>
    </w:p>
    <w:p>
      <w:pPr>
        <w:spacing w:after="0" w:line="18" w:lineRule="exact"/>
        <w:rPr>
          <w:rFonts w:ascii="Times New Roman" w:cs="Times New Roman" w:eastAsia="Times New Roman" w:hAnsi="Times New Roman"/>
          <w:sz w:val="22"/>
          <w:szCs w:val="22"/>
          <w:color w:val="151515"/>
        </w:rPr>
      </w:pPr>
    </w:p>
    <w:p>
      <w:pPr>
        <w:ind w:left="1020" w:right="1040" w:hanging="343"/>
        <w:spacing w:after="0" w:line="230" w:lineRule="auto"/>
        <w:tabs>
          <w:tab w:leader="none" w:pos="1452" w:val="left"/>
        </w:tabs>
        <w:numPr>
          <w:ilvl w:val="1"/>
          <w:numId w:val="38"/>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 xml:space="preserve">Rent for the Leased Premises(Units I,J,K,L,M,N,H) from </w:t>
      </w:r>
      <w:r>
        <w:rPr>
          <w:rFonts w:ascii="Times New Roman" w:cs="Times New Roman" w:eastAsia="Times New Roman" w:hAnsi="Times New Roman"/>
          <w:sz w:val="22"/>
          <w:szCs w:val="22"/>
          <w:b w:val="1"/>
          <w:bCs w:val="1"/>
          <w:color w:val="151515"/>
        </w:rPr>
        <w:t>October 1</w:t>
      </w:r>
      <w:r>
        <w:rPr>
          <w:rFonts w:ascii="Times New Roman" w:cs="Times New Roman" w:eastAsia="Times New Roman" w:hAnsi="Times New Roman"/>
          <w:sz w:val="14"/>
          <w:szCs w:val="14"/>
          <w:b w:val="1"/>
          <w:bCs w:val="1"/>
          <w:color w:val="151515"/>
        </w:rPr>
        <w:t>st,</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b w:val="1"/>
          <w:bCs w:val="1"/>
          <w:color w:val="151515"/>
        </w:rPr>
        <w:t>2023 to September 30, 2024</w:t>
      </w:r>
      <w:r>
        <w:rPr>
          <w:rFonts w:ascii="Times New Roman" w:cs="Times New Roman" w:eastAsia="Times New Roman" w:hAnsi="Times New Roman"/>
          <w:sz w:val="22"/>
          <w:szCs w:val="22"/>
          <w:color w:val="151515"/>
        </w:rPr>
        <w:t xml:space="preserve"> shall be payable in monthly installments of </w:t>
      </w:r>
      <w:r>
        <w:rPr>
          <w:rFonts w:ascii="Times New Roman" w:cs="Times New Roman" w:eastAsia="Times New Roman" w:hAnsi="Times New Roman"/>
          <w:sz w:val="22"/>
          <w:szCs w:val="22"/>
          <w:u w:val="single" w:color="auto"/>
          <w:color w:val="151515"/>
        </w:rPr>
        <w:t>Thirty Four Thousand Eight Hundred Forty Seven Dollars</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u w:val="single" w:color="auto"/>
          <w:color w:val="151515"/>
        </w:rPr>
        <w:t>and 00 Cents ($34,847.00).</w:t>
      </w:r>
    </w:p>
    <w:p>
      <w:pPr>
        <w:spacing w:after="0" w:line="1" w:lineRule="exact"/>
        <w:rPr>
          <w:rFonts w:ascii="Times New Roman" w:cs="Times New Roman" w:eastAsia="Times New Roman" w:hAnsi="Times New Roman"/>
          <w:sz w:val="22"/>
          <w:szCs w:val="22"/>
          <w:color w:val="151515"/>
        </w:rPr>
      </w:pPr>
    </w:p>
    <w:p>
      <w:pPr>
        <w:jc w:val="both"/>
        <w:ind w:left="1000" w:right="1020" w:hanging="339"/>
        <w:spacing w:after="0" w:line="230" w:lineRule="auto"/>
        <w:tabs>
          <w:tab w:leader="none" w:pos="1432" w:val="left"/>
        </w:tabs>
        <w:numPr>
          <w:ilvl w:val="0"/>
          <w:numId w:val="39"/>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 xml:space="preserve">Rent for the Leased Premises(Units I,J,K,L,M,N,H) from </w:t>
      </w:r>
      <w:r>
        <w:rPr>
          <w:rFonts w:ascii="Times New Roman" w:cs="Times New Roman" w:eastAsia="Times New Roman" w:hAnsi="Times New Roman"/>
          <w:sz w:val="22"/>
          <w:szCs w:val="22"/>
          <w:b w:val="1"/>
          <w:bCs w:val="1"/>
          <w:color w:val="151515"/>
        </w:rPr>
        <w:t>October</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17"/>
          <w:szCs w:val="17"/>
          <w:color w:val="151515"/>
        </w:rPr>
        <w:t>pt,</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b w:val="1"/>
          <w:bCs w:val="1"/>
          <w:color w:val="151515"/>
        </w:rPr>
        <w:t>2024to September 30, 2025</w:t>
      </w:r>
      <w:r>
        <w:rPr>
          <w:rFonts w:ascii="Times New Roman" w:cs="Times New Roman" w:eastAsia="Times New Roman" w:hAnsi="Times New Roman"/>
          <w:sz w:val="22"/>
          <w:szCs w:val="22"/>
          <w:color w:val="151515"/>
        </w:rPr>
        <w:t xml:space="preserve"> shall be payable in monthly installments of </w:t>
      </w:r>
      <w:r>
        <w:rPr>
          <w:rFonts w:ascii="Times New Roman" w:cs="Times New Roman" w:eastAsia="Times New Roman" w:hAnsi="Times New Roman"/>
          <w:sz w:val="22"/>
          <w:szCs w:val="22"/>
          <w:u w:val="single" w:color="auto"/>
          <w:color w:val="151515"/>
        </w:rPr>
        <w:t>Thirty Five Thousand Three Hundred Fifty Six Dollars and</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u w:val="single" w:color="auto"/>
          <w:color w:val="151515"/>
        </w:rPr>
        <w:t>80 Cents ($35,356.80).</w:t>
      </w:r>
    </w:p>
    <w:p>
      <w:pPr>
        <w:spacing w:after="0" w:line="1" w:lineRule="exact"/>
        <w:rPr>
          <w:rFonts w:ascii="Times New Roman" w:cs="Times New Roman" w:eastAsia="Times New Roman" w:hAnsi="Times New Roman"/>
          <w:sz w:val="22"/>
          <w:szCs w:val="22"/>
          <w:color w:val="151515"/>
        </w:rPr>
      </w:pPr>
    </w:p>
    <w:p>
      <w:pPr>
        <w:ind w:left="1000" w:right="1000" w:hanging="339"/>
        <w:spacing w:after="0" w:line="230" w:lineRule="auto"/>
        <w:tabs>
          <w:tab w:leader="none" w:pos="1432" w:val="left"/>
        </w:tabs>
        <w:numPr>
          <w:ilvl w:val="0"/>
          <w:numId w:val="39"/>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 xml:space="preserve">Rent for the Leased Premises(Units I,J,K,L,M,N,H) from </w:t>
      </w:r>
      <w:r>
        <w:rPr>
          <w:rFonts w:ascii="Times New Roman" w:cs="Times New Roman" w:eastAsia="Times New Roman" w:hAnsi="Times New Roman"/>
          <w:sz w:val="22"/>
          <w:szCs w:val="22"/>
          <w:b w:val="1"/>
          <w:bCs w:val="1"/>
          <w:color w:val="151515"/>
        </w:rPr>
        <w:t>October 1</w:t>
      </w:r>
      <w:r>
        <w:rPr>
          <w:rFonts w:ascii="Times New Roman" w:cs="Times New Roman" w:eastAsia="Times New Roman" w:hAnsi="Times New Roman"/>
          <w:sz w:val="14"/>
          <w:szCs w:val="14"/>
          <w:b w:val="1"/>
          <w:bCs w:val="1"/>
          <w:color w:val="151515"/>
        </w:rPr>
        <w:t>st,</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b w:val="1"/>
          <w:bCs w:val="1"/>
          <w:color w:val="151515"/>
        </w:rPr>
        <w:t>2025 to September 30</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b w:val="1"/>
          <w:bCs w:val="1"/>
          <w:color w:val="2D2D2D"/>
        </w:rPr>
        <w:t>,</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b w:val="1"/>
          <w:bCs w:val="1"/>
          <w:color w:val="151515"/>
        </w:rPr>
        <w:t>2026</w:t>
      </w:r>
      <w:r>
        <w:rPr>
          <w:rFonts w:ascii="Times New Roman" w:cs="Times New Roman" w:eastAsia="Times New Roman" w:hAnsi="Times New Roman"/>
          <w:sz w:val="22"/>
          <w:szCs w:val="22"/>
          <w:color w:val="151515"/>
        </w:rPr>
        <w:t xml:space="preserve"> shall be payable in monthly installments of </w:t>
      </w:r>
      <w:r>
        <w:rPr>
          <w:rFonts w:ascii="Times New Roman" w:cs="Times New Roman" w:eastAsia="Times New Roman" w:hAnsi="Times New Roman"/>
          <w:sz w:val="22"/>
          <w:szCs w:val="22"/>
          <w:u w:val="single" w:color="auto"/>
          <w:color w:val="151515"/>
        </w:rPr>
        <w:t>Thirty Six Thousand Four Hundred Seventy Dollars and 40</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u w:val="single" w:color="auto"/>
          <w:color w:val="151515"/>
        </w:rPr>
        <w:t>Cents ($36,470.40).</w:t>
      </w:r>
    </w:p>
    <w:p>
      <w:pPr>
        <w:spacing w:after="0" w:line="1" w:lineRule="exact"/>
        <w:rPr>
          <w:rFonts w:ascii="Times New Roman" w:cs="Times New Roman" w:eastAsia="Times New Roman" w:hAnsi="Times New Roman"/>
          <w:sz w:val="22"/>
          <w:szCs w:val="22"/>
          <w:color w:val="151515"/>
        </w:rPr>
      </w:pPr>
    </w:p>
    <w:p>
      <w:pPr>
        <w:ind w:left="1440" w:hanging="779"/>
        <w:spacing w:after="0" w:line="230" w:lineRule="auto"/>
        <w:tabs>
          <w:tab w:leader="none" w:pos="1440" w:val="left"/>
        </w:tabs>
        <w:numPr>
          <w:ilvl w:val="0"/>
          <w:numId w:val="39"/>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 xml:space="preserve">Rent for the Leased Premises(Units I,J,K,L,M,N,H) from </w:t>
      </w:r>
      <w:r>
        <w:rPr>
          <w:rFonts w:ascii="Times New Roman" w:cs="Times New Roman" w:eastAsia="Times New Roman" w:hAnsi="Times New Roman"/>
          <w:sz w:val="22"/>
          <w:szCs w:val="22"/>
          <w:b w:val="1"/>
          <w:bCs w:val="1"/>
          <w:color w:val="151515"/>
        </w:rPr>
        <w:t>October</w:t>
      </w:r>
      <w:r>
        <w:rPr>
          <w:rFonts w:ascii="Times New Roman" w:cs="Times New Roman" w:eastAsia="Times New Roman" w:hAnsi="Times New Roman"/>
          <w:sz w:val="14"/>
          <w:szCs w:val="14"/>
          <w:b w:val="1"/>
          <w:bCs w:val="1"/>
          <w:color w:val="151515"/>
        </w:rPr>
        <w:t>pt</w:t>
      </w:r>
      <w:r>
        <w:rPr>
          <w:rFonts w:ascii="Times New Roman" w:cs="Times New Roman" w:eastAsia="Times New Roman" w:hAnsi="Times New Roman"/>
          <w:sz w:val="14"/>
          <w:szCs w:val="14"/>
          <w:b w:val="1"/>
          <w:bCs w:val="1"/>
          <w:color w:val="3F3F3F"/>
        </w:rPr>
        <w:t>,</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b w:val="1"/>
          <w:bCs w:val="1"/>
          <w:color w:val="151515"/>
        </w:rPr>
        <w:t>2026 to September 30, 2027</w:t>
      </w:r>
    </w:p>
    <w:p>
      <w:pPr>
        <w:spacing w:after="0" w:line="1" w:lineRule="exact"/>
        <w:rPr>
          <w:sz w:val="20"/>
          <w:szCs w:val="20"/>
          <w:color w:val="auto"/>
        </w:rPr>
      </w:pPr>
    </w:p>
    <w:p>
      <w:pPr>
        <w:ind w:left="1000" w:right="960"/>
        <w:spacing w:after="0" w:line="230" w:lineRule="auto"/>
        <w:rPr>
          <w:sz w:val="20"/>
          <w:szCs w:val="20"/>
          <w:color w:val="auto"/>
        </w:rPr>
      </w:pPr>
      <w:r>
        <w:rPr>
          <w:rFonts w:ascii="Times New Roman" w:cs="Times New Roman" w:eastAsia="Times New Roman" w:hAnsi="Times New Roman"/>
          <w:sz w:val="22"/>
          <w:szCs w:val="22"/>
          <w:color w:val="151515"/>
        </w:rPr>
        <w:t xml:space="preserve">shall be payable in monthly installments of </w:t>
      </w:r>
      <w:r>
        <w:rPr>
          <w:rFonts w:ascii="Times New Roman" w:cs="Times New Roman" w:eastAsia="Times New Roman" w:hAnsi="Times New Roman"/>
          <w:sz w:val="22"/>
          <w:szCs w:val="22"/>
          <w:u w:val="single" w:color="auto"/>
          <w:color w:val="151515"/>
        </w:rPr>
        <w:t>Thirty SevenThousand Five Hundred Eighty Four Dollars and</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u w:val="single" w:color="auto"/>
          <w:color w:val="151515"/>
        </w:rPr>
        <w:t>00 Cents ($37,584.00)</w:t>
      </w:r>
      <w:r>
        <w:rPr>
          <w:rFonts w:ascii="Times New Roman" w:cs="Times New Roman" w:eastAsia="Times New Roman" w:hAnsi="Times New Roman"/>
          <w:sz w:val="22"/>
          <w:szCs w:val="22"/>
          <w:color w:val="3F3F3F"/>
        </w:rPr>
        <w:t>.</w:t>
      </w:r>
    </w:p>
    <w:p>
      <w:pPr>
        <w:spacing w:after="0" w:line="1" w:lineRule="exact"/>
        <w:rPr>
          <w:sz w:val="20"/>
          <w:szCs w:val="20"/>
          <w:color w:val="auto"/>
        </w:rPr>
      </w:pPr>
    </w:p>
    <w:p>
      <w:pPr>
        <w:ind w:left="1020" w:right="280" w:hanging="373"/>
        <w:spacing w:after="0" w:line="230" w:lineRule="auto"/>
        <w:tabs>
          <w:tab w:leader="none" w:pos="1452" w:val="left"/>
        </w:tabs>
        <w:numPr>
          <w:ilvl w:val="0"/>
          <w:numId w:val="40"/>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 xml:space="preserve">The Lessee shall have the right,but not the obligation </w:t>
      </w:r>
      <w:r>
        <w:rPr>
          <w:rFonts w:ascii="Times New Roman" w:cs="Times New Roman" w:eastAsia="Times New Roman" w:hAnsi="Times New Roman"/>
          <w:sz w:val="22"/>
          <w:szCs w:val="22"/>
          <w:color w:val="2D2D2D"/>
        </w:rPr>
        <w:t>,to</w:t>
      </w:r>
      <w:r>
        <w:rPr>
          <w:rFonts w:ascii="Times New Roman" w:cs="Times New Roman" w:eastAsia="Times New Roman" w:hAnsi="Times New Roman"/>
          <w:sz w:val="22"/>
          <w:szCs w:val="22"/>
          <w:color w:val="151515"/>
        </w:rPr>
        <w:t xml:space="preserve"> make certain changes at lessee's sole expense to the interior improvements,(including removing office walls)provided that prior to vacating the premises Lessee restores the premises to their original condition</w:t>
      </w:r>
      <w:r>
        <w:rPr>
          <w:rFonts w:ascii="Times New Roman" w:cs="Times New Roman" w:eastAsia="Times New Roman" w:hAnsi="Times New Roman"/>
          <w:sz w:val="22"/>
          <w:szCs w:val="22"/>
          <w:color w:val="3F3F3F"/>
        </w:rPr>
        <w:t>,</w:t>
      </w:r>
      <w:r>
        <w:rPr>
          <w:rFonts w:ascii="Times New Roman" w:cs="Times New Roman" w:eastAsia="Times New Roman" w:hAnsi="Times New Roman"/>
          <w:sz w:val="22"/>
          <w:szCs w:val="22"/>
          <w:color w:val="151515"/>
        </w:rPr>
        <w:t>unless lessor indicates his intention to accept the changes and improvements as made..</w:t>
      </w:r>
    </w:p>
    <w:p>
      <w:pPr>
        <w:spacing w:after="0" w:line="2" w:lineRule="exact"/>
        <w:rPr>
          <w:rFonts w:ascii="Times New Roman" w:cs="Times New Roman" w:eastAsia="Times New Roman" w:hAnsi="Times New Roman"/>
          <w:sz w:val="22"/>
          <w:szCs w:val="22"/>
          <w:color w:val="151515"/>
        </w:rPr>
      </w:pPr>
    </w:p>
    <w:p>
      <w:pPr>
        <w:ind w:left="1040" w:hanging="379"/>
        <w:spacing w:after="0"/>
        <w:tabs>
          <w:tab w:leader="none" w:pos="1040" w:val="left"/>
        </w:tabs>
        <w:numPr>
          <w:ilvl w:val="1"/>
          <w:numId w:val="40"/>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All other terms and conditions of said Lease shall remain in full force and effect.</w:t>
      </w:r>
    </w:p>
    <w:p>
      <w:pPr>
        <w:spacing w:after="0" w:line="209" w:lineRule="exact"/>
        <w:rPr>
          <w:sz w:val="20"/>
          <w:szCs w:val="20"/>
          <w:color w:val="auto"/>
        </w:rPr>
      </w:pPr>
    </w:p>
    <w:p>
      <w:pPr>
        <w:ind w:right="920" w:firstLine="747"/>
        <w:spacing w:after="0" w:line="258" w:lineRule="auto"/>
        <w:rPr>
          <w:sz w:val="20"/>
          <w:szCs w:val="20"/>
          <w:color w:val="auto"/>
        </w:rPr>
      </w:pPr>
      <w:r>
        <w:rPr>
          <w:rFonts w:ascii="Times New Roman" w:cs="Times New Roman" w:eastAsia="Times New Roman" w:hAnsi="Times New Roman"/>
          <w:sz w:val="22"/>
          <w:szCs w:val="22"/>
          <w:color w:val="151515"/>
        </w:rPr>
        <w:t>IN WITNESS WHEREOF, the Parties hereto have executed this instrument by proper persons thereunto duly authorized to do the day and year first hereinabove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619760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151515"/>
        </w:rPr>
        <w:t>LESSOR</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151515"/>
        </w:rPr>
        <w:t>HARTCO-VENTURA INC.</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151515"/>
        </w:rPr>
        <w:t>By: /s/ John Saleh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F3F3F"/>
        </w:rPr>
        <w:t>J</w:t>
      </w:r>
      <w:r>
        <w:rPr>
          <w:rFonts w:ascii="Times New Roman" w:cs="Times New Roman" w:eastAsia="Times New Roman" w:hAnsi="Times New Roman"/>
          <w:sz w:val="18"/>
          <w:szCs w:val="18"/>
          <w:b w:val="1"/>
          <w:bCs w:val="1"/>
          <w:color w:val="151515"/>
        </w:rPr>
        <w:t>ohn Saleh</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151515"/>
        </w:rPr>
        <w:t>Date:</w:t>
      </w:r>
      <w:r>
        <w:rPr>
          <w:sz w:val="20"/>
          <w:szCs w:val="20"/>
          <w:color w:val="auto"/>
        </w:rPr>
        <w:tab/>
      </w:r>
      <w:r>
        <w:rPr>
          <w:rFonts w:ascii="Times New Roman" w:cs="Times New Roman" w:eastAsia="Times New Roman" w:hAnsi="Times New Roman"/>
          <w:sz w:val="18"/>
          <w:szCs w:val="18"/>
          <w:b w:val="1"/>
          <w:bCs w:val="1"/>
          <w:i w:val="1"/>
          <w:iCs w:val="1"/>
          <w:color w:val="2D2D2D"/>
        </w:rPr>
        <w:t>1-1-2024</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151515"/>
        </w:rPr>
        <w:t>LESSEE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151515"/>
        </w:rPr>
        <w:t>AVITA MEDICAL AMERICAS, LLC</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151515"/>
        </w:rPr>
        <w:t>By: /s/ James Corbett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151515"/>
        </w:rPr>
        <w:t>James Corbett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151515"/>
        </w:rPr>
        <w:t>Date: 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ind w:left="10340"/>
        <w:spacing w:after="0"/>
        <w:rPr>
          <w:sz w:val="20"/>
          <w:szCs w:val="20"/>
          <w:color w:val="auto"/>
        </w:rPr>
      </w:pPr>
      <w:r>
        <w:rPr>
          <w:rFonts w:ascii="Arial" w:cs="Arial" w:eastAsia="Arial" w:hAnsi="Arial"/>
          <w:sz w:val="16"/>
          <w:szCs w:val="16"/>
          <w:b w:val="1"/>
          <w:bCs w:val="1"/>
          <w:color w:val="auto"/>
        </w:rPr>
        <w:t>Exhibit 10.3</w:t>
      </w:r>
    </w:p>
    <w:p>
      <w:pPr>
        <w:spacing w:after="0" w:line="21"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color w:val="auto"/>
        </w:rPr>
        <w:t>HHSO100201500028C P00015</w:t>
      </w:r>
      <w:r>
        <w:rPr>
          <w:sz w:val="20"/>
          <w:szCs w:val="20"/>
          <w:color w:val="auto"/>
        </w:rPr>
        <w:tab/>
      </w:r>
      <w:r>
        <w:rPr>
          <w:rFonts w:ascii="Arial" w:cs="Arial" w:eastAsia="Arial" w:hAnsi="Arial"/>
          <w:sz w:val="16"/>
          <w:szCs w:val="16"/>
          <w:color w:val="auto"/>
        </w:rPr>
        <w:t>Page 3 of 4</w:t>
      </w:r>
    </w:p>
    <w:p>
      <w:pPr>
        <w:spacing w:after="0" w:line="92"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color w:val="auto"/>
        </w:rPr>
        <w:t>CERTAIN IDENTIFIED INFORMATION HAS BEEN EXCLUDED FROM THE EXHIBIT BECAUSE IT BOTH (I) IS NOT MATERIAL AND (II) WOULD BE COMPETITIVELY HARMFUL IF PUBLICLY DISCLOSED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purpose of this modification is to add and fund CLINS 0011, 0012, &amp; 0013.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B.3.  OPTION PRICES is hereby modified as follows: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400" w:type="dxa"/>
            <w:vAlign w:val="bottom"/>
            <w:tcBorders>
              <w:top w:val="single" w:sz="8" w:color="auto"/>
              <w:left w:val="single" w:sz="8" w:color="auto"/>
              <w:right w:val="single" w:sz="8" w:color="auto"/>
            </w:tcBorders>
            <w:gridSpan w:val="4"/>
          </w:tcPr>
          <w:p>
            <w:pPr>
              <w:ind w:left="480"/>
              <w:spacing w:after="0" w:line="206" w:lineRule="exact"/>
              <w:rPr>
                <w:sz w:val="20"/>
                <w:szCs w:val="20"/>
                <w:color w:val="auto"/>
              </w:rPr>
            </w:pPr>
            <w:r>
              <w:rPr>
                <w:rFonts w:ascii="Arial" w:cs="Arial" w:eastAsia="Arial" w:hAnsi="Arial"/>
                <w:sz w:val="18"/>
                <w:szCs w:val="18"/>
                <w:b w:val="1"/>
                <w:bCs w:val="1"/>
                <w:color w:val="auto"/>
              </w:rPr>
              <w:t>CLIN</w:t>
            </w: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gridSpan w:val="3"/>
          </w:tcPr>
          <w:p>
            <w:pPr>
              <w:spacing w:after="0" w:line="206" w:lineRule="exact"/>
              <w:rPr>
                <w:sz w:val="20"/>
                <w:szCs w:val="20"/>
                <w:color w:val="auto"/>
              </w:rPr>
            </w:pPr>
            <w:r>
              <w:rPr>
                <w:rFonts w:ascii="Arial" w:cs="Arial" w:eastAsia="Arial" w:hAnsi="Arial"/>
                <w:sz w:val="18"/>
                <w:szCs w:val="18"/>
                <w:b w:val="1"/>
                <w:bCs w:val="1"/>
                <w:color w:val="auto"/>
              </w:rPr>
              <w:t>Period of</w:t>
            </w: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560" w:type="dxa"/>
            <w:vAlign w:val="bottom"/>
            <w:tcBorders>
              <w:top w:val="single" w:sz="8" w:color="auto"/>
              <w:right w:val="single" w:sz="8" w:color="auto"/>
            </w:tcBorders>
            <w:gridSpan w:val="4"/>
          </w:tcPr>
          <w:p>
            <w:pPr>
              <w:jc w:val="center"/>
              <w:ind w:right="960"/>
              <w:spacing w:after="0" w:line="206" w:lineRule="exact"/>
              <w:rPr>
                <w:sz w:val="20"/>
                <w:szCs w:val="20"/>
                <w:color w:val="auto"/>
              </w:rPr>
            </w:pPr>
            <w:r>
              <w:rPr>
                <w:rFonts w:ascii="Arial" w:cs="Arial" w:eastAsia="Arial" w:hAnsi="Arial"/>
                <w:sz w:val="18"/>
                <w:szCs w:val="18"/>
                <w:b w:val="1"/>
                <w:bCs w:val="1"/>
                <w:color w:val="auto"/>
              </w:rPr>
              <w:t>Supplies/ Services</w:t>
            </w:r>
          </w:p>
        </w:tc>
        <w:tc>
          <w:tcPr>
            <w:tcW w:w="1700" w:type="dxa"/>
            <w:vAlign w:val="bottom"/>
            <w:tcBorders>
              <w:top w:val="single" w:sz="8" w:color="auto"/>
              <w:right w:val="single" w:sz="8" w:color="auto"/>
            </w:tcBorders>
            <w:gridSpan w:val="5"/>
          </w:tcPr>
          <w:p>
            <w:pPr>
              <w:jc w:val="center"/>
              <w:ind w:right="60"/>
              <w:spacing w:after="0" w:line="206" w:lineRule="exact"/>
              <w:rPr>
                <w:sz w:val="20"/>
                <w:szCs w:val="20"/>
                <w:color w:val="auto"/>
              </w:rPr>
            </w:pPr>
            <w:r>
              <w:rPr>
                <w:rFonts w:ascii="Arial" w:cs="Arial" w:eastAsia="Arial" w:hAnsi="Arial"/>
                <w:sz w:val="18"/>
                <w:szCs w:val="18"/>
                <w:b w:val="1"/>
                <w:bCs w:val="1"/>
                <w:color w:val="auto"/>
                <w:w w:val="99"/>
              </w:rPr>
              <w:t>Units (# of</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right w:val="single" w:sz="8" w:color="auto"/>
            </w:tcBorders>
            <w:gridSpan w:val="2"/>
          </w:tcPr>
          <w:p>
            <w:pPr>
              <w:jc w:val="center"/>
              <w:ind w:right="140"/>
              <w:spacing w:after="0" w:line="206" w:lineRule="exact"/>
              <w:rPr>
                <w:sz w:val="20"/>
                <w:szCs w:val="20"/>
                <w:color w:val="auto"/>
              </w:rPr>
            </w:pPr>
            <w:r>
              <w:rPr>
                <w:rFonts w:ascii="Arial" w:cs="Arial" w:eastAsia="Arial" w:hAnsi="Arial"/>
                <w:sz w:val="18"/>
                <w:szCs w:val="18"/>
                <w:b w:val="1"/>
                <w:bCs w:val="1"/>
                <w:color w:val="auto"/>
              </w:rPr>
              <w:t xml:space="preserve">Unit Price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gridSpan w:val="2"/>
          </w:tcPr>
          <w:p>
            <w:pPr>
              <w:jc w:val="center"/>
              <w:ind w:right="460"/>
              <w:spacing w:after="0" w:line="206" w:lineRule="exact"/>
              <w:rPr>
                <w:sz w:val="20"/>
                <w:szCs w:val="20"/>
                <w:color w:val="auto"/>
              </w:rPr>
            </w:pPr>
            <w:r>
              <w:rPr>
                <w:rFonts w:ascii="Arial" w:cs="Arial" w:eastAsia="Arial" w:hAnsi="Arial"/>
                <w:sz w:val="18"/>
                <w:szCs w:val="18"/>
                <w:b w:val="1"/>
                <w:bCs w:val="1"/>
                <w:color w:val="auto"/>
                <w:w w:val="97"/>
              </w:rPr>
              <w:t xml:space="preserve">Total </w:t>
            </w: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w:t>
            </w: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74"/>
              </w:rPr>
              <w:t>Performance</w:t>
            </w: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w w:val="99"/>
              </w:rPr>
              <w:t>Product)</w:t>
            </w:r>
          </w:p>
        </w:tc>
        <w:tc>
          <w:tcPr>
            <w:tcW w:w="4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9"/>
              </w:rPr>
              <w:t>FIRM FIXED PRICE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0003</w:t>
            </w:r>
          </w:p>
        </w:tc>
        <w:tc>
          <w:tcPr>
            <w:tcW w:w="86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color w:val="auto"/>
              </w:rPr>
              <w:t>(Option)</w:t>
            </w: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ind w:left="340"/>
              <w:spacing w:after="0" w:line="191" w:lineRule="exact"/>
              <w:rPr>
                <w:sz w:val="20"/>
                <w:szCs w:val="20"/>
                <w:color w:val="auto"/>
              </w:rPr>
            </w:pPr>
            <w:r>
              <w:rPr>
                <w:rFonts w:ascii="Arial" w:cs="Arial" w:eastAsia="Arial" w:hAnsi="Arial"/>
                <w:sz w:val="18"/>
                <w:szCs w:val="18"/>
                <w:color w:val="auto"/>
              </w:rPr>
              <w:t>36 Months</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Phase IV post marketing commitments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500"/>
              <w:spacing w:after="0" w:line="191"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color w:val="auto"/>
                <w:w w:val="99"/>
              </w:rPr>
              <w:t>N/A</w:t>
            </w:r>
          </w:p>
        </w:tc>
        <w:tc>
          <w:tcPr>
            <w:tcW w:w="1580" w:type="dxa"/>
            <w:vAlign w:val="bottom"/>
            <w:tcBorders>
              <w:right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color w:val="auto"/>
                <w:w w:val="98"/>
              </w:rPr>
              <w:t>$[******] (Not</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/Requirements (This is an option that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Borders>
              <w:right w:val="single" w:sz="8" w:color="auto"/>
            </w:tcBorders>
            <w:gridSpan w:val="2"/>
          </w:tcPr>
          <w:p>
            <w:pPr>
              <w:jc w:val="center"/>
              <w:ind w:right="460"/>
              <w:spacing w:after="0" w:line="202" w:lineRule="exact"/>
              <w:rPr>
                <w:sz w:val="20"/>
                <w:szCs w:val="20"/>
                <w:color w:val="auto"/>
              </w:rPr>
            </w:pPr>
            <w:r>
              <w:rPr>
                <w:rFonts w:ascii="Arial" w:cs="Arial" w:eastAsia="Arial" w:hAnsi="Arial"/>
                <w:sz w:val="18"/>
                <w:szCs w:val="18"/>
                <w:color w:val="auto"/>
              </w:rPr>
              <w:t>Funded)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may or may not be exercised during the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base period as determined by the need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and as established by the FDA)</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0009</w:t>
            </w:r>
          </w:p>
        </w:tc>
        <w:tc>
          <w:tcPr>
            <w:tcW w:w="3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color w:val="auto"/>
              </w:rPr>
              <w:t>09/29/2015 –</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FY 2016/FY2017 Final Rate True Up</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500"/>
              <w:spacing w:after="0" w:line="191"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color w:val="auto"/>
                <w:w w:val="99"/>
              </w:rPr>
              <w:t>N/A</w:t>
            </w:r>
          </w:p>
        </w:tc>
        <w:tc>
          <w:tcPr>
            <w:tcW w:w="1120" w:type="dxa"/>
            <w:vAlign w:val="bottom"/>
            <w:gridSpan w:val="2"/>
          </w:tcPr>
          <w:p>
            <w:pPr>
              <w:jc w:val="center"/>
              <w:ind w:left="290"/>
              <w:spacing w:after="0" w:line="191" w:lineRule="exact"/>
              <w:rPr>
                <w:sz w:val="20"/>
                <w:szCs w:val="20"/>
                <w:color w:val="auto"/>
              </w:rPr>
            </w:pPr>
            <w:r>
              <w:rPr>
                <w:rFonts w:ascii="Arial" w:cs="Arial" w:eastAsia="Arial" w:hAnsi="Arial"/>
                <w:sz w:val="18"/>
                <w:szCs w:val="18"/>
                <w:color w:val="auto"/>
                <w:w w:val="99"/>
              </w:rPr>
              <w: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09/28/2022</w:t>
            </w: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0010</w:t>
            </w:r>
          </w:p>
        </w:tc>
        <w:tc>
          <w:tcPr>
            <w:tcW w:w="3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color w:val="auto"/>
              </w:rPr>
              <w:t>09/29/2015 –</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FY 2017/FY2018 Final Rate True Up</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500"/>
              <w:spacing w:after="0" w:line="191"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color w:val="auto"/>
                <w:w w:val="99"/>
              </w:rPr>
              <w:t>N/A</w:t>
            </w:r>
          </w:p>
        </w:tc>
        <w:tc>
          <w:tcPr>
            <w:tcW w:w="11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09/28/2022</w:t>
            </w: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w w:val="99"/>
              </w:rPr>
              <w:t>0011</w:t>
            </w:r>
          </w:p>
        </w:tc>
        <w:tc>
          <w:tcPr>
            <w:tcW w:w="3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02/16/2024 –</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b w:val="1"/>
                <w:bCs w:val="1"/>
                <w:color w:val="auto"/>
              </w:rPr>
              <w:t>VMI Maintenance Tasks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480"/>
              <w:spacing w:after="0" w:line="191" w:lineRule="exact"/>
              <w:rPr>
                <w:sz w:val="20"/>
                <w:szCs w:val="20"/>
                <w:color w:val="auto"/>
              </w:rPr>
            </w:pPr>
            <w:r>
              <w:rPr>
                <w:rFonts w:ascii="Arial" w:cs="Arial" w:eastAsia="Arial" w:hAnsi="Arial"/>
                <w:sz w:val="18"/>
                <w:szCs w:val="18"/>
                <w:b w:val="1"/>
                <w:bCs w:val="1"/>
                <w:color w:val="auto"/>
              </w:rPr>
              <w:t>N/A</w:t>
            </w:r>
          </w:p>
        </w:tc>
        <w:tc>
          <w:tcPr>
            <w:tcW w:w="12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rPr>
              <w:t>N/A</w:t>
            </w:r>
          </w:p>
        </w:tc>
        <w:tc>
          <w:tcPr>
            <w:tcW w:w="1120" w:type="dxa"/>
            <w:vAlign w:val="bottom"/>
            <w:gridSpan w:val="2"/>
          </w:tcPr>
          <w:p>
            <w:pPr>
              <w:jc w:val="center"/>
              <w:ind w:left="370"/>
              <w:spacing w:after="0" w:line="191"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09/28/2025</w:t>
            </w: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w w:val="99"/>
              </w:rPr>
              <w:t>0012</w:t>
            </w:r>
          </w:p>
        </w:tc>
        <w:tc>
          <w:tcPr>
            <w:tcW w:w="3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02/16/2024 –</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b w:val="1"/>
                <w:bCs w:val="1"/>
                <w:color w:val="auto"/>
              </w:rPr>
              <w:t>VMI Procurement</w:t>
            </w:r>
          </w:p>
        </w:tc>
        <w:tc>
          <w:tcPr>
            <w:tcW w:w="1200" w:type="dxa"/>
            <w:vAlign w:val="bottom"/>
            <w:gridSpan w:val="3"/>
          </w:tcPr>
          <w:p>
            <w:pPr>
              <w:jc w:val="center"/>
              <w:ind w:left="390"/>
              <w:spacing w:after="0" w:line="191" w:lineRule="exact"/>
              <w:rPr>
                <w:sz w:val="20"/>
                <w:szCs w:val="20"/>
                <w:color w:val="auto"/>
              </w:rPr>
            </w:pPr>
            <w:r>
              <w:rPr>
                <w:rFonts w:ascii="Arial" w:cs="Arial" w:eastAsia="Arial" w:hAnsi="Arial"/>
                <w:sz w:val="18"/>
                <w:szCs w:val="18"/>
                <w:b w:val="1"/>
                <w:bCs w:val="1"/>
                <w:color w:val="auto"/>
                <w:w w:val="99"/>
              </w:rPr>
              <w:t>1000</w:t>
            </w: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40" w:type="dxa"/>
            <w:vAlign w:val="bottom"/>
            <w:gridSpan w:val="2"/>
          </w:tcPr>
          <w:p>
            <w:pPr>
              <w:jc w:val="center"/>
              <w:ind w:left="30"/>
              <w:spacing w:after="0" w:line="191" w:lineRule="exact"/>
              <w:rPr>
                <w:sz w:val="20"/>
                <w:szCs w:val="20"/>
                <w:color w:val="auto"/>
              </w:rPr>
            </w:pPr>
            <w:r>
              <w:rPr>
                <w:rFonts w:ascii="Arial" w:cs="Arial" w:eastAsia="Arial" w:hAnsi="Arial"/>
                <w:sz w:val="18"/>
                <w:szCs w:val="18"/>
                <w:b w:val="1"/>
                <w:bCs w:val="1"/>
                <w:color w:val="auto"/>
              </w:rPr>
              <w:t>$4,500</w:t>
            </w:r>
          </w:p>
        </w:tc>
        <w:tc>
          <w:tcPr>
            <w:tcW w:w="140" w:type="dxa"/>
            <w:vAlign w:val="bottom"/>
            <w:tcBorders>
              <w:right w:val="single" w:sz="8" w:color="auto"/>
            </w:tcBorders>
          </w:tcPr>
          <w:p>
            <w:pPr>
              <w:spacing w:after="0"/>
              <w:rPr>
                <w:sz w:val="16"/>
                <w:szCs w:val="16"/>
                <w:color w:val="auto"/>
              </w:rPr>
            </w:pPr>
          </w:p>
        </w:tc>
        <w:tc>
          <w:tcPr>
            <w:tcW w:w="1120" w:type="dxa"/>
            <w:vAlign w:val="bottom"/>
            <w:gridSpan w:val="2"/>
          </w:tcPr>
          <w:p>
            <w:pPr>
              <w:jc w:val="center"/>
              <w:ind w:left="370"/>
              <w:spacing w:after="0" w:line="191"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09/28/2025</w:t>
            </w: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w w:val="99"/>
              </w:rPr>
              <w:t>0013</w:t>
            </w:r>
          </w:p>
        </w:tc>
        <w:tc>
          <w:tcPr>
            <w:tcW w:w="3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02/16/2024 –</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b w:val="1"/>
                <w:bCs w:val="1"/>
                <w:color w:val="auto"/>
              </w:rPr>
              <w:t>Additional VMI Ramp</w:t>
            </w:r>
          </w:p>
        </w:tc>
        <w:tc>
          <w:tcPr>
            <w:tcW w:w="1200" w:type="dxa"/>
            <w:vAlign w:val="bottom"/>
            <w:gridSpan w:val="3"/>
          </w:tcPr>
          <w:p>
            <w:pPr>
              <w:jc w:val="center"/>
              <w:ind w:left="390"/>
              <w:spacing w:after="0" w:line="191" w:lineRule="exact"/>
              <w:rPr>
                <w:sz w:val="20"/>
                <w:szCs w:val="20"/>
                <w:color w:val="auto"/>
              </w:rPr>
            </w:pPr>
            <w:r>
              <w:rPr>
                <w:rFonts w:ascii="Arial" w:cs="Arial" w:eastAsia="Arial" w:hAnsi="Arial"/>
                <w:sz w:val="18"/>
                <w:szCs w:val="18"/>
                <w:b w:val="1"/>
                <w:bCs w:val="1"/>
                <w:color w:val="auto"/>
                <w:w w:val="99"/>
              </w:rPr>
              <w:t>1103</w:t>
            </w: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40" w:type="dxa"/>
            <w:vAlign w:val="bottom"/>
            <w:gridSpan w:val="2"/>
          </w:tcPr>
          <w:p>
            <w:pPr>
              <w:jc w:val="center"/>
              <w:ind w:left="30"/>
              <w:spacing w:after="0" w:line="191" w:lineRule="exact"/>
              <w:rPr>
                <w:sz w:val="20"/>
                <w:szCs w:val="20"/>
                <w:color w:val="auto"/>
              </w:rPr>
            </w:pPr>
            <w:r>
              <w:rPr>
                <w:rFonts w:ascii="Arial" w:cs="Arial" w:eastAsia="Arial" w:hAnsi="Arial"/>
                <w:sz w:val="18"/>
                <w:szCs w:val="18"/>
                <w:b w:val="1"/>
                <w:bCs w:val="1"/>
                <w:color w:val="auto"/>
              </w:rPr>
              <w:t>$6,500</w:t>
            </w:r>
          </w:p>
        </w:tc>
        <w:tc>
          <w:tcPr>
            <w:tcW w:w="140" w:type="dxa"/>
            <w:vAlign w:val="bottom"/>
            <w:tcBorders>
              <w:right w:val="single" w:sz="8" w:color="auto"/>
            </w:tcBorders>
          </w:tcPr>
          <w:p>
            <w:pPr>
              <w:spacing w:after="0"/>
              <w:rPr>
                <w:sz w:val="16"/>
                <w:szCs w:val="16"/>
                <w:color w:val="auto"/>
              </w:rPr>
            </w:pPr>
          </w:p>
        </w:tc>
        <w:tc>
          <w:tcPr>
            <w:tcW w:w="1120" w:type="dxa"/>
            <w:vAlign w:val="bottom"/>
            <w:gridSpan w:val="2"/>
          </w:tcPr>
          <w:p>
            <w:pPr>
              <w:jc w:val="center"/>
              <w:ind w:left="290"/>
              <w:spacing w:after="0" w:line="191"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09/28/2025</w:t>
            </w: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(Funded)</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COST REIMBURSEMENT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0004</w:t>
            </w:r>
          </w:p>
        </w:tc>
        <w:tc>
          <w:tcPr>
            <w:tcW w:w="86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color w:val="auto"/>
              </w:rPr>
              <w:t>(Option</w:t>
            </w: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color w:val="auto"/>
              </w:rPr>
              <w:t>09/18/2017 –</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Pediatric Study (This is an option that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0" w:type="dxa"/>
            <w:vAlign w:val="bottom"/>
            <w:tcBorders>
              <w:right w:val="single" w:sz="8" w:color="auto"/>
            </w:tcBorders>
            <w:gridSpan w:val="4"/>
          </w:tcPr>
          <w:p>
            <w:pPr>
              <w:ind w:left="12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09/28/2025</w:t>
            </w:r>
          </w:p>
        </w:tc>
        <w:tc>
          <w:tcPr>
            <w:tcW w:w="52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gridSpan w:val="6"/>
          </w:tcPr>
          <w:p>
            <w:pPr>
              <w:ind w:left="80"/>
              <w:spacing w:after="0" w:line="202" w:lineRule="exact"/>
              <w:rPr>
                <w:sz w:val="20"/>
                <w:szCs w:val="20"/>
                <w:color w:val="auto"/>
              </w:rPr>
            </w:pPr>
            <w:r>
              <w:rPr>
                <w:rFonts w:ascii="Arial" w:cs="Arial" w:eastAsia="Arial" w:hAnsi="Arial"/>
                <w:sz w:val="18"/>
                <w:szCs w:val="18"/>
                <w:color w:val="auto"/>
              </w:rPr>
              <w:t>may or may not be exercised during the</w:t>
            </w:r>
          </w:p>
        </w:tc>
        <w:tc>
          <w:tcPr>
            <w:tcW w:w="120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2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spacing w:after="0"/>
              <w:rPr>
                <w:sz w:val="17"/>
                <w:szCs w:val="17"/>
                <w:color w:val="auto"/>
              </w:rPr>
            </w:pPr>
          </w:p>
        </w:tc>
        <w:tc>
          <w:tcPr>
            <w:tcW w:w="112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500" w:type="dxa"/>
            <w:vAlign w:val="bottom"/>
            <w:tcBorders>
              <w:right w:val="single" w:sz="8" w:color="auto"/>
            </w:tcBorders>
            <w:gridSpan w:val="6"/>
            <w:vMerge w:val="restart"/>
          </w:tcPr>
          <w:p>
            <w:pPr>
              <w:ind w:left="80"/>
              <w:spacing w:after="0" w:line="202" w:lineRule="exact"/>
              <w:rPr>
                <w:sz w:val="20"/>
                <w:szCs w:val="20"/>
                <w:color w:val="auto"/>
              </w:rPr>
            </w:pPr>
            <w:r>
              <w:rPr>
                <w:rFonts w:ascii="Arial" w:cs="Arial" w:eastAsia="Arial" w:hAnsi="Arial"/>
                <w:sz w:val="18"/>
                <w:szCs w:val="18"/>
                <w:color w:val="auto"/>
              </w:rPr>
              <w:t>base period for expansion of the label</w:t>
            </w:r>
          </w:p>
        </w:tc>
        <w:tc>
          <w:tcPr>
            <w:tcW w:w="12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gridSpan w:val="3"/>
            <w:vMerge w:val="restart"/>
          </w:tcPr>
          <w:p>
            <w:pPr>
              <w:jc w:val="center"/>
              <w:ind w:right="20"/>
              <w:spacing w:after="0" w:line="202" w:lineRule="exact"/>
              <w:rPr>
                <w:sz w:val="20"/>
                <w:szCs w:val="20"/>
                <w:color w:val="auto"/>
              </w:rPr>
            </w:pPr>
            <w:r>
              <w:rPr>
                <w:rFonts w:ascii="Arial" w:cs="Arial" w:eastAsia="Arial" w:hAnsi="Arial"/>
                <w:sz w:val="18"/>
                <w:szCs w:val="18"/>
                <w:color w:val="auto"/>
                <w:w w:val="98"/>
              </w:rPr>
              <w:t>(Funded)</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gridSpan w:val="6"/>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indication with guidance from the FDA)</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9"/>
              </w:rPr>
              <w:t>FIRM FIXED PRICE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0005</w:t>
            </w:r>
          </w:p>
        </w:tc>
        <w:tc>
          <w:tcPr>
            <w:tcW w:w="86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color w:val="auto"/>
              </w:rPr>
              <w:t>(Option)</w:t>
            </w: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ind w:left="340"/>
              <w:spacing w:after="0" w:line="191" w:lineRule="exact"/>
              <w:rPr>
                <w:sz w:val="20"/>
                <w:szCs w:val="20"/>
                <w:color w:val="auto"/>
              </w:rPr>
            </w:pPr>
            <w:r>
              <w:rPr>
                <w:rFonts w:ascii="Arial" w:cs="Arial" w:eastAsia="Arial" w:hAnsi="Arial"/>
                <w:sz w:val="18"/>
                <w:szCs w:val="18"/>
                <w:color w:val="auto"/>
              </w:rPr>
              <w:t>36 Months</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Additional Surge Capacity</w:t>
            </w:r>
          </w:p>
        </w:tc>
        <w:tc>
          <w:tcPr>
            <w:tcW w:w="1200" w:type="dxa"/>
            <w:vAlign w:val="bottom"/>
            <w:gridSpan w:val="3"/>
          </w:tcPr>
          <w:p>
            <w:pPr>
              <w:jc w:val="center"/>
              <w:ind w:left="390"/>
              <w:spacing w:after="0" w:line="19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40" w:type="dxa"/>
            <w:vAlign w:val="bottom"/>
            <w:gridSpan w:val="2"/>
          </w:tcPr>
          <w:p>
            <w:pPr>
              <w:jc w:val="center"/>
              <w:ind w:left="10"/>
              <w:spacing w:after="0" w:line="191" w:lineRule="exact"/>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color w:val="auto"/>
                <w:w w:val="99"/>
              </w:rPr>
              <w:t>$[******] (Ceiling</w:t>
            </w: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 Not 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0006</w:t>
            </w:r>
          </w:p>
        </w:tc>
        <w:tc>
          <w:tcPr>
            <w:tcW w:w="86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color w:val="auto"/>
              </w:rPr>
              <w:t>(Option)</w:t>
            </w: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ind w:left="340"/>
              <w:spacing w:after="0" w:line="191" w:lineRule="exact"/>
              <w:rPr>
                <w:sz w:val="20"/>
                <w:szCs w:val="20"/>
                <w:color w:val="auto"/>
              </w:rPr>
            </w:pPr>
            <w:r>
              <w:rPr>
                <w:rFonts w:ascii="Arial" w:cs="Arial" w:eastAsia="Arial" w:hAnsi="Arial"/>
                <w:sz w:val="18"/>
                <w:szCs w:val="18"/>
                <w:color w:val="auto"/>
              </w:rPr>
              <w:t>36 Months</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Additional Surge Capacity</w:t>
            </w:r>
          </w:p>
        </w:tc>
        <w:tc>
          <w:tcPr>
            <w:tcW w:w="1200" w:type="dxa"/>
            <w:vAlign w:val="bottom"/>
            <w:gridSpan w:val="3"/>
          </w:tcPr>
          <w:p>
            <w:pPr>
              <w:jc w:val="center"/>
              <w:ind w:left="390"/>
              <w:spacing w:after="0" w:line="19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40" w:type="dxa"/>
            <w:vAlign w:val="bottom"/>
            <w:gridSpan w:val="2"/>
          </w:tcPr>
          <w:p>
            <w:pPr>
              <w:jc w:val="center"/>
              <w:ind w:left="10"/>
              <w:spacing w:after="0" w:line="191" w:lineRule="exact"/>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color w:val="auto"/>
              </w:rPr>
              <w:t>$[******] (Ceiling</w:t>
            </w: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 Not 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0007</w:t>
            </w:r>
          </w:p>
        </w:tc>
        <w:tc>
          <w:tcPr>
            <w:tcW w:w="86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color w:val="auto"/>
              </w:rPr>
              <w:t>(Option)</w:t>
            </w: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ind w:left="340"/>
              <w:spacing w:after="0" w:line="191" w:lineRule="exact"/>
              <w:rPr>
                <w:sz w:val="20"/>
                <w:szCs w:val="20"/>
                <w:color w:val="auto"/>
              </w:rPr>
            </w:pPr>
            <w:r>
              <w:rPr>
                <w:rFonts w:ascii="Arial" w:cs="Arial" w:eastAsia="Arial" w:hAnsi="Arial"/>
                <w:sz w:val="18"/>
                <w:szCs w:val="18"/>
                <w:color w:val="auto"/>
              </w:rPr>
              <w:t>36 Months</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Additional Surge Capacity</w:t>
            </w:r>
          </w:p>
        </w:tc>
        <w:tc>
          <w:tcPr>
            <w:tcW w:w="1200" w:type="dxa"/>
            <w:vAlign w:val="bottom"/>
            <w:gridSpan w:val="3"/>
          </w:tcPr>
          <w:p>
            <w:pPr>
              <w:jc w:val="center"/>
              <w:ind w:left="390"/>
              <w:spacing w:after="0" w:line="19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40" w:type="dxa"/>
            <w:vAlign w:val="bottom"/>
            <w:gridSpan w:val="2"/>
          </w:tcPr>
          <w:p>
            <w:pPr>
              <w:jc w:val="center"/>
              <w:ind w:left="10"/>
              <w:spacing w:after="0" w:line="191" w:lineRule="exact"/>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color w:val="auto"/>
              </w:rPr>
              <w:t>$[******] (Ceiling</w:t>
            </w:r>
          </w:p>
        </w:tc>
        <w:tc>
          <w:tcPr>
            <w:tcW w:w="0" w:type="dxa"/>
            <w:vAlign w:val="bottom"/>
          </w:tcPr>
          <w:p>
            <w:pPr>
              <w:spacing w:after="0"/>
              <w:rPr>
                <w:sz w:val="1"/>
                <w:szCs w:val="1"/>
                <w:color w:val="auto"/>
              </w:rPr>
            </w:pPr>
          </w:p>
        </w:tc>
      </w:tr>
      <w:tr>
        <w:trPr>
          <w:trHeight w:val="235"/>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 Not Funded)</w:t>
            </w:r>
          </w:p>
        </w:tc>
        <w:tc>
          <w:tcPr>
            <w:tcW w:w="0" w:type="dxa"/>
            <w:vAlign w:val="bottom"/>
          </w:tcPr>
          <w:p>
            <w:pPr>
              <w:spacing w:after="0"/>
              <w:rPr>
                <w:sz w:val="1"/>
                <w:szCs w:val="1"/>
                <w:color w:val="auto"/>
              </w:rPr>
            </w:pPr>
          </w:p>
        </w:tc>
      </w:tr>
      <w:tr>
        <w:trPr>
          <w:trHeight w:val="191"/>
        </w:trPr>
        <w:tc>
          <w:tcPr>
            <w:tcW w:w="5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9"/>
              </w:rPr>
              <w:t>0008</w:t>
            </w:r>
          </w:p>
        </w:tc>
        <w:tc>
          <w:tcPr>
            <w:tcW w:w="86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color w:val="auto"/>
              </w:rPr>
              <w:t>(Option)</w:t>
            </w:r>
          </w:p>
        </w:tc>
        <w:tc>
          <w:tcPr>
            <w:tcW w:w="60" w:type="dxa"/>
            <w:vAlign w:val="bottom"/>
          </w:tcPr>
          <w:p>
            <w:pPr>
              <w:spacing w:after="0"/>
              <w:rPr>
                <w:sz w:val="16"/>
                <w:szCs w:val="16"/>
                <w:color w:val="auto"/>
              </w:rPr>
            </w:pPr>
          </w:p>
        </w:tc>
        <w:tc>
          <w:tcPr>
            <w:tcW w:w="1620" w:type="dxa"/>
            <w:vAlign w:val="bottom"/>
            <w:tcBorders>
              <w:right w:val="single" w:sz="8" w:color="auto"/>
            </w:tcBorders>
            <w:gridSpan w:val="3"/>
          </w:tcPr>
          <w:p>
            <w:pPr>
              <w:ind w:left="340"/>
              <w:spacing w:after="0" w:line="191" w:lineRule="exact"/>
              <w:rPr>
                <w:sz w:val="20"/>
                <w:szCs w:val="20"/>
                <w:color w:val="auto"/>
              </w:rPr>
            </w:pPr>
            <w:r>
              <w:rPr>
                <w:rFonts w:ascii="Arial" w:cs="Arial" w:eastAsia="Arial" w:hAnsi="Arial"/>
                <w:sz w:val="18"/>
                <w:szCs w:val="18"/>
                <w:color w:val="auto"/>
              </w:rPr>
              <w:t>36 Months</w:t>
            </w:r>
          </w:p>
        </w:tc>
        <w:tc>
          <w:tcPr>
            <w:tcW w:w="3500" w:type="dxa"/>
            <w:vAlign w:val="bottom"/>
            <w:tcBorders>
              <w:right w:val="single" w:sz="8" w:color="auto"/>
            </w:tcBorders>
            <w:gridSpan w:val="6"/>
          </w:tcPr>
          <w:p>
            <w:pPr>
              <w:ind w:left="80"/>
              <w:spacing w:after="0" w:line="191" w:lineRule="exact"/>
              <w:rPr>
                <w:sz w:val="20"/>
                <w:szCs w:val="20"/>
                <w:color w:val="auto"/>
              </w:rPr>
            </w:pPr>
            <w:r>
              <w:rPr>
                <w:rFonts w:ascii="Arial" w:cs="Arial" w:eastAsia="Arial" w:hAnsi="Arial"/>
                <w:sz w:val="18"/>
                <w:szCs w:val="18"/>
                <w:color w:val="auto"/>
              </w:rPr>
              <w:t>Additional Surge Capacity</w:t>
            </w:r>
          </w:p>
        </w:tc>
        <w:tc>
          <w:tcPr>
            <w:tcW w:w="1200" w:type="dxa"/>
            <w:vAlign w:val="bottom"/>
            <w:gridSpan w:val="3"/>
          </w:tcPr>
          <w:p>
            <w:pPr>
              <w:jc w:val="center"/>
              <w:ind w:left="390"/>
              <w:spacing w:after="0" w:line="19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40" w:type="dxa"/>
            <w:vAlign w:val="bottom"/>
            <w:gridSpan w:val="2"/>
          </w:tcPr>
          <w:p>
            <w:pPr>
              <w:jc w:val="center"/>
              <w:ind w:left="10"/>
              <w:spacing w:after="0" w:line="191" w:lineRule="exact"/>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color w:val="auto"/>
              </w:rPr>
              <w:t>$[******] (Ceiling</w:t>
            </w: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 Not Funded)</w:t>
            </w:r>
          </w:p>
        </w:tc>
        <w:tc>
          <w:tcPr>
            <w:tcW w:w="0" w:type="dxa"/>
            <w:vAlign w:val="bottom"/>
          </w:tcPr>
          <w:p>
            <w:pPr>
              <w:spacing w:after="0"/>
              <w:rPr>
                <w:sz w:val="1"/>
                <w:szCs w:val="1"/>
                <w:color w:val="auto"/>
              </w:rPr>
            </w:pPr>
          </w:p>
        </w:tc>
      </w:tr>
      <w:tr>
        <w:trPr>
          <w:trHeight w:val="158"/>
        </w:trPr>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6"/>
        </w:trPr>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23"/>
        </w:trPr>
        <w:tc>
          <w:tcPr>
            <w:tcW w:w="2780" w:type="dxa"/>
            <w:vAlign w:val="bottom"/>
            <w:gridSpan w:val="2"/>
            <w:vMerge w:val="restart"/>
          </w:tcPr>
          <w:p>
            <w:pPr>
              <w:spacing w:after="0"/>
              <w:rPr>
                <w:sz w:val="20"/>
                <w:szCs w:val="20"/>
                <w:color w:val="auto"/>
              </w:rPr>
            </w:pPr>
            <w:r>
              <w:rPr>
                <w:rFonts w:ascii="Arial" w:cs="Arial" w:eastAsia="Arial" w:hAnsi="Arial"/>
                <w:sz w:val="16"/>
                <w:szCs w:val="16"/>
                <w:color w:val="auto"/>
              </w:rPr>
              <w:t>HHSO100201500028C P00015</w:t>
            </w:r>
          </w:p>
        </w:tc>
        <w:tc>
          <w:tcPr>
            <w:tcW w:w="3800" w:type="dxa"/>
            <w:vAlign w:val="bottom"/>
            <w:gridSpan w:val="2"/>
            <w:vMerge w:val="restart"/>
          </w:tcPr>
          <w:p>
            <w:pPr>
              <w:ind w:left="100"/>
              <w:spacing w:after="0"/>
              <w:rPr>
                <w:sz w:val="20"/>
                <w:szCs w:val="20"/>
                <w:color w:val="auto"/>
              </w:rPr>
            </w:pPr>
            <w:r>
              <w:rPr>
                <w:rFonts w:ascii="Arial" w:cs="Arial" w:eastAsia="Arial" w:hAnsi="Arial"/>
                <w:sz w:val="16"/>
                <w:szCs w:val="16"/>
                <w:color w:val="auto"/>
              </w:rPr>
              <w:t>Page 4 of 4</w:t>
            </w:r>
          </w:p>
        </w:tc>
        <w:tc>
          <w:tcPr>
            <w:tcW w:w="1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ind w:left="680"/>
              <w:spacing w:after="0"/>
              <w:rPr>
                <w:sz w:val="20"/>
                <w:szCs w:val="20"/>
                <w:color w:val="auto"/>
              </w:rPr>
            </w:pPr>
            <w:r>
              <w:rPr>
                <w:rFonts w:ascii="Arial" w:cs="Arial" w:eastAsia="Arial" w:hAnsi="Arial"/>
                <w:sz w:val="16"/>
                <w:szCs w:val="16"/>
                <w:b w:val="1"/>
                <w:bCs w:val="1"/>
                <w:color w:val="auto"/>
                <w:w w:val="96"/>
              </w:rPr>
              <w:t>Exhibit 10.3</w:t>
            </w:r>
          </w:p>
        </w:tc>
        <w:tc>
          <w:tcPr>
            <w:tcW w:w="0" w:type="dxa"/>
            <w:vAlign w:val="bottom"/>
          </w:tcPr>
          <w:p>
            <w:pPr>
              <w:spacing w:after="0"/>
              <w:rPr>
                <w:sz w:val="1"/>
                <w:szCs w:val="1"/>
                <w:color w:val="auto"/>
              </w:rPr>
            </w:pPr>
          </w:p>
        </w:tc>
      </w:tr>
      <w:tr>
        <w:trPr>
          <w:trHeight w:val="181"/>
        </w:trPr>
        <w:tc>
          <w:tcPr>
            <w:tcW w:w="2780" w:type="dxa"/>
            <w:vAlign w:val="bottom"/>
            <w:gridSpan w:val="2"/>
            <w:vMerge w:val="continue"/>
          </w:tcPr>
          <w:p>
            <w:pPr>
              <w:spacing w:after="0"/>
              <w:rPr>
                <w:sz w:val="15"/>
                <w:szCs w:val="15"/>
                <w:color w:val="auto"/>
              </w:rPr>
            </w:pPr>
          </w:p>
        </w:tc>
        <w:tc>
          <w:tcPr>
            <w:tcW w:w="380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4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b w:val="1"/>
                <w:bCs w:val="1"/>
                <w:color w:val="auto"/>
              </w:rPr>
              <w:t>Total</w:t>
            </w:r>
          </w:p>
        </w:tc>
        <w:tc>
          <w:tcPr>
            <w:tcW w:w="1380" w:type="dxa"/>
            <w:vAlign w:val="bottom"/>
          </w:tcPr>
          <w:p>
            <w:pPr>
              <w:ind w:left="380"/>
              <w:spacing w:after="0" w:line="174" w:lineRule="exact"/>
              <w:rPr>
                <w:sz w:val="20"/>
                <w:szCs w:val="20"/>
                <w:color w:val="auto"/>
              </w:rPr>
            </w:pPr>
            <w:r>
              <w:rPr>
                <w:rFonts w:ascii="Arial" w:cs="Arial" w:eastAsia="Arial" w:hAnsi="Arial"/>
                <w:sz w:val="18"/>
                <w:szCs w:val="18"/>
                <w:b w:val="1"/>
                <w:bCs w:val="1"/>
                <w:color w:val="auto"/>
              </w:rPr>
              <w:t>60 Months</w:t>
            </w:r>
          </w:p>
        </w:tc>
        <w:tc>
          <w:tcPr>
            <w:tcW w:w="3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ind w:left="80"/>
              <w:spacing w:after="0" w:line="174" w:lineRule="exact"/>
              <w:rPr>
                <w:sz w:val="20"/>
                <w:szCs w:val="20"/>
                <w:color w:val="auto"/>
              </w:rPr>
            </w:pPr>
            <w:r>
              <w:rPr>
                <w:rFonts w:ascii="Arial" w:cs="Arial" w:eastAsia="Arial" w:hAnsi="Arial"/>
                <w:sz w:val="18"/>
                <w:szCs w:val="18"/>
                <w:b w:val="1"/>
                <w:bCs w:val="1"/>
                <w:color w:val="auto"/>
              </w:rPr>
              <w:t>See Above Descriptions</w:t>
            </w:r>
          </w:p>
        </w:tc>
        <w:tc>
          <w:tcPr>
            <w:tcW w:w="17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220"/>
              <w:spacing w:after="0" w:line="17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(Not</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Unfunded</w:t>
            </w:r>
          </w:p>
        </w:tc>
        <w:tc>
          <w:tcPr>
            <w:tcW w:w="13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b w:val="1"/>
                <w:bCs w:val="1"/>
                <w:color w:val="auto"/>
              </w:rPr>
              <w:t>Funded)</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Option</w:t>
            </w:r>
          </w:p>
        </w:tc>
        <w:tc>
          <w:tcPr>
            <w:tcW w:w="13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CLINs 3, 5-8</w:t>
            </w:r>
          </w:p>
        </w:tc>
        <w:tc>
          <w:tcPr>
            <w:tcW w:w="138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4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b w:val="1"/>
                <w:bCs w:val="1"/>
                <w:color w:val="auto"/>
              </w:rPr>
              <w:t>Total Funded</w:t>
            </w:r>
          </w:p>
        </w:tc>
        <w:tc>
          <w:tcPr>
            <w:tcW w:w="1380" w:type="dxa"/>
            <w:vAlign w:val="bottom"/>
          </w:tcPr>
          <w:p>
            <w:pPr>
              <w:ind w:left="360"/>
              <w:spacing w:after="0" w:line="174" w:lineRule="exact"/>
              <w:rPr>
                <w:sz w:val="20"/>
                <w:szCs w:val="20"/>
                <w:color w:val="auto"/>
              </w:rPr>
            </w:pPr>
            <w:r>
              <w:rPr>
                <w:rFonts w:ascii="Arial" w:cs="Arial" w:eastAsia="Arial" w:hAnsi="Arial"/>
                <w:sz w:val="18"/>
                <w:szCs w:val="18"/>
                <w:b w:val="1"/>
                <w:bCs w:val="1"/>
                <w:color w:val="auto"/>
              </w:rPr>
              <w:t>See Above</w:t>
            </w:r>
          </w:p>
        </w:tc>
        <w:tc>
          <w:tcPr>
            <w:tcW w:w="3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ind w:left="80"/>
              <w:spacing w:after="0" w:line="174" w:lineRule="exact"/>
              <w:rPr>
                <w:sz w:val="20"/>
                <w:szCs w:val="20"/>
                <w:color w:val="auto"/>
              </w:rPr>
            </w:pPr>
            <w:r>
              <w:rPr>
                <w:rFonts w:ascii="Arial" w:cs="Arial" w:eastAsia="Arial" w:hAnsi="Arial"/>
                <w:sz w:val="18"/>
                <w:szCs w:val="18"/>
                <w:b w:val="1"/>
                <w:bCs w:val="1"/>
                <w:color w:val="auto"/>
              </w:rPr>
              <w:t>See Above Descriptions</w:t>
            </w:r>
          </w:p>
        </w:tc>
        <w:tc>
          <w:tcPr>
            <w:tcW w:w="17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ind w:left="440"/>
              <w:spacing w:after="0" w:line="17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Option</w:t>
            </w:r>
          </w:p>
        </w:tc>
        <w:tc>
          <w:tcPr>
            <w:tcW w:w="13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b w:val="1"/>
                <w:bCs w:val="1"/>
                <w:color w:val="auto"/>
              </w:rPr>
              <w:t>(Funded)</w:t>
            </w:r>
          </w:p>
        </w:tc>
        <w:tc>
          <w:tcPr>
            <w:tcW w:w="0" w:type="dxa"/>
            <w:vAlign w:val="bottom"/>
          </w:tcPr>
          <w:p>
            <w:pPr>
              <w:spacing w:after="0"/>
              <w:rPr>
                <w:sz w:val="1"/>
                <w:szCs w:val="1"/>
                <w:color w:val="auto"/>
              </w:rPr>
            </w:pPr>
          </w:p>
        </w:tc>
      </w:tr>
      <w:tr>
        <w:trPr>
          <w:trHeight w:val="235"/>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CLINs 4, 9-13</w:t>
            </w: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B.5.  ADVANCE UNDERSTANDINGS </w:t>
      </w:r>
      <w:r>
        <w:rPr>
          <w:rFonts w:ascii="Arial" w:cs="Arial" w:eastAsia="Arial" w:hAnsi="Arial"/>
          <w:sz w:val="18"/>
          <w:szCs w:val="18"/>
          <w:color w:val="auto"/>
        </w:rPr>
        <w:t>Paragraph l.8 is deleted and replaced in its entirety:</w:t>
      </w:r>
    </w:p>
    <w:p>
      <w:pPr>
        <w:spacing w:after="0" w:line="198" w:lineRule="exact"/>
        <w:rPr>
          <w:sz w:val="20"/>
          <w:szCs w:val="20"/>
          <w:color w:val="auto"/>
        </w:rPr>
      </w:pPr>
    </w:p>
    <w:p>
      <w:pPr>
        <w:ind w:left="760" w:hanging="378"/>
        <w:spacing w:after="0"/>
        <w:tabs>
          <w:tab w:leader="none" w:pos="7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Understandings</w:t>
      </w:r>
    </w:p>
    <w:p>
      <w:pPr>
        <w:spacing w:after="0" w:line="211" w:lineRule="exact"/>
        <w:rPr>
          <w:rFonts w:ascii="Arial" w:cs="Arial" w:eastAsia="Arial" w:hAnsi="Arial"/>
          <w:sz w:val="18"/>
          <w:szCs w:val="18"/>
          <w:b w:val="1"/>
          <w:bCs w:val="1"/>
          <w:color w:val="auto"/>
        </w:rPr>
      </w:pPr>
    </w:p>
    <w:p>
      <w:pPr>
        <w:ind w:left="1500" w:right="60" w:hanging="369"/>
        <w:spacing w:after="0" w:line="271" w:lineRule="auto"/>
        <w:tabs>
          <w:tab w:leader="none" w:pos="1500"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It shall be noted that effective as of Modification P00015, there will be no other reporting requirements within this contract beyond what is described in the SoW.</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J - LIST OF ATTACHMENTS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documents are attached and incorporated in this contract:</w:t>
      </w:r>
    </w:p>
    <w:p>
      <w:pPr>
        <w:spacing w:after="0" w:line="212"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Statement of Work, dated Feb 13, 2024, 4 pages</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End of Modification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ind w:left="10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Corbett, certify that:</w:t>
      </w:r>
    </w:p>
    <w:p>
      <w:pPr>
        <w:spacing w:after="0" w:line="117"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60" w:right="520" w:hanging="514"/>
        <w:spacing w:after="0" w:line="266" w:lineRule="auto"/>
        <w:tabs>
          <w:tab w:leader="none" w:pos="1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00" w:hanging="514"/>
        <w:spacing w:after="0" w:line="266" w:lineRule="auto"/>
        <w:tabs>
          <w:tab w:leader="none" w:pos="1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80" w:hanging="514"/>
        <w:spacing w:after="0" w:line="266" w:lineRule="auto"/>
        <w:tabs>
          <w:tab w:leader="none" w:pos="1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hanging="514"/>
        <w:spacing w:after="0" w:line="266" w:lineRule="auto"/>
        <w:tabs>
          <w:tab w:leader="none" w:pos="1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40" w:hanging="514"/>
        <w:spacing w:after="0" w:line="282" w:lineRule="auto"/>
        <w:tabs>
          <w:tab w:leader="none" w:pos="1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7"/>
          <w:szCs w:val="17"/>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tab/>
        <w:t>James Corbett</w:t>
      </w:r>
    </w:p>
    <w:p>
      <w:pPr>
        <w:spacing w:after="0" w:line="36"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O'Toole,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60" w:right="560" w:hanging="514"/>
        <w:spacing w:after="0" w:line="266"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40" w:hanging="514"/>
        <w:spacing w:after="0" w:line="266"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80" w:hanging="514"/>
        <w:spacing w:after="0" w:line="266"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hanging="514"/>
        <w:spacing w:after="0" w:line="266"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40" w:hanging="514"/>
        <w:spacing w:after="0" w:line="282"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6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O'Toole</w:t>
      </w:r>
    </w:p>
    <w:p>
      <w:pPr>
        <w:spacing w:after="0" w:line="36" w:lineRule="exact"/>
        <w:rPr>
          <w:sz w:val="20"/>
          <w:szCs w:val="20"/>
          <w:color w:val="auto"/>
        </w:rPr>
      </w:pPr>
    </w:p>
    <w:p>
      <w:pPr>
        <w:ind w:left="566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March 31, 2024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13, 2024</w:t>
      </w:r>
      <w:r>
        <w:rPr>
          <w:sz w:val="20"/>
          <w:szCs w:val="20"/>
          <w:color w:val="auto"/>
        </w:rPr>
        <w:tab/>
      </w:r>
      <w:r>
        <w:rPr>
          <w:rFonts w:ascii="Times New Roman" w:cs="Times New Roman" w:eastAsia="Times New Roman" w:hAnsi="Times New Roman"/>
          <w:sz w:val="17"/>
          <w:szCs w:val="17"/>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0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86" w:lineRule="exact"/>
        <w:rPr>
          <w:sz w:val="20"/>
          <w:szCs w:val="20"/>
          <w:color w:val="auto"/>
        </w:rPr>
      </w:pPr>
    </w:p>
    <w:p>
      <w:pPr>
        <w:ind w:left="566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Corbett</w:t>
      </w:r>
    </w:p>
    <w:p>
      <w:pPr>
        <w:spacing w:after="0" w:line="36" w:lineRule="exact"/>
        <w:rPr>
          <w:sz w:val="20"/>
          <w:szCs w:val="20"/>
          <w:color w:val="auto"/>
        </w:rPr>
      </w:pPr>
    </w:p>
    <w:p>
      <w:pPr>
        <w:ind w:left="566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13, 2024</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0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86" w:lineRule="exact"/>
        <w:rPr>
          <w:sz w:val="20"/>
          <w:szCs w:val="20"/>
          <w:color w:val="auto"/>
        </w:rPr>
      </w:pPr>
    </w:p>
    <w:p>
      <w:pPr>
        <w:ind w:left="566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O'Toole</w:t>
      </w:r>
    </w:p>
    <w:p>
      <w:pPr>
        <w:spacing w:after="0" w:line="36" w:lineRule="exact"/>
        <w:rPr>
          <w:sz w:val="20"/>
          <w:szCs w:val="20"/>
          <w:color w:val="auto"/>
        </w:rPr>
      </w:pPr>
    </w:p>
    <w:p>
      <w:pPr>
        <w:ind w:left="566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lvl w:ilvl="1">
      <w:lvlJc w:val="left"/>
      <w:lvlText w:val="%2"/>
      <w:numFmt w:val="decimal"/>
      <w:start w:val="104"/>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2"/>
    </w:lvl>
    <w:lvl w:ilvl="1">
      <w:lvlJc w:val="left"/>
      <w:lvlText w:val="(%2)"/>
      <w:numFmt w:val="lowerRoman"/>
      <w:start w:val="3"/>
    </w:lvl>
  </w:abstractNum>
  <w:abstractNum w:abstractNumId="6">
    <w:nsid w:val="4353D0CD"/>
    <w:multiLevelType w:val="hybridMultilevel"/>
    <w:lvl w:ilvl="0">
      <w:lvlJc w:val="left"/>
      <w:lvlText w:val="%1."/>
      <w:numFmt w:val="decimal"/>
      <w:start w:val="3"/>
    </w:lvl>
    <w:lvl w:ilvl="1">
      <w:lvlJc w:val="left"/>
      <w:lvlText w:val="(%2)"/>
      <w:numFmt w:val="lowerLetter"/>
      <w:start w:val="1"/>
    </w:lvl>
  </w:abstractNum>
  <w:abstractNum w:abstractNumId="7">
    <w:nsid w:val="B03E0C6"/>
    <w:multiLevelType w:val="hybridMultilevel"/>
    <w:lvl w:ilvl="0">
      <w:lvlJc w:val="left"/>
      <w:lvlText w:val="(%1)"/>
      <w:numFmt w:val="lowerLetter"/>
      <w:start w:val="6"/>
    </w:lvl>
    <w:lvl w:ilvl="1">
      <w:lvlJc w:val="left"/>
      <w:lvlText w:val="%2."/>
      <w:numFmt w:val="lowerRoman"/>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6"/>
    </w:lvl>
  </w:abstractNum>
  <w:abstractNum w:abstractNumId="10">
    <w:nsid w:val="71F32454"/>
    <w:multiLevelType w:val="hybridMultilevel"/>
    <w:lvl w:ilvl="0">
      <w:lvlJc w:val="left"/>
      <w:lvlText w:val="%1"/>
      <w:numFmt w:val="decimal"/>
      <w:start w:val="1"/>
    </w:lvl>
    <w:lvl w:ilvl="1">
      <w:lvlJc w:val="left"/>
      <w:lvlText w:val="(%2)"/>
      <w:numFmt w:val="lowerLetter"/>
      <w:start w:val="1"/>
    </w:lvl>
  </w:abstractNum>
  <w:abstractNum w:abstractNumId="11">
    <w:nsid w:val="2CA88611"/>
    <w:multiLevelType w:val="hybridMultilevel"/>
    <w:lvl w:ilvl="0">
      <w:lvlJc w:val="left"/>
      <w:lvlText w:val="%1."/>
      <w:numFmt w:val="decimal"/>
      <w:start w:val="4"/>
    </w:lvl>
    <w:lvl w:ilvl="1">
      <w:lvlJc w:val="left"/>
      <w:lvlText w:val="(%2)"/>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16">
    <w:nsid w:val="1E7FF521"/>
    <w:multiLevelType w:val="hybridMultilevel"/>
    <w:lvl w:ilvl="0">
      <w:lvlJc w:val="left"/>
      <w:lvlText w:val="%1."/>
      <w:numFmt w:val="decimal"/>
      <w:start w:val="5"/>
    </w:lvl>
    <w:lvl w:ilvl="1">
      <w:lvlJc w:val="left"/>
      <w:lvlText w:val="%2:"/>
      <w:numFmt w:val="upperLetter"/>
      <w:start w:val="29"/>
    </w:lvl>
    <w:lvl w:ilvl="2">
      <w:lvlJc w:val="left"/>
      <w:lvlText w:val="%3"/>
      <w:numFmt w:val="lowerLetter"/>
      <w:start w:val="1"/>
    </w:lvl>
  </w:abstractNum>
  <w:abstractNum w:abstractNumId="17">
    <w:nsid w:val="7C3DBD3D"/>
    <w:multiLevelType w:val="hybridMultilevel"/>
    <w:lvl w:ilvl="0">
      <w:lvlJc w:val="left"/>
      <w:lvlText w:val="%1."/>
      <w:numFmt w:val="decimal"/>
      <w:start w:val="6"/>
    </w:lvl>
  </w:abstractNum>
  <w:abstractNum w:abstractNumId="18">
    <w:nsid w:val="737B8DDC"/>
    <w:multiLevelType w:val="hybridMultilevel"/>
    <w:lvl w:ilvl="0">
      <w:lvlJc w:val="left"/>
      <w:lvlText w:val="%1."/>
      <w:numFmt w:val="decimal"/>
      <w:start w:val="7"/>
    </w:lvl>
  </w:abstractNum>
  <w:abstractNum w:abstractNumId="19">
    <w:nsid w:val="6CEAF087"/>
    <w:multiLevelType w:val="hybridMultilevel"/>
    <w:lvl w:ilvl="0">
      <w:lvlJc w:val="left"/>
      <w:lvlText w:val="%1."/>
      <w:numFmt w:val="decimal"/>
      <w:start w:val="8"/>
    </w:lvl>
    <w:lvl w:ilvl="1">
      <w:lvlJc w:val="left"/>
      <w:lvlText w:val="%2."/>
      <w:numFmt w:val="lowerRoman"/>
      <w:start w:val="1"/>
    </w:lvl>
  </w:abstractNum>
  <w:abstractNum w:abstractNumId="20">
    <w:nsid w:val="22221A70"/>
    <w:multiLevelType w:val="hybridMultilevel"/>
    <w:lvl w:ilvl="0">
      <w:lvlJc w:val="left"/>
      <w:lvlText w:val="%1."/>
      <w:numFmt w:val="lowerRoman"/>
      <w:start w:val="4"/>
    </w:lvl>
  </w:abstractNum>
  <w:abstractNum w:abstractNumId="21">
    <w:nsid w:val="4516DDE9"/>
    <w:multiLevelType w:val="hybridMultilevel"/>
    <w:lvl w:ilvl="0">
      <w:lvlJc w:val="left"/>
      <w:lvlText w:val="%1"/>
      <w:numFmt w:val="decimal"/>
      <w:start w:val="1"/>
    </w:lvl>
    <w:lvl w:ilvl="1">
      <w:lvlJc w:val="left"/>
      <w:lvlText w:val="(%2)"/>
      <w:numFmt w:val="lowerLetter"/>
      <w:start w:val="1"/>
    </w:lvl>
  </w:abstractNum>
  <w:abstractNum w:abstractNumId="22">
    <w:nsid w:val="3006C83E"/>
    <w:multiLevelType w:val="hybridMultilevel"/>
    <w:lvl w:ilvl="0">
      <w:lvlJc w:val="left"/>
      <w:lvlText w:val="%1."/>
      <w:numFmt w:val="decimal"/>
      <w:start w:val="10"/>
    </w:lvl>
    <w:lvl w:ilvl="1">
      <w:lvlJc w:val="left"/>
      <w:lvlText w:val="%2"/>
      <w:numFmt w:val="lowerLetter"/>
      <w:start w:val="1"/>
    </w:lvl>
  </w:abstractNum>
  <w:abstractNum w:abstractNumId="23">
    <w:nsid w:val="614FD4A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decimal"/>
      <w:start w:val="13"/>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14"/>
    </w:lvl>
  </w:abstractNum>
  <w:abstractNum w:abstractNumId="29">
    <w:nsid w:val="77465F01"/>
    <w:multiLevelType w:val="hybridMultilevel"/>
    <w:lvl w:ilvl="0">
      <w:lvlJc w:val="left"/>
      <w:lvlText w:val="%1."/>
      <w:numFmt w:val="decimal"/>
      <w:start w:val="16"/>
    </w:lvl>
  </w:abstractNum>
  <w:abstractNum w:abstractNumId="30">
    <w:nsid w:val="7724C67E"/>
    <w:multiLevelType w:val="hybridMultilevel"/>
    <w:lvl w:ilvl="0">
      <w:lvlJc w:val="left"/>
      <w:lvlText w:val="%1."/>
      <w:numFmt w:val="decimal"/>
      <w:start w:val="21"/>
    </w:lvl>
  </w:abstractNum>
  <w:abstractNum w:abstractNumId="31">
    <w:nsid w:val="5C482A97"/>
    <w:multiLevelType w:val="hybridMultilevel"/>
    <w:lvl w:ilvl="0">
      <w:lvlJc w:val="left"/>
      <w:lvlText w:val="%1."/>
      <w:numFmt w:val="decimal"/>
      <w:start w:val="23"/>
    </w:lvl>
  </w:abstractNum>
  <w:abstractNum w:abstractNumId="32">
    <w:nsid w:val="2463B9EA"/>
    <w:multiLevelType w:val="hybridMultilevel"/>
    <w:lvl w:ilvl="0">
      <w:lvlJc w:val="left"/>
      <w:lvlText w:val="%1."/>
      <w:numFmt w:val="decimal"/>
      <w:start w:val="27"/>
    </w:lvl>
  </w:abstractNum>
  <w:abstractNum w:abstractNumId="33">
    <w:nsid w:val="5E884ADC"/>
    <w:multiLevelType w:val="hybridMultilevel"/>
    <w:lvl w:ilvl="0">
      <w:lvlJc w:val="left"/>
      <w:lvlText w:val="%1."/>
      <w:numFmt w:val="decimal"/>
      <w:start w:val="32"/>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lvl w:ilvl="1">
      <w:lvlJc w:val="left"/>
      <w:lvlText w:val="%2."/>
      <w:numFmt w:val="decimal"/>
      <w:start w:val="1"/>
    </w:lvl>
  </w:abstractNum>
  <w:abstractNum w:abstractNumId="38">
    <w:nsid w:val="3855585C"/>
    <w:multiLevelType w:val="hybridMultilevel"/>
    <w:lvl w:ilvl="0">
      <w:lvlJc w:val="left"/>
      <w:lvlText w:val="%1."/>
      <w:numFmt w:val="decimal"/>
      <w:start w:val="3"/>
    </w:lvl>
    <w:lvl w:ilvl="1">
      <w:lvlJc w:val="left"/>
      <w:lvlText w:val="%2"/>
      <w:numFmt w:val="decimal"/>
      <w:start w:val="1"/>
    </w:lvl>
  </w:abstractNum>
  <w:abstractNum w:abstractNumId="39">
    <w:nsid w:val="70A64E2A"/>
    <w:multiLevelType w:val="hybridMultilevel"/>
    <w:lvl w:ilvl="0">
      <w:lvlJc w:val="left"/>
      <w:lvlText w:val="%1."/>
      <w:numFmt w:val="decimal"/>
      <w:start w:val="6"/>
    </w:lvl>
    <w:lvl w:ilvl="1">
      <w:lvlJc w:val="left"/>
      <w:lvlText w:val="%2."/>
      <w:numFmt w:val="decimal"/>
      <w:start w:val="7"/>
    </w:lvl>
  </w:abstractNum>
  <w:abstractNum w:abstractNumId="40">
    <w:nsid w:val="6A2342EC"/>
    <w:multiLevelType w:val="hybridMultilevel"/>
    <w:lvl w:ilvl="0">
      <w:lvlJc w:val="left"/>
      <w:lvlText w:val="%1."/>
      <w:numFmt w:val="lowerLetter"/>
      <w:start w:val="12"/>
    </w:lvl>
    <w:lvl w:ilvl="1">
      <w:lvlJc w:val="left"/>
      <w:lvlText w:val="%2."/>
      <w:numFmt w:val="decimal"/>
      <w:start w:val="8"/>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45" Type="http://schemas.openxmlformats.org/officeDocument/2006/relationships/hyperlink" Target="https://www.sec.gov/Archives/edgar/data/1762303/000119312520183429/d75062dex31.htm" TargetMode="External"/><Relationship Id="rId246" Type="http://schemas.openxmlformats.org/officeDocument/2006/relationships/hyperlink" Target="https://www.sec.gov/Archives/edgar/data/1762303/000156459022007617/rcel-ex32_14.htm" TargetMode="External"/><Relationship Id="rId247" Type="http://schemas.openxmlformats.org/officeDocument/2006/relationships/hyperlink" Target="https://www.sec.gov/Archives/edgar/data/1762303/000156459022007617/rcel-ex33_5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2024-05-13T15:28:44Z</dcterms:created>
  <dcterms:modified xsi:type="dcterms:W3CDTF">2024-05-13T15:28:44Z</dcterms:modified>
</cp:coreProperties>
</file>