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August 8, 2024</w:t>
      </w:r>
    </w:p>
    <w:p>
      <w:pPr>
        <w:spacing w:after="0" w:line="2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w:t>
      </w:r>
    </w:p>
    <w:p>
      <w:pPr>
        <w:spacing w:after="0" w:line="189"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0"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ind w:right="120"/>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16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FORM S-8</w:t>
      </w:r>
    </w:p>
    <w:p>
      <w:pPr>
        <w:spacing w:after="0" w:line="14" w:lineRule="exact"/>
        <w:rPr>
          <w:sz w:val="24"/>
          <w:szCs w:val="24"/>
          <w:color w:val="auto"/>
        </w:rPr>
      </w:pPr>
    </w:p>
    <w:tbl>
      <w:tblPr>
        <w:tblLayout w:type="fixed"/>
        <w:tblInd w:w="940" w:type="dxa"/>
        <w:tblCellMar>
          <w:top w:w="0" w:type="dxa"/>
          <w:left w:w="0" w:type="dxa"/>
          <w:bottom w:w="0" w:type="dxa"/>
          <w:right w:w="0" w:type="dxa"/>
        </w:tblCellMar>
      </w:tblPr>
      <w:tr>
        <w:trPr>
          <w:trHeight w:val="333"/>
        </w:trPr>
        <w:tc>
          <w:tcPr>
            <w:tcW w:w="1980" w:type="dxa"/>
            <w:vAlign w:val="bottom"/>
          </w:tcPr>
          <w:p>
            <w:pPr>
              <w:spacing w:after="0"/>
              <w:rPr>
                <w:sz w:val="24"/>
                <w:szCs w:val="24"/>
                <w:color w:val="auto"/>
              </w:rPr>
            </w:pPr>
          </w:p>
        </w:tc>
        <w:tc>
          <w:tcPr>
            <w:tcW w:w="7080" w:type="dxa"/>
            <w:vAlign w:val="bottom"/>
          </w:tcPr>
          <w:p>
            <w:pPr>
              <w:jc w:val="right"/>
              <w:ind w:right="2495"/>
              <w:spacing w:after="0"/>
              <w:rPr>
                <w:sz w:val="20"/>
                <w:szCs w:val="20"/>
                <w:color w:val="auto"/>
              </w:rPr>
            </w:pPr>
            <w:r>
              <w:rPr>
                <w:rFonts w:ascii="Times New Roman" w:cs="Times New Roman" w:eastAsia="Times New Roman" w:hAnsi="Times New Roman"/>
                <w:sz w:val="29"/>
                <w:szCs w:val="29"/>
                <w:b w:val="1"/>
                <w:bCs w:val="1"/>
                <w:color w:val="auto"/>
              </w:rPr>
              <w:t>REGISTRATION STATEMENT</w:t>
            </w:r>
          </w:p>
        </w:tc>
      </w:tr>
      <w:tr>
        <w:trPr>
          <w:trHeight w:val="216"/>
        </w:trPr>
        <w:tc>
          <w:tcPr>
            <w:tcW w:w="1980" w:type="dxa"/>
            <w:vAlign w:val="bottom"/>
          </w:tcPr>
          <w:p>
            <w:pPr>
              <w:spacing w:after="0"/>
              <w:rPr>
                <w:sz w:val="18"/>
                <w:szCs w:val="18"/>
                <w:color w:val="auto"/>
              </w:rPr>
            </w:pPr>
          </w:p>
        </w:tc>
        <w:tc>
          <w:tcPr>
            <w:tcW w:w="7080" w:type="dxa"/>
            <w:vAlign w:val="bottom"/>
          </w:tcPr>
          <w:p>
            <w:pPr>
              <w:jc w:val="center"/>
              <w:ind w:right="1855"/>
              <w:spacing w:after="0" w:line="216" w:lineRule="exact"/>
              <w:rPr>
                <w:sz w:val="20"/>
                <w:szCs w:val="20"/>
                <w:color w:val="auto"/>
              </w:rPr>
            </w:pPr>
            <w:r>
              <w:rPr>
                <w:rFonts w:ascii="Times New Roman" w:cs="Times New Roman" w:eastAsia="Times New Roman" w:hAnsi="Times New Roman"/>
                <w:sz w:val="19"/>
                <w:szCs w:val="19"/>
                <w:b w:val="1"/>
                <w:bCs w:val="1"/>
                <w:i w:val="1"/>
                <w:iCs w:val="1"/>
                <w:color w:val="auto"/>
                <w:w w:val="99"/>
              </w:rPr>
              <w:t>UNDER</w:t>
            </w:r>
          </w:p>
        </w:tc>
      </w:tr>
      <w:tr>
        <w:trPr>
          <w:trHeight w:val="250"/>
        </w:trPr>
        <w:tc>
          <w:tcPr>
            <w:tcW w:w="1980" w:type="dxa"/>
            <w:vAlign w:val="bottom"/>
          </w:tcPr>
          <w:p>
            <w:pPr>
              <w:spacing w:after="0"/>
              <w:rPr>
                <w:sz w:val="21"/>
                <w:szCs w:val="21"/>
                <w:color w:val="auto"/>
              </w:rPr>
            </w:pPr>
          </w:p>
        </w:tc>
        <w:tc>
          <w:tcPr>
            <w:tcW w:w="7080" w:type="dxa"/>
            <w:vAlign w:val="bottom"/>
          </w:tcPr>
          <w:p>
            <w:pPr>
              <w:jc w:val="center"/>
              <w:ind w:right="1855"/>
              <w:spacing w:after="0"/>
              <w:rPr>
                <w:sz w:val="20"/>
                <w:szCs w:val="20"/>
                <w:color w:val="auto"/>
              </w:rPr>
            </w:pPr>
            <w:r>
              <w:rPr>
                <w:rFonts w:ascii="Times New Roman" w:cs="Times New Roman" w:eastAsia="Times New Roman" w:hAnsi="Times New Roman"/>
                <w:sz w:val="19"/>
                <w:szCs w:val="19"/>
                <w:b w:val="1"/>
                <w:bCs w:val="1"/>
                <w:i w:val="1"/>
                <w:iCs w:val="1"/>
                <w:color w:val="auto"/>
                <w:w w:val="99"/>
              </w:rPr>
              <w:t>THE SECURITIES ACT OF 1933</w:t>
            </w:r>
          </w:p>
        </w:tc>
      </w:tr>
      <w:tr>
        <w:trPr>
          <w:trHeight w:val="630"/>
        </w:trPr>
        <w:tc>
          <w:tcPr>
            <w:tcW w:w="1980" w:type="dxa"/>
            <w:vAlign w:val="bottom"/>
          </w:tcPr>
          <w:p>
            <w:pPr>
              <w:spacing w:after="0"/>
              <w:rPr>
                <w:sz w:val="24"/>
                <w:szCs w:val="24"/>
                <w:color w:val="auto"/>
              </w:rPr>
            </w:pPr>
          </w:p>
        </w:tc>
        <w:tc>
          <w:tcPr>
            <w:tcW w:w="7080" w:type="dxa"/>
            <w:vAlign w:val="bottom"/>
          </w:tcPr>
          <w:p>
            <w:pPr>
              <w:jc w:val="center"/>
              <w:ind w:right="1855"/>
              <w:spacing w:after="0"/>
              <w:rPr>
                <w:sz w:val="20"/>
                <w:szCs w:val="20"/>
                <w:color w:val="auto"/>
              </w:rPr>
            </w:pPr>
            <w:r>
              <w:rPr>
                <w:rFonts w:ascii="Times New Roman" w:cs="Times New Roman" w:eastAsia="Times New Roman" w:hAnsi="Times New Roman"/>
                <w:sz w:val="39"/>
                <w:szCs w:val="39"/>
                <w:b w:val="1"/>
                <w:bCs w:val="1"/>
                <w:color w:val="auto"/>
                <w:w w:val="97"/>
              </w:rPr>
              <w:t>AVITA MEDICAL, INC.</w:t>
            </w:r>
          </w:p>
        </w:tc>
      </w:tr>
      <w:tr>
        <w:trPr>
          <w:trHeight w:val="212"/>
        </w:trPr>
        <w:tc>
          <w:tcPr>
            <w:tcW w:w="1980" w:type="dxa"/>
            <w:vAlign w:val="bottom"/>
          </w:tcPr>
          <w:p>
            <w:pPr>
              <w:spacing w:after="0"/>
              <w:rPr>
                <w:sz w:val="18"/>
                <w:szCs w:val="18"/>
                <w:color w:val="auto"/>
              </w:rPr>
            </w:pPr>
          </w:p>
        </w:tc>
        <w:tc>
          <w:tcPr>
            <w:tcW w:w="7080" w:type="dxa"/>
            <w:vAlign w:val="bottom"/>
          </w:tcPr>
          <w:p>
            <w:pPr>
              <w:jc w:val="center"/>
              <w:ind w:right="1855"/>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r>
      <w:tr>
        <w:trPr>
          <w:trHeight w:val="404"/>
        </w:trPr>
        <w:tc>
          <w:tcPr>
            <w:tcW w:w="1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7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85-1021707</w:t>
            </w:r>
          </w:p>
        </w:tc>
      </w:tr>
      <w:tr>
        <w:trPr>
          <w:trHeight w:val="135"/>
        </w:trPr>
        <w:tc>
          <w:tcPr>
            <w:tcW w:w="198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(State or other jurisdiction of</w:t>
            </w:r>
          </w:p>
        </w:tc>
        <w:tc>
          <w:tcPr>
            <w:tcW w:w="70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66"/>
        </w:trPr>
        <w:tc>
          <w:tcPr>
            <w:tcW w:w="19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tc>
        <w:tc>
          <w:tcPr>
            <w:tcW w:w="70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594"/>
        </w:trPr>
        <w:tc>
          <w:tcPr>
            <w:tcW w:w="1980" w:type="dxa"/>
            <w:vAlign w:val="bottom"/>
          </w:tcPr>
          <w:p>
            <w:pPr>
              <w:spacing w:after="0"/>
              <w:rPr>
                <w:sz w:val="24"/>
                <w:szCs w:val="24"/>
                <w:color w:val="auto"/>
              </w:rPr>
            </w:pPr>
          </w:p>
        </w:tc>
        <w:tc>
          <w:tcPr>
            <w:tcW w:w="7080" w:type="dxa"/>
            <w:vAlign w:val="bottom"/>
          </w:tcPr>
          <w:p>
            <w:pPr>
              <w:jc w:val="center"/>
              <w:ind w:right="1855"/>
              <w:spacing w:after="0"/>
              <w:rPr>
                <w:sz w:val="20"/>
                <w:szCs w:val="20"/>
                <w:color w:val="auto"/>
              </w:rPr>
            </w:pPr>
            <w:r>
              <w:rPr>
                <w:rFonts w:ascii="Times New Roman" w:cs="Times New Roman" w:eastAsia="Times New Roman" w:hAnsi="Times New Roman"/>
                <w:sz w:val="16"/>
                <w:szCs w:val="16"/>
                <w:b w:val="1"/>
                <w:bCs w:val="1"/>
                <w:color w:val="auto"/>
              </w:rPr>
              <w:t>28159 Avenue Stanford, Suite 220</w:t>
            </w:r>
          </w:p>
        </w:tc>
      </w:tr>
      <w:tr>
        <w:trPr>
          <w:trHeight w:val="203"/>
        </w:trPr>
        <w:tc>
          <w:tcPr>
            <w:tcW w:w="1980" w:type="dxa"/>
            <w:vAlign w:val="bottom"/>
          </w:tcPr>
          <w:p>
            <w:pPr>
              <w:spacing w:after="0"/>
              <w:rPr>
                <w:sz w:val="17"/>
                <w:szCs w:val="17"/>
                <w:color w:val="auto"/>
              </w:rPr>
            </w:pPr>
          </w:p>
        </w:tc>
        <w:tc>
          <w:tcPr>
            <w:tcW w:w="7080" w:type="dxa"/>
            <w:vAlign w:val="bottom"/>
          </w:tcPr>
          <w:p>
            <w:pPr>
              <w:jc w:val="center"/>
              <w:ind w:right="1855"/>
              <w:spacing w:after="0"/>
              <w:rPr>
                <w:sz w:val="20"/>
                <w:szCs w:val="20"/>
                <w:color w:val="auto"/>
              </w:rPr>
            </w:pPr>
            <w:r>
              <w:rPr>
                <w:rFonts w:ascii="Times New Roman" w:cs="Times New Roman" w:eastAsia="Times New Roman" w:hAnsi="Times New Roman"/>
                <w:sz w:val="16"/>
                <w:szCs w:val="16"/>
                <w:b w:val="1"/>
                <w:bCs w:val="1"/>
                <w:color w:val="auto"/>
                <w:w w:val="99"/>
              </w:rPr>
              <w:t>Valencia, CA 91355</w:t>
            </w:r>
          </w:p>
        </w:tc>
      </w:tr>
      <w:tr>
        <w:trPr>
          <w:trHeight w:val="198"/>
        </w:trPr>
        <w:tc>
          <w:tcPr>
            <w:tcW w:w="1980" w:type="dxa"/>
            <w:vAlign w:val="bottom"/>
          </w:tcPr>
          <w:p>
            <w:pPr>
              <w:spacing w:after="0"/>
              <w:rPr>
                <w:sz w:val="17"/>
                <w:szCs w:val="17"/>
                <w:color w:val="auto"/>
              </w:rPr>
            </w:pPr>
          </w:p>
        </w:tc>
        <w:tc>
          <w:tcPr>
            <w:tcW w:w="7080" w:type="dxa"/>
            <w:vAlign w:val="bottom"/>
          </w:tcPr>
          <w:p>
            <w:pPr>
              <w:jc w:val="center"/>
              <w:ind w:right="1855"/>
              <w:spacing w:after="0"/>
              <w:rPr>
                <w:sz w:val="20"/>
                <w:szCs w:val="20"/>
                <w:color w:val="auto"/>
              </w:rPr>
            </w:pPr>
            <w:r>
              <w:rPr>
                <w:rFonts w:ascii="Times New Roman" w:cs="Times New Roman" w:eastAsia="Times New Roman" w:hAnsi="Times New Roman"/>
                <w:sz w:val="16"/>
                <w:szCs w:val="16"/>
                <w:b w:val="1"/>
                <w:bCs w:val="1"/>
                <w:color w:val="auto"/>
              </w:rPr>
              <w:t>(661) 367-9170</w:t>
            </w:r>
          </w:p>
        </w:tc>
      </w:tr>
      <w:tr>
        <w:trPr>
          <w:trHeight w:val="166"/>
        </w:trPr>
        <w:tc>
          <w:tcPr>
            <w:tcW w:w="1980" w:type="dxa"/>
            <w:vAlign w:val="bottom"/>
          </w:tcPr>
          <w:p>
            <w:pPr>
              <w:spacing w:after="0"/>
              <w:rPr>
                <w:sz w:val="14"/>
                <w:szCs w:val="14"/>
                <w:color w:val="auto"/>
              </w:rPr>
            </w:pPr>
          </w:p>
        </w:tc>
        <w:tc>
          <w:tcPr>
            <w:tcW w:w="7080" w:type="dxa"/>
            <w:vAlign w:val="bottom"/>
          </w:tcPr>
          <w:p>
            <w:pPr>
              <w:jc w:val="center"/>
              <w:ind w:right="1855"/>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r>
      <w:tr>
        <w:trPr>
          <w:trHeight w:val="306"/>
        </w:trPr>
        <w:tc>
          <w:tcPr>
            <w:tcW w:w="1980" w:type="dxa"/>
            <w:vAlign w:val="bottom"/>
          </w:tcPr>
          <w:p>
            <w:pPr>
              <w:spacing w:after="0"/>
              <w:rPr>
                <w:sz w:val="24"/>
                <w:szCs w:val="24"/>
                <w:color w:val="auto"/>
              </w:rPr>
            </w:pPr>
          </w:p>
        </w:tc>
        <w:tc>
          <w:tcPr>
            <w:tcW w:w="7080" w:type="dxa"/>
            <w:vAlign w:val="bottom"/>
          </w:tcPr>
          <w:p>
            <w:pPr>
              <w:jc w:val="center"/>
              <w:ind w:right="1855"/>
              <w:spacing w:after="0"/>
              <w:rPr>
                <w:sz w:val="20"/>
                <w:szCs w:val="20"/>
                <w:color w:val="auto"/>
              </w:rPr>
            </w:pPr>
            <w:r>
              <w:rPr>
                <w:rFonts w:ascii="Times New Roman" w:cs="Times New Roman" w:eastAsia="Times New Roman" w:hAnsi="Times New Roman"/>
                <w:sz w:val="16"/>
                <w:szCs w:val="16"/>
                <w:b w:val="1"/>
                <w:bCs w:val="1"/>
                <w:color w:val="auto"/>
              </w:rPr>
              <w:t>Individual Stock Option Award Agreements</w:t>
            </w:r>
          </w:p>
        </w:tc>
      </w:tr>
      <w:tr>
        <w:trPr>
          <w:trHeight w:val="166"/>
        </w:trPr>
        <w:tc>
          <w:tcPr>
            <w:tcW w:w="1980" w:type="dxa"/>
            <w:vAlign w:val="bottom"/>
          </w:tcPr>
          <w:p>
            <w:pPr>
              <w:spacing w:after="0"/>
              <w:rPr>
                <w:sz w:val="14"/>
                <w:szCs w:val="14"/>
                <w:color w:val="auto"/>
              </w:rPr>
            </w:pPr>
          </w:p>
        </w:tc>
        <w:tc>
          <w:tcPr>
            <w:tcW w:w="7080" w:type="dxa"/>
            <w:vAlign w:val="bottom"/>
          </w:tcPr>
          <w:p>
            <w:pPr>
              <w:jc w:val="center"/>
              <w:ind w:right="1855"/>
              <w:spacing w:after="0"/>
              <w:rPr>
                <w:sz w:val="20"/>
                <w:szCs w:val="20"/>
                <w:color w:val="auto"/>
              </w:rPr>
            </w:pPr>
            <w:r>
              <w:rPr>
                <w:rFonts w:ascii="Times New Roman" w:cs="Times New Roman" w:eastAsia="Times New Roman" w:hAnsi="Times New Roman"/>
                <w:sz w:val="13"/>
                <w:szCs w:val="13"/>
                <w:b w:val="1"/>
                <w:bCs w:val="1"/>
                <w:color w:val="auto"/>
                <w:w w:val="97"/>
              </w:rPr>
              <w:t>(Full Title of the Plans)</w:t>
            </w:r>
          </w:p>
        </w:tc>
      </w:tr>
      <w:tr>
        <w:trPr>
          <w:trHeight w:val="311"/>
        </w:trPr>
        <w:tc>
          <w:tcPr>
            <w:tcW w:w="1980" w:type="dxa"/>
            <w:vAlign w:val="bottom"/>
          </w:tcPr>
          <w:p>
            <w:pPr>
              <w:spacing w:after="0"/>
              <w:rPr>
                <w:sz w:val="24"/>
                <w:szCs w:val="24"/>
                <w:color w:val="auto"/>
              </w:rPr>
            </w:pPr>
          </w:p>
        </w:tc>
        <w:tc>
          <w:tcPr>
            <w:tcW w:w="7080" w:type="dxa"/>
            <w:vAlign w:val="bottom"/>
          </w:tcPr>
          <w:p>
            <w:pPr>
              <w:jc w:val="center"/>
              <w:ind w:right="1855"/>
              <w:spacing w:after="0"/>
              <w:rPr>
                <w:sz w:val="20"/>
                <w:szCs w:val="20"/>
                <w:color w:val="auto"/>
              </w:rPr>
            </w:pPr>
            <w:r>
              <w:rPr>
                <w:rFonts w:ascii="Times New Roman" w:cs="Times New Roman" w:eastAsia="Times New Roman" w:hAnsi="Times New Roman"/>
                <w:sz w:val="16"/>
                <w:szCs w:val="16"/>
                <w:b w:val="1"/>
                <w:bCs w:val="1"/>
                <w:color w:val="auto"/>
              </w:rPr>
              <w:t>Nicole Kelsey</w:t>
            </w:r>
          </w:p>
        </w:tc>
      </w:tr>
      <w:tr>
        <w:trPr>
          <w:trHeight w:val="203"/>
        </w:trPr>
        <w:tc>
          <w:tcPr>
            <w:tcW w:w="1980" w:type="dxa"/>
            <w:vAlign w:val="bottom"/>
          </w:tcPr>
          <w:p>
            <w:pPr>
              <w:spacing w:after="0"/>
              <w:rPr>
                <w:sz w:val="17"/>
                <w:szCs w:val="17"/>
                <w:color w:val="auto"/>
              </w:rPr>
            </w:pPr>
          </w:p>
        </w:tc>
        <w:tc>
          <w:tcPr>
            <w:tcW w:w="7080" w:type="dxa"/>
            <w:vAlign w:val="bottom"/>
          </w:tcPr>
          <w:p>
            <w:pPr>
              <w:jc w:val="center"/>
              <w:ind w:right="1855"/>
              <w:spacing w:after="0"/>
              <w:rPr>
                <w:sz w:val="20"/>
                <w:szCs w:val="20"/>
                <w:color w:val="auto"/>
              </w:rPr>
            </w:pPr>
            <w:r>
              <w:rPr>
                <w:rFonts w:ascii="Times New Roman" w:cs="Times New Roman" w:eastAsia="Times New Roman" w:hAnsi="Times New Roman"/>
                <w:sz w:val="16"/>
                <w:szCs w:val="16"/>
                <w:b w:val="1"/>
                <w:bCs w:val="1"/>
                <w:color w:val="auto"/>
              </w:rPr>
              <w:t>28159 Avenue Stanford, Suite 220</w:t>
            </w:r>
          </w:p>
        </w:tc>
      </w:tr>
      <w:tr>
        <w:trPr>
          <w:trHeight w:val="203"/>
        </w:trPr>
        <w:tc>
          <w:tcPr>
            <w:tcW w:w="1980" w:type="dxa"/>
            <w:vAlign w:val="bottom"/>
          </w:tcPr>
          <w:p>
            <w:pPr>
              <w:spacing w:after="0"/>
              <w:rPr>
                <w:sz w:val="17"/>
                <w:szCs w:val="17"/>
                <w:color w:val="auto"/>
              </w:rPr>
            </w:pPr>
          </w:p>
        </w:tc>
        <w:tc>
          <w:tcPr>
            <w:tcW w:w="7080" w:type="dxa"/>
            <w:vAlign w:val="bottom"/>
          </w:tcPr>
          <w:p>
            <w:pPr>
              <w:jc w:val="center"/>
              <w:ind w:right="1855"/>
              <w:spacing w:after="0"/>
              <w:rPr>
                <w:sz w:val="20"/>
                <w:szCs w:val="20"/>
                <w:color w:val="auto"/>
              </w:rPr>
            </w:pPr>
            <w:r>
              <w:rPr>
                <w:rFonts w:ascii="Times New Roman" w:cs="Times New Roman" w:eastAsia="Times New Roman" w:hAnsi="Times New Roman"/>
                <w:sz w:val="16"/>
                <w:szCs w:val="16"/>
                <w:b w:val="1"/>
                <w:bCs w:val="1"/>
                <w:color w:val="auto"/>
                <w:w w:val="99"/>
              </w:rPr>
              <w:t>Valencia, CA 91355</w:t>
            </w:r>
          </w:p>
        </w:tc>
      </w:tr>
      <w:tr>
        <w:trPr>
          <w:trHeight w:val="198"/>
        </w:trPr>
        <w:tc>
          <w:tcPr>
            <w:tcW w:w="1980" w:type="dxa"/>
            <w:vAlign w:val="bottom"/>
          </w:tcPr>
          <w:p>
            <w:pPr>
              <w:spacing w:after="0"/>
              <w:rPr>
                <w:sz w:val="17"/>
                <w:szCs w:val="17"/>
                <w:color w:val="auto"/>
              </w:rPr>
            </w:pPr>
          </w:p>
        </w:tc>
        <w:tc>
          <w:tcPr>
            <w:tcW w:w="7080" w:type="dxa"/>
            <w:vAlign w:val="bottom"/>
          </w:tcPr>
          <w:p>
            <w:pPr>
              <w:jc w:val="center"/>
              <w:ind w:right="1855"/>
              <w:spacing w:after="0"/>
              <w:rPr>
                <w:sz w:val="20"/>
                <w:szCs w:val="20"/>
                <w:color w:val="auto"/>
              </w:rPr>
            </w:pPr>
            <w:r>
              <w:rPr>
                <w:rFonts w:ascii="Times New Roman" w:cs="Times New Roman" w:eastAsia="Times New Roman" w:hAnsi="Times New Roman"/>
                <w:sz w:val="16"/>
                <w:szCs w:val="16"/>
                <w:b w:val="1"/>
                <w:bCs w:val="1"/>
                <w:color w:val="auto"/>
              </w:rPr>
              <w:t>(661) 367-9170</w:t>
            </w:r>
          </w:p>
        </w:tc>
      </w:tr>
      <w:tr>
        <w:trPr>
          <w:trHeight w:val="166"/>
        </w:trPr>
        <w:tc>
          <w:tcPr>
            <w:tcW w:w="1980" w:type="dxa"/>
            <w:vAlign w:val="bottom"/>
          </w:tcPr>
          <w:p>
            <w:pPr>
              <w:spacing w:after="0"/>
              <w:rPr>
                <w:sz w:val="14"/>
                <w:szCs w:val="14"/>
                <w:color w:val="auto"/>
              </w:rPr>
            </w:pPr>
          </w:p>
        </w:tc>
        <w:tc>
          <w:tcPr>
            <w:tcW w:w="7080" w:type="dxa"/>
            <w:vAlign w:val="bottom"/>
          </w:tcPr>
          <w:p>
            <w:pPr>
              <w:jc w:val="center"/>
              <w:ind w:right="1855"/>
              <w:spacing w:after="0"/>
              <w:rPr>
                <w:sz w:val="20"/>
                <w:szCs w:val="20"/>
                <w:color w:val="auto"/>
              </w:rPr>
            </w:pPr>
            <w:r>
              <w:rPr>
                <w:rFonts w:ascii="Times New Roman" w:cs="Times New Roman" w:eastAsia="Times New Roman" w:hAnsi="Times New Roman"/>
                <w:sz w:val="13"/>
                <w:szCs w:val="13"/>
                <w:b w:val="1"/>
                <w:bCs w:val="1"/>
                <w:color w:val="auto"/>
                <w:w w:val="96"/>
              </w:rPr>
              <w:t>(Name, Address and Telephone Number, Including Area Code, of Agent for Service)</w:t>
            </w:r>
          </w:p>
        </w:tc>
      </w:tr>
      <w:tr>
        <w:trPr>
          <w:trHeight w:val="311"/>
        </w:trPr>
        <w:tc>
          <w:tcPr>
            <w:tcW w:w="1980" w:type="dxa"/>
            <w:vAlign w:val="bottom"/>
          </w:tcPr>
          <w:p>
            <w:pPr>
              <w:spacing w:after="0"/>
              <w:rPr>
                <w:sz w:val="24"/>
                <w:szCs w:val="24"/>
                <w:color w:val="auto"/>
              </w:rPr>
            </w:pPr>
          </w:p>
        </w:tc>
        <w:tc>
          <w:tcPr>
            <w:tcW w:w="7080" w:type="dxa"/>
            <w:vAlign w:val="bottom"/>
          </w:tcPr>
          <w:p>
            <w:pPr>
              <w:jc w:val="center"/>
              <w:ind w:right="1855"/>
              <w:spacing w:after="0"/>
              <w:rPr>
                <w:sz w:val="20"/>
                <w:szCs w:val="20"/>
                <w:color w:val="auto"/>
              </w:rPr>
            </w:pPr>
            <w:r>
              <w:rPr>
                <w:rFonts w:ascii="Times New Roman" w:cs="Times New Roman" w:eastAsia="Times New Roman" w:hAnsi="Times New Roman"/>
                <w:sz w:val="16"/>
                <w:szCs w:val="16"/>
                <w:b w:val="1"/>
                <w:bCs w:val="1"/>
                <w:i w:val="1"/>
                <w:iCs w:val="1"/>
                <w:color w:val="auto"/>
              </w:rPr>
              <w:t>Copy to:</w:t>
            </w:r>
          </w:p>
        </w:tc>
      </w:tr>
      <w:tr>
        <w:trPr>
          <w:trHeight w:val="203"/>
        </w:trPr>
        <w:tc>
          <w:tcPr>
            <w:tcW w:w="1980" w:type="dxa"/>
            <w:vAlign w:val="bottom"/>
          </w:tcPr>
          <w:p>
            <w:pPr>
              <w:spacing w:after="0"/>
              <w:rPr>
                <w:sz w:val="17"/>
                <w:szCs w:val="17"/>
                <w:color w:val="auto"/>
              </w:rPr>
            </w:pPr>
          </w:p>
        </w:tc>
        <w:tc>
          <w:tcPr>
            <w:tcW w:w="7080" w:type="dxa"/>
            <w:vAlign w:val="bottom"/>
          </w:tcPr>
          <w:p>
            <w:pPr>
              <w:jc w:val="center"/>
              <w:ind w:right="1855"/>
              <w:spacing w:after="0"/>
              <w:rPr>
                <w:sz w:val="20"/>
                <w:szCs w:val="20"/>
                <w:color w:val="auto"/>
              </w:rPr>
            </w:pPr>
            <w:r>
              <w:rPr>
                <w:rFonts w:ascii="Times New Roman" w:cs="Times New Roman" w:eastAsia="Times New Roman" w:hAnsi="Times New Roman"/>
                <w:sz w:val="16"/>
                <w:szCs w:val="16"/>
                <w:b w:val="1"/>
                <w:bCs w:val="1"/>
                <w:color w:val="auto"/>
              </w:rPr>
              <w:t>Christopher H. Cunningham</w:t>
            </w:r>
          </w:p>
        </w:tc>
      </w:tr>
      <w:tr>
        <w:trPr>
          <w:trHeight w:val="203"/>
        </w:trPr>
        <w:tc>
          <w:tcPr>
            <w:tcW w:w="1980" w:type="dxa"/>
            <w:vAlign w:val="bottom"/>
          </w:tcPr>
          <w:p>
            <w:pPr>
              <w:spacing w:after="0"/>
              <w:rPr>
                <w:sz w:val="17"/>
                <w:szCs w:val="17"/>
                <w:color w:val="auto"/>
              </w:rPr>
            </w:pPr>
          </w:p>
        </w:tc>
        <w:tc>
          <w:tcPr>
            <w:tcW w:w="7080" w:type="dxa"/>
            <w:vAlign w:val="bottom"/>
          </w:tcPr>
          <w:p>
            <w:pPr>
              <w:jc w:val="center"/>
              <w:ind w:right="1835"/>
              <w:spacing w:after="0"/>
              <w:rPr>
                <w:sz w:val="20"/>
                <w:szCs w:val="20"/>
                <w:color w:val="auto"/>
              </w:rPr>
            </w:pPr>
            <w:r>
              <w:rPr>
                <w:rFonts w:ascii="Times New Roman" w:cs="Times New Roman" w:eastAsia="Times New Roman" w:hAnsi="Times New Roman"/>
                <w:sz w:val="16"/>
                <w:szCs w:val="16"/>
                <w:b w:val="1"/>
                <w:bCs w:val="1"/>
                <w:color w:val="auto"/>
              </w:rPr>
              <w:t>Coleman Wombwell</w:t>
            </w:r>
          </w:p>
        </w:tc>
      </w:tr>
      <w:tr>
        <w:trPr>
          <w:trHeight w:val="203"/>
        </w:trPr>
        <w:tc>
          <w:tcPr>
            <w:tcW w:w="1980" w:type="dxa"/>
            <w:vAlign w:val="bottom"/>
          </w:tcPr>
          <w:p>
            <w:pPr>
              <w:spacing w:after="0"/>
              <w:rPr>
                <w:sz w:val="17"/>
                <w:szCs w:val="17"/>
                <w:color w:val="auto"/>
              </w:rPr>
            </w:pPr>
          </w:p>
        </w:tc>
        <w:tc>
          <w:tcPr>
            <w:tcW w:w="7080" w:type="dxa"/>
            <w:vAlign w:val="bottom"/>
          </w:tcPr>
          <w:p>
            <w:pPr>
              <w:jc w:val="center"/>
              <w:ind w:right="1875"/>
              <w:spacing w:after="0"/>
              <w:rPr>
                <w:sz w:val="20"/>
                <w:szCs w:val="20"/>
                <w:color w:val="auto"/>
              </w:rPr>
            </w:pPr>
            <w:r>
              <w:rPr>
                <w:rFonts w:ascii="Times New Roman" w:cs="Times New Roman" w:eastAsia="Times New Roman" w:hAnsi="Times New Roman"/>
                <w:sz w:val="16"/>
                <w:szCs w:val="16"/>
                <w:b w:val="1"/>
                <w:bCs w:val="1"/>
                <w:color w:val="auto"/>
              </w:rPr>
              <w:t>K&amp;L Gates LLP</w:t>
            </w:r>
          </w:p>
        </w:tc>
      </w:tr>
      <w:tr>
        <w:trPr>
          <w:trHeight w:val="203"/>
        </w:trPr>
        <w:tc>
          <w:tcPr>
            <w:tcW w:w="1980" w:type="dxa"/>
            <w:vAlign w:val="bottom"/>
          </w:tcPr>
          <w:p>
            <w:pPr>
              <w:spacing w:after="0"/>
              <w:rPr>
                <w:sz w:val="17"/>
                <w:szCs w:val="17"/>
                <w:color w:val="auto"/>
              </w:rPr>
            </w:pPr>
          </w:p>
        </w:tc>
        <w:tc>
          <w:tcPr>
            <w:tcW w:w="7080" w:type="dxa"/>
            <w:vAlign w:val="bottom"/>
          </w:tcPr>
          <w:p>
            <w:pPr>
              <w:jc w:val="center"/>
              <w:ind w:right="1855"/>
              <w:spacing w:after="0"/>
              <w:rPr>
                <w:sz w:val="20"/>
                <w:szCs w:val="20"/>
                <w:color w:val="auto"/>
              </w:rPr>
            </w:pPr>
            <w:r>
              <w:rPr>
                <w:rFonts w:ascii="Times New Roman" w:cs="Times New Roman" w:eastAsia="Times New Roman" w:hAnsi="Times New Roman"/>
                <w:sz w:val="16"/>
                <w:szCs w:val="16"/>
                <w:b w:val="1"/>
                <w:bCs w:val="1"/>
                <w:color w:val="auto"/>
                <w:w w:val="99"/>
              </w:rPr>
              <w:t>925 Fourth Avenue, Suite 2900</w:t>
            </w:r>
          </w:p>
        </w:tc>
      </w:tr>
      <w:tr>
        <w:trPr>
          <w:trHeight w:val="203"/>
        </w:trPr>
        <w:tc>
          <w:tcPr>
            <w:tcW w:w="1980" w:type="dxa"/>
            <w:vAlign w:val="bottom"/>
          </w:tcPr>
          <w:p>
            <w:pPr>
              <w:spacing w:after="0"/>
              <w:rPr>
                <w:sz w:val="17"/>
                <w:szCs w:val="17"/>
                <w:color w:val="auto"/>
              </w:rPr>
            </w:pPr>
          </w:p>
        </w:tc>
        <w:tc>
          <w:tcPr>
            <w:tcW w:w="7080" w:type="dxa"/>
            <w:vAlign w:val="bottom"/>
          </w:tcPr>
          <w:p>
            <w:pPr>
              <w:jc w:val="center"/>
              <w:ind w:right="1855"/>
              <w:spacing w:after="0"/>
              <w:rPr>
                <w:sz w:val="20"/>
                <w:szCs w:val="20"/>
                <w:color w:val="auto"/>
              </w:rPr>
            </w:pPr>
            <w:r>
              <w:rPr>
                <w:rFonts w:ascii="Times New Roman" w:cs="Times New Roman" w:eastAsia="Times New Roman" w:hAnsi="Times New Roman"/>
                <w:sz w:val="16"/>
                <w:szCs w:val="16"/>
                <w:b w:val="1"/>
                <w:bCs w:val="1"/>
                <w:color w:val="auto"/>
              </w:rPr>
              <w:t>Seattle, Washington 98104</w:t>
            </w:r>
          </w:p>
        </w:tc>
      </w:tr>
      <w:tr>
        <w:trPr>
          <w:trHeight w:val="212"/>
        </w:trPr>
        <w:tc>
          <w:tcPr>
            <w:tcW w:w="1980" w:type="dxa"/>
            <w:vAlign w:val="bottom"/>
          </w:tcPr>
          <w:p>
            <w:pPr>
              <w:spacing w:after="0"/>
              <w:rPr>
                <w:sz w:val="18"/>
                <w:szCs w:val="18"/>
                <w:color w:val="auto"/>
              </w:rPr>
            </w:pPr>
          </w:p>
        </w:tc>
        <w:tc>
          <w:tcPr>
            <w:tcW w:w="7080" w:type="dxa"/>
            <w:vAlign w:val="bottom"/>
          </w:tcPr>
          <w:p>
            <w:pPr>
              <w:jc w:val="center"/>
              <w:ind w:right="1855"/>
              <w:spacing w:after="0"/>
              <w:rPr>
                <w:sz w:val="20"/>
                <w:szCs w:val="20"/>
                <w:color w:val="auto"/>
              </w:rPr>
            </w:pPr>
            <w:r>
              <w:rPr>
                <w:rFonts w:ascii="Times New Roman" w:cs="Times New Roman" w:eastAsia="Times New Roman" w:hAnsi="Times New Roman"/>
                <w:sz w:val="16"/>
                <w:szCs w:val="16"/>
                <w:b w:val="1"/>
                <w:bCs w:val="1"/>
                <w:color w:val="auto"/>
              </w:rPr>
              <w:t>(206) 623-7580</w:t>
            </w:r>
          </w:p>
        </w:tc>
      </w:tr>
    </w:tbl>
    <w:p>
      <w:pPr>
        <w:spacing w:after="0" w:line="195" w:lineRule="exact"/>
        <w:rPr>
          <w:sz w:val="24"/>
          <w:szCs w:val="24"/>
          <w:color w:val="auto"/>
        </w:rPr>
      </w:pPr>
    </w:p>
    <w:p>
      <w:pPr>
        <w:ind w:right="220"/>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142" w:lineRule="exact"/>
        <w:rPr>
          <w:sz w:val="24"/>
          <w:szCs w:val="24"/>
          <w:color w:val="auto"/>
        </w:rPr>
      </w:pPr>
    </w:p>
    <w:tbl>
      <w:tblPr>
        <w:tblLayout w:type="fixed"/>
        <w:tblInd w:w="20" w:type="dxa"/>
        <w:tblCellMar>
          <w:top w:w="0" w:type="dxa"/>
          <w:left w:w="0" w:type="dxa"/>
          <w:bottom w:w="0" w:type="dxa"/>
          <w:right w:w="0" w:type="dxa"/>
        </w:tblCellMar>
      </w:tblPr>
      <w:tr>
        <w:trPr>
          <w:trHeight w:val="256"/>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28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2900"/>
              <w:spacing w:after="0"/>
              <w:rPr>
                <w:sz w:val="20"/>
                <w:szCs w:val="20"/>
                <w:color w:val="auto"/>
              </w:rPr>
            </w:pPr>
            <w:r>
              <w:rPr>
                <w:rFonts w:ascii="Times New Roman" w:cs="Times New Roman" w:eastAsia="Times New Roman" w:hAnsi="Times New Roman"/>
                <w:sz w:val="16"/>
                <w:szCs w:val="16"/>
                <w:color w:val="auto"/>
              </w:rPr>
              <w:t>Accelerated filer</w:t>
            </w:r>
          </w:p>
        </w:tc>
        <w:tc>
          <w:tcPr>
            <w:tcW w:w="660" w:type="dxa"/>
            <w:vAlign w:val="bottom"/>
          </w:tcPr>
          <w:p>
            <w:pPr>
              <w:ind w:left="5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3"/>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28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29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60" w:type="dxa"/>
            <w:vAlign w:val="bottom"/>
          </w:tcPr>
          <w:p>
            <w:pPr>
              <w:ind w:left="5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83"/>
        </w:trPr>
        <w:tc>
          <w:tcPr>
            <w:tcW w:w="17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5180" w:type="dxa"/>
            <w:vAlign w:val="bottom"/>
          </w:tcPr>
          <w:p>
            <w:pPr>
              <w:ind w:left="2900"/>
              <w:spacing w:after="0"/>
              <w:rPr>
                <w:sz w:val="20"/>
                <w:szCs w:val="20"/>
                <w:color w:val="auto"/>
              </w:rPr>
            </w:pPr>
            <w:r>
              <w:rPr>
                <w:rFonts w:ascii="Times New Roman" w:cs="Times New Roman" w:eastAsia="Times New Roman" w:hAnsi="Times New Roman"/>
                <w:sz w:val="16"/>
                <w:szCs w:val="16"/>
                <w:color w:val="auto"/>
              </w:rPr>
              <w:t>Emerging growth company</w:t>
            </w:r>
          </w:p>
        </w:tc>
        <w:tc>
          <w:tcPr>
            <w:tcW w:w="660" w:type="dxa"/>
            <w:vAlign w:val="bottom"/>
          </w:tcPr>
          <w:p>
            <w:pPr>
              <w:ind w:left="50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235" w:lineRule="exact"/>
        <w:rPr>
          <w:sz w:val="24"/>
          <w:szCs w:val="24"/>
          <w:color w:val="auto"/>
        </w:rPr>
      </w:pPr>
    </w:p>
    <w:p>
      <w:pPr>
        <w:ind w:right="42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62"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EXPLANATORY NOTE</w:t>
      </w:r>
    </w:p>
    <w:p>
      <w:pPr>
        <w:spacing w:after="0" w:line="237" w:lineRule="exact"/>
        <w:rPr>
          <w:sz w:val="24"/>
          <w:szCs w:val="24"/>
          <w:color w:val="auto"/>
        </w:rPr>
      </w:pPr>
    </w:p>
    <w:p>
      <w:pPr>
        <w:ind w:right="320"/>
        <w:spacing w:after="0" w:line="281" w:lineRule="auto"/>
        <w:rPr>
          <w:sz w:val="20"/>
          <w:szCs w:val="20"/>
          <w:color w:val="auto"/>
        </w:rPr>
      </w:pPr>
      <w:r>
        <w:rPr>
          <w:rFonts w:ascii="Times New Roman" w:cs="Times New Roman" w:eastAsia="Times New Roman" w:hAnsi="Times New Roman"/>
          <w:sz w:val="16"/>
          <w:szCs w:val="16"/>
          <w:color w:val="auto"/>
        </w:rPr>
        <w:t>This Registration Statement on Form S-8 is being filed to register (i) an aggregate of 428,858 shares of common stock that are issuable upon the exercise of stock options and the vesting of restricted stock units ("RSUs") granted pursuant to individual stock option award and RSU award agreements approved by the Registrant’s stockholders at the Registrant’s 2024 Annual Meetings of Stockholders.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-108585</wp:posOffset>
            </wp:positionH>
            <wp:positionV relativeFrom="paragraph">
              <wp:posOffset>588645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80" w:top="1096" w:right="339" w:bottom="1440" w:gutter="0" w:footer="0" w:header="0"/>
        </w:sectPr>
      </w:pPr>
    </w:p>
    <w:bookmarkStart w:id="1" w:name="page2"/>
    <w:bookmarkEnd w:id="1"/>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2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INFORMATION REQUIRED IN THE SECTION 10(a) PROSPECTUS</w:t>
      </w:r>
    </w:p>
    <w:p>
      <w:pPr>
        <w:spacing w:after="0" w:line="240"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6"/>
          <w:szCs w:val="16"/>
          <w:color w:val="auto"/>
        </w:rPr>
        <w:t>The documents containing the information specified in Part I of Form S-8 will be sent or given to participants as specified by Rule 428(b)(1) of the Securities Act. These documents and the documents incorporated by reference into this registration statement pursuant to Item 3 of Part II of this registration statement, taken together, constitute a prospectus that meets the requirements of Section 10(a) of the Securities Act.</w:t>
      </w:r>
    </w:p>
    <w:p>
      <w:pPr>
        <w:spacing w:after="0" w:line="17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INFORMATION REQUIRED IN THE REGISTRATION STATEMENT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 this registration statement, AVITA Medical, Inc. is sometimes referred to as “Registrant,” “we,” “us,” “our,” or “AVITA”.</w:t>
      </w:r>
    </w:p>
    <w:p>
      <w:pPr>
        <w:spacing w:after="0" w:line="37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b w:val="1"/>
          <w:bCs w:val="1"/>
          <w:color w:val="auto"/>
        </w:rPr>
        <w:t>Item 3.</w:t>
        <w:tab/>
        <w:t>Incorporation of Documents by Reference.</w:t>
      </w:r>
    </w:p>
    <w:p>
      <w:pPr>
        <w:spacing w:after="0" w:line="129" w:lineRule="exact"/>
        <w:rPr>
          <w:sz w:val="20"/>
          <w:szCs w:val="20"/>
          <w:color w:val="auto"/>
        </w:rPr>
      </w:pPr>
    </w:p>
    <w:p>
      <w:pPr>
        <w:ind w:right="440"/>
        <w:spacing w:after="0" w:line="281" w:lineRule="auto"/>
        <w:rPr>
          <w:sz w:val="20"/>
          <w:szCs w:val="20"/>
          <w:color w:val="auto"/>
        </w:rPr>
      </w:pPr>
      <w:r>
        <w:rPr>
          <w:rFonts w:ascii="Times New Roman" w:cs="Times New Roman" w:eastAsia="Times New Roman" w:hAnsi="Times New Roman"/>
          <w:sz w:val="16"/>
          <w:szCs w:val="16"/>
          <w:color w:val="auto"/>
        </w:rPr>
        <w:t>The Securities and Exchange Commission (the “Commission”) allows us to “incorporate by reference” the information we file with them, which means that we can disclose important information to you by referring you to those documents. The information incorporated by reference is considered to be part of this registration statement, and later information filed with the SEC will update and supersede this information.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hereby incorporate by reference into this registration statement the following documents previously filed with the SEC:</w:t>
      </w:r>
    </w:p>
    <w:p>
      <w:pPr>
        <w:spacing w:after="0" w:line="140" w:lineRule="exact"/>
        <w:rPr>
          <w:sz w:val="20"/>
          <w:szCs w:val="20"/>
          <w:color w:val="auto"/>
        </w:rPr>
      </w:pPr>
    </w:p>
    <w:p>
      <w:pPr>
        <w:ind w:left="1040" w:hanging="563"/>
        <w:spacing w:after="0"/>
        <w:tabs>
          <w:tab w:leader="none" w:pos="10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Our Annual Report on </w:t>
      </w:r>
      <w:hyperlink r:id="rId9">
        <w:r>
          <w:rPr>
            <w:rFonts w:ascii="Times New Roman" w:cs="Times New Roman" w:eastAsia="Times New Roman" w:hAnsi="Times New Roman"/>
            <w:sz w:val="16"/>
            <w:szCs w:val="16"/>
            <w:u w:val="single" w:color="auto"/>
            <w:color w:val="0000ED"/>
          </w:rPr>
          <w:t>Form 10-K</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for the fiscal year ended December 31, 2023 as filed with the Commission on February 22, 2024;</w:t>
      </w:r>
    </w:p>
    <w:p>
      <w:pPr>
        <w:spacing w:after="0" w:line="140" w:lineRule="exact"/>
        <w:rPr>
          <w:rFonts w:ascii="Times New Roman" w:cs="Times New Roman" w:eastAsia="Times New Roman" w:hAnsi="Times New Roman"/>
          <w:sz w:val="16"/>
          <w:szCs w:val="16"/>
          <w:color w:val="auto"/>
        </w:rPr>
      </w:pPr>
    </w:p>
    <w:p>
      <w:pPr>
        <w:ind w:left="1040" w:hanging="563"/>
        <w:spacing w:after="0"/>
        <w:tabs>
          <w:tab w:leader="none" w:pos="10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Our Quarterly Report on </w:t>
      </w:r>
      <w:hyperlink r:id="rId10">
        <w:r>
          <w:rPr>
            <w:rFonts w:ascii="Times New Roman" w:cs="Times New Roman" w:eastAsia="Times New Roman" w:hAnsi="Times New Roman"/>
            <w:sz w:val="16"/>
            <w:szCs w:val="16"/>
            <w:u w:val="single" w:color="auto"/>
            <w:color w:val="0000ED"/>
          </w:rPr>
          <w:t>Form 10-Q</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for the quarterly period ended March 31, 2024 as filed with the Commission on May 13, 2024;</w:t>
      </w:r>
    </w:p>
    <w:p>
      <w:pPr>
        <w:spacing w:after="0" w:line="113" w:lineRule="exact"/>
        <w:rPr>
          <w:rFonts w:ascii="Times New Roman" w:cs="Times New Roman" w:eastAsia="Times New Roman" w:hAnsi="Times New Roman"/>
          <w:sz w:val="16"/>
          <w:szCs w:val="16"/>
          <w:color w:val="auto"/>
        </w:rPr>
      </w:pPr>
    </w:p>
    <w:p>
      <w:pPr>
        <w:ind w:left="1040" w:hanging="563"/>
        <w:spacing w:after="0"/>
        <w:tabs>
          <w:tab w:leader="none" w:pos="1040" w:val="left"/>
        </w:tabs>
        <w:numPr>
          <w:ilvl w:val="0"/>
          <w:numId w:val="1"/>
        </w:numPr>
        <w:rPr>
          <w:rFonts w:ascii="Times New Roman" w:cs="Times New Roman" w:eastAsia="Times New Roman" w:hAnsi="Times New Roman"/>
          <w:sz w:val="16"/>
          <w:szCs w:val="16"/>
          <w:color w:val="auto"/>
        </w:rPr>
      </w:pPr>
      <w:hyperlink r:id="rId11">
        <w:r>
          <w:rPr>
            <w:rFonts w:ascii="Times New Roman" w:cs="Times New Roman" w:eastAsia="Times New Roman" w:hAnsi="Times New Roman"/>
            <w:sz w:val="16"/>
            <w:szCs w:val="16"/>
            <w:u w:val="single" w:color="auto"/>
            <w:color w:val="auto"/>
          </w:rPr>
          <w:t>Our Current Reports on Form 8-K dated</w:t>
        </w:r>
        <w:r>
          <w:rPr>
            <w:rFonts w:ascii="Times New Roman" w:cs="Times New Roman" w:eastAsia="Times New Roman" w:hAnsi="Times New Roman"/>
            <w:sz w:val="16"/>
            <w:szCs w:val="16"/>
            <w:color w:val="auto"/>
          </w:rPr>
          <w:t xml:space="preserve"> </w:t>
        </w:r>
      </w:hyperlink>
      <w:hyperlink r:id="rId12">
        <w:r>
          <w:rPr>
            <w:rFonts w:ascii="Times New Roman" w:cs="Times New Roman" w:eastAsia="Times New Roman" w:hAnsi="Times New Roman"/>
            <w:sz w:val="16"/>
            <w:szCs w:val="16"/>
            <w:u w:val="single" w:color="auto"/>
            <w:color w:val="0000FF"/>
          </w:rPr>
          <w:t xml:space="preserve">January 10, 2023, </w:t>
        </w:r>
      </w:hyperlink>
      <w:hyperlink r:id="rId13">
        <w:r>
          <w:rPr>
            <w:rFonts w:ascii="Times New Roman" w:cs="Times New Roman" w:eastAsia="Times New Roman" w:hAnsi="Times New Roman"/>
            <w:sz w:val="16"/>
            <w:szCs w:val="16"/>
            <w:u w:val="single" w:color="auto"/>
            <w:color w:val="auto"/>
          </w:rPr>
          <w:t xml:space="preserve">May </w:t>
        </w:r>
        <w:r>
          <w:rPr>
            <w:rFonts w:ascii="Times New Roman" w:cs="Times New Roman" w:eastAsia="Times New Roman" w:hAnsi="Times New Roman"/>
            <w:sz w:val="16"/>
            <w:szCs w:val="16"/>
            <w:u w:val="single" w:color="auto"/>
            <w:color w:val="0000FF"/>
          </w:rPr>
          <w:t xml:space="preserve">30, 2024, </w:t>
        </w:r>
      </w:hyperlink>
      <w:hyperlink r:id="rId14">
        <w:r>
          <w:rPr>
            <w:rFonts w:ascii="Times New Roman" w:cs="Times New Roman" w:eastAsia="Times New Roman" w:hAnsi="Times New Roman"/>
            <w:sz w:val="16"/>
            <w:szCs w:val="16"/>
            <w:u w:val="single" w:color="auto"/>
            <w:color w:val="auto"/>
          </w:rPr>
          <w:t xml:space="preserve">June </w:t>
        </w:r>
        <w:r>
          <w:rPr>
            <w:rFonts w:ascii="Times New Roman" w:cs="Times New Roman" w:eastAsia="Times New Roman" w:hAnsi="Times New Roman"/>
            <w:sz w:val="16"/>
            <w:szCs w:val="16"/>
            <w:u w:val="single" w:color="auto"/>
            <w:color w:val="0000FF"/>
          </w:rPr>
          <w:t xml:space="preserve">6, 2024, </w:t>
        </w:r>
      </w:hyperlink>
      <w:hyperlink r:id="rId15">
        <w:r>
          <w:rPr>
            <w:rFonts w:ascii="Times New Roman" w:cs="Times New Roman" w:eastAsia="Times New Roman" w:hAnsi="Times New Roman"/>
            <w:sz w:val="16"/>
            <w:szCs w:val="16"/>
            <w:u w:val="single" w:color="auto"/>
            <w:color w:val="auto"/>
          </w:rPr>
          <w:t xml:space="preserve">July </w:t>
        </w:r>
        <w:r>
          <w:rPr>
            <w:rFonts w:ascii="Times New Roman" w:cs="Times New Roman" w:eastAsia="Times New Roman" w:hAnsi="Times New Roman"/>
            <w:sz w:val="16"/>
            <w:szCs w:val="16"/>
            <w:u w:val="single" w:color="auto"/>
            <w:color w:val="0000FF"/>
          </w:rPr>
          <w:t>1, 2024 and July 31, 2024</w:t>
        </w:r>
      </w:hyperlink>
      <w:r>
        <w:rPr>
          <w:rFonts w:ascii="Times New Roman" w:cs="Times New Roman" w:eastAsia="Times New Roman" w:hAnsi="Times New Roman"/>
          <w:sz w:val="16"/>
          <w:szCs w:val="16"/>
          <w:color w:val="auto"/>
        </w:rPr>
        <w:t>;</w:t>
      </w:r>
    </w:p>
    <w:p>
      <w:pPr>
        <w:spacing w:after="0" w:line="126" w:lineRule="exact"/>
        <w:rPr>
          <w:rFonts w:ascii="Times New Roman" w:cs="Times New Roman" w:eastAsia="Times New Roman" w:hAnsi="Times New Roman"/>
          <w:sz w:val="16"/>
          <w:szCs w:val="16"/>
          <w:color w:val="auto"/>
        </w:rPr>
      </w:pPr>
    </w:p>
    <w:p>
      <w:pPr>
        <w:ind w:left="1040" w:right="260" w:hanging="563"/>
        <w:spacing w:after="0" w:line="298" w:lineRule="auto"/>
        <w:tabs>
          <w:tab w:leader="none" w:pos="10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description of the Registrant’s common stock set forth on the </w:t>
      </w:r>
      <w:hyperlink r:id="rId16">
        <w:r>
          <w:rPr>
            <w:rFonts w:ascii="Times New Roman" w:cs="Times New Roman" w:eastAsia="Times New Roman" w:hAnsi="Times New Roman"/>
            <w:sz w:val="16"/>
            <w:szCs w:val="16"/>
            <w:u w:val="single" w:color="auto"/>
            <w:color w:val="0000ED"/>
          </w:rPr>
          <w:t>Form 8-K12B</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filed June 30, 2020, including any Amendment or reports filed for the purpose of updating this description.</w:t>
      </w:r>
    </w:p>
    <w:p>
      <w:pPr>
        <w:spacing w:after="0" w:line="151" w:lineRule="exact"/>
        <w:rPr>
          <w:rFonts w:ascii="Times New Roman" w:cs="Times New Roman" w:eastAsia="Times New Roman" w:hAnsi="Times New Roman"/>
          <w:sz w:val="16"/>
          <w:szCs w:val="16"/>
          <w:color w:val="auto"/>
        </w:rPr>
      </w:pPr>
    </w:p>
    <w:p>
      <w:pPr>
        <w:ind w:right="340"/>
        <w:spacing w:after="0" w:line="268" w:lineRule="auto"/>
        <w:rPr>
          <w:sz w:val="20"/>
          <w:szCs w:val="20"/>
          <w:color w:val="auto"/>
        </w:rPr>
      </w:pPr>
      <w:r>
        <w:rPr>
          <w:rFonts w:ascii="Times New Roman" w:cs="Times New Roman" w:eastAsia="Times New Roman" w:hAnsi="Times New Roman"/>
          <w:sz w:val="16"/>
          <w:szCs w:val="16"/>
          <w:color w:val="auto"/>
        </w:rPr>
        <w:t>In addition, all documents filed by the Registrant pursuant to Section 13(a), 13(c), 14 or 15(d) of the Exchange Act subsequent to the filing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such documents, except as to specific sections of such statements as set forth therein. 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incorporated or deemed to be incorporated by reference herein modifies or supersedes such statement. Any statement contained herein shall be deemed to be modified or superseded for purposes of this registration statement to the extent that a statement contained in any subsequently filed document which also is incorporated or deemed to be incorporated by reference herein modifies or supersedes such statement. Any such statement so modified or superseded shall not be deemed, except as so modified or superseded, to constitute a part of this registration statement.</w:t>
      </w:r>
    </w:p>
    <w:p>
      <w:pPr>
        <w:spacing w:after="0" w:line="174" w:lineRule="exact"/>
        <w:rPr>
          <w:rFonts w:ascii="Times New Roman" w:cs="Times New Roman" w:eastAsia="Times New Roman" w:hAnsi="Times New Roman"/>
          <w:sz w:val="16"/>
          <w:szCs w:val="16"/>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b w:val="1"/>
          <w:bCs w:val="1"/>
          <w:color w:val="auto"/>
        </w:rPr>
        <w:t>Item 4.</w:t>
        <w:tab/>
        <w:t>Description of Securities.</w:t>
      </w:r>
    </w:p>
    <w:p>
      <w:pPr>
        <w:spacing w:after="0" w:line="223" w:lineRule="exact"/>
        <w:rPr>
          <w:rFonts w:ascii="Times New Roman" w:cs="Times New Roman" w:eastAsia="Times New Roman" w:hAnsi="Times New Roman"/>
          <w:sz w:val="16"/>
          <w:szCs w:val="16"/>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219" w:lineRule="exact"/>
        <w:rPr>
          <w:rFonts w:ascii="Times New Roman" w:cs="Times New Roman" w:eastAsia="Times New Roman" w:hAnsi="Times New Roman"/>
          <w:sz w:val="16"/>
          <w:szCs w:val="16"/>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b w:val="1"/>
          <w:bCs w:val="1"/>
          <w:color w:val="auto"/>
        </w:rPr>
        <w:t>Item 5.</w:t>
        <w:tab/>
        <w:t>Interests of Named Experts and Counsel.</w:t>
      </w:r>
    </w:p>
    <w:p>
      <w:pPr>
        <w:spacing w:after="0" w:line="223" w:lineRule="exact"/>
        <w:rPr>
          <w:rFonts w:ascii="Times New Roman" w:cs="Times New Roman" w:eastAsia="Times New Roman" w:hAnsi="Times New Roman"/>
          <w:sz w:val="16"/>
          <w:szCs w:val="16"/>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219" w:lineRule="exact"/>
        <w:rPr>
          <w:rFonts w:ascii="Times New Roman" w:cs="Times New Roman" w:eastAsia="Times New Roman" w:hAnsi="Times New Roman"/>
          <w:sz w:val="16"/>
          <w:szCs w:val="16"/>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b w:val="1"/>
          <w:bCs w:val="1"/>
          <w:color w:val="auto"/>
        </w:rPr>
        <w:t>Item 6.</w:t>
        <w:tab/>
        <w:t>Indemnification of Directors and Officers.</w:t>
      </w:r>
    </w:p>
    <w:p>
      <w:pPr>
        <w:spacing w:after="0" w:line="223" w:lineRule="exact"/>
        <w:rPr>
          <w:rFonts w:ascii="Times New Roman" w:cs="Times New Roman" w:eastAsia="Times New Roman" w:hAnsi="Times New Roman"/>
          <w:sz w:val="16"/>
          <w:szCs w:val="16"/>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We are a Delaware corporation and certain provisions of Delaware law and our bylaws provide for indemnification of our officers and directors against liabilities that they may incur in such capacities. A summary of the circumstances in which indemnification is provided is discussed below, but this description is qualified in its entirety by reference to our bylaws and to the statutory provisions.</w:t>
      </w:r>
    </w:p>
    <w:p>
      <w:pPr>
        <w:spacing w:after="0" w:line="164" w:lineRule="exact"/>
        <w:rPr>
          <w:rFonts w:ascii="Times New Roman" w:cs="Times New Roman" w:eastAsia="Times New Roman" w:hAnsi="Times New Roman"/>
          <w:sz w:val="16"/>
          <w:szCs w:val="16"/>
          <w:color w:val="auto"/>
        </w:rPr>
      </w:pPr>
    </w:p>
    <w:p>
      <w:pPr>
        <w:jc w:val="both"/>
        <w:ind w:right="320"/>
        <w:spacing w:after="0" w:line="281" w:lineRule="auto"/>
        <w:rPr>
          <w:sz w:val="20"/>
          <w:szCs w:val="20"/>
          <w:color w:val="auto"/>
        </w:rPr>
      </w:pPr>
      <w:r>
        <w:rPr>
          <w:rFonts w:ascii="Times New Roman" w:cs="Times New Roman" w:eastAsia="Times New Roman" w:hAnsi="Times New Roman"/>
          <w:sz w:val="16"/>
          <w:szCs w:val="16"/>
          <w:color w:val="auto"/>
        </w:rPr>
        <w:t>Section 145 of the Delaware General Corporation Law (“DGCL”) provides for, under certain circumstances, the indemnification of our officers, directors, employees and agents against liabilities that they may incur in such capacities. A summary of the circumstances in which such indemnification provided for is contained herein, but that description is qualified in its entirety by reference to the relevant Section of the DGCL.</w:t>
      </w:r>
    </w:p>
    <w:p>
      <w:pPr>
        <w:spacing w:after="0" w:line="177" w:lineRule="exact"/>
        <w:rPr>
          <w:rFonts w:ascii="Times New Roman" w:cs="Times New Roman" w:eastAsia="Times New Roman" w:hAnsi="Times New Roman"/>
          <w:sz w:val="16"/>
          <w:szCs w:val="16"/>
          <w:color w:val="auto"/>
        </w:rPr>
      </w:pPr>
    </w:p>
    <w:p>
      <w:pPr>
        <w:ind w:right="160"/>
        <w:spacing w:after="0" w:line="267" w:lineRule="auto"/>
        <w:rPr>
          <w:sz w:val="20"/>
          <w:szCs w:val="20"/>
          <w:color w:val="auto"/>
        </w:rPr>
      </w:pPr>
      <w:r>
        <w:rPr>
          <w:rFonts w:ascii="Times New Roman" w:cs="Times New Roman" w:eastAsia="Times New Roman" w:hAnsi="Times New Roman"/>
          <w:sz w:val="16"/>
          <w:szCs w:val="16"/>
          <w:color w:val="auto"/>
        </w:rPr>
        <w:t>In general, the statute provides that any director, officer, employee or agent of a corporation may be indemnified against expenses (including attorneys’ fees), judgments, fines and amounts paid in settlement, actually and reasonably incurred in a proceeding (including any civil, criminal, administrative or investigative proceeding) to which the individual was a party by reason of such status. Such indemnity may be provided if the indemnified person’s actions resulting in the liabilities:</w:t>
      </w:r>
    </w:p>
    <w:p>
      <w:pPr>
        <w:spacing w:after="0" w:line="1" w:lineRule="exact"/>
        <w:rPr>
          <w:rFonts w:ascii="Times New Roman" w:cs="Times New Roman" w:eastAsia="Times New Roman" w:hAnsi="Times New Roman"/>
          <w:sz w:val="16"/>
          <w:szCs w:val="16"/>
          <w:color w:val="auto"/>
        </w:rPr>
      </w:pPr>
    </w:p>
    <w:p>
      <w:pPr>
        <w:ind w:right="300" w:firstLine="10"/>
        <w:spacing w:after="0" w:line="270" w:lineRule="auto"/>
        <w:tabs>
          <w:tab w:leader="none" w:pos="193"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were taken in good faith; (ii) were reasonably believed to have been in or not opposed to our best interest; and (iii) with respect to any criminal action, such person had no reasonable cause to believe the actions were unlawful. Unless ordered by a court, indemnification generally may be awarded only after a determination of independent members of the Board of Directors or a committee thereof, by independent legal counsel or by vote of the stockholders that the applicable standard of conduct was met by the individual to be indemnified. The statutory provisions further provide that to the extent a director, officer, employee or agent is wholly successful on the merits or otherwise in defense of any proceeding to which he was a party, he is entitled to receive indemnification against</w:t>
      </w:r>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-108585</wp:posOffset>
            </wp:positionH>
            <wp:positionV relativeFrom="paragraph">
              <wp:posOffset>457200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80" w:top="1082" w:right="359" w:bottom="1440" w:gutter="0" w:footer="0" w:header="0"/>
        </w:sectPr>
      </w:pPr>
    </w:p>
    <w:bookmarkStart w:id="2" w:name="page3"/>
    <w:bookmarkEnd w:id="2"/>
    <w:p>
      <w:pPr>
        <w:ind w:left="160"/>
        <w:spacing w:after="0"/>
        <w:rPr>
          <w:sz w:val="20"/>
          <w:szCs w:val="20"/>
          <w:color w:val="auto"/>
        </w:rPr>
      </w:pPr>
      <w:r>
        <w:rPr>
          <w:rFonts w:ascii="Times New Roman" w:cs="Times New Roman" w:eastAsia="Times New Roman" w:hAnsi="Times New Roman"/>
          <w:sz w:val="16"/>
          <w:szCs w:val="16"/>
          <w:color w:val="auto"/>
        </w:rPr>
        <w:t>expenses, including attorneys’ fees, actually and reasonably incurred in connection with the proceeding.</w:t>
      </w:r>
    </w:p>
    <w:p>
      <w:pPr>
        <w:spacing w:after="0" w:line="221" w:lineRule="exact"/>
        <w:rPr>
          <w:sz w:val="20"/>
          <w:szCs w:val="20"/>
          <w:color w:val="auto"/>
        </w:rPr>
      </w:pPr>
    </w:p>
    <w:p>
      <w:pPr>
        <w:ind w:left="160" w:right="220"/>
        <w:spacing w:after="0" w:line="269" w:lineRule="auto"/>
        <w:rPr>
          <w:sz w:val="20"/>
          <w:szCs w:val="20"/>
          <w:color w:val="auto"/>
        </w:rPr>
      </w:pPr>
      <w:r>
        <w:rPr>
          <w:rFonts w:ascii="Times New Roman" w:cs="Times New Roman" w:eastAsia="Times New Roman" w:hAnsi="Times New Roman"/>
          <w:sz w:val="16"/>
          <w:szCs w:val="16"/>
          <w:color w:val="auto"/>
        </w:rPr>
        <w:t>Indemnification in connection with a proceeding by or in the right of the Company in which the director, officer, employee or agent is successful is permitted only with respect to expenses, including attorneys’ fees actually and reasonably incurred in connection with the defense. In such actions, the person to be indemnified must have acted in good faith, in a manner believed to have been in our best interest and must not have been adjudged liable to us unless and only to the extent that the Court of Chancery or the court in which such action or suit was brought shall determine upon application that, despite the adjudication of liability, in view of all the circumstances of the case, such person is fairly and reasonably entitled to indemnity for such expense which the Court of Chancery or such other court shall deem proper. Indemnification is otherwise prohibited in connection with a proceeding brought on behalf of the Company in which a director is adjudged liable to us, or in connection with any proceeding charging improper personal benefit to the director in which the director is adjudged liable for receipt of an improper personal benefit.</w:t>
      </w:r>
    </w:p>
    <w:p>
      <w:pPr>
        <w:spacing w:after="0" w:line="176" w:lineRule="exact"/>
        <w:rPr>
          <w:sz w:val="20"/>
          <w:szCs w:val="20"/>
          <w:color w:val="auto"/>
        </w:rPr>
      </w:pPr>
    </w:p>
    <w:p>
      <w:pPr>
        <w:jc w:val="both"/>
        <w:ind w:left="160" w:right="260"/>
        <w:spacing w:after="0" w:line="281" w:lineRule="auto"/>
        <w:rPr>
          <w:sz w:val="20"/>
          <w:szCs w:val="20"/>
          <w:color w:val="auto"/>
        </w:rPr>
      </w:pPr>
      <w:r>
        <w:rPr>
          <w:rFonts w:ascii="Times New Roman" w:cs="Times New Roman" w:eastAsia="Times New Roman" w:hAnsi="Times New Roman"/>
          <w:sz w:val="16"/>
          <w:szCs w:val="16"/>
          <w:color w:val="auto"/>
        </w:rPr>
        <w:t>Delaware law authorizes us to reimburse or pay reasonable expenses incurred by a director, officer, employee or agent in connection with a proceeding in advance of a final disposition of the matter. Such advances of expenses are permitted if the person furnishes to us a written agreement to repay such advances if it is determined that he is not entitled to be indemnified by us.</w:t>
      </w:r>
    </w:p>
    <w:p>
      <w:pPr>
        <w:spacing w:after="0" w:line="164" w:lineRule="exact"/>
        <w:rPr>
          <w:sz w:val="20"/>
          <w:szCs w:val="20"/>
          <w:color w:val="auto"/>
        </w:rPr>
      </w:pPr>
    </w:p>
    <w:p>
      <w:pPr>
        <w:jc w:val="both"/>
        <w:ind w:left="160" w:right="160"/>
        <w:spacing w:after="0" w:line="281" w:lineRule="auto"/>
        <w:rPr>
          <w:sz w:val="20"/>
          <w:szCs w:val="20"/>
          <w:color w:val="auto"/>
        </w:rPr>
      </w:pPr>
      <w:r>
        <w:rPr>
          <w:rFonts w:ascii="Times New Roman" w:cs="Times New Roman" w:eastAsia="Times New Roman" w:hAnsi="Times New Roman"/>
          <w:sz w:val="16"/>
          <w:szCs w:val="16"/>
          <w:color w:val="auto"/>
        </w:rPr>
        <w:t>The statutory section cited above further specifies that any provisions for indemnification of or advances for expenses does not exclude other rights under our certificate of incorporation, corporate bylaws, resolutions of our stockholders or disinterested directors, or otherwise. These indemnification provisions continue for a person who has ceased to be a director, officer, employee or agent of the corporation and inure to the benefit of the heirs, executors and administrators of such persons.</w:t>
      </w:r>
    </w:p>
    <w:p>
      <w:pPr>
        <w:spacing w:after="0" w:line="164" w:lineRule="exact"/>
        <w:rPr>
          <w:sz w:val="20"/>
          <w:szCs w:val="20"/>
          <w:color w:val="auto"/>
        </w:rPr>
      </w:pPr>
    </w:p>
    <w:p>
      <w:pPr>
        <w:jc w:val="both"/>
        <w:ind w:left="160" w:right="260"/>
        <w:spacing w:after="0" w:line="281" w:lineRule="auto"/>
        <w:rPr>
          <w:sz w:val="20"/>
          <w:szCs w:val="20"/>
          <w:color w:val="auto"/>
        </w:rPr>
      </w:pPr>
      <w:r>
        <w:rPr>
          <w:rFonts w:ascii="Times New Roman" w:cs="Times New Roman" w:eastAsia="Times New Roman" w:hAnsi="Times New Roman"/>
          <w:sz w:val="16"/>
          <w:szCs w:val="16"/>
          <w:color w:val="auto"/>
        </w:rPr>
        <w:t>The statutory provision cited above also grants the power to the Company to purchase and maintain insurance policies that protect any director, officer, employee or agent against any liability asserted against or incurred by him in such capacity arising out of his status as such. Such policies may provide for indemnification whether or not the corporation would otherwise have the power to provide for it.</w:t>
      </w:r>
    </w:p>
    <w:p>
      <w:pPr>
        <w:spacing w:after="0" w:line="16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Articles V and VI of our certificate of incorporation provide that we shall indemnify our directors and officers to the fullest extent permitted by the DGCL.</w:t>
      </w:r>
    </w:p>
    <w:p>
      <w:pPr>
        <w:spacing w:after="0" w:line="221" w:lineRule="exact"/>
        <w:rPr>
          <w:sz w:val="20"/>
          <w:szCs w:val="20"/>
          <w:color w:val="auto"/>
        </w:rPr>
      </w:pPr>
    </w:p>
    <w:p>
      <w:pPr>
        <w:ind w:left="160" w:right="220"/>
        <w:spacing w:after="0" w:line="298" w:lineRule="auto"/>
        <w:rPr>
          <w:sz w:val="20"/>
          <w:szCs w:val="20"/>
          <w:color w:val="auto"/>
        </w:rPr>
      </w:pPr>
      <w:r>
        <w:rPr>
          <w:rFonts w:ascii="Times New Roman" w:cs="Times New Roman" w:eastAsia="Times New Roman" w:hAnsi="Times New Roman"/>
          <w:sz w:val="16"/>
          <w:szCs w:val="16"/>
          <w:color w:val="auto"/>
        </w:rPr>
        <w:t>We have purchased directors’ and officers’ liability insurance in order to limit the exposure to liability for indemnification of directors and officers, including liabilities under the Securities Act of 1933.</w:t>
      </w:r>
    </w:p>
    <w:p>
      <w:pPr>
        <w:spacing w:after="0" w:line="151" w:lineRule="exact"/>
        <w:rPr>
          <w:sz w:val="20"/>
          <w:szCs w:val="20"/>
          <w:color w:val="auto"/>
        </w:rPr>
      </w:pPr>
    </w:p>
    <w:p>
      <w:pPr>
        <w:ind w:left="160" w:right="460"/>
        <w:spacing w:after="0" w:line="281" w:lineRule="auto"/>
        <w:rPr>
          <w:sz w:val="20"/>
          <w:szCs w:val="20"/>
          <w:color w:val="auto"/>
        </w:rPr>
      </w:pPr>
      <w:r>
        <w:rPr>
          <w:rFonts w:ascii="Times New Roman" w:cs="Times New Roman" w:eastAsia="Times New Roman" w:hAnsi="Times New Roman"/>
          <w:sz w:val="16"/>
          <w:szCs w:val="16"/>
          <w:color w:val="auto"/>
        </w:rPr>
        <w:t>Insofar as indemnification for liabilities arising under the Securities Act may be permitted for our directors, officers, employees, or agents pursuant to the foregoing provisions or otherwise, we have been advised that in the opinion of the SEC, such indemnification is against public policy as expressed in the Securities Act and, therefore, may be unenforceable.</w:t>
      </w:r>
    </w:p>
    <w:p>
      <w:pPr>
        <w:spacing w:after="0" w:line="162" w:lineRule="exact"/>
        <w:rPr>
          <w:sz w:val="20"/>
          <w:szCs w:val="20"/>
          <w:color w:val="auto"/>
        </w:rPr>
      </w:pPr>
    </w:p>
    <w:p>
      <w:pPr>
        <w:ind w:left="160"/>
        <w:spacing w:after="0"/>
        <w:tabs>
          <w:tab w:leader="none" w:pos="800" w:val="left"/>
        </w:tabs>
        <w:rPr>
          <w:sz w:val="20"/>
          <w:szCs w:val="20"/>
          <w:color w:val="auto"/>
        </w:rPr>
      </w:pPr>
      <w:r>
        <w:rPr>
          <w:rFonts w:ascii="Times New Roman" w:cs="Times New Roman" w:eastAsia="Times New Roman" w:hAnsi="Times New Roman"/>
          <w:sz w:val="16"/>
          <w:szCs w:val="16"/>
          <w:b w:val="1"/>
          <w:bCs w:val="1"/>
          <w:color w:val="auto"/>
        </w:rPr>
        <w:t>Item 7.</w:t>
        <w:tab/>
        <w:t>Exemption from Registration Claimed.</w:t>
      </w:r>
    </w:p>
    <w:p>
      <w:pPr>
        <w:spacing w:after="0" w:line="1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Not applicable.</w:t>
      </w:r>
    </w:p>
    <w:p>
      <w:pPr>
        <w:spacing w:after="0" w:line="368" w:lineRule="exact"/>
        <w:rPr>
          <w:sz w:val="20"/>
          <w:szCs w:val="20"/>
          <w:color w:val="auto"/>
        </w:rPr>
      </w:pPr>
    </w:p>
    <w:p>
      <w:pPr>
        <w:ind w:left="160"/>
        <w:spacing w:after="0"/>
        <w:tabs>
          <w:tab w:leader="none" w:pos="800" w:val="left"/>
        </w:tabs>
        <w:rPr>
          <w:sz w:val="20"/>
          <w:szCs w:val="20"/>
          <w:color w:val="auto"/>
        </w:rPr>
      </w:pPr>
      <w:r>
        <w:rPr>
          <w:rFonts w:ascii="Times New Roman" w:cs="Times New Roman" w:eastAsia="Times New Roman" w:hAnsi="Times New Roman"/>
          <w:sz w:val="16"/>
          <w:szCs w:val="16"/>
          <w:b w:val="1"/>
          <w:bCs w:val="1"/>
          <w:color w:val="auto"/>
        </w:rPr>
        <w:t>Item 8.</w:t>
        <w:tab/>
        <w:t>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0" w:type="dxa"/>
            <w:vAlign w:val="bottom"/>
            <w:gridSpan w:val="4"/>
          </w:tcPr>
          <w:p>
            <w:pPr>
              <w:ind w:left="780"/>
              <w:spacing w:after="0"/>
              <w:rPr>
                <w:sz w:val="20"/>
                <w:szCs w:val="20"/>
                <w:color w:val="auto"/>
              </w:rPr>
            </w:pPr>
            <w:r>
              <w:rPr>
                <w:rFonts w:ascii="Times New Roman" w:cs="Times New Roman" w:eastAsia="Times New Roman" w:hAnsi="Times New Roman"/>
                <w:sz w:val="16"/>
                <w:szCs w:val="16"/>
                <w:b w:val="1"/>
                <w:bCs w:val="1"/>
                <w:color w:val="auto"/>
              </w:rPr>
              <w:t>EXHIBIT INDEX</w:t>
            </w:r>
          </w:p>
        </w:tc>
      </w:tr>
      <w:tr>
        <w:trPr>
          <w:trHeight w:val="432"/>
        </w:trPr>
        <w:tc>
          <w:tcPr>
            <w:tcW w:w="1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Exhibit No.</w:t>
            </w:r>
          </w:p>
        </w:tc>
        <w:tc>
          <w:tcPr>
            <w:tcW w:w="3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86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70"/>
        </w:trPr>
        <w:tc>
          <w:tcPr>
            <w:tcW w:w="10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92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rPr>
            </w:pPr>
            <w:hyperlink r:id="rId18">
              <w:r>
                <w:rPr>
                  <w:rFonts w:ascii="Times New Roman" w:cs="Times New Roman" w:eastAsia="Times New Roman" w:hAnsi="Times New Roman"/>
                  <w:sz w:val="18"/>
                  <w:szCs w:val="18"/>
                  <w:color w:val="0000FF"/>
                </w:rPr>
                <w:t>Form of Stock Option Grant (incorporated by reference to Exhibit 10.19 to the registrant's Form 10-K filed on February 23,</w:t>
              </w:r>
            </w:hyperlink>
          </w:p>
        </w:tc>
        <w:tc>
          <w:tcPr>
            <w:tcW w:w="940" w:type="dxa"/>
            <w:vAlign w:val="bottom"/>
            <w:gridSpan w:val="2"/>
          </w:tcPr>
          <w:p>
            <w:pPr>
              <w:spacing w:after="0"/>
              <w:rPr>
                <w:sz w:val="23"/>
                <w:szCs w:val="23"/>
                <w:color w:val="auto"/>
              </w:rPr>
            </w:pPr>
          </w:p>
        </w:tc>
      </w:tr>
      <w:tr>
        <w:trPr>
          <w:trHeight w:val="196"/>
        </w:trPr>
        <w:tc>
          <w:tcPr>
            <w:tcW w:w="10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8"/>
          </w:tcPr>
          <w:p>
            <w:pPr>
              <w:spacing w:after="0" w:line="196" w:lineRule="exact"/>
              <w:rPr>
                <w:rFonts w:ascii="Times New Roman" w:cs="Times New Roman" w:eastAsia="Times New Roman" w:hAnsi="Times New Roman"/>
                <w:sz w:val="18"/>
                <w:szCs w:val="18"/>
                <w:color w:val="0000FF"/>
              </w:rPr>
            </w:pPr>
            <w:hyperlink r:id="rId18">
              <w:r>
                <w:rPr>
                  <w:rFonts w:ascii="Times New Roman" w:cs="Times New Roman" w:eastAsia="Times New Roman" w:hAnsi="Times New Roman"/>
                  <w:sz w:val="18"/>
                  <w:szCs w:val="18"/>
                  <w:color w:val="0000FF"/>
                </w:rPr>
                <w:t>2023)</w:t>
              </w:r>
              <w:r>
                <w:rPr>
                  <w:rFonts w:ascii="Times New Roman" w:cs="Times New Roman" w:eastAsia="Times New Roman" w:hAnsi="Times New Roman"/>
                  <w:sz w:val="18"/>
                  <w:szCs w:val="18"/>
                  <w:u w:val="single" w:color="auto"/>
                  <w:color w:val="0000FF"/>
                </w:rPr>
                <w:t>†</w:t>
              </w:r>
            </w:hyperlink>
          </w:p>
        </w:tc>
      </w:tr>
      <w:tr>
        <w:trPr>
          <w:trHeight w:val="20"/>
        </w:trPr>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18"/>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gridSpan w:val="8"/>
          </w:tcPr>
          <w:p>
            <w:pPr>
              <w:spacing w:after="0"/>
              <w:rPr>
                <w:rFonts w:ascii="Times New Roman" w:cs="Times New Roman" w:eastAsia="Times New Roman" w:hAnsi="Times New Roman"/>
                <w:sz w:val="18"/>
                <w:szCs w:val="18"/>
                <w:color w:val="0000FF"/>
              </w:rPr>
            </w:pPr>
            <w:hyperlink r:id="rId19">
              <w:r>
                <w:rPr>
                  <w:rFonts w:ascii="Times New Roman" w:cs="Times New Roman" w:eastAsia="Times New Roman" w:hAnsi="Times New Roman"/>
                  <w:sz w:val="18"/>
                  <w:szCs w:val="18"/>
                  <w:color w:val="0000FF"/>
                </w:rPr>
                <w:t>Form of RSU Agreement (incorporated by reference to Exhibit 10.20 to the registrant's Form 10-K filed on February 23, 2023)†</w:t>
              </w:r>
            </w:hyperlink>
          </w:p>
        </w:tc>
      </w:tr>
      <w:tr>
        <w:trPr>
          <w:trHeight w:val="412"/>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Opinion of K&amp;L Gates LLP*</w:t>
            </w:r>
          </w:p>
        </w:tc>
        <w:tc>
          <w:tcPr>
            <w:tcW w:w="7100" w:type="dxa"/>
            <w:vAlign w:val="bottom"/>
            <w:tcBorders>
              <w:top w:val="single" w:sz="8" w:color="0000FF"/>
            </w:tcBorders>
            <w:gridSpan w:val="5"/>
          </w:tcPr>
          <w:p>
            <w:pPr>
              <w:spacing w:after="0"/>
              <w:rPr>
                <w:sz w:val="24"/>
                <w:szCs w:val="24"/>
                <w:color w:val="auto"/>
              </w:rPr>
            </w:pPr>
          </w:p>
        </w:tc>
        <w:tc>
          <w:tcPr>
            <w:tcW w:w="640" w:type="dxa"/>
            <w:vAlign w:val="bottom"/>
          </w:tcPr>
          <w:p>
            <w:pPr>
              <w:spacing w:after="0"/>
              <w:rPr>
                <w:sz w:val="24"/>
                <w:szCs w:val="24"/>
                <w:color w:val="auto"/>
              </w:rPr>
            </w:pPr>
          </w:p>
        </w:tc>
      </w:tr>
      <w:tr>
        <w:trPr>
          <w:trHeight w:val="425"/>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Consent of Grant Thornton LLP*</w:t>
            </w:r>
          </w:p>
        </w:tc>
      </w:tr>
      <w:tr>
        <w:trPr>
          <w:trHeight w:val="20"/>
        </w:trPr>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940" w:type="dxa"/>
            <w:vAlign w:val="bottom"/>
            <w:gridSpan w:val="3"/>
          </w:tcPr>
          <w:p>
            <w:pPr>
              <w:spacing w:after="0" w:line="20" w:lineRule="exact"/>
              <w:rPr>
                <w:sz w:val="1"/>
                <w:szCs w:val="1"/>
                <w:color w:val="auto"/>
              </w:rPr>
            </w:pPr>
          </w:p>
        </w:tc>
      </w:tr>
      <w:tr>
        <w:trPr>
          <w:trHeight w:val="425"/>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23.2</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Consent of K&amp;L Gates LLP (included in Exhibit 5.1)*</w:t>
            </w:r>
          </w:p>
        </w:tc>
      </w:tr>
      <w:tr>
        <w:trPr>
          <w:trHeight w:val="533"/>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24.1</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Power of Attorney (see Signature Page)</w:t>
            </w:r>
          </w:p>
        </w:tc>
        <w:tc>
          <w:tcPr>
            <w:tcW w:w="1060" w:type="dxa"/>
            <w:vAlign w:val="bottom"/>
            <w:tcBorders>
              <w:top w:val="single" w:sz="8" w:color="0000FF"/>
            </w:tcBorders>
          </w:tcPr>
          <w:p>
            <w:pPr>
              <w:spacing w:after="0"/>
              <w:rPr>
                <w:sz w:val="24"/>
                <w:szCs w:val="24"/>
                <w:color w:val="auto"/>
              </w:rPr>
            </w:pPr>
          </w:p>
        </w:tc>
        <w:tc>
          <w:tcPr>
            <w:tcW w:w="5940" w:type="dxa"/>
            <w:vAlign w:val="bottom"/>
            <w:gridSpan w:val="3"/>
          </w:tcPr>
          <w:p>
            <w:pPr>
              <w:spacing w:after="0"/>
              <w:rPr>
                <w:sz w:val="24"/>
                <w:szCs w:val="24"/>
                <w:color w:val="auto"/>
              </w:rPr>
            </w:pPr>
          </w:p>
        </w:tc>
      </w:tr>
    </w:tbl>
    <w:p>
      <w:pPr>
        <w:spacing w:after="0" w:line="346" w:lineRule="exact"/>
        <w:rPr>
          <w:sz w:val="20"/>
          <w:szCs w:val="20"/>
          <w:color w:val="auto"/>
        </w:rPr>
      </w:pPr>
    </w:p>
    <w:p>
      <w:pPr>
        <w:ind w:left="1380" w:hanging="1359"/>
        <w:spacing w:after="0"/>
        <w:tabs>
          <w:tab w:leader="none" w:pos="13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Filing Fee Table*</w:t>
      </w:r>
    </w:p>
    <w:p>
      <w:pPr>
        <w:spacing w:after="0" w:line="27"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arrangement</w:t>
      </w:r>
    </w:p>
    <w:p>
      <w:pPr>
        <w:spacing w:after="0" w:line="2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   Filed herewith.</w:t>
      </w:r>
    </w:p>
    <w:p>
      <w:pPr>
        <w:spacing w:after="0" w:line="246" w:lineRule="exact"/>
        <w:rPr>
          <w:sz w:val="20"/>
          <w:szCs w:val="20"/>
          <w:color w:val="auto"/>
        </w:rPr>
      </w:pPr>
    </w:p>
    <w:p>
      <w:pPr>
        <w:ind w:left="160"/>
        <w:spacing w:after="0"/>
        <w:tabs>
          <w:tab w:leader="none" w:pos="800" w:val="left"/>
        </w:tabs>
        <w:rPr>
          <w:sz w:val="20"/>
          <w:szCs w:val="20"/>
          <w:color w:val="auto"/>
        </w:rPr>
      </w:pPr>
      <w:r>
        <w:rPr>
          <w:rFonts w:ascii="Times New Roman" w:cs="Times New Roman" w:eastAsia="Times New Roman" w:hAnsi="Times New Roman"/>
          <w:sz w:val="16"/>
          <w:szCs w:val="16"/>
          <w:b w:val="1"/>
          <w:bCs w:val="1"/>
          <w:color w:val="auto"/>
        </w:rPr>
        <w:t>Item 9.</w:t>
        <w:tab/>
        <w:t>Undertakings.</w:t>
      </w:r>
    </w:p>
    <w:p>
      <w:pPr>
        <w:spacing w:after="0" w:line="142" w:lineRule="exact"/>
        <w:rPr>
          <w:sz w:val="20"/>
          <w:szCs w:val="20"/>
          <w:color w:val="auto"/>
        </w:rPr>
      </w:pPr>
    </w:p>
    <w:p>
      <w:pPr>
        <w:ind w:left="1200" w:hanging="563"/>
        <w:spacing w:after="0"/>
        <w:tabs>
          <w:tab w:leader="none" w:pos="12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undersigned Registrant hereby undertakes: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3" w:name="page4"/>
    <w:bookmarkEnd w:id="3"/>
    <w:p>
      <w:pPr>
        <w:ind w:left="1500" w:hanging="469"/>
        <w:spacing w:after="0"/>
        <w:tabs>
          <w:tab w:leader="none" w:pos="15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file, during any period in which offers or sales are being made, a post-effective amendment to this registration statement,</w:t>
      </w:r>
    </w:p>
    <w:p>
      <w:pPr>
        <w:spacing w:after="0" w:line="126" w:lineRule="exact"/>
        <w:rPr>
          <w:rFonts w:ascii="Times New Roman" w:cs="Times New Roman" w:eastAsia="Times New Roman" w:hAnsi="Times New Roman"/>
          <w:sz w:val="16"/>
          <w:szCs w:val="16"/>
          <w:color w:val="auto"/>
        </w:rPr>
      </w:pPr>
    </w:p>
    <w:p>
      <w:pPr>
        <w:ind w:left="2060" w:hanging="565"/>
        <w:spacing w:after="0"/>
        <w:tabs>
          <w:tab w:leader="none" w:pos="2060"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include any prospectus required by Section 10(a)(3) of the Securities Act;</w:t>
      </w:r>
    </w:p>
    <w:p>
      <w:pPr>
        <w:spacing w:after="0" w:line="140" w:lineRule="exact"/>
        <w:rPr>
          <w:rFonts w:ascii="Times New Roman" w:cs="Times New Roman" w:eastAsia="Times New Roman" w:hAnsi="Times New Roman"/>
          <w:sz w:val="16"/>
          <w:szCs w:val="16"/>
          <w:color w:val="auto"/>
        </w:rPr>
      </w:pPr>
    </w:p>
    <w:p>
      <w:pPr>
        <w:ind w:left="2060" w:right="120" w:hanging="565"/>
        <w:spacing w:after="0" w:line="269" w:lineRule="auto"/>
        <w:tabs>
          <w:tab w:leader="none" w:pos="2060"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95" w:lineRule="exact"/>
        <w:rPr>
          <w:rFonts w:ascii="Times New Roman" w:cs="Times New Roman" w:eastAsia="Times New Roman" w:hAnsi="Times New Roman"/>
          <w:sz w:val="16"/>
          <w:szCs w:val="16"/>
          <w:color w:val="auto"/>
        </w:rPr>
      </w:pPr>
    </w:p>
    <w:p>
      <w:pPr>
        <w:ind w:left="2020" w:right="680" w:hanging="525"/>
        <w:spacing w:after="0" w:line="298" w:lineRule="auto"/>
        <w:tabs>
          <w:tab w:leader="none" w:pos="2020"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include any material information with respect to the plan of distribution not previously disclosed in this registration statement or any material change to such information in this registration statement;</w:t>
      </w:r>
    </w:p>
    <w:p>
      <w:pPr>
        <w:spacing w:after="0" w:line="149" w:lineRule="exact"/>
        <w:rPr>
          <w:sz w:val="20"/>
          <w:szCs w:val="20"/>
          <w:color w:val="auto"/>
        </w:rPr>
      </w:pPr>
    </w:p>
    <w:p>
      <w:pPr>
        <w:jc w:val="both"/>
        <w:ind w:right="420"/>
        <w:spacing w:after="0" w:line="282" w:lineRule="auto"/>
        <w:rPr>
          <w:sz w:val="20"/>
          <w:szCs w:val="20"/>
          <w:color w:val="auto"/>
        </w:rPr>
      </w:pP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that paragraphs (a)(1)(i) and (a)(1)(ii) do not apply if this registration statement is on Form S-8 and the information required to be included in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post-effective amendment by those paragraphs is contained in reports filed with or furnished to the Commission by the Registrant pursuant to Section 13 or Section 15(d) of the Exchange Act that are incorporated by reference in this registration statement.</w:t>
      </w:r>
    </w:p>
    <w:p>
      <w:pPr>
        <w:spacing w:after="0" w:line="69" w:lineRule="exact"/>
        <w:rPr>
          <w:sz w:val="20"/>
          <w:szCs w:val="20"/>
          <w:color w:val="auto"/>
        </w:rPr>
      </w:pPr>
    </w:p>
    <w:p>
      <w:pPr>
        <w:jc w:val="both"/>
        <w:ind w:left="1480" w:right="400" w:hanging="449"/>
        <w:spacing w:after="0" w:line="281" w:lineRule="auto"/>
        <w:tabs>
          <w:tab w:leader="none" w:pos="1480" w:val="left"/>
        </w:tabs>
        <w:numPr>
          <w:ilvl w:val="1"/>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2" w:lineRule="exact"/>
        <w:rPr>
          <w:rFonts w:ascii="Times New Roman" w:cs="Times New Roman" w:eastAsia="Times New Roman" w:hAnsi="Times New Roman"/>
          <w:sz w:val="16"/>
          <w:szCs w:val="16"/>
          <w:color w:val="auto"/>
        </w:rPr>
      </w:pPr>
    </w:p>
    <w:p>
      <w:pPr>
        <w:ind w:left="1480" w:right="820" w:hanging="449"/>
        <w:spacing w:after="0" w:line="298" w:lineRule="auto"/>
        <w:tabs>
          <w:tab w:leader="none" w:pos="1480" w:val="left"/>
        </w:tabs>
        <w:numPr>
          <w:ilvl w:val="1"/>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remove from registration by means of a post-effective amendment any of the securities being registered which remain unsold at the termination of the offering.</w:t>
      </w:r>
    </w:p>
    <w:p>
      <w:pPr>
        <w:spacing w:after="0" w:line="56" w:lineRule="exact"/>
        <w:rPr>
          <w:rFonts w:ascii="Times New Roman" w:cs="Times New Roman" w:eastAsia="Times New Roman" w:hAnsi="Times New Roman"/>
          <w:sz w:val="16"/>
          <w:szCs w:val="16"/>
          <w:color w:val="auto"/>
        </w:rPr>
      </w:pPr>
    </w:p>
    <w:p>
      <w:pPr>
        <w:ind w:left="1040" w:right="160" w:hanging="563"/>
        <w:spacing w:after="0" w:line="272" w:lineRule="auto"/>
        <w:tabs>
          <w:tab w:leader="none" w:pos="10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77" w:lineRule="exact"/>
        <w:rPr>
          <w:rFonts w:ascii="Times New Roman" w:cs="Times New Roman" w:eastAsia="Times New Roman" w:hAnsi="Times New Roman"/>
          <w:sz w:val="16"/>
          <w:szCs w:val="16"/>
          <w:color w:val="auto"/>
        </w:rPr>
      </w:pPr>
    </w:p>
    <w:p>
      <w:pPr>
        <w:ind w:left="1040" w:hanging="563"/>
        <w:spacing w:after="0" w:line="269" w:lineRule="auto"/>
        <w:tabs>
          <w:tab w:leader="none" w:pos="10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Insofar as indemnification for liabilities arising under the Securities Act may be permitted to directors, officers, employees or agents of the Registrant pursuant to the foregoing provisions, or otherwise, the Registrant has been advised that in the opinion of the Commission such indemnification is against public policy as expressed in the Securities Act and, therefore, may be unenforceable. In the event that a claim for indemnification against such liabilities (other than the payment by the Registrant of expenses incurred or paid by a director, officer, employee or agent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725170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80" w:top="895" w:right="399" w:bottom="1440" w:gutter="0" w:footer="0" w:header="0"/>
        </w:sectPr>
      </w:pPr>
    </w:p>
    <w:bookmarkStart w:id="4" w:name="page5"/>
    <w:bookmarkEnd w:id="4"/>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37" w:lineRule="exact"/>
        <w:rPr>
          <w:sz w:val="20"/>
          <w:szCs w:val="20"/>
          <w:color w:val="auto"/>
        </w:rPr>
      </w:pPr>
    </w:p>
    <w:p>
      <w:pPr>
        <w:ind w:left="160" w:right="240"/>
        <w:spacing w:after="0" w:line="281" w:lineRule="auto"/>
        <w:rPr>
          <w:sz w:val="20"/>
          <w:szCs w:val="20"/>
          <w:color w:val="auto"/>
        </w:rPr>
      </w:pPr>
      <w:r>
        <w:rPr>
          <w:rFonts w:ascii="Times New Roman" w:cs="Times New Roman" w:eastAsia="Times New Roman" w:hAnsi="Times New Roman"/>
          <w:sz w:val="16"/>
          <w:szCs w:val="16"/>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Valencia, California, on August 8, 2024.</w:t>
      </w:r>
    </w:p>
    <w:p>
      <w:pPr>
        <w:spacing w:after="0" w:line="20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6"/>
          <w:szCs w:val="16"/>
          <w:b w:val="1"/>
          <w:bCs w:val="1"/>
          <w:color w:val="auto"/>
        </w:rPr>
        <w:t>AVITA MEDICAL, INC.</w:t>
      </w:r>
    </w:p>
    <w:p>
      <w:pPr>
        <w:spacing w:after="0" w:line="28"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By: /s/ James Corbett</w:t>
      </w:r>
    </w:p>
    <w:p>
      <w:pPr>
        <w:spacing w:after="0" w:line="2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James Corbett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-127635</wp:posOffset>
            </wp:positionV>
            <wp:extent cx="28460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2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Power of Attorney</w:t>
      </w:r>
    </w:p>
    <w:p>
      <w:pPr>
        <w:spacing w:after="0" w:line="223"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16"/>
          <w:szCs w:val="16"/>
          <w:color w:val="auto"/>
        </w:rPr>
        <w:t>Each person whose signature appears below hereby constitutes and appoints James Corbett and Nicole Kelsey, and each of them severally, to serve as his or her true and lawful attorney-in-fact with power of substitution and resubstitution to sign in his or her name, place and stead in any and all capacities the Registration Statement and any and all amendments thereto (including post-effective amendments) and any documents in connection therewith, and to file the same with the Securities and Exchange Commission, granting unto each of said attorneys full power to act with or without the other, and full power and authority to do and perform, in his or her name and on his or her behalf, every act whatsoever which such attorneys, or any one of them, may deem necessary or desirable to be done in connection therewith as fully and to all intents and purposes as he or she might or could do in person, hereby ratifying and confirming all that said attorney-in-fact, or any of them, or their substitute or substitutes, may lawfully do or cause to be done by virtue hereof.</w:t>
      </w:r>
    </w:p>
    <w:p>
      <w:pPr>
        <w:spacing w:after="0" w:line="190" w:lineRule="exact"/>
        <w:rPr>
          <w:sz w:val="20"/>
          <w:szCs w:val="20"/>
          <w:color w:val="auto"/>
        </w:rPr>
      </w:pPr>
    </w:p>
    <w:p>
      <w:pPr>
        <w:ind w:right="60"/>
        <w:spacing w:after="0" w:line="298" w:lineRule="auto"/>
        <w:rPr>
          <w:sz w:val="20"/>
          <w:szCs w:val="20"/>
          <w:color w:val="auto"/>
        </w:rPr>
      </w:pPr>
      <w:r>
        <w:rPr>
          <w:rFonts w:ascii="Times New Roman" w:cs="Times New Roman" w:eastAsia="Times New Roman" w:hAnsi="Times New Roman"/>
          <w:sz w:val="16"/>
          <w:szCs w:val="16"/>
          <w:color w:val="auto"/>
        </w:rPr>
        <w:t>Pursuant to the requirements of the Securities Act of 1933, this Registration Statement has been signed below by the following persons in the capacities indicated on August 8, 2024.</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James Corbett</w:t>
            </w: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4"/>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Corbett</w:t>
            </w: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48"/>
        </w:trPr>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O'Toole</w:t>
            </w: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O'Toole</w:t>
            </w: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448"/>
        </w:trPr>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Lou Panaccio</w:t>
            </w: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Lou Panaccio</w:t>
            </w:r>
          </w:p>
        </w:tc>
        <w:tc>
          <w:tcPr>
            <w:tcW w:w="5620" w:type="dxa"/>
            <w:vAlign w:val="bottom"/>
          </w:tcPr>
          <w:p>
            <w:pPr>
              <w:spacing w:after="0"/>
              <w:rPr>
                <w:sz w:val="20"/>
                <w:szCs w:val="20"/>
                <w:color w:val="auto"/>
              </w:rPr>
            </w:pPr>
          </w:p>
        </w:tc>
      </w:tr>
      <w:tr>
        <w:trPr>
          <w:trHeight w:val="448"/>
        </w:trPr>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Jeremy Curnock Cook</w:t>
            </w: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97"/>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Jeremy Curnock Cook</w:t>
            </w:r>
          </w:p>
        </w:tc>
        <w:tc>
          <w:tcPr>
            <w:tcW w:w="5620" w:type="dxa"/>
            <w:vAlign w:val="bottom"/>
          </w:tcPr>
          <w:p>
            <w:pPr>
              <w:spacing w:after="0"/>
              <w:rPr>
                <w:sz w:val="24"/>
                <w:szCs w:val="24"/>
                <w:color w:val="auto"/>
              </w:rPr>
            </w:pPr>
          </w:p>
        </w:tc>
      </w:tr>
      <w:tr>
        <w:trPr>
          <w:trHeight w:val="466"/>
        </w:trPr>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Suzanne Crowe</w:t>
            </w: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Suzanne Crowe</w:t>
            </w:r>
          </w:p>
        </w:tc>
        <w:tc>
          <w:tcPr>
            <w:tcW w:w="5620" w:type="dxa"/>
            <w:vAlign w:val="bottom"/>
          </w:tcPr>
          <w:p>
            <w:pPr>
              <w:spacing w:after="0"/>
              <w:rPr>
                <w:sz w:val="20"/>
                <w:szCs w:val="20"/>
                <w:color w:val="auto"/>
              </w:rPr>
            </w:pPr>
          </w:p>
        </w:tc>
      </w:tr>
      <w:tr>
        <w:trPr>
          <w:trHeight w:val="448"/>
        </w:trPr>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Jan Reed Stern</w:t>
            </w: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97"/>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 Reed Stern</w:t>
            </w:r>
          </w:p>
        </w:tc>
        <w:tc>
          <w:tcPr>
            <w:tcW w:w="5620" w:type="dxa"/>
            <w:vAlign w:val="bottom"/>
          </w:tcPr>
          <w:p>
            <w:pPr>
              <w:spacing w:after="0"/>
              <w:rPr>
                <w:sz w:val="24"/>
                <w:szCs w:val="24"/>
                <w:color w:val="auto"/>
              </w:rPr>
            </w:pPr>
          </w:p>
        </w:tc>
      </w:tr>
      <w:tr>
        <w:trPr>
          <w:trHeight w:val="466"/>
        </w:trPr>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McNamara</w:t>
            </w: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97"/>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McNamara</w:t>
            </w:r>
          </w:p>
        </w:tc>
        <w:tc>
          <w:tcPr>
            <w:tcW w:w="5620" w:type="dxa"/>
            <w:vAlign w:val="bottom"/>
          </w:tcPr>
          <w:p>
            <w:pPr>
              <w:spacing w:after="0"/>
              <w:rPr>
                <w:sz w:val="24"/>
                <w:szCs w:val="24"/>
                <w:color w:val="auto"/>
              </w:rPr>
            </w:pPr>
          </w:p>
        </w:tc>
      </w:tr>
      <w:tr>
        <w:trPr>
          <w:trHeight w:val="466"/>
        </w:trPr>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Cary Vance</w:t>
            </w: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97"/>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Cary Vance</w:t>
            </w:r>
          </w:p>
        </w:tc>
        <w:tc>
          <w:tcPr>
            <w:tcW w:w="5620" w:type="dxa"/>
            <w:vAlign w:val="bottom"/>
          </w:tcPr>
          <w:p>
            <w:pPr>
              <w:spacing w:after="0"/>
              <w:rPr>
                <w:sz w:val="24"/>
                <w:szCs w:val="24"/>
                <w:color w:val="auto"/>
              </w:rPr>
            </w:pPr>
          </w:p>
        </w:tc>
      </w:tr>
      <w:tr>
        <w:trPr>
          <w:trHeight w:val="1074"/>
        </w:trPr>
        <w:tc>
          <w:tcPr>
            <w:tcW w:w="562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2" w:right="339" w:bottom="1440" w:gutter="0" w:footer="0" w:header="0"/>
        </w:sectPr>
      </w:pPr>
    </w:p>
    <w:bookmarkStart w:id="5" w:name="page6"/>
    <w:bookmarkEnd w:id="5"/>
    <w:p>
      <w:pPr>
        <w:ind w:left="10380"/>
        <w:spacing w:after="0"/>
        <w:rPr>
          <w:sz w:val="20"/>
          <w:szCs w:val="20"/>
          <w:color w:val="auto"/>
        </w:rPr>
      </w:pPr>
      <w:r>
        <w:rPr>
          <w:rFonts w:ascii="Times New Roman" w:cs="Times New Roman" w:eastAsia="Times New Roman" w:hAnsi="Times New Roman"/>
          <w:sz w:val="16"/>
          <w:szCs w:val="16"/>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1156970" cy="10287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1156970"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8,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AVITA MEDICAL,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28159 Avenue Stanford, Suite 220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Valencia, CA 91355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Registration Statement on Form S-8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have acted as special counsel to AVITA Medical, Inc., a Delaware corporation (the “Company”), in connection with the Registration Statement on Form S-8 (the “Registration Statement”) to be filed by the Company on the date hereof with the Securities and Exchange Commission (the “SEC”) under the Securities Act of 1933, as amended (the “Securities Act”), and the rules and regulations promulgated thereunder, for the registration of 428,858 shares (the “Shares”) of the Company’s common stock, par value $0.0001 per share (the “Common Stock”), which are issuable upon the exercise of stock options and the vesting of restricted stock units granted pursuant to individual stock option award and restricted stock unit award agreements substantially in the form referenced in Exhibits 4.3 and 4.4 of the Registration Statement (collectively, the “Award Agreements”).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opinion is being furnished in accordance with the requirements of Item 601(b)(5) of Regulation S-K under the Securities 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purposes of rendering the opinion stated herein, we have examined (a) the Registration Statement; (b) the Company’s Certificate of Incorporation;</w:t>
      </w:r>
    </w:p>
    <w:p>
      <w:pPr>
        <w:spacing w:after="0" w:line="27" w:lineRule="exact"/>
        <w:rPr>
          <w:sz w:val="20"/>
          <w:szCs w:val="20"/>
          <w:color w:val="auto"/>
        </w:rPr>
      </w:pPr>
    </w:p>
    <w:p>
      <w:pPr>
        <w:ind w:right="40" w:firstLine="8"/>
        <w:spacing w:after="0" w:line="253" w:lineRule="auto"/>
        <w:tabs>
          <w:tab w:leader="none" w:pos="24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Amended and Restated Bylaws (as amended December 22, 2021) (the “Bylaws”); (d) resolutions adopted by, and/or minutes of meetings of, the board of directors of the Company (the “Board”) on January 3, 2024 and February 21, 2024, authorizing and approving the issuance of the Shares and other related matters (collectively, the “Authorizations”); (e) a good standing certificate with respect to the Company as issued by the Secretary of State of the State of Delaware; (f) the Award Agreements; and (g) a certificate of an officer of the Company, dated the date hereof (the “Fact Certificate”).</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also examined such questions of law, and the originals or copies, certified or otherwise identified to our satisfaction, of such instruments, documents and records as we have deemed necessary or appropriate as a basis for the opinion stated herein. In our examination, we have assumed the genuineness of all signatures, the legal capacity and competency of all natural persons, the accuracy and completeness of all documents submitted to us, the authenticity of all documents submitted to us as originals, and the conformity to the originals of all documents submitted to us as copies. As to matters of fact relevant to our opinion set forth below, we have relied, without independent investigation, on certificates of public officials and the Fact Certificate.</w:t>
      </w:r>
    </w:p>
    <w:p>
      <w:pPr>
        <w:spacing w:after="0" w:line="18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rendering our opinion below, we also have assumed that (i) the Company will have sufficient authorized and unissued shares of Common Stock at the time of each issuance of any Shares, (ii) either (A) the Shares will be evidenced by appropriate certificates, duly executed and delivered, or (B) the Board will adopt a resolution providing that all shares of Common Stock shall be uncertificated in accordance with Section 158 of the General Corporation Law of the State of Delaware (the “DGCL”) prior to the issuance of the Shares and, within a reasonable time after the issuance of such uncertified Shares, the registered owner thereof shall be given notice in writing or by electronic transmission in compliance with Section 151(f) of the DGCL; (iii) the issuance of each Share will be properly recorded in the books and records of the Company, (iv) each Award Agreement has been duly executed and delivered and constitutes the valid and binding agreement of the Company, enforceable against the Company in accordance with its terms; (v) the Company will receive consideration for each Share at least equal to the par value of such share of Common Stock and in the amount required by the Authorizations; (vi) the Listing Rules of ASX Limited (“ASX”) and any other rules of ASX which are applicable while the Company is admitted to the official list of ASX, each as amended or replaced from time to time, except to the extent of any express waiver by ASX (the “Listing Rules”), do not prohibit any act relevant to our opinion below; (vii) no provision of the Listing Rules requires the Bylaws to contain any provision that is not contained in the Bylaws; and (viii) no provision of the Bylaws is inconsistent with the Listing Rules.</w:t>
      </w:r>
    </w:p>
    <w:p>
      <w:pPr>
        <w:spacing w:after="0" w:line="190"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Our opinion set forth below is limited to the DGCL and reported decisions interpreting the DGCL and we have not considered and express no opinion on the effect of any other laws of the State of Delaware or the laws of any other state or jurisdiction, including state and federal laws relating to securities or the laws, rules and regulations of any stock exchange or any other regulatory body.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453390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2" w:right="359" w:bottom="1440" w:gutter="0" w:footer="0" w:header="0"/>
        </w:sectPr>
      </w:pPr>
    </w:p>
    <w:bookmarkStart w:id="6" w:name="page7"/>
    <w:bookmarkEnd w:id="6"/>
    <w:p>
      <w:pPr>
        <w:spacing w:after="0" w:line="282" w:lineRule="auto"/>
        <w:rPr>
          <w:sz w:val="20"/>
          <w:szCs w:val="20"/>
          <w:color w:val="auto"/>
        </w:rPr>
      </w:pPr>
      <w:r>
        <w:rPr>
          <w:rFonts w:ascii="Times New Roman" w:cs="Times New Roman" w:eastAsia="Times New Roman" w:hAnsi="Times New Roman"/>
          <w:sz w:val="18"/>
          <w:szCs w:val="18"/>
          <w:color w:val="auto"/>
        </w:rPr>
        <w:t>Based upon and subject to the foregoing, it is our opinion that the Shares, when issued and paid for in accordance with the terms of the Authorizations will be validly issued, fully paid, and non-assessable.</w:t>
      </w:r>
    </w:p>
    <w:p>
      <w:pPr>
        <w:spacing w:after="0" w:line="162" w:lineRule="exact"/>
        <w:rPr>
          <w:sz w:val="20"/>
          <w:szCs w:val="20"/>
          <w:color w:val="auto"/>
        </w:rPr>
      </w:pPr>
    </w:p>
    <w:p>
      <w:pPr>
        <w:ind w:right="100"/>
        <w:spacing w:after="0" w:line="312" w:lineRule="auto"/>
        <w:rPr>
          <w:sz w:val="20"/>
          <w:szCs w:val="20"/>
          <w:color w:val="auto"/>
        </w:rPr>
      </w:pPr>
      <w:r>
        <w:rPr>
          <w:rFonts w:ascii="Times New Roman" w:cs="Times New Roman" w:eastAsia="Times New Roman" w:hAnsi="Times New Roman"/>
          <w:sz w:val="17"/>
          <w:szCs w:val="17"/>
          <w:color w:val="auto"/>
        </w:rPr>
        <w:t>We hereby consent to the filing of this opinion letter with the SEC as Exhibit 5.1 to the Registration Statement. In giving such consent, we do not thereby admit that we are in the category of persons whose consent is required under Section 7 of the Securities Act or the rules and regulations thereunder.</w:t>
      </w:r>
    </w:p>
    <w:p>
      <w:pPr>
        <w:spacing w:after="0" w:line="14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Yours truly,</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K&amp;L Gates LLP</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K&amp;L Gates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69" w:right="439" w:bottom="1440" w:gutter="0" w:footer="0" w:header="0"/>
        </w:sectPr>
      </w:pPr>
    </w:p>
    <w:bookmarkStart w:id="7" w:name="page8"/>
    <w:bookmarkEnd w:id="7"/>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CONSENT OF INDEPENDENT REGISTERED PUBLIC ACCOUNTING FIRM</w:t>
      </w:r>
    </w:p>
    <w:p>
      <w:pPr>
        <w:spacing w:after="0" w:line="23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We have issued our report dated February 22, 2024 with respect to the consolidated financial statements of AVITA Medical, Inc. included in the Annual Report on Form 10-K for the year ended December 31, 2023, which are incorporated by reference in this Registration Statement. We consent to the incorporation by reference of the aforementioned report in this Registration Statement.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GRANT THORNTON LLP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Los Angeles, California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August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757555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80" w:top="380" w:right="49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AVITA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Table 1: Newly Registered and Carry Forward Securities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4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8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rPr>
              <w:t>Fee</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Proposed Maximum</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Amount of</w:t>
            </w:r>
          </w:p>
        </w:tc>
        <w:tc>
          <w:tcPr>
            <w:tcW w:w="0" w:type="dxa"/>
            <w:vAlign w:val="bottom"/>
          </w:tcPr>
          <w:p>
            <w:pPr>
              <w:spacing w:after="0"/>
              <w:rPr>
                <w:sz w:val="1"/>
                <w:szCs w:val="1"/>
                <w:color w:val="auto"/>
              </w:rPr>
            </w:pPr>
          </w:p>
        </w:tc>
      </w:tr>
      <w:tr>
        <w:trPr>
          <w:trHeight w:val="203"/>
        </w:trPr>
        <w:tc>
          <w:tcPr>
            <w:tcW w:w="14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Calculation</w:t>
            </w: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Offering Price Per</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Registration</w:t>
            </w:r>
          </w:p>
        </w:tc>
        <w:tc>
          <w:tcPr>
            <w:tcW w:w="0" w:type="dxa"/>
            <w:vAlign w:val="bottom"/>
          </w:tcPr>
          <w:p>
            <w:pPr>
              <w:spacing w:after="0"/>
              <w:rPr>
                <w:sz w:val="1"/>
                <w:szCs w:val="1"/>
                <w:color w:val="auto"/>
              </w:rPr>
            </w:pPr>
          </w:p>
        </w:tc>
      </w:tr>
      <w:tr>
        <w:trPr>
          <w:trHeight w:val="225"/>
        </w:trPr>
        <w:tc>
          <w:tcPr>
            <w:tcW w:w="144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Security Type</w:t>
            </w:r>
          </w:p>
        </w:tc>
        <w:tc>
          <w:tcPr>
            <w:tcW w:w="2060" w:type="dxa"/>
            <w:vAlign w:val="bottom"/>
          </w:tcPr>
          <w:p>
            <w:pPr>
              <w:ind w:left="520"/>
              <w:spacing w:after="0"/>
              <w:rPr>
                <w:sz w:val="20"/>
                <w:szCs w:val="20"/>
                <w:color w:val="auto"/>
              </w:rPr>
            </w:pPr>
            <w:r>
              <w:rPr>
                <w:rFonts w:ascii="Times New Roman" w:cs="Times New Roman" w:eastAsia="Times New Roman" w:hAnsi="Times New Roman"/>
                <w:sz w:val="16"/>
                <w:szCs w:val="16"/>
                <w:b w:val="1"/>
                <w:bCs w:val="1"/>
                <w:color w:val="auto"/>
              </w:rPr>
              <w:t>Security Class Title</w:t>
            </w:r>
          </w:p>
        </w:tc>
        <w:tc>
          <w:tcPr>
            <w:tcW w:w="1080" w:type="dxa"/>
            <w:vAlign w:val="bottom"/>
          </w:tcPr>
          <w:p>
            <w:pPr>
              <w:ind w:left="440"/>
              <w:spacing w:after="0"/>
              <w:rPr>
                <w:sz w:val="20"/>
                <w:szCs w:val="20"/>
                <w:color w:val="auto"/>
              </w:rPr>
            </w:pPr>
            <w:r>
              <w:rPr>
                <w:rFonts w:ascii="Times New Roman" w:cs="Times New Roman" w:eastAsia="Times New Roman" w:hAnsi="Times New Roman"/>
                <w:sz w:val="16"/>
                <w:szCs w:val="16"/>
                <w:b w:val="1"/>
                <w:bCs w:val="1"/>
                <w:color w:val="auto"/>
              </w:rPr>
              <w:t>Rule</w:t>
            </w: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Registered</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Unit (4)</w:t>
            </w:r>
          </w:p>
        </w:tc>
        <w:tc>
          <w:tcPr>
            <w:tcW w:w="12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Offering Price (4)</w:t>
            </w:r>
          </w:p>
        </w:tc>
        <w:tc>
          <w:tcPr>
            <w:tcW w:w="100" w:type="dxa"/>
            <w:vAlign w:val="bottom"/>
          </w:tcPr>
          <w:p>
            <w:pPr>
              <w:spacing w:after="0"/>
              <w:rPr>
                <w:sz w:val="19"/>
                <w:szCs w:val="19"/>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Fee Rate</w:t>
            </w:r>
          </w:p>
        </w:tc>
        <w:tc>
          <w:tcPr>
            <w:tcW w:w="100" w:type="dxa"/>
            <w:vAlign w:val="bottom"/>
          </w:tcPr>
          <w:p>
            <w:pPr>
              <w:spacing w:after="0"/>
              <w:rPr>
                <w:sz w:val="19"/>
                <w:szCs w:val="19"/>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Fee</w:t>
            </w:r>
          </w:p>
        </w:tc>
        <w:tc>
          <w:tcPr>
            <w:tcW w:w="0" w:type="dxa"/>
            <w:vAlign w:val="bottom"/>
          </w:tcPr>
          <w:p>
            <w:pPr>
              <w:spacing w:after="0"/>
              <w:rPr>
                <w:sz w:val="1"/>
                <w:szCs w:val="1"/>
                <w:color w:val="auto"/>
              </w:rPr>
            </w:pPr>
          </w:p>
        </w:tc>
      </w:tr>
      <w:tr>
        <w:trPr>
          <w:trHeight w:val="202"/>
        </w:trPr>
        <w:tc>
          <w:tcPr>
            <w:tcW w:w="1440" w:type="dxa"/>
            <w:vAlign w:val="bottom"/>
            <w:tcBorders>
              <w:top w:val="single" w:sz="8" w:color="auto"/>
            </w:tcBorders>
            <w:shd w:val="clear" w:color="auto" w:fill="CFF0FC"/>
          </w:tcPr>
          <w:p>
            <w:pPr>
              <w:spacing w:after="0"/>
              <w:rPr>
                <w:sz w:val="17"/>
                <w:szCs w:val="17"/>
                <w:color w:val="auto"/>
              </w:rPr>
            </w:pPr>
          </w:p>
        </w:tc>
        <w:tc>
          <w:tcPr>
            <w:tcW w:w="2060" w:type="dxa"/>
            <w:vAlign w:val="bottom"/>
            <w:tcBorders>
              <w:top w:val="single" w:sz="8" w:color="auto"/>
            </w:tcBorders>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Common Stock, par value</w:t>
            </w:r>
          </w:p>
        </w:tc>
        <w:tc>
          <w:tcPr>
            <w:tcW w:w="108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Equity</w:t>
            </w:r>
          </w:p>
        </w:tc>
        <w:tc>
          <w:tcPr>
            <w:tcW w:w="20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$0.0001 per share</w:t>
            </w:r>
          </w:p>
        </w:tc>
        <w:tc>
          <w:tcPr>
            <w:tcW w:w="10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Rule 457(h)</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350,000</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w:t>
            </w:r>
          </w:p>
        </w:tc>
        <w:tc>
          <w:tcPr>
            <w:tcW w:w="3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12.64</w:t>
            </w:r>
          </w:p>
        </w:tc>
        <w:tc>
          <w:tcPr>
            <w:tcW w:w="3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4,424,000.00</w:t>
            </w:r>
          </w:p>
        </w:tc>
        <w:tc>
          <w:tcPr>
            <w:tcW w:w="108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0.00014760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652.98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440" w:type="dxa"/>
            <w:vAlign w:val="bottom"/>
          </w:tcPr>
          <w:p>
            <w:pPr>
              <w:spacing w:after="0"/>
              <w:rPr>
                <w:sz w:val="17"/>
                <w:szCs w:val="17"/>
                <w:color w:val="auto"/>
              </w:rPr>
            </w:pPr>
          </w:p>
        </w:tc>
        <w:tc>
          <w:tcPr>
            <w:tcW w:w="2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Common Stock, par value</w:t>
            </w: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4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Equity</w:t>
            </w:r>
          </w:p>
        </w:tc>
        <w:tc>
          <w:tcPr>
            <w:tcW w:w="2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$0.0001 per share</w:t>
            </w:r>
          </w:p>
        </w:tc>
        <w:tc>
          <w:tcPr>
            <w:tcW w:w="10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Rule 457(h)</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23,658</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w:t>
            </w:r>
          </w:p>
        </w:tc>
        <w:tc>
          <w:tcPr>
            <w:tcW w:w="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9.51</w:t>
            </w:r>
          </w:p>
        </w:tc>
        <w:tc>
          <w:tcPr>
            <w:tcW w:w="3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224,987.58</w:t>
            </w:r>
          </w:p>
        </w:tc>
        <w:tc>
          <w:tcPr>
            <w:tcW w:w="10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0.00014760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440" w:type="dxa"/>
            <w:vAlign w:val="bottom"/>
            <w:shd w:val="clear" w:color="auto" w:fill="CFF0FC"/>
          </w:tcPr>
          <w:p>
            <w:pPr>
              <w:spacing w:after="0"/>
              <w:rPr>
                <w:sz w:val="18"/>
                <w:szCs w:val="18"/>
                <w:color w:val="auto"/>
              </w:rPr>
            </w:pPr>
          </w:p>
        </w:tc>
        <w:tc>
          <w:tcPr>
            <w:tcW w:w="20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Common Stock, par value</w:t>
            </w:r>
          </w:p>
        </w:tc>
        <w:tc>
          <w:tcPr>
            <w:tcW w:w="1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00" w:type="dxa"/>
            <w:vAlign w:val="bottom"/>
            <w:gridSpan w:val="2"/>
            <w:vMerge w:val="restart"/>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524,952.00</w:t>
            </w: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4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Equity</w:t>
            </w:r>
          </w:p>
        </w:tc>
        <w:tc>
          <w:tcPr>
            <w:tcW w:w="20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$0.0001 per share</w:t>
            </w:r>
          </w:p>
        </w:tc>
        <w:tc>
          <w:tcPr>
            <w:tcW w:w="10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Rule 457(h)</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55,200</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w:t>
            </w:r>
          </w:p>
        </w:tc>
        <w:tc>
          <w:tcPr>
            <w:tcW w:w="3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9.51</w:t>
            </w:r>
          </w:p>
        </w:tc>
        <w:tc>
          <w:tcPr>
            <w:tcW w:w="300" w:type="dxa"/>
            <w:vAlign w:val="bottom"/>
            <w:gridSpan w:val="2"/>
            <w:vMerge w:val="continue"/>
            <w:shd w:val="clear" w:color="auto" w:fill="CFF0FC"/>
          </w:tcPr>
          <w:p>
            <w:pPr>
              <w:spacing w:after="0"/>
              <w:rPr>
                <w:sz w:val="18"/>
                <w:szCs w:val="18"/>
                <w:color w:val="auto"/>
              </w:rPr>
            </w:pPr>
          </w:p>
        </w:tc>
        <w:tc>
          <w:tcPr>
            <w:tcW w:w="1160" w:type="dxa"/>
            <w:vAlign w:val="bottom"/>
            <w:vMerge w:val="continue"/>
            <w:shd w:val="clear" w:color="auto" w:fill="CFF0FC"/>
          </w:tcPr>
          <w:p>
            <w:pPr>
              <w:spacing w:after="0"/>
              <w:rPr>
                <w:sz w:val="18"/>
                <w:szCs w:val="18"/>
                <w:color w:val="auto"/>
              </w:rPr>
            </w:pPr>
          </w:p>
        </w:tc>
        <w:tc>
          <w:tcPr>
            <w:tcW w:w="108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0.00014760</w:t>
            </w:r>
          </w:p>
        </w:tc>
        <w:tc>
          <w:tcPr>
            <w:tcW w:w="100" w:type="dxa"/>
            <w:vAlign w:val="bottom"/>
            <w:vMerge w:val="continue"/>
            <w:shd w:val="clear" w:color="auto" w:fill="CFF0FC"/>
          </w:tcPr>
          <w:p>
            <w:pPr>
              <w:spacing w:after="0"/>
              <w:rPr>
                <w:sz w:val="18"/>
                <w:szCs w:val="18"/>
                <w:color w:val="auto"/>
              </w:rPr>
            </w:pPr>
          </w:p>
        </w:tc>
        <w:tc>
          <w:tcPr>
            <w:tcW w:w="106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440" w:type="dxa"/>
            <w:vAlign w:val="bottom"/>
            <w:tcBorders>
              <w:top w:val="single" w:sz="8" w:color="CFF0FC"/>
            </w:tcBorders>
          </w:tcPr>
          <w:p>
            <w:pPr>
              <w:ind w:left="60"/>
              <w:spacing w:after="0"/>
              <w:rPr>
                <w:sz w:val="20"/>
                <w:szCs w:val="20"/>
                <w:color w:val="auto"/>
              </w:rPr>
            </w:pPr>
            <w:r>
              <w:rPr>
                <w:rFonts w:ascii="Times New Roman" w:cs="Times New Roman" w:eastAsia="Times New Roman" w:hAnsi="Times New Roman"/>
                <w:sz w:val="16"/>
                <w:szCs w:val="16"/>
                <w:color w:val="auto"/>
              </w:rPr>
              <w:t>Total Offering</w:t>
            </w:r>
          </w:p>
        </w:tc>
        <w:tc>
          <w:tcPr>
            <w:tcW w:w="2060" w:type="dxa"/>
            <w:vAlign w:val="bottom"/>
            <w:tcBorders>
              <w:top w:val="single" w:sz="8" w:color="CFF0FC"/>
            </w:tcBorders>
          </w:tcPr>
          <w:p>
            <w:pPr>
              <w:spacing w:after="0"/>
              <w:rPr>
                <w:sz w:val="17"/>
                <w:szCs w:val="17"/>
                <w:color w:val="auto"/>
              </w:rPr>
            </w:pPr>
          </w:p>
        </w:tc>
        <w:tc>
          <w:tcPr>
            <w:tcW w:w="1080" w:type="dxa"/>
            <w:vAlign w:val="bottom"/>
            <w:tcBorders>
              <w:top w:val="single" w:sz="8" w:color="CFF0FC"/>
            </w:tcBorders>
          </w:tcPr>
          <w:p>
            <w:pPr>
              <w:spacing w:after="0"/>
              <w:rPr>
                <w:sz w:val="17"/>
                <w:szCs w:val="17"/>
                <w:color w:val="auto"/>
              </w:rPr>
            </w:pPr>
          </w:p>
        </w:tc>
        <w:tc>
          <w:tcPr>
            <w:tcW w:w="94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11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98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Amounts</w:t>
            </w:r>
          </w:p>
        </w:tc>
        <w:tc>
          <w:tcPr>
            <w:tcW w:w="20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5,173,939.58</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144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Total Fee Offsets</w:t>
            </w:r>
          </w:p>
        </w:tc>
        <w:tc>
          <w:tcPr>
            <w:tcW w:w="206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14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Fee Due</w:t>
            </w:r>
          </w:p>
        </w:tc>
        <w:tc>
          <w:tcPr>
            <w:tcW w:w="2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-570230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-570230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-141605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7" w:lineRule="exact"/>
        <w:rPr>
          <w:sz w:val="20"/>
          <w:szCs w:val="20"/>
          <w:color w:val="auto"/>
        </w:rPr>
      </w:pPr>
    </w:p>
    <w:p>
      <w:pPr>
        <w:ind w:left="520" w:right="60" w:hanging="512"/>
        <w:spacing w:after="0" w:line="28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350,000 shares of Common Stock issuable to the Chief Executive Officer upon the exercise of outstanding stock options issued pursuant to individual stock option award agreements in 2024.</w:t>
      </w:r>
    </w:p>
    <w:p>
      <w:pPr>
        <w:spacing w:after="0" w:line="134"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23,658 shares of Common Stock issuable to the Directors upon the exercise of outstanding stock options issued pursuant vto individual stock option award agreements in 2024.</w:t>
      </w:r>
    </w:p>
    <w:p>
      <w:pPr>
        <w:spacing w:after="0" w:line="121" w:lineRule="exact"/>
        <w:rPr>
          <w:rFonts w:ascii="Times New Roman" w:cs="Times New Roman" w:eastAsia="Times New Roman" w:hAnsi="Times New Roman"/>
          <w:sz w:val="18"/>
          <w:szCs w:val="18"/>
          <w:color w:val="auto"/>
        </w:rPr>
      </w:pPr>
    </w:p>
    <w:p>
      <w:pPr>
        <w:ind w:left="520" w:right="600" w:hanging="512"/>
        <w:spacing w:after="0" w:line="28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55,200 shares of Common Stock issuable to the Directors upon the vesting of restricted stock units (“RSUs”) issued vpursuant to individual RSU award agreements in 2024.</w:t>
      </w:r>
    </w:p>
    <w:p>
      <w:pPr>
        <w:spacing w:after="0" w:line="121" w:lineRule="exact"/>
        <w:rPr>
          <w:rFonts w:ascii="Times New Roman" w:cs="Times New Roman" w:eastAsia="Times New Roman" w:hAnsi="Times New Roman"/>
          <w:sz w:val="18"/>
          <w:szCs w:val="18"/>
          <w:color w:val="auto"/>
        </w:rPr>
      </w:pPr>
    </w:p>
    <w:p>
      <w:pPr>
        <w:ind w:left="520" w:right="200" w:hanging="512"/>
        <w:spacing w:after="0" w:line="266"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purposes of calculating the proposed maximum aggregate offering price and the registration fee in accordance with Rules 457(c) and 457(h) of the Securities Act, on the basis of the highest exercise price of the options to be registered and the grant date fair value of the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Letter"/>
      <w:start w:val="1"/>
    </w:lvl>
  </w:abstractNum>
  <w:abstractNum w:abstractNumId="1">
    <w:nsid w:val="3D1B58BA"/>
    <w:multiLevelType w:val="hybridMultilevel"/>
    <w:lvl w:ilvl="0">
      <w:lvlJc w:val="left"/>
      <w:lvlText w:val="(%1)"/>
      <w:numFmt w:val="lowerRoman"/>
      <w:start w:val="1"/>
    </w:lvl>
  </w:abstractNum>
  <w:abstractNum w:abstractNumId="2">
    <w:nsid w:val="507ED7AB"/>
    <w:multiLevelType w:val="hybridMultilevel"/>
    <w:lvl w:ilvl="0">
      <w:lvlJc w:val="left"/>
      <w:lvlText w:val="†"/>
      <w:numFmt w:val="bullet"/>
      <w:start w:val="1"/>
    </w:lvl>
    <w:lvl w:ilvl="1">
      <w:lvlJc w:val="left"/>
      <w:lvlText w:val="%2"/>
      <w:numFmt w:val="decimal"/>
      <w:start w:val="107"/>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decimal"/>
      <w:start w:val="1"/>
    </w:lvl>
    <w:lvl w:ilvl="1">
      <w:lvlJc w:val="left"/>
      <w:lvlText w:val="(%2)"/>
      <w:numFmt w:val="lowerRoman"/>
      <w:start w:val="1"/>
    </w:lvl>
  </w:abstractNum>
  <w:abstractNum w:abstractNumId="5">
    <w:nsid w:val="79E2A9E3"/>
    <w:multiLevelType w:val="hybridMultilevel"/>
    <w:lvl w:ilvl="0">
      <w:lvlJc w:val="left"/>
      <w:lvlText w:val="%1"/>
      <w:numFmt w:val="lowerLetter"/>
      <w:start w:val="1"/>
    </w:lvl>
    <w:lvl w:ilvl="1">
      <w:lvlJc w:val="left"/>
      <w:lvlText w:val="(%2)"/>
      <w:numFmt w:val="decimal"/>
      <w:start w:val="2"/>
    </w:lvl>
  </w:abstractNum>
  <w:abstractNum w:abstractNumId="6">
    <w:nsid w:val="7545E146"/>
    <w:multiLevelType w:val="hybridMultilevel"/>
    <w:lvl w:ilvl="0">
      <w:lvlJc w:val="left"/>
      <w:lvlText w:val="(%1)"/>
      <w:numFmt w:val="lowerLetter"/>
      <w:start w:val="2"/>
    </w:lvl>
    <w:lvl w:ilvl="1">
      <w:lvlJc w:val="left"/>
      <w:lvlText w:val="%2"/>
      <w:numFmt w:val="decimal"/>
      <w:start w:val="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7" Type="http://schemas.openxmlformats.org/officeDocument/2006/relationships/image" Target="media/image2.png"/><Relationship Id="rId20" Type="http://schemas.openxmlformats.org/officeDocument/2006/relationships/image" Target="media/image3.png"/><Relationship Id="rId21" Type="http://schemas.openxmlformats.org/officeDocument/2006/relationships/image" Target="media/image4.png"/><Relationship Id="rId22" Type="http://schemas.openxmlformats.org/officeDocument/2006/relationships/image" Target="media/image5.png"/><Relationship Id="rId23"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jpe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9" Type="http://schemas.openxmlformats.org/officeDocument/2006/relationships/hyperlink" Target="https://www.sec.gov/ix?doc=/Archives/edgar/data/1762303/000156459023002302/rcel-10k_20221231.htm" TargetMode="External"/><Relationship Id="rId10" Type="http://schemas.openxmlformats.org/officeDocument/2006/relationships/hyperlink" Target="https://www.sec.gov/ix?doc=/Archives/edgar/data/1762303/000095017023021310/rcel-20230331.htm" TargetMode="External"/><Relationship Id="rId11" Type="http://schemas.openxmlformats.org/officeDocument/2006/relationships/hyperlink" Target="https://www.sec.gov/ix?doc=/Archives/edgar/data/1762303/000119312523162334/d488776d8k.htm" TargetMode="External"/><Relationship Id="rId12" Type="http://schemas.openxmlformats.org/officeDocument/2006/relationships/hyperlink" Target="https://www.sec.gov/Archives/edgar/data/1762303/000095017024003621/rcel-20240110.htm" TargetMode="External"/><Relationship Id="rId13" Type="http://schemas.openxmlformats.org/officeDocument/2006/relationships/hyperlink" Target="https://www.sec.gov/Archives/edgar/data/1762303/000095017024066656/rcel-20240529.htm" TargetMode="External"/><Relationship Id="rId14" Type="http://schemas.openxmlformats.org/officeDocument/2006/relationships/hyperlink" Target="https://www.sec.gov/Archives/edgar/data/1762303/000095017024069945/rcel-20240605.htm" TargetMode="External"/><Relationship Id="rId15" Type="http://schemas.openxmlformats.org/officeDocument/2006/relationships/hyperlink" Target="https://www.sec.gov/Archives/edgar/data/1762303/000095017024079679/rcel-20240628.htm" TargetMode="External"/><Relationship Id="rId16" Type="http://schemas.openxmlformats.org/officeDocument/2006/relationships/hyperlink" Target="https://www.sec.gov/Archives/edgar/data/1762303/000119312520183429/d75062d8k12b.htm" TargetMode="External"/><Relationship Id="rId18" Type="http://schemas.openxmlformats.org/officeDocument/2006/relationships/hyperlink" Target="https://www.sec.gov/Archives/edgar/data/1762303/000156459023002302/rcel-ex1019_212.htm" TargetMode="External"/><Relationship Id="rId19" Type="http://schemas.openxmlformats.org/officeDocument/2006/relationships/hyperlink" Target="https://www.sec.gov/Archives/edgar/data/1762303/000156459023002302/rcel-ex1020_21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2024-08-09T09:42:40Z</dcterms:created>
  <dcterms:modified xsi:type="dcterms:W3CDTF">2024-08-09T09:42:40Z</dcterms:modified>
</cp:coreProperties>
</file>