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43"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ind w:left="504"/>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3">
            <w:col w:w="4064" w:space="720"/>
            <w:col w:w="2700" w:space="720"/>
            <w:col w:w="2820"/>
          </w:cols>
          <w:pgMar w:left="436" w:top="362" w:right="439" w:bottom="1440" w:gutter="0" w:footer="0" w:header="0"/>
          <w:type w:val="continuous"/>
        </w:sectPr>
      </w:pPr>
    </w:p>
    <w:p>
      <w:pPr>
        <w:ind w:left="16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661.367.9170</w:t>
      </w:r>
    </w:p>
    <w:p>
      <w:pPr>
        <w:spacing w:after="0" w:line="43" w:lineRule="exact"/>
        <w:rPr>
          <w:sz w:val="24"/>
          <w:szCs w:val="24"/>
          <w:color w:val="auto"/>
        </w:rPr>
      </w:pPr>
    </w:p>
    <w:p>
      <w:pPr>
        <w:sectPr>
          <w:pgSz w:w="11900" w:h="16838" w:orient="portrait"/>
          <w:cols w:equalWidth="0" w:num="2">
            <w:col w:w="8044" w:space="720"/>
            <w:col w:w="2260"/>
          </w:cols>
          <w:pgMar w:left="436" w:top="362" w:right="439" w:bottom="1440" w:gutter="0" w:footer="0" w:header="0"/>
          <w:type w:val="continuous"/>
        </w:sectPr>
      </w:pPr>
    </w:p>
    <w:p>
      <w:pPr>
        <w:ind w:left="18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904" w:space="720"/>
            <w:col w:w="340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w:t>
        <w:tab/>
        <w:t>Other Events.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October 11, 2020 (October 12, 2020 Australian Eastern Standard Time), Avita Therapeutics, Inc. (the “Company”), made a required announcement on the Australian Securities Exchange (the “ASX”) announcing the filing of a shelf registration statement on Form S-3 (the “S-3”) with the United States Securities and Exchange Commission (the “SEC”). A copy of the Company’s ASX announcement is included as Exhibit 99.1 to this report.</w:t>
      </w:r>
    </w:p>
    <w:p>
      <w:pPr>
        <w:spacing w:after="0" w:line="15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under Item 8.01 and Exhibit 99.1 is being furnished and shall not be deemed “filed” for purposes of Section 18 of the Securities Exchange Act of 1934, as amended (the “Exchange Act”), or otherwise subject to liabilities of that Section, unless the registrant specifically states that the information is to be considered “filed” under the Exchange Act, or incorporates it by reference into a filing under the Exchange Act or the Securities Act of 1933, as amended.</w:t>
      </w:r>
    </w:p>
    <w:p>
      <w:pPr>
        <w:spacing w:after="0" w:line="3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53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300" w:type="dxa"/>
            <w:vAlign w:val="bottom"/>
            <w:gridSpan w:val="3"/>
          </w:tcPr>
          <w:p>
            <w:pPr>
              <w:ind w:left="420"/>
              <w:spacing w:after="0"/>
              <w:rPr>
                <w:rFonts w:ascii="Times New Roman" w:cs="Times New Roman" w:eastAsia="Times New Roman" w:hAnsi="Times New Roman"/>
                <w:sz w:val="18"/>
                <w:szCs w:val="18"/>
                <w:u w:val="single" w:color="auto"/>
                <w:color w:val="0000EE"/>
                <w:w w:val="99"/>
              </w:rPr>
            </w:pPr>
            <w:hyperlink w:anchor="page4">
              <w:r>
                <w:rPr>
                  <w:rFonts w:ascii="Times New Roman" w:cs="Times New Roman" w:eastAsia="Times New Roman" w:hAnsi="Times New Roman"/>
                  <w:sz w:val="18"/>
                  <w:szCs w:val="18"/>
                  <w:u w:val="single" w:color="auto"/>
                  <w:color w:val="0000EE"/>
                  <w:w w:val="99"/>
                </w:rPr>
                <w:t>ASX Announcement - Shelf Registration Statement Filed with SEC</w:t>
              </w:r>
            </w:hyperlink>
          </w:p>
        </w:tc>
        <w:tc>
          <w:tcPr>
            <w:tcW w:w="0" w:type="dxa"/>
            <w:vAlign w:val="bottom"/>
          </w:tcPr>
          <w:p>
            <w:pPr>
              <w:spacing w:after="0"/>
              <w:rPr>
                <w:sz w:val="1"/>
                <w:szCs w:val="1"/>
                <w:color w:val="auto"/>
              </w:rPr>
            </w:pPr>
          </w:p>
        </w:tc>
      </w:tr>
    </w:tbl>
    <w:p>
      <w:pPr>
        <w:sectPr>
          <w:pgSz w:w="11900" w:h="16838" w:orient="portrait"/>
          <w:cols w:equalWidth="0" w:num="1">
            <w:col w:w="10860"/>
          </w:cols>
          <w:pgMar w:left="440" w:top="266" w:right="5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12,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McIntyre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0700"/>
          </w:cols>
          <w:pgMar w:left="440" w:top="266" w:right="759" w:bottom="1440" w:gutter="0" w:footer="0" w:header="0"/>
        </w:sectPr>
      </w:pPr>
    </w:p>
    <w:bookmarkStart w:id="3" w:name="page4"/>
    <w:bookmarkEnd w:id="3"/>
    <w:p>
      <w:pPr>
        <w:ind w:left="10084"/>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Shelf Registration Statement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699516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4"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Valencia, Calif, USA, and Melbourne, Australia, October 12, 2020 </w:t>
      </w:r>
      <w:r>
        <w:rPr>
          <w:rFonts w:ascii="Times New Roman" w:cs="Times New Roman" w:eastAsia="Times New Roman" w:hAnsi="Times New Roman"/>
          <w:sz w:val="18"/>
          <w:szCs w:val="18"/>
          <w:color w:val="auto"/>
        </w:rPr>
        <w:t>— AVITA Therapeutics, Inc. (NASDAQ: RCEL, ASX:AVH)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advises that it has filed a shelf registration statement on Form S-3 with the United States Securities and Exchange Commission (the “SEC”) (a copy of which is attached to this announcement).</w:t>
      </w:r>
    </w:p>
    <w:p>
      <w:pPr>
        <w:spacing w:after="0" w:line="175"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On the recent one-year anniversary of AVITA’s listing on NASDAQ, the Company has for the first-time become eligible to file the attached S-3 registration statement with the SEC. Under the S-3 registration statement (once it is declared effective by the SEC), the Company may, in one or more offerings, issue various types of securities, including its common stock, newly designated preferred stock, warrants or units, from time to time over a maximum period of three years.</w:t>
      </w:r>
    </w:p>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Filing a S-3 registration statement is common practice for public companies in the United States and it should be noted that:</w:t>
      </w:r>
    </w:p>
    <w:p>
      <w:pPr>
        <w:spacing w:after="0" w:line="131" w:lineRule="exact"/>
        <w:rPr>
          <w:sz w:val="20"/>
          <w:szCs w:val="20"/>
          <w:color w:val="auto"/>
        </w:rPr>
      </w:pPr>
    </w:p>
    <w:p>
      <w:pPr>
        <w:ind w:left="544" w:hanging="544"/>
        <w:spacing w:after="0"/>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has no definitive plans to issue securities under the S-3 registration statement;</w:t>
      </w:r>
    </w:p>
    <w:p>
      <w:pPr>
        <w:spacing w:after="0" w:line="130"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S-3 registration statement is subject to review by the SEC and will not be effective until such time as the SEC declares it to be effective (at which time the S-3 registration statement will have a “3-year life”);</w:t>
      </w:r>
    </w:p>
    <w:p>
      <w:pPr>
        <w:spacing w:after="0" w:line="67" w:lineRule="exact"/>
        <w:rPr>
          <w:rFonts w:ascii="Times New Roman" w:cs="Times New Roman" w:eastAsia="Times New Roman" w:hAnsi="Times New Roman"/>
          <w:sz w:val="18"/>
          <w:szCs w:val="18"/>
          <w:color w:val="auto"/>
        </w:rPr>
      </w:pPr>
    </w:p>
    <w:p>
      <w:pPr>
        <w:ind w:left="544" w:right="160" w:hanging="544"/>
        <w:spacing w:after="0" w:line="282"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S-3 registration statement and this announcement shall not constitute an offer to sell or the solicitation of an offer to buy any of the Company’s securities; and</w:t>
      </w:r>
    </w:p>
    <w:p>
      <w:pPr>
        <w:spacing w:after="0" w:line="67" w:lineRule="exact"/>
        <w:rPr>
          <w:rFonts w:ascii="Times New Roman" w:cs="Times New Roman" w:eastAsia="Times New Roman" w:hAnsi="Times New Roman"/>
          <w:sz w:val="18"/>
          <w:szCs w:val="18"/>
          <w:color w:val="auto"/>
        </w:rPr>
      </w:pPr>
    </w:p>
    <w:p>
      <w:pPr>
        <w:ind w:left="544" w:right="700" w:hanging="544"/>
        <w:spacing w:after="0" w:line="282"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any party (including investment banks or other professional advisers) in relation to a potential offering of securities.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Authorized for release by the Chief Financial Officer of AVITA Therapeutics, Inc.</w:t>
      </w:r>
    </w:p>
    <w:p>
      <w:pPr>
        <w:spacing w:after="0" w:line="3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AVITA THERAPEUTICS, INC.</w:t>
      </w:r>
    </w:p>
    <w:p>
      <w:pPr>
        <w:spacing w:after="0" w:line="121"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4"/>
          </w:cols>
          <w:pgMar w:left="436" w:top="117" w:right="439" w:bottom="1440" w:gutter="0" w:footer="0" w:header="0"/>
        </w:sectPr>
      </w:pPr>
    </w:p>
    <w:bookmarkStart w:id="4" w:name="page5"/>
    <w:bookmarkEnd w:id="4"/>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AVITA Therapeutics’ first U.S. product, the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FURTHER INFORMATION:</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 Brown,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Christy Curran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+1 615 414 8668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christycurran@sambrown.com</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Westwicke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Corner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+1 415 202 5678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caroline.corner@westwicke.com</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Monsoon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 Michelson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 (0)3 9620 3333</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McIntyre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Phone +1 661 367 9178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dmcintyre@avitamedical.com</w:t>
      </w:r>
    </w:p>
    <w:p>
      <w:pPr>
        <w:spacing w:after="0" w:line="9"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Mobile +61 (0)411 402 737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rudim@monsoon.com.au</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7"/>
          <w:szCs w:val="17"/>
          <w:color w:val="auto"/>
        </w:rPr>
        <w:t>PR20201012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sectPr>
      <w:pgSz w:w="11900" w:h="16838" w:orient="portrait"/>
      <w:cols w:equalWidth="0" w:num="1">
        <w:col w:w="11020"/>
      </w:cols>
      <w:pgMar w:left="440"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2020-10-13T09:37:34Z</dcterms:created>
  <dcterms:modified xsi:type="dcterms:W3CDTF">2020-10-13T09:37:34Z</dcterms:modified>
</cp:coreProperties>
</file>