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August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Avita Medical,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85-1021707</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69"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ind w:left="1300"/>
        <w:spacing w:after="0"/>
        <w:rPr>
          <w:sz w:val="20"/>
          <w:szCs w:val="20"/>
          <w:color w:val="auto"/>
        </w:rPr>
      </w:pPr>
      <w:r>
        <w:rPr>
          <w:rFonts w:ascii="Arial" w:cs="Arial" w:eastAsia="Arial" w:hAnsi="Arial"/>
          <w:sz w:val="10"/>
          <w:szCs w:val="10"/>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661.367.9170</w:t>
      </w:r>
    </w:p>
    <w:p>
      <w:pPr>
        <w:spacing w:after="0" w:line="42" w:lineRule="exact"/>
        <w:rPr>
          <w:sz w:val="24"/>
          <w:szCs w:val="24"/>
          <w:color w:val="auto"/>
        </w:rPr>
      </w:pPr>
    </w:p>
    <w:p>
      <w:pPr>
        <w:sectPr>
          <w:pgSz w:w="11900" w:h="16838" w:orient="portrait"/>
          <w:cols w:equalWidth="0" w:num="2">
            <w:col w:w="5340" w:space="720"/>
            <w:col w:w="2959"/>
          </w:cols>
          <w:pgMar w:left="1440" w:top="292" w:right="1440" w:bottom="1440" w:gutter="0" w:footer="0" w:header="0"/>
          <w:type w:val="continuous"/>
        </w:sectPr>
      </w:pPr>
    </w:p>
    <w:p>
      <w:pPr>
        <w:jc w:val="center"/>
        <w:ind w:left="78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539"/>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38" w:lineRule="exact"/>
        <w:rPr>
          <w:sz w:val="24"/>
          <w:szCs w:val="24"/>
          <w:color w:val="auto"/>
        </w:rPr>
      </w:pPr>
    </w:p>
    <w:p>
      <w:pPr>
        <w:sectPr>
          <w:pgSz w:w="11900" w:h="16838" w:orient="portrait"/>
          <w:cols w:equalWidth="0" w:num="2">
            <w:col w:w="4600" w:space="720"/>
            <w:col w:w="369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RCEL</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122" w:lineRule="exact"/>
        <w:rPr>
          <w:sz w:val="24"/>
          <w:szCs w:val="24"/>
          <w:color w:val="auto"/>
        </w:rPr>
      </w:pPr>
    </w:p>
    <w:p>
      <w:pPr>
        <w:ind w:left="840" w:right="899"/>
        <w:spacing w:after="0" w:line="155"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2" w:lineRule="exact"/>
        <w:rPr>
          <w:sz w:val="20"/>
          <w:szCs w:val="20"/>
          <w:color w:val="auto"/>
        </w:rPr>
      </w:pPr>
    </w:p>
    <w:p>
      <w:pPr>
        <w:ind w:left="840" w:right="839" w:firstLine="294"/>
        <w:spacing w:after="0" w:line="289" w:lineRule="auto"/>
        <w:rPr>
          <w:sz w:val="20"/>
          <w:szCs w:val="20"/>
          <w:color w:val="auto"/>
        </w:rPr>
      </w:pPr>
      <w:r>
        <w:rPr>
          <w:rFonts w:ascii="Arial" w:cs="Arial" w:eastAsia="Arial" w:hAnsi="Arial"/>
          <w:sz w:val="11"/>
          <w:szCs w:val="11"/>
          <w:color w:val="auto"/>
        </w:rPr>
        <w:t>On August 26, 2021, Avita Medical, Inc. (the “Company”), reported financial results for its fourth quarter of fiscal year 2021, ended June 30, 2021 and certain other business updates. A copy of the press release is furnished herewith as Exhibit 99.1. The information in this Item 2.02 and in the press release furnished hereto as Exhibit 99.1 is not to be considered “filed” for purposes of the Securities Exchange Act of 1934, as amended (the “Exchange Act”), and is not incorporated by reference into the Registrant’s filings under the Securities Act of 1933, as amended (the “Securities Act”).</w:t>
      </w:r>
    </w:p>
    <w:p>
      <w:pPr>
        <w:spacing w:after="0" w:line="206"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82" w:lineRule="exact"/>
        <w:rPr>
          <w:sz w:val="20"/>
          <w:szCs w:val="20"/>
          <w:color w:val="auto"/>
        </w:rPr>
      </w:pPr>
    </w:p>
    <w:p>
      <w:pPr>
        <w:ind w:left="840" w:right="879" w:firstLine="294"/>
        <w:spacing w:after="0" w:line="298" w:lineRule="auto"/>
        <w:rPr>
          <w:sz w:val="20"/>
          <w:szCs w:val="20"/>
          <w:color w:val="auto"/>
        </w:rPr>
      </w:pPr>
      <w:r>
        <w:rPr>
          <w:rFonts w:ascii="Arial" w:cs="Arial" w:eastAsia="Arial" w:hAnsi="Arial"/>
          <w:sz w:val="11"/>
          <w:szCs w:val="11"/>
          <w:color w:val="auto"/>
        </w:rPr>
        <w:t>The Company has prepared an informational company presentation to be used in connection with general corporate presentations, a copy which is furnished herewith as Exhibit 99.2 The information in the company presentation furnished hereto as Exhibit 99.2 is not to be considered “filed” for purposes of the Exchange Act, and is not incorporated by reference into the Registrant’s filings under the Securities Act.</w:t>
      </w:r>
    </w:p>
    <w:p>
      <w:pPr>
        <w:spacing w:after="0" w:line="20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Exhibit</w:t>
            </w:r>
          </w:p>
        </w:tc>
        <w:tc>
          <w:tcPr>
            <w:tcW w:w="9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3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6"/>
              </w:rPr>
              <w:t>No.</w:t>
            </w:r>
          </w:p>
        </w:tc>
        <w:tc>
          <w:tcPr>
            <w:tcW w:w="280" w:type="dxa"/>
            <w:vAlign w:val="bottom"/>
          </w:tcPr>
          <w:p>
            <w:pPr>
              <w:spacing w:after="0"/>
              <w:rPr>
                <w:sz w:val="9"/>
                <w:szCs w:val="9"/>
                <w:color w:val="auto"/>
              </w:rPr>
            </w:pPr>
          </w:p>
        </w:tc>
        <w:tc>
          <w:tcPr>
            <w:tcW w:w="3840" w:type="dxa"/>
            <w:vAlign w:val="bottom"/>
            <w:gridSpan w:val="4"/>
          </w:tcPr>
          <w:p>
            <w:pPr>
              <w:spacing w:after="0" w:line="114" w:lineRule="exact"/>
              <w:rPr>
                <w:sz w:val="20"/>
                <w:szCs w:val="20"/>
                <w:color w:val="auto"/>
              </w:rPr>
            </w:pPr>
            <w:r>
              <w:rPr>
                <w:rFonts w:ascii="Arial" w:cs="Arial" w:eastAsia="Arial" w:hAnsi="Arial"/>
                <w:sz w:val="10"/>
                <w:szCs w:val="10"/>
                <w:b w:val="1"/>
                <w:bCs w:val="1"/>
                <w:color w:val="auto"/>
              </w:rPr>
              <w:t>Description of Exhibit</w:t>
            </w:r>
          </w:p>
        </w:tc>
      </w:tr>
      <w:tr>
        <w:trPr>
          <w:trHeight w:val="20"/>
        </w:trPr>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300" w:type="dxa"/>
            <w:vAlign w:val="bottom"/>
          </w:tcPr>
          <w:p>
            <w:pPr>
              <w:spacing w:after="0"/>
              <w:rPr>
                <w:sz w:val="20"/>
                <w:szCs w:val="20"/>
                <w:color w:val="auto"/>
              </w:rPr>
            </w:pPr>
            <w:r>
              <w:rPr>
                <w:rFonts w:ascii="Arial" w:cs="Arial" w:eastAsia="Arial" w:hAnsi="Arial"/>
                <w:sz w:val="12"/>
                <w:szCs w:val="12"/>
                <w:color w:val="auto"/>
              </w:rPr>
              <w:t>99.1</w:t>
            </w:r>
          </w:p>
        </w:tc>
        <w:tc>
          <w:tcPr>
            <w:tcW w:w="280" w:type="dxa"/>
            <w:vAlign w:val="bottom"/>
          </w:tcPr>
          <w:p>
            <w:pPr>
              <w:spacing w:after="0"/>
              <w:rPr>
                <w:sz w:val="15"/>
                <w:szCs w:val="15"/>
                <w:color w:val="auto"/>
              </w:rPr>
            </w:pPr>
          </w:p>
        </w:tc>
        <w:tc>
          <w:tcPr>
            <w:tcW w:w="3820" w:type="dxa"/>
            <w:vAlign w:val="bottom"/>
            <w:tcBorders>
              <w:bottom w:val="single" w:sz="8" w:color="0000EE"/>
            </w:tcBorders>
            <w:gridSpan w:val="3"/>
          </w:tcPr>
          <w:p>
            <w:pPr>
              <w:spacing w:after="0"/>
              <w:rPr>
                <w:rFonts w:ascii="Arial" w:cs="Arial" w:eastAsia="Arial" w:hAnsi="Arial"/>
                <w:sz w:val="12"/>
                <w:szCs w:val="12"/>
                <w:color w:val="0000EE"/>
                <w:w w:val="90"/>
              </w:rPr>
            </w:pPr>
            <w:hyperlink w:anchor="page4">
              <w:r>
                <w:rPr>
                  <w:rFonts w:ascii="Arial" w:cs="Arial" w:eastAsia="Arial" w:hAnsi="Arial"/>
                  <w:sz w:val="12"/>
                  <w:szCs w:val="12"/>
                  <w:color w:val="0000EE"/>
                  <w:w w:val="90"/>
                </w:rPr>
                <w:t>AVITA Medical Reports Fourth Quarter and Fiscal Year 2021 Financial Results</w:t>
              </w:r>
            </w:hyperlink>
          </w:p>
        </w:tc>
        <w:tc>
          <w:tcPr>
            <w:tcW w:w="20" w:type="dxa"/>
            <w:vAlign w:val="bottom"/>
          </w:tcPr>
          <w:p>
            <w:pPr>
              <w:spacing w:after="0"/>
              <w:rPr>
                <w:sz w:val="15"/>
                <w:szCs w:val="15"/>
                <w:color w:val="auto"/>
              </w:rPr>
            </w:pPr>
          </w:p>
        </w:tc>
      </w:tr>
      <w:tr>
        <w:trPr>
          <w:trHeight w:val="196"/>
        </w:trPr>
        <w:tc>
          <w:tcPr>
            <w:tcW w:w="300" w:type="dxa"/>
            <w:vAlign w:val="bottom"/>
          </w:tcPr>
          <w:p>
            <w:pPr>
              <w:spacing w:after="0"/>
              <w:rPr>
                <w:sz w:val="20"/>
                <w:szCs w:val="20"/>
                <w:color w:val="auto"/>
              </w:rPr>
            </w:pPr>
            <w:r>
              <w:rPr>
                <w:rFonts w:ascii="Arial" w:cs="Arial" w:eastAsia="Arial" w:hAnsi="Arial"/>
                <w:sz w:val="12"/>
                <w:szCs w:val="12"/>
                <w:color w:val="auto"/>
              </w:rPr>
              <w:t>99.2</w:t>
            </w:r>
          </w:p>
        </w:tc>
        <w:tc>
          <w:tcPr>
            <w:tcW w:w="280" w:type="dxa"/>
            <w:vAlign w:val="bottom"/>
          </w:tcPr>
          <w:p>
            <w:pPr>
              <w:spacing w:after="0"/>
              <w:rPr>
                <w:sz w:val="17"/>
                <w:szCs w:val="17"/>
                <w:color w:val="auto"/>
              </w:rPr>
            </w:pPr>
          </w:p>
        </w:tc>
        <w:tc>
          <w:tcPr>
            <w:tcW w:w="3840" w:type="dxa"/>
            <w:vAlign w:val="bottom"/>
            <w:gridSpan w:val="4"/>
          </w:tcPr>
          <w:p>
            <w:pPr>
              <w:spacing w:after="0"/>
              <w:rPr>
                <w:rFonts w:ascii="Arial" w:cs="Arial" w:eastAsia="Arial" w:hAnsi="Arial"/>
                <w:sz w:val="12"/>
                <w:szCs w:val="12"/>
                <w:color w:val="0000EE"/>
              </w:rPr>
            </w:pPr>
            <w:hyperlink w:anchor="page10">
              <w:r>
                <w:rPr>
                  <w:rFonts w:ascii="Arial" w:cs="Arial" w:eastAsia="Arial" w:hAnsi="Arial"/>
                  <w:sz w:val="12"/>
                  <w:szCs w:val="12"/>
                  <w:color w:val="0000EE"/>
                </w:rPr>
                <w:t>AVITA Medical company presentation August 2021</w:t>
              </w:r>
            </w:hyperlink>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104</w:t>
            </w:r>
          </w:p>
        </w:tc>
        <w:tc>
          <w:tcPr>
            <w:tcW w:w="280" w:type="dxa"/>
            <w:vAlign w:val="bottom"/>
          </w:tcPr>
          <w:p>
            <w:pPr>
              <w:spacing w:after="0"/>
              <w:rPr>
                <w:sz w:val="19"/>
                <w:szCs w:val="19"/>
                <w:color w:val="auto"/>
              </w:rPr>
            </w:pPr>
          </w:p>
        </w:tc>
        <w:tc>
          <w:tcPr>
            <w:tcW w:w="3840" w:type="dxa"/>
            <w:vAlign w:val="bottom"/>
            <w:gridSpan w:val="4"/>
          </w:tcPr>
          <w:p>
            <w:pPr>
              <w:spacing w:after="0"/>
              <w:rPr>
                <w:sz w:val="20"/>
                <w:szCs w:val="20"/>
                <w:color w:val="auto"/>
              </w:rPr>
            </w:pPr>
            <w:r>
              <w:rPr>
                <w:rFonts w:ascii="Arial" w:cs="Arial" w:eastAsia="Arial" w:hAnsi="Arial"/>
                <w:sz w:val="12"/>
                <w:szCs w:val="12"/>
                <w:color w:val="auto"/>
                <w:w w:val="91"/>
              </w:rPr>
              <w:t>Cover Page Interactive Data File (embedded within the Inline XBRL document)</w:t>
            </w:r>
          </w:p>
        </w:tc>
      </w:tr>
    </w:tbl>
    <w:p>
      <w:pPr>
        <w:sectPr>
          <w:pgSz w:w="11900" w:h="16838" w:orient="portrait"/>
          <w:cols w:equalWidth="0" w:num="1">
            <w:col w:w="9019"/>
          </w:cols>
          <w:pgMar w:left="1440" w:top="24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August 26, 2021</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AVITA MEDICAL, INC.</w:t>
      </w:r>
    </w:p>
    <w:p>
      <w:pPr>
        <w:spacing w:after="0" w:line="141"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9525</wp:posOffset>
            </wp:positionV>
            <wp:extent cx="20516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spacing w:after="0" w:line="4"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0"/>
          <w:szCs w:val="10"/>
          <w:color w:val="auto"/>
        </w:rPr>
        <w:t>Donna Shiroma</w:t>
      </w:r>
    </w:p>
    <w:p>
      <w:pPr>
        <w:spacing w:after="0" w:line="15"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2"/>
          <w:szCs w:val="12"/>
          <w:color w:val="auto"/>
        </w:rPr>
        <w:t>Title:</w:t>
        <w:tab/>
        <w:t>General Counsel</w:t>
      </w:r>
    </w:p>
    <w:p>
      <w:pPr>
        <w:sectPr>
          <w:pgSz w:w="11900" w:h="16838" w:orient="portrait"/>
          <w:cols w:equalWidth="0" w:num="1">
            <w:col w:w="9019"/>
          </w:cols>
          <w:pgMar w:left="1440" w:top="244" w:right="1440" w:bottom="1440" w:gutter="0" w:footer="0" w:header="0"/>
        </w:sectPr>
      </w:pPr>
    </w:p>
    <w:bookmarkStart w:id="3" w:name="page4"/>
    <w:bookmarkEnd w:id="3"/>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114935</wp:posOffset>
            </wp:positionV>
            <wp:extent cx="1085850" cy="434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585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AVITA Medical Reports Fourth Quarter and Fiscal Year 2021 Financial Results</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xml:space="preserve">VALENCIA, Calif, August 26, 2021 and MELBOURNE, Australia, August 27, 2021 </w:t>
      </w:r>
      <w:r>
        <w:rPr>
          <w:rFonts w:ascii="Arial" w:cs="Arial" w:eastAsia="Arial" w:hAnsi="Arial"/>
          <w:sz w:val="11"/>
          <w:szCs w:val="11"/>
          <w:color w:val="auto"/>
        </w:rPr>
        <w:t>— AVITA Medical, Inc. (NASDAQ: RCEL, ASX:AVH)</w:t>
      </w:r>
    </w:p>
    <w:p>
      <w:pPr>
        <w:spacing w:after="0" w:line="30" w:lineRule="exact"/>
        <w:rPr>
          <w:sz w:val="20"/>
          <w:szCs w:val="20"/>
          <w:color w:val="auto"/>
        </w:rPr>
      </w:pPr>
    </w:p>
    <w:p>
      <w:pPr>
        <w:ind w:left="840" w:right="879"/>
        <w:spacing w:after="0" w:line="306"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Company</w:t>
      </w:r>
      <w:r>
        <w:rPr>
          <w:rFonts w:ascii="Arial" w:cs="Arial" w:eastAsia="Arial" w:hAnsi="Arial"/>
          <w:sz w:val="11"/>
          <w:szCs w:val="11"/>
          <w:color w:val="auto"/>
        </w:rPr>
        <w:t>), a regenerative medicine company that is developing and commercializing a technology platform that enables point-of-care autologous skin restoration for multiple unmet needs, today reported financial results for its fourth quarter of fiscal year 2021, ended June 30, 2021.</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Fourth Quarter of Fiscal Year 2021 Highlights</w:t>
      </w:r>
    </w:p>
    <w:p>
      <w:pPr>
        <w:spacing w:after="0" w:line="91" w:lineRule="exact"/>
        <w:rPr>
          <w:sz w:val="20"/>
          <w:szCs w:val="20"/>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net revenue increased 166% to $10.3 million compared to $3.9 million in the fourth quarter of 2020</w:t>
      </w:r>
    </w:p>
    <w:p>
      <w:pPr>
        <w:spacing w:after="0" w:line="87" w:lineRule="exact"/>
        <w:rPr>
          <w:rFonts w:ascii="Arial" w:cs="Arial" w:eastAsia="Arial" w:hAnsi="Arial"/>
          <w:sz w:val="12"/>
          <w:szCs w:val="12"/>
          <w:color w:val="auto"/>
        </w:rPr>
      </w:pPr>
    </w:p>
    <w:p>
      <w:pPr>
        <w:ind w:left="1480" w:right="1219" w:hanging="288"/>
        <w:spacing w:after="0" w:line="276"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commercial revenue increased 45% to $6.7 million compared to the prior quarter ended March 31, 2021 and exceeded revised revenue guidance of $6.0-6.2 million</w:t>
      </w:r>
    </w:p>
    <w:p>
      <w:pPr>
        <w:spacing w:after="0" w:line="51"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Gross profit margin of 80% compared to 77% in the fourth quarter of 2020</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loss of $4.7 million, or $0.19 per share compared to a net loss of $12.9 million, or $0.60 per share in the fourth quarter of 2020</w:t>
      </w:r>
    </w:p>
    <w:p>
      <w:pPr>
        <w:spacing w:after="0" w:line="98" w:lineRule="exact"/>
        <w:rPr>
          <w:rFonts w:ascii="Arial" w:cs="Arial" w:eastAsia="Arial" w:hAnsi="Arial"/>
          <w:sz w:val="11"/>
          <w:szCs w:val="11"/>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As of June 30, 2021, the Company had $110.7 million in cash and cash equivalents, and no debt</w:t>
      </w:r>
    </w:p>
    <w:p>
      <w:pPr>
        <w:spacing w:after="0" w:line="87" w:lineRule="exact"/>
        <w:rPr>
          <w:rFonts w:ascii="Arial" w:cs="Arial" w:eastAsia="Arial" w:hAnsi="Arial"/>
          <w:sz w:val="12"/>
          <w:szCs w:val="12"/>
          <w:color w:val="auto"/>
        </w:rPr>
      </w:pPr>
    </w:p>
    <w:p>
      <w:pPr>
        <w:ind w:left="1480" w:right="859" w:hanging="288"/>
        <w:spacing w:after="0" w:line="276"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FDA approved expanded use of the RECELL</w:t>
      </w:r>
      <w:r>
        <w:rPr>
          <w:rFonts w:ascii="Arial" w:cs="Arial" w:eastAsia="Arial" w:hAnsi="Arial"/>
          <w:sz w:val="10"/>
          <w:szCs w:val="10"/>
          <w:color w:val="auto"/>
        </w:rPr>
        <w:t>®</w:t>
      </w:r>
      <w:r>
        <w:rPr>
          <w:rFonts w:ascii="Arial" w:cs="Arial" w:eastAsia="Arial" w:hAnsi="Arial"/>
          <w:sz w:val="12"/>
          <w:szCs w:val="12"/>
          <w:color w:val="auto"/>
        </w:rPr>
        <w:t xml:space="preserve"> System in combination with meshed autografting for the treatment of all sizes of acute full-thickness thermal burn wounds for both pediatric and adult patients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Full-Year of Fiscal 2021 Highlights</w:t>
      </w:r>
    </w:p>
    <w:p>
      <w:pPr>
        <w:spacing w:after="0" w:line="91" w:lineRule="exact"/>
        <w:rPr>
          <w:sz w:val="20"/>
          <w:szCs w:val="20"/>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net revenue increased 105% to $29.2 million compared to $14.3 million in the prior year</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Commercial revenues increased 50% compared to the prior year</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Gross profit margin of 80% compared to 79% in the prior year</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Net loss of $26.6 million, or $1.17 per share compared to a net loss of $42.0 million, or $2.07 per share, in the prior year</w:t>
      </w:r>
    </w:p>
    <w:p>
      <w:pPr>
        <w:spacing w:after="0" w:line="150" w:lineRule="exact"/>
        <w:rPr>
          <w:sz w:val="20"/>
          <w:szCs w:val="20"/>
          <w:color w:val="auto"/>
        </w:rPr>
      </w:pPr>
    </w:p>
    <w:p>
      <w:pPr>
        <w:ind w:left="840" w:right="899"/>
        <w:spacing w:after="0" w:line="289" w:lineRule="auto"/>
        <w:rPr>
          <w:sz w:val="20"/>
          <w:szCs w:val="20"/>
          <w:color w:val="auto"/>
        </w:rPr>
      </w:pPr>
      <w:r>
        <w:rPr>
          <w:rFonts w:ascii="Arial" w:cs="Arial" w:eastAsia="Arial" w:hAnsi="Arial"/>
          <w:sz w:val="11"/>
          <w:szCs w:val="11"/>
          <w:color w:val="auto"/>
        </w:rPr>
        <w:t>“We are excited to report our substantial progress this quarter. As COVID-related restrictions decreased and people resumed everyday activities, the organization was well-positioned for the marked increase in burn-related accidents,” said Dr. Mike Perry, AVITA Medical Chief Executive Officer. “We realized a significant revenue increase primarily from the increase in burn cases but also from our further penetration in burn center accounts. We also realized an acceleration of enrollment into our soft tissue reconstruction trial, which is now over half enrolled at 36 of 65 subjects.”</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Fourth Quarter of Fiscal 2021 Financial Results</w:t>
      </w:r>
    </w:p>
    <w:p>
      <w:pPr>
        <w:spacing w:after="0" w:line="82" w:lineRule="exact"/>
        <w:rPr>
          <w:sz w:val="20"/>
          <w:szCs w:val="20"/>
          <w:color w:val="auto"/>
        </w:rPr>
      </w:pPr>
    </w:p>
    <w:p>
      <w:pPr>
        <w:ind w:left="840" w:right="1039"/>
        <w:spacing w:after="0" w:line="306" w:lineRule="auto"/>
        <w:rPr>
          <w:sz w:val="20"/>
          <w:szCs w:val="20"/>
          <w:color w:val="auto"/>
        </w:rPr>
      </w:pPr>
      <w:r>
        <w:rPr>
          <w:rFonts w:ascii="Arial" w:cs="Arial" w:eastAsia="Arial" w:hAnsi="Arial"/>
          <w:sz w:val="10"/>
          <w:szCs w:val="10"/>
          <w:color w:val="auto"/>
        </w:rPr>
        <w:t>Total net revenue increased 166% to $10.3 million, compared to $3.9 million in the corresponding period in the prior year. RECELL</w:t>
      </w:r>
      <w:r>
        <w:rPr>
          <w:rFonts w:ascii="Arial" w:cs="Arial" w:eastAsia="Arial" w:hAnsi="Arial"/>
          <w:sz w:val="8"/>
          <w:szCs w:val="8"/>
          <w:color w:val="auto"/>
        </w:rPr>
        <w:t>®</w:t>
      </w:r>
      <w:r>
        <w:rPr>
          <w:rFonts w:ascii="Arial" w:cs="Arial" w:eastAsia="Arial" w:hAnsi="Arial"/>
          <w:sz w:val="10"/>
          <w:szCs w:val="10"/>
          <w:color w:val="auto"/>
        </w:rPr>
        <w:t xml:space="preserve"> commercial revenues increased 72% to $6.7 million, while RECELL</w:t>
      </w:r>
      <w:r>
        <w:rPr>
          <w:rFonts w:ascii="Arial" w:cs="Arial" w:eastAsia="Arial" w:hAnsi="Arial"/>
          <w:sz w:val="8"/>
          <w:szCs w:val="8"/>
          <w:color w:val="auto"/>
        </w:rPr>
        <w:t>®</w:t>
      </w:r>
      <w:r>
        <w:rPr>
          <w:rFonts w:ascii="Arial" w:cs="Arial" w:eastAsia="Arial" w:hAnsi="Arial"/>
          <w:sz w:val="10"/>
          <w:szCs w:val="10"/>
          <w:color w:val="auto"/>
        </w:rPr>
        <w:t xml:space="preserve"> revenues associated with the U.S. Department of Health and Human Services’ Biomedical Advanced Research and Development Authority within the Office of the Assistant Secretary for Preparedness and Response (</w:t>
      </w:r>
      <w:r>
        <w:rPr>
          <w:rFonts w:ascii="Arial" w:cs="Arial" w:eastAsia="Arial" w:hAnsi="Arial"/>
          <w:sz w:val="10"/>
          <w:szCs w:val="10"/>
          <w:b w:val="1"/>
          <w:bCs w:val="1"/>
          <w:color w:val="auto"/>
        </w:rPr>
        <w:t>BARDA</w:t>
      </w:r>
      <w:r>
        <w:rPr>
          <w:rFonts w:ascii="Arial" w:cs="Arial" w:eastAsia="Arial" w:hAnsi="Arial"/>
          <w:sz w:val="10"/>
          <w:szCs w:val="10"/>
          <w:color w:val="auto"/>
        </w:rPr>
        <w:t>) were</w:t>
      </w:r>
    </w:p>
    <w:p>
      <w:pPr>
        <w:ind w:left="840"/>
        <w:spacing w:after="0"/>
        <w:rPr>
          <w:sz w:val="20"/>
          <w:szCs w:val="20"/>
          <w:color w:val="auto"/>
        </w:rPr>
      </w:pPr>
      <w:r>
        <w:rPr>
          <w:rFonts w:ascii="Arial" w:cs="Arial" w:eastAsia="Arial" w:hAnsi="Arial"/>
          <w:sz w:val="11"/>
          <w:szCs w:val="11"/>
          <w:color w:val="auto"/>
        </w:rPr>
        <w:t>$3.6 million. Revenues associated with BARDA were attributable to the purchase of RECELL</w:t>
      </w:r>
      <w:r>
        <w:rPr>
          <w:rFonts w:ascii="Arial" w:cs="Arial" w:eastAsia="Arial" w:hAnsi="Arial"/>
          <w:sz w:val="9"/>
          <w:szCs w:val="9"/>
          <w:color w:val="auto"/>
        </w:rPr>
        <w:t>®</w:t>
      </w:r>
      <w:r>
        <w:rPr>
          <w:rFonts w:ascii="Arial" w:cs="Arial" w:eastAsia="Arial" w:hAnsi="Arial"/>
          <w:sz w:val="11"/>
          <w:szCs w:val="11"/>
          <w:color w:val="auto"/>
        </w:rPr>
        <w:t xml:space="preserve"> units for emergency preparedness by BARDA.</w:t>
      </w:r>
    </w:p>
    <w:p>
      <w:pPr>
        <w:spacing w:after="0" w:line="108" w:lineRule="exact"/>
        <w:rPr>
          <w:sz w:val="20"/>
          <w:szCs w:val="20"/>
          <w:color w:val="auto"/>
        </w:rPr>
      </w:pPr>
    </w:p>
    <w:p>
      <w:pPr>
        <w:ind w:left="840"/>
        <w:spacing w:after="0"/>
        <w:tabs>
          <w:tab w:leader="none" w:pos="7780" w:val="left"/>
        </w:tabs>
        <w:rPr>
          <w:sz w:val="20"/>
          <w:szCs w:val="20"/>
          <w:color w:val="auto"/>
        </w:rPr>
      </w:pPr>
      <w:r>
        <w:rPr>
          <w:rFonts w:ascii="Arial" w:cs="Arial" w:eastAsia="Arial" w:hAnsi="Arial"/>
          <w:sz w:val="12"/>
          <w:szCs w:val="12"/>
          <w:color w:val="auto"/>
        </w:rPr>
        <w:t>AVITA Medical, Inc. | 28159 Avenue Stanford, Suite 220 Valencia, CA 91355</w:t>
      </w:r>
      <w:r>
        <w:rPr>
          <w:sz w:val="20"/>
          <w:szCs w:val="20"/>
          <w:color w:val="auto"/>
        </w:rPr>
        <w:tab/>
      </w:r>
      <w:r>
        <w:rPr>
          <w:rFonts w:ascii="Arial" w:cs="Arial" w:eastAsia="Arial" w:hAnsi="Arial"/>
          <w:sz w:val="10"/>
          <w:szCs w:val="10"/>
          <w:color w:val="auto"/>
        </w:rPr>
        <w:t>Page 1</w:t>
      </w:r>
    </w:p>
    <w:p>
      <w:pPr>
        <w:sectPr>
          <w:pgSz w:w="11900" w:h="16838" w:orient="portrait"/>
          <w:cols w:equalWidth="0" w:num="1">
            <w:col w:w="9019"/>
          </w:cols>
          <w:pgMar w:left="1440" w:top="127" w:right="1440" w:bottom="1440" w:gutter="0" w:footer="0" w:header="0"/>
        </w:sectPr>
      </w:pPr>
    </w:p>
    <w:bookmarkStart w:id="4" w:name="page5"/>
    <w:bookmarkEnd w:id="4"/>
    <w:p>
      <w:pPr>
        <w:ind w:left="840" w:right="95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Gross profit margin improved by 3% to 80% compared to the corresponding period in the prior year. The increase in gross profit margin was driven by lower shipping costs and increased production.</w:t>
      </w:r>
    </w:p>
    <w:p>
      <w:pPr>
        <w:spacing w:after="0" w:line="115" w:lineRule="exact"/>
        <w:rPr>
          <w:sz w:val="20"/>
          <w:szCs w:val="20"/>
          <w:color w:val="auto"/>
        </w:rPr>
      </w:pPr>
    </w:p>
    <w:p>
      <w:pPr>
        <w:ind w:left="840" w:right="1039"/>
        <w:spacing w:after="0" w:line="283" w:lineRule="auto"/>
        <w:rPr>
          <w:sz w:val="20"/>
          <w:szCs w:val="20"/>
          <w:color w:val="auto"/>
        </w:rPr>
      </w:pPr>
      <w:r>
        <w:rPr>
          <w:rFonts w:ascii="Arial" w:cs="Arial" w:eastAsia="Arial" w:hAnsi="Arial"/>
          <w:sz w:val="11"/>
          <w:szCs w:val="11"/>
          <w:color w:val="auto"/>
        </w:rPr>
        <w:t>Total operating expenses decreased by 19% to $13.4 million compared to $16.5 million in the corresponding period in the prior year. The decrease in operating expenses is primarily attributable to lower stock-based compensation and higher costs in the prior year related to the Avita group’s redomiciliation to the United States (</w:t>
      </w:r>
      <w:r>
        <w:rPr>
          <w:rFonts w:ascii="Arial" w:cs="Arial" w:eastAsia="Arial" w:hAnsi="Arial"/>
          <w:sz w:val="11"/>
          <w:szCs w:val="11"/>
          <w:b w:val="1"/>
          <w:bCs w:val="1"/>
          <w:color w:val="auto"/>
        </w:rPr>
        <w:t>Redomiciliation</w:t>
      </w:r>
      <w:r>
        <w:rPr>
          <w:rFonts w:ascii="Arial" w:cs="Arial" w:eastAsia="Arial" w:hAnsi="Arial"/>
          <w:sz w:val="11"/>
          <w:szCs w:val="11"/>
          <w:color w:val="auto"/>
        </w:rPr>
        <w:t>), which were partially offset by higher costs in research and development. Lower stock-based compensation was driven by higher share-based compensation expenses in the prior year associated with certain performance milestones being met. Higher research and development expenses have resulted from a ramping up of activities related to clinical trials in vitiligo and soft tissue reconstruction, research in RECELL related cell and gene therapies, and initiatives to further improve the RECELL platform technology.</w:t>
      </w:r>
    </w:p>
    <w:p>
      <w:pPr>
        <w:spacing w:after="0" w:line="113" w:lineRule="exact"/>
        <w:rPr>
          <w:sz w:val="20"/>
          <w:szCs w:val="20"/>
          <w:color w:val="auto"/>
        </w:rPr>
      </w:pPr>
    </w:p>
    <w:p>
      <w:pPr>
        <w:ind w:left="840" w:right="1279"/>
        <w:spacing w:after="0" w:line="276" w:lineRule="auto"/>
        <w:rPr>
          <w:sz w:val="20"/>
          <w:szCs w:val="20"/>
          <w:color w:val="auto"/>
        </w:rPr>
      </w:pPr>
      <w:r>
        <w:rPr>
          <w:rFonts w:ascii="Arial" w:cs="Arial" w:eastAsia="Arial" w:hAnsi="Arial"/>
          <w:sz w:val="12"/>
          <w:szCs w:val="12"/>
          <w:color w:val="auto"/>
        </w:rPr>
        <w:t>Net loss decreased by 63% or $8.1 million to $4.7 million, or $0.19 per share, compared to a net loss of $12.9 million, or $0.60 per share, in the corresponding period of the prior year.</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Full-Year 2021 Financial Results</w:t>
      </w:r>
    </w:p>
    <w:p>
      <w:pPr>
        <w:spacing w:after="0" w:line="82" w:lineRule="exact"/>
        <w:rPr>
          <w:sz w:val="20"/>
          <w:szCs w:val="20"/>
          <w:color w:val="auto"/>
        </w:rPr>
      </w:pPr>
    </w:p>
    <w:p>
      <w:pPr>
        <w:ind w:left="840" w:right="839"/>
        <w:spacing w:after="0" w:line="263" w:lineRule="auto"/>
        <w:rPr>
          <w:sz w:val="20"/>
          <w:szCs w:val="20"/>
          <w:color w:val="auto"/>
        </w:rPr>
      </w:pPr>
      <w:r>
        <w:rPr>
          <w:rFonts w:ascii="Arial" w:cs="Arial" w:eastAsia="Arial" w:hAnsi="Arial"/>
          <w:sz w:val="12"/>
          <w:szCs w:val="12"/>
          <w:color w:val="auto"/>
        </w:rPr>
        <w:t>Total net revenue increased by 105% to $29.2 million, compared to $14.3 million in the corresponding period in the prior year. RECELL</w:t>
      </w:r>
      <w:r>
        <w:rPr>
          <w:rFonts w:ascii="Arial" w:cs="Arial" w:eastAsia="Arial" w:hAnsi="Arial"/>
          <w:sz w:val="10"/>
          <w:szCs w:val="10"/>
          <w:color w:val="auto"/>
        </w:rPr>
        <w:t>®</w:t>
      </w:r>
      <w:r>
        <w:rPr>
          <w:rFonts w:ascii="Arial" w:cs="Arial" w:eastAsia="Arial" w:hAnsi="Arial"/>
          <w:sz w:val="12"/>
          <w:szCs w:val="12"/>
          <w:color w:val="auto"/>
        </w:rPr>
        <w:t xml:space="preserve"> commercial revenues increased by 50% or $7.2 million to $21.5 million, while RECELL</w:t>
      </w:r>
      <w:r>
        <w:rPr>
          <w:rFonts w:ascii="Arial" w:cs="Arial" w:eastAsia="Arial" w:hAnsi="Arial"/>
          <w:sz w:val="10"/>
          <w:szCs w:val="10"/>
          <w:color w:val="auto"/>
        </w:rPr>
        <w:t>®</w:t>
      </w:r>
      <w:r>
        <w:rPr>
          <w:rFonts w:ascii="Arial" w:cs="Arial" w:eastAsia="Arial" w:hAnsi="Arial"/>
          <w:sz w:val="12"/>
          <w:szCs w:val="12"/>
          <w:color w:val="auto"/>
        </w:rPr>
        <w:t xml:space="preserve"> revenues associated with BARDA were $7.7 million. Revenues associated with BARDA were attributable to the purchase of RECELL</w:t>
      </w:r>
      <w:r>
        <w:rPr>
          <w:rFonts w:ascii="Arial" w:cs="Arial" w:eastAsia="Arial" w:hAnsi="Arial"/>
          <w:sz w:val="10"/>
          <w:szCs w:val="10"/>
          <w:color w:val="auto"/>
        </w:rPr>
        <w:t>®</w:t>
      </w:r>
      <w:r>
        <w:rPr>
          <w:rFonts w:ascii="Arial" w:cs="Arial" w:eastAsia="Arial" w:hAnsi="Arial"/>
          <w:sz w:val="12"/>
          <w:szCs w:val="12"/>
          <w:color w:val="auto"/>
        </w:rPr>
        <w:t xml:space="preserve"> units for emergency preparedness by BARDA.</w:t>
      </w:r>
    </w:p>
    <w:p>
      <w:pPr>
        <w:spacing w:after="0" w:line="122" w:lineRule="exact"/>
        <w:rPr>
          <w:sz w:val="20"/>
          <w:szCs w:val="20"/>
          <w:color w:val="auto"/>
        </w:rPr>
      </w:pPr>
    </w:p>
    <w:p>
      <w:pPr>
        <w:ind w:left="840" w:right="1039"/>
        <w:spacing w:after="0" w:line="276" w:lineRule="auto"/>
        <w:rPr>
          <w:sz w:val="20"/>
          <w:szCs w:val="20"/>
          <w:color w:val="auto"/>
        </w:rPr>
      </w:pPr>
      <w:r>
        <w:rPr>
          <w:rFonts w:ascii="Arial" w:cs="Arial" w:eastAsia="Arial" w:hAnsi="Arial"/>
          <w:sz w:val="12"/>
          <w:szCs w:val="12"/>
          <w:color w:val="auto"/>
        </w:rPr>
        <w:t>Gross profit margin increased by 1% to 80%, compared with 79% in the prior year, driven largely by lower shipping costs, increased production, and lower costs resulting from the extension of RECELL</w:t>
      </w:r>
      <w:r>
        <w:rPr>
          <w:rFonts w:ascii="Arial" w:cs="Arial" w:eastAsia="Arial" w:hAnsi="Arial"/>
          <w:sz w:val="10"/>
          <w:szCs w:val="10"/>
          <w:color w:val="auto"/>
        </w:rPr>
        <w:t>®</w:t>
      </w:r>
      <w:r>
        <w:rPr>
          <w:rFonts w:ascii="Arial" w:cs="Arial" w:eastAsia="Arial" w:hAnsi="Arial"/>
          <w:sz w:val="12"/>
          <w:szCs w:val="12"/>
          <w:color w:val="auto"/>
        </w:rPr>
        <w:t xml:space="preserve"> shelf-life.</w:t>
      </w:r>
    </w:p>
    <w:p>
      <w:pPr>
        <w:spacing w:after="0" w:line="115" w:lineRule="exact"/>
        <w:rPr>
          <w:sz w:val="20"/>
          <w:szCs w:val="20"/>
          <w:color w:val="auto"/>
        </w:rPr>
      </w:pPr>
    </w:p>
    <w:p>
      <w:pPr>
        <w:ind w:left="840" w:right="879"/>
        <w:spacing w:after="0" w:line="280" w:lineRule="auto"/>
        <w:rPr>
          <w:sz w:val="20"/>
          <w:szCs w:val="20"/>
          <w:color w:val="auto"/>
        </w:rPr>
      </w:pPr>
      <w:r>
        <w:rPr>
          <w:rFonts w:ascii="Arial" w:cs="Arial" w:eastAsia="Arial" w:hAnsi="Arial"/>
          <w:sz w:val="11"/>
          <w:szCs w:val="11"/>
          <w:color w:val="auto"/>
        </w:rPr>
        <w:t>Total operating expenses decreased by 10% or $6.0 million to $51.9 million, compared with $57.9 million in the corresponding period in the prior year. The decrease in operating costs is primarily attributable to lower stock-based compensation, higher costs in the prior year related to the Redomiciliation along with lower sales and marketing costs in the current year, partially offset by higher costs in research and development in the current year. Lower stock-based compensation was driven by higher share-based compensation expenses in the prior year associated with certain performance milestones being met. The decrease in sales and marketing costs in the current year is primarily due to reduced commercial team travel to burn centers and industry conferences necessitated by COVID-19 related travel restrictions, and higher prior year costs incurred with the RECELL</w:t>
      </w:r>
      <w:r>
        <w:rPr>
          <w:rFonts w:ascii="Arial" w:cs="Arial" w:eastAsia="Arial" w:hAnsi="Arial"/>
          <w:sz w:val="9"/>
          <w:szCs w:val="9"/>
          <w:color w:val="auto"/>
        </w:rPr>
        <w:t>®</w:t>
      </w:r>
      <w:r>
        <w:rPr>
          <w:rFonts w:ascii="Arial" w:cs="Arial" w:eastAsia="Arial" w:hAnsi="Arial"/>
          <w:sz w:val="11"/>
          <w:szCs w:val="11"/>
          <w:color w:val="auto"/>
        </w:rPr>
        <w:t xml:space="preserve"> product launch. Higher research and development expenses have resulted from a ramping up of clinical trial related activities for the treatment of vitiligo and further improvements to the RECELL platform technology.</w:t>
      </w:r>
    </w:p>
    <w:p>
      <w:pPr>
        <w:spacing w:after="0" w:line="115" w:lineRule="exact"/>
        <w:rPr>
          <w:sz w:val="20"/>
          <w:szCs w:val="20"/>
          <w:color w:val="auto"/>
        </w:rPr>
      </w:pPr>
    </w:p>
    <w:p>
      <w:pPr>
        <w:ind w:left="840" w:right="1259"/>
        <w:spacing w:after="0" w:line="276" w:lineRule="auto"/>
        <w:rPr>
          <w:sz w:val="20"/>
          <w:szCs w:val="20"/>
          <w:color w:val="auto"/>
        </w:rPr>
      </w:pPr>
      <w:r>
        <w:rPr>
          <w:rFonts w:ascii="Arial" w:cs="Arial" w:eastAsia="Arial" w:hAnsi="Arial"/>
          <w:sz w:val="12"/>
          <w:szCs w:val="12"/>
          <w:color w:val="auto"/>
        </w:rPr>
        <w:t>Net loss decreased by 37% or $15.4 million to $26.6 million or $1.17 per share, compared to a net loss of $42.0 million or $2.07 per share in the corresponding period in the prior year.</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First Quarter of Fiscal Year 2022 Revenue Guidance</w:t>
      </w:r>
    </w:p>
    <w:p>
      <w:pPr>
        <w:spacing w:after="0" w:line="91" w:lineRule="exact"/>
        <w:rPr>
          <w:sz w:val="20"/>
          <w:szCs w:val="20"/>
          <w:color w:val="auto"/>
        </w:rPr>
      </w:pPr>
    </w:p>
    <w:p>
      <w:pPr>
        <w:ind w:left="1480" w:hanging="288"/>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Total commercial revenue is expected to be approximately $7.0 million</w:t>
      </w:r>
    </w:p>
    <w:p>
      <w:pPr>
        <w:spacing w:after="0" w:line="105" w:lineRule="exact"/>
        <w:rPr>
          <w:sz w:val="20"/>
          <w:szCs w:val="20"/>
          <w:color w:val="auto"/>
        </w:rPr>
      </w:pPr>
    </w:p>
    <w:p>
      <w:pPr>
        <w:ind w:left="840"/>
        <w:spacing w:after="0"/>
        <w:tabs>
          <w:tab w:leader="none" w:pos="7780" w:val="left"/>
        </w:tabs>
        <w:rPr>
          <w:sz w:val="20"/>
          <w:szCs w:val="20"/>
          <w:color w:val="auto"/>
        </w:rPr>
      </w:pPr>
      <w:r>
        <w:rPr>
          <w:rFonts w:ascii="Arial" w:cs="Arial" w:eastAsia="Arial" w:hAnsi="Arial"/>
          <w:sz w:val="12"/>
          <w:szCs w:val="12"/>
          <w:color w:val="auto"/>
        </w:rPr>
        <w:t>AVITA Medical, Inc. | 28159 Avenue Stanford, Suite 220 Valencia, CA 91355</w:t>
      </w:r>
      <w:r>
        <w:rPr>
          <w:sz w:val="20"/>
          <w:szCs w:val="20"/>
          <w:color w:val="auto"/>
        </w:rPr>
        <w:tab/>
      </w:r>
      <w:r>
        <w:rPr>
          <w:rFonts w:ascii="Arial" w:cs="Arial" w:eastAsia="Arial" w:hAnsi="Arial"/>
          <w:sz w:val="10"/>
          <w:szCs w:val="10"/>
          <w:color w:val="auto"/>
        </w:rPr>
        <w:t>Page 2</w:t>
      </w:r>
    </w:p>
    <w:p>
      <w:pPr>
        <w:sectPr>
          <w:pgSz w:w="11900" w:h="16838" w:orient="portrait"/>
          <w:cols w:equalWidth="0" w:num="1">
            <w:col w:w="9019"/>
          </w:cols>
          <w:pgMar w:left="1440" w:top="230"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Webcast and Conference Call Information</w:t>
      </w:r>
    </w:p>
    <w:p>
      <w:pPr>
        <w:spacing w:after="0" w:line="82"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The Company will host a conference call to discuss the fourth quarter financial results after market close on Thursday, August 26, 2021, at 1:30 p.m. Pacific Time / 4:30 p.m. Eastern Time (being 6.30 a.m. Australian Eastern Standard Time on Friday, August 27, 2021). The conference call can be accessed live over the phone for (833) 614-1538 U.S. callers or for (706) 634-6548 international callers, using conference ID:3858364. The live webinar can be accessed at https://ir.avitamedical.com.</w:t>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Authorized for release by the Chief Financial Officer of AVITA Medical,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AVITA Medical, INC.</w:t>
      </w:r>
    </w:p>
    <w:p>
      <w:pPr>
        <w:spacing w:after="0" w:line="82" w:lineRule="exact"/>
        <w:rPr>
          <w:sz w:val="20"/>
          <w:szCs w:val="20"/>
          <w:color w:val="auto"/>
        </w:rPr>
      </w:pPr>
    </w:p>
    <w:p>
      <w:pPr>
        <w:ind w:left="840" w:right="979"/>
        <w:spacing w:after="0" w:line="285" w:lineRule="auto"/>
        <w:rPr>
          <w:sz w:val="20"/>
          <w:szCs w:val="20"/>
          <w:color w:val="auto"/>
        </w:rPr>
      </w:pPr>
      <w:r>
        <w:rPr>
          <w:rFonts w:ascii="Arial" w:cs="Arial" w:eastAsia="Arial" w:hAnsi="Arial"/>
          <w:sz w:val="11"/>
          <w:szCs w:val="11"/>
          <w:color w:val="auto"/>
        </w:rPr>
        <w:t>AVITA Medical, Inc. is a regenerative medicine company with a technology platform positioned to address unmet medical needs in burns, chronic wounds, and aesthetics indications. AVITA Medical Inc.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9"/>
          <w:szCs w:val="9"/>
          <w:color w:val="auto"/>
        </w:rPr>
        <w:t>®</w:t>
      </w:r>
      <w:r>
        <w:rPr>
          <w:rFonts w:ascii="Arial" w:cs="Arial" w:eastAsia="Arial" w:hAnsi="Arial"/>
          <w:sz w:val="11"/>
          <w:szCs w:val="11"/>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13" w:lineRule="exact"/>
        <w:rPr>
          <w:sz w:val="20"/>
          <w:szCs w:val="20"/>
          <w:color w:val="auto"/>
        </w:rPr>
      </w:pPr>
    </w:p>
    <w:p>
      <w:pPr>
        <w:ind w:left="840" w:right="859"/>
        <w:spacing w:after="0" w:line="278" w:lineRule="auto"/>
        <w:rPr>
          <w:sz w:val="20"/>
          <w:szCs w:val="20"/>
          <w:color w:val="auto"/>
        </w:rPr>
      </w:pPr>
      <w:r>
        <w:rPr>
          <w:rFonts w:ascii="Arial" w:cs="Arial" w:eastAsia="Arial" w:hAnsi="Arial"/>
          <w:sz w:val="11"/>
          <w:szCs w:val="11"/>
          <w:color w:val="auto"/>
        </w:rPr>
        <w:t>AVITA Medicals’ first U.S. product, the RECELL</w:t>
      </w:r>
      <w:r>
        <w:rPr>
          <w:rFonts w:ascii="Arial" w:cs="Arial" w:eastAsia="Arial" w:hAnsi="Arial"/>
          <w:sz w:val="9"/>
          <w:szCs w:val="9"/>
          <w:color w:val="auto"/>
        </w:rPr>
        <w:t>®</w:t>
      </w:r>
      <w:r>
        <w:rPr>
          <w:rFonts w:ascii="Arial" w:cs="Arial" w:eastAsia="Arial" w:hAnsi="Arial"/>
          <w:sz w:val="11"/>
          <w:szCs w:val="11"/>
          <w:color w:val="auto"/>
        </w:rPr>
        <w:t xml:space="preserve"> System, was approved by the U.S. Food and Drug Administration (FDA) in September 2018. The RECELL</w:t>
      </w:r>
      <w:r>
        <w:rPr>
          <w:rFonts w:ascii="Arial" w:cs="Arial" w:eastAsia="Arial" w:hAnsi="Arial"/>
          <w:sz w:val="9"/>
          <w:szCs w:val="9"/>
          <w:color w:val="auto"/>
        </w:rPr>
        <w:t>®</w:t>
      </w:r>
      <w:r>
        <w:rPr>
          <w:rFonts w:ascii="Arial" w:cs="Arial" w:eastAsia="Arial" w:hAnsi="Arial"/>
          <w:sz w:val="11"/>
          <w:szCs w:val="11"/>
          <w:color w:val="auto"/>
        </w:rPr>
        <w:t xml:space="preserve"> System is approved for acute partial-thickness thermal burn wounds in patients 18 years of age and older or application in combination with meshed autografting for acute full-thickness thermal burn wounds in pediatric and adult patients. The RECELL</w:t>
      </w:r>
      <w:r>
        <w:rPr>
          <w:rFonts w:ascii="Arial" w:cs="Arial" w:eastAsia="Arial" w:hAnsi="Arial"/>
          <w:sz w:val="9"/>
          <w:szCs w:val="9"/>
          <w:color w:val="auto"/>
        </w:rPr>
        <w:t>®</w:t>
      </w:r>
      <w:r>
        <w:rPr>
          <w:rFonts w:ascii="Arial" w:cs="Arial" w:eastAsia="Arial" w:hAnsi="Arial"/>
          <w:sz w:val="11"/>
          <w:szCs w:val="11"/>
          <w:color w:val="auto"/>
        </w:rPr>
        <w:t xml:space="preserve"> System is used to prepare Spray-On Skin</w:t>
      </w:r>
      <w:r>
        <w:rPr>
          <w:rFonts w:ascii="Arial" w:cs="Arial" w:eastAsia="Arial" w:hAnsi="Arial"/>
          <w:sz w:val="9"/>
          <w:szCs w:val="9"/>
          <w:color w:val="auto"/>
        </w:rPr>
        <w:t>™</w:t>
      </w:r>
      <w:r>
        <w:rPr>
          <w:rFonts w:ascii="Arial" w:cs="Arial" w:eastAsia="Arial" w:hAnsi="Arial"/>
          <w:sz w:val="11"/>
          <w:szCs w:val="11"/>
          <w:color w:val="auto"/>
        </w:rPr>
        <w:t xml:space="preserve"> Cells using a small amount of a patient’s own skin, providing a new way to treat severe burns, while significantly reducing the amount of donor skin required. The RECELL</w:t>
      </w:r>
      <w:r>
        <w:rPr>
          <w:rFonts w:ascii="Arial" w:cs="Arial" w:eastAsia="Arial" w:hAnsi="Arial"/>
          <w:sz w:val="9"/>
          <w:szCs w:val="9"/>
          <w:color w:val="auto"/>
        </w:rPr>
        <w:t>®</w:t>
      </w:r>
      <w:r>
        <w:rPr>
          <w:rFonts w:ascii="Arial" w:cs="Arial" w:eastAsia="Arial" w:hAnsi="Arial"/>
          <w:sz w:val="11"/>
          <w:szCs w:val="11"/>
          <w:color w:val="auto"/>
        </w:rPr>
        <w:t xml:space="preserve">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w:t>
      </w:r>
      <w:r>
        <w:rPr>
          <w:rFonts w:ascii="Arial" w:cs="Arial" w:eastAsia="Arial" w:hAnsi="Arial"/>
          <w:sz w:val="9"/>
          <w:szCs w:val="9"/>
          <w:color w:val="auto"/>
        </w:rPr>
        <w:t>®</w:t>
      </w:r>
      <w:r>
        <w:rPr>
          <w:rFonts w:ascii="Arial" w:cs="Arial" w:eastAsia="Arial" w:hAnsi="Arial"/>
          <w:sz w:val="11"/>
          <w:szCs w:val="11"/>
          <w:color w:val="auto"/>
        </w:rPr>
        <w:t xml:space="preserve">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9"/>
          <w:szCs w:val="9"/>
          <w:color w:val="auto"/>
        </w:rPr>
        <w:t>®</w:t>
      </w:r>
      <w:r>
        <w:rPr>
          <w:rFonts w:ascii="Arial" w:cs="Arial" w:eastAsia="Arial" w:hAnsi="Arial"/>
          <w:sz w:val="11"/>
          <w:szCs w:val="11"/>
          <w:color w:val="auto"/>
        </w:rPr>
        <w:t xml:space="preserve"> Autologous Cell Harvesting Device (https://recellsystem.com/) for a full description of indications for use and important safety information including contraindications, warnings, and precautions.</w:t>
      </w:r>
    </w:p>
    <w:p>
      <w:pPr>
        <w:spacing w:after="0" w:line="119" w:lineRule="exact"/>
        <w:rPr>
          <w:sz w:val="20"/>
          <w:szCs w:val="20"/>
          <w:color w:val="auto"/>
        </w:rPr>
      </w:pPr>
    </w:p>
    <w:p>
      <w:pPr>
        <w:ind w:left="840" w:right="839"/>
        <w:spacing w:after="0" w:line="281" w:lineRule="auto"/>
        <w:rPr>
          <w:sz w:val="20"/>
          <w:szCs w:val="20"/>
          <w:color w:val="auto"/>
        </w:rPr>
      </w:pPr>
      <w:r>
        <w:rPr>
          <w:rFonts w:ascii="Arial" w:cs="Arial" w:eastAsia="Arial" w:hAnsi="Arial"/>
          <w:sz w:val="11"/>
          <w:szCs w:val="11"/>
          <w:color w:val="auto"/>
        </w:rPr>
        <w:t>In international markets, our products are marketed under the RECELL</w:t>
      </w:r>
      <w:r>
        <w:rPr>
          <w:rFonts w:ascii="Arial" w:cs="Arial" w:eastAsia="Arial" w:hAnsi="Arial"/>
          <w:sz w:val="9"/>
          <w:szCs w:val="9"/>
          <w:color w:val="auto"/>
        </w:rPr>
        <w:t>®</w:t>
      </w:r>
      <w:r>
        <w:rPr>
          <w:rFonts w:ascii="Arial" w:cs="Arial" w:eastAsia="Arial" w:hAnsi="Arial"/>
          <w:sz w:val="11"/>
          <w:szCs w:val="11"/>
          <w:color w:val="auto"/>
        </w:rPr>
        <w:t xml:space="preserve"> System brand to promote skin healing in a wide range of applications including burns, chronic wounds, and aesthetics. The RECELL</w:t>
      </w:r>
      <w:r>
        <w:rPr>
          <w:rFonts w:ascii="Arial" w:cs="Arial" w:eastAsia="Arial" w:hAnsi="Arial"/>
          <w:sz w:val="9"/>
          <w:szCs w:val="9"/>
          <w:color w:val="auto"/>
        </w:rPr>
        <w:t>®</w:t>
      </w:r>
      <w:r>
        <w:rPr>
          <w:rFonts w:ascii="Arial" w:cs="Arial" w:eastAsia="Arial" w:hAnsi="Arial"/>
          <w:sz w:val="11"/>
          <w:szCs w:val="11"/>
          <w:color w:val="auto"/>
        </w:rPr>
        <w:t xml:space="preserve"> System is TGA-registered in Australia and received CE-mark approval in Europe.</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To learn more, visit </w:t>
      </w:r>
      <w:r>
        <w:rPr>
          <w:rFonts w:ascii="Arial" w:cs="Arial" w:eastAsia="Arial" w:hAnsi="Arial"/>
          <w:sz w:val="12"/>
          <w:szCs w:val="12"/>
          <w:u w:val="single" w:color="auto"/>
          <w:color w:val="auto"/>
        </w:rPr>
        <w:t>www.avitamedical.com</w:t>
      </w:r>
      <w:r>
        <w:rPr>
          <w:rFonts w:ascii="Arial" w:cs="Arial" w:eastAsia="Arial" w:hAnsi="Arial"/>
          <w:sz w:val="12"/>
          <w:szCs w:val="12"/>
          <w:color w:val="auto"/>
        </w:rPr>
        <w:t>.</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82" w:lineRule="exact"/>
        <w:rPr>
          <w:sz w:val="20"/>
          <w:szCs w:val="20"/>
          <w:color w:val="auto"/>
        </w:rPr>
      </w:pPr>
    </w:p>
    <w:p>
      <w:pPr>
        <w:ind w:left="840" w:right="1099"/>
        <w:spacing w:after="0" w:line="283" w:lineRule="auto"/>
        <w:rPr>
          <w:sz w:val="20"/>
          <w:szCs w:val="20"/>
          <w:color w:val="auto"/>
        </w:rPr>
      </w:pPr>
      <w:r>
        <w:rPr>
          <w:rFonts w:ascii="Arial" w:cs="Arial" w:eastAsia="Arial" w:hAnsi="Arial"/>
          <w:sz w:val="11"/>
          <w:szCs w:val="11"/>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goals. Forward-looking statements by their nature address matters that are, to different degrees, uncertain. Each forward-</w:t>
      </w:r>
    </w:p>
    <w:p>
      <w:pPr>
        <w:spacing w:after="0" w:line="68" w:lineRule="exact"/>
        <w:rPr>
          <w:sz w:val="20"/>
          <w:szCs w:val="20"/>
          <w:color w:val="auto"/>
        </w:rPr>
      </w:pPr>
    </w:p>
    <w:p>
      <w:pPr>
        <w:ind w:left="840"/>
        <w:spacing w:after="0"/>
        <w:tabs>
          <w:tab w:leader="none" w:pos="7780" w:val="left"/>
        </w:tabs>
        <w:rPr>
          <w:sz w:val="20"/>
          <w:szCs w:val="20"/>
          <w:color w:val="auto"/>
        </w:rPr>
      </w:pPr>
      <w:r>
        <w:rPr>
          <w:rFonts w:ascii="Arial" w:cs="Arial" w:eastAsia="Arial" w:hAnsi="Arial"/>
          <w:sz w:val="12"/>
          <w:szCs w:val="12"/>
          <w:color w:val="auto"/>
        </w:rPr>
        <w:t>AVITA Medical, Inc. | 28159 Avenue Stanford, Suite 220 Valencia, CA 91355</w:t>
      </w:r>
      <w:r>
        <w:rPr>
          <w:sz w:val="20"/>
          <w:szCs w:val="20"/>
          <w:color w:val="auto"/>
        </w:rPr>
        <w:tab/>
      </w:r>
      <w:r>
        <w:rPr>
          <w:rFonts w:ascii="Arial" w:cs="Arial" w:eastAsia="Arial" w:hAnsi="Arial"/>
          <w:sz w:val="10"/>
          <w:szCs w:val="10"/>
          <w:color w:val="auto"/>
        </w:rPr>
        <w:t>Page 3</w:t>
      </w:r>
    </w:p>
    <w:p>
      <w:pPr>
        <w:sectPr>
          <w:pgSz w:w="11900" w:h="16838" w:orient="portrait"/>
          <w:cols w:equalWidth="0" w:num="1">
            <w:col w:w="9019"/>
          </w:cols>
          <w:pgMar w:left="1440" w:top="226" w:right="1440" w:bottom="1440" w:gutter="0" w:footer="0" w:header="0"/>
        </w:sectPr>
      </w:pPr>
    </w:p>
    <w:bookmarkStart w:id="6" w:name="page7"/>
    <w:bookmarkEnd w:id="6"/>
    <w:p>
      <w:pPr>
        <w:ind w:left="840" w:right="879"/>
        <w:spacing w:after="0" w:line="280" w:lineRule="auto"/>
        <w:rPr>
          <w:sz w:val="20"/>
          <w:szCs w:val="20"/>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including, but not limited to the ongoing COVID-19 pandemic which are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3"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2680" w:type="dxa"/>
            <w:vAlign w:val="bottom"/>
            <w:gridSpan w:val="3"/>
          </w:tcPr>
          <w:p>
            <w:pPr>
              <w:spacing w:after="0"/>
              <w:rPr>
                <w:sz w:val="20"/>
                <w:szCs w:val="20"/>
                <w:color w:val="auto"/>
              </w:rPr>
            </w:pPr>
            <w:r>
              <w:rPr>
                <w:rFonts w:ascii="Arial" w:cs="Arial" w:eastAsia="Arial" w:hAnsi="Arial"/>
                <w:sz w:val="12"/>
                <w:szCs w:val="12"/>
                <w:b w:val="1"/>
                <w:bCs w:val="1"/>
                <w:color w:val="auto"/>
              </w:rPr>
              <w:t>FOR FURTHER INFORMATION:</w:t>
            </w:r>
          </w:p>
        </w:tc>
        <w:tc>
          <w:tcPr>
            <w:tcW w:w="11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93"/>
        </w:trPr>
        <w:tc>
          <w:tcPr>
            <w:tcW w:w="2680" w:type="dxa"/>
            <w:vAlign w:val="bottom"/>
            <w:gridSpan w:val="3"/>
          </w:tcPr>
          <w:p>
            <w:pPr>
              <w:spacing w:after="0"/>
              <w:rPr>
                <w:sz w:val="20"/>
                <w:szCs w:val="20"/>
                <w:color w:val="auto"/>
              </w:rPr>
            </w:pPr>
            <w:r>
              <w:rPr>
                <w:rFonts w:ascii="Arial" w:cs="Arial" w:eastAsia="Arial" w:hAnsi="Arial"/>
                <w:sz w:val="12"/>
                <w:szCs w:val="12"/>
                <w:b w:val="1"/>
                <w:bCs w:val="1"/>
                <w:color w:val="auto"/>
              </w:rPr>
              <w:t>U.S. Media</w:t>
            </w:r>
          </w:p>
        </w:tc>
        <w:tc>
          <w:tcPr>
            <w:tcW w:w="114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2"/>
                <w:szCs w:val="12"/>
                <w:b w:val="1"/>
                <w:bCs w:val="1"/>
                <w:color w:val="auto"/>
              </w:rPr>
              <w:t>Investors</w:t>
            </w:r>
          </w:p>
        </w:tc>
      </w:tr>
      <w:tr>
        <w:trPr>
          <w:trHeight w:val="148"/>
        </w:trPr>
        <w:tc>
          <w:tcPr>
            <w:tcW w:w="2680" w:type="dxa"/>
            <w:vAlign w:val="bottom"/>
            <w:gridSpan w:val="3"/>
          </w:tcPr>
          <w:p>
            <w:pPr>
              <w:spacing w:after="0"/>
              <w:rPr>
                <w:sz w:val="20"/>
                <w:szCs w:val="20"/>
                <w:color w:val="auto"/>
              </w:rPr>
            </w:pPr>
            <w:r>
              <w:rPr>
                <w:rFonts w:ascii="Arial" w:cs="Arial" w:eastAsia="Arial" w:hAnsi="Arial"/>
                <w:sz w:val="12"/>
                <w:szCs w:val="12"/>
                <w:b w:val="1"/>
                <w:bCs w:val="1"/>
                <w:color w:val="auto"/>
              </w:rPr>
              <w:t>Sam Brown, Inc.</w:t>
            </w:r>
          </w:p>
        </w:tc>
        <w:tc>
          <w:tcPr>
            <w:tcW w:w="1140" w:type="dxa"/>
            <w:vAlign w:val="bottom"/>
          </w:tcPr>
          <w:p>
            <w:pPr>
              <w:spacing w:after="0"/>
              <w:rPr>
                <w:sz w:val="12"/>
                <w:szCs w:val="12"/>
                <w:color w:val="auto"/>
              </w:rPr>
            </w:pPr>
          </w:p>
        </w:tc>
        <w:tc>
          <w:tcPr>
            <w:tcW w:w="1580" w:type="dxa"/>
            <w:vAlign w:val="bottom"/>
          </w:tcPr>
          <w:p>
            <w:pPr>
              <w:spacing w:after="0"/>
              <w:rPr>
                <w:sz w:val="20"/>
                <w:szCs w:val="20"/>
                <w:color w:val="auto"/>
              </w:rPr>
            </w:pPr>
            <w:r>
              <w:rPr>
                <w:rFonts w:ascii="Arial" w:cs="Arial" w:eastAsia="Arial" w:hAnsi="Arial"/>
                <w:sz w:val="12"/>
                <w:szCs w:val="12"/>
                <w:b w:val="1"/>
                <w:bCs w:val="1"/>
                <w:color w:val="auto"/>
              </w:rPr>
              <w:t>Westwicke Partners</w:t>
            </w:r>
          </w:p>
        </w:tc>
      </w:tr>
      <w:tr>
        <w:trPr>
          <w:trHeight w:val="144"/>
        </w:trPr>
        <w:tc>
          <w:tcPr>
            <w:tcW w:w="2680" w:type="dxa"/>
            <w:vAlign w:val="bottom"/>
            <w:gridSpan w:val="3"/>
          </w:tcPr>
          <w:p>
            <w:pPr>
              <w:spacing w:after="0"/>
              <w:rPr>
                <w:sz w:val="20"/>
                <w:szCs w:val="20"/>
                <w:color w:val="auto"/>
              </w:rPr>
            </w:pPr>
            <w:r>
              <w:rPr>
                <w:rFonts w:ascii="Arial" w:cs="Arial" w:eastAsia="Arial" w:hAnsi="Arial"/>
                <w:sz w:val="12"/>
                <w:szCs w:val="12"/>
                <w:color w:val="auto"/>
              </w:rPr>
              <w:t>Christy Curran</w:t>
            </w:r>
          </w:p>
        </w:tc>
        <w:tc>
          <w:tcPr>
            <w:tcW w:w="1140" w:type="dxa"/>
            <w:vAlign w:val="bottom"/>
          </w:tcPr>
          <w:p>
            <w:pPr>
              <w:spacing w:after="0"/>
              <w:rPr>
                <w:sz w:val="12"/>
                <w:szCs w:val="12"/>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Caroline Corner</w:t>
            </w:r>
          </w:p>
        </w:tc>
      </w:tr>
      <w:tr>
        <w:trPr>
          <w:trHeight w:val="144"/>
        </w:trPr>
        <w:tc>
          <w:tcPr>
            <w:tcW w:w="2680" w:type="dxa"/>
            <w:vAlign w:val="bottom"/>
            <w:gridSpan w:val="3"/>
          </w:tcPr>
          <w:p>
            <w:pPr>
              <w:spacing w:after="0"/>
              <w:rPr>
                <w:sz w:val="20"/>
                <w:szCs w:val="20"/>
                <w:color w:val="auto"/>
              </w:rPr>
            </w:pPr>
            <w:r>
              <w:rPr>
                <w:rFonts w:ascii="Arial" w:cs="Arial" w:eastAsia="Arial" w:hAnsi="Arial"/>
                <w:sz w:val="12"/>
                <w:szCs w:val="12"/>
                <w:color w:val="auto"/>
              </w:rPr>
              <w:t>Phone +1 615 414 8668</w:t>
            </w:r>
          </w:p>
        </w:tc>
        <w:tc>
          <w:tcPr>
            <w:tcW w:w="1140" w:type="dxa"/>
            <w:vAlign w:val="bottom"/>
          </w:tcPr>
          <w:p>
            <w:pPr>
              <w:spacing w:after="0"/>
              <w:rPr>
                <w:sz w:val="12"/>
                <w:szCs w:val="12"/>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Phone +1 415 202 5678</w:t>
            </w:r>
          </w:p>
        </w:tc>
      </w:tr>
      <w:tr>
        <w:trPr>
          <w:trHeight w:val="126"/>
        </w:trPr>
        <w:tc>
          <w:tcPr>
            <w:tcW w:w="148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2"/>
                <w:szCs w:val="12"/>
                <w:color w:val="auto"/>
                <w:w w:val="89"/>
              </w:rPr>
              <w:t>christycurran@sambrown.com</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8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w w:val="90"/>
              </w:rPr>
              <w:t>caroline.corner@westwicke.com</w:t>
            </w:r>
          </w:p>
        </w:tc>
      </w:tr>
      <w:tr>
        <w:trPr>
          <w:trHeight w:val="300"/>
        </w:trPr>
        <w:tc>
          <w:tcPr>
            <w:tcW w:w="2680" w:type="dxa"/>
            <w:vAlign w:val="bottom"/>
            <w:gridSpan w:val="3"/>
          </w:tcPr>
          <w:p>
            <w:pPr>
              <w:spacing w:after="0"/>
              <w:rPr>
                <w:sz w:val="20"/>
                <w:szCs w:val="20"/>
                <w:color w:val="auto"/>
              </w:rPr>
            </w:pPr>
            <w:r>
              <w:rPr>
                <w:rFonts w:ascii="Arial" w:cs="Arial" w:eastAsia="Arial" w:hAnsi="Arial"/>
                <w:sz w:val="12"/>
                <w:szCs w:val="12"/>
                <w:b w:val="1"/>
                <w:bCs w:val="1"/>
                <w:color w:val="auto"/>
              </w:rPr>
              <w:t>O.U.S Media</w:t>
            </w: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8"/>
        </w:trPr>
        <w:tc>
          <w:tcPr>
            <w:tcW w:w="2680" w:type="dxa"/>
            <w:vAlign w:val="bottom"/>
            <w:gridSpan w:val="3"/>
          </w:tcPr>
          <w:p>
            <w:pPr>
              <w:spacing w:after="0"/>
              <w:rPr>
                <w:sz w:val="20"/>
                <w:szCs w:val="20"/>
                <w:color w:val="auto"/>
              </w:rPr>
            </w:pPr>
            <w:r>
              <w:rPr>
                <w:rFonts w:ascii="Arial" w:cs="Arial" w:eastAsia="Arial" w:hAnsi="Arial"/>
                <w:sz w:val="12"/>
                <w:szCs w:val="12"/>
                <w:b w:val="1"/>
                <w:bCs w:val="1"/>
                <w:color w:val="auto"/>
              </w:rPr>
              <w:t>Monsoon Communications</w:t>
            </w: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4"/>
        </w:trPr>
        <w:tc>
          <w:tcPr>
            <w:tcW w:w="2680" w:type="dxa"/>
            <w:vAlign w:val="bottom"/>
            <w:gridSpan w:val="3"/>
          </w:tcPr>
          <w:p>
            <w:pPr>
              <w:spacing w:after="0"/>
              <w:rPr>
                <w:sz w:val="20"/>
                <w:szCs w:val="20"/>
                <w:color w:val="auto"/>
              </w:rPr>
            </w:pPr>
            <w:r>
              <w:rPr>
                <w:rFonts w:ascii="Arial" w:cs="Arial" w:eastAsia="Arial" w:hAnsi="Arial"/>
                <w:sz w:val="12"/>
                <w:szCs w:val="12"/>
                <w:color w:val="auto"/>
              </w:rPr>
              <w:t>Rudi Michelson</w:t>
            </w: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4"/>
        </w:trPr>
        <w:tc>
          <w:tcPr>
            <w:tcW w:w="2680" w:type="dxa"/>
            <w:vAlign w:val="bottom"/>
            <w:gridSpan w:val="3"/>
          </w:tcPr>
          <w:p>
            <w:pPr>
              <w:spacing w:after="0"/>
              <w:rPr>
                <w:sz w:val="20"/>
                <w:szCs w:val="20"/>
                <w:color w:val="auto"/>
              </w:rPr>
            </w:pPr>
            <w:r>
              <w:rPr>
                <w:rFonts w:ascii="Arial" w:cs="Arial" w:eastAsia="Arial" w:hAnsi="Arial"/>
                <w:sz w:val="12"/>
                <w:szCs w:val="12"/>
                <w:color w:val="auto"/>
              </w:rPr>
              <w:t>Phone +61 (0)3 9620 3333</w:t>
            </w: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4"/>
        </w:trPr>
        <w:tc>
          <w:tcPr>
            <w:tcW w:w="2680" w:type="dxa"/>
            <w:vAlign w:val="bottom"/>
            <w:gridSpan w:val="3"/>
          </w:tcPr>
          <w:p>
            <w:pPr>
              <w:spacing w:after="0"/>
              <w:rPr>
                <w:sz w:val="20"/>
                <w:szCs w:val="20"/>
                <w:color w:val="auto"/>
              </w:rPr>
            </w:pPr>
            <w:r>
              <w:rPr>
                <w:rFonts w:ascii="Arial" w:cs="Arial" w:eastAsia="Arial" w:hAnsi="Arial"/>
                <w:sz w:val="12"/>
                <w:szCs w:val="12"/>
                <w:color w:val="auto"/>
              </w:rPr>
              <w:t>Mobile +61 (0)411 402 737</w:t>
            </w: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26"/>
        </w:trPr>
        <w:tc>
          <w:tcPr>
            <w:tcW w:w="2680" w:type="dxa"/>
            <w:vAlign w:val="bottom"/>
            <w:gridSpan w:val="3"/>
          </w:tcPr>
          <w:p>
            <w:pPr>
              <w:spacing w:after="0" w:line="126" w:lineRule="exact"/>
              <w:rPr>
                <w:sz w:val="20"/>
                <w:szCs w:val="20"/>
                <w:color w:val="auto"/>
              </w:rPr>
            </w:pPr>
            <w:r>
              <w:rPr>
                <w:rFonts w:ascii="Arial" w:cs="Arial" w:eastAsia="Arial" w:hAnsi="Arial"/>
                <w:sz w:val="12"/>
                <w:szCs w:val="12"/>
                <w:color w:val="auto"/>
              </w:rPr>
              <w:t>rudim@monsoon.com.au</w:t>
            </w:r>
          </w:p>
        </w:tc>
        <w:tc>
          <w:tcPr>
            <w:tcW w:w="114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304"/>
        </w:trPr>
        <w:tc>
          <w:tcPr>
            <w:tcW w:w="1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 # #</w:t>
            </w:r>
          </w:p>
        </w:tc>
        <w:tc>
          <w:tcPr>
            <w:tcW w:w="1580" w:type="dxa"/>
            <w:vAlign w:val="bottom"/>
          </w:tcPr>
          <w:p>
            <w:pPr>
              <w:spacing w:after="0"/>
              <w:rPr>
                <w:sz w:val="24"/>
                <w:szCs w:val="24"/>
                <w:color w:val="auto"/>
              </w:rPr>
            </w:pPr>
          </w:p>
        </w:tc>
      </w:tr>
    </w:tbl>
    <w:p>
      <w:pPr>
        <w:spacing w:after="0" w:line="135" w:lineRule="exact"/>
        <w:rPr>
          <w:sz w:val="20"/>
          <w:szCs w:val="20"/>
          <w:color w:val="auto"/>
        </w:rPr>
      </w:pPr>
    </w:p>
    <w:p>
      <w:pPr>
        <w:ind w:left="7600"/>
        <w:spacing w:after="0"/>
        <w:rPr>
          <w:sz w:val="20"/>
          <w:szCs w:val="20"/>
          <w:color w:val="auto"/>
        </w:rPr>
      </w:pPr>
      <w:r>
        <w:rPr>
          <w:rFonts w:ascii="Arial" w:cs="Arial" w:eastAsia="Arial" w:hAnsi="Arial"/>
          <w:sz w:val="10"/>
          <w:szCs w:val="10"/>
          <w:color w:val="auto"/>
        </w:rPr>
        <w:t>PR2021050</w:t>
      </w:r>
    </w:p>
    <w:p>
      <w:pPr>
        <w:spacing w:after="0" w:line="128" w:lineRule="exact"/>
        <w:rPr>
          <w:sz w:val="20"/>
          <w:szCs w:val="20"/>
          <w:color w:val="auto"/>
        </w:rPr>
      </w:pPr>
    </w:p>
    <w:p>
      <w:pPr>
        <w:ind w:left="840"/>
        <w:spacing w:after="0"/>
        <w:tabs>
          <w:tab w:leader="none" w:pos="7780" w:val="left"/>
        </w:tabs>
        <w:rPr>
          <w:sz w:val="20"/>
          <w:szCs w:val="20"/>
          <w:color w:val="auto"/>
        </w:rPr>
      </w:pPr>
      <w:r>
        <w:rPr>
          <w:rFonts w:ascii="Arial" w:cs="Arial" w:eastAsia="Arial" w:hAnsi="Arial"/>
          <w:sz w:val="12"/>
          <w:szCs w:val="12"/>
          <w:color w:val="auto"/>
        </w:rPr>
        <w:t>AVITA Medical, Inc. | 28159 Avenue Stanford, Suite 220 Valencia, CA 91355</w:t>
      </w:r>
      <w:r>
        <w:rPr>
          <w:sz w:val="20"/>
          <w:szCs w:val="20"/>
          <w:color w:val="auto"/>
        </w:rPr>
        <w:tab/>
      </w:r>
      <w:r>
        <w:rPr>
          <w:rFonts w:ascii="Arial" w:cs="Arial" w:eastAsia="Arial" w:hAnsi="Arial"/>
          <w:sz w:val="10"/>
          <w:szCs w:val="10"/>
          <w:color w:val="auto"/>
        </w:rPr>
        <w:t>Page 4</w:t>
      </w:r>
    </w:p>
    <w:p>
      <w:pPr>
        <w:sectPr>
          <w:pgSz w:w="11900" w:h="16838" w:orient="portrait"/>
          <w:cols w:equalWidth="0" w:num="1">
            <w:col w:w="9019"/>
          </w:cols>
          <w:pgMar w:left="1440" w:top="230"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AVITA MEDICAL,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55"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60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060" w:type="dxa"/>
            <w:vAlign w:val="bottom"/>
          </w:tcPr>
          <w:p>
            <w:pPr>
              <w:spacing w:after="0"/>
              <w:rPr>
                <w:sz w:val="10"/>
                <w:szCs w:val="10"/>
                <w:color w:val="auto"/>
              </w:rPr>
            </w:pPr>
          </w:p>
        </w:tc>
        <w:tc>
          <w:tcPr>
            <w:tcW w:w="700" w:type="dxa"/>
            <w:vAlign w:val="bottom"/>
            <w:gridSpan w:val="3"/>
          </w:tcPr>
          <w:p>
            <w:pPr>
              <w:jc w:val="right"/>
              <w:ind w:right="240"/>
              <w:spacing w:after="0" w:line="120" w:lineRule="exact"/>
              <w:rPr>
                <w:sz w:val="20"/>
                <w:szCs w:val="20"/>
                <w:color w:val="auto"/>
              </w:rPr>
            </w:pPr>
            <w:r>
              <w:rPr>
                <w:rFonts w:ascii="Arial" w:cs="Arial" w:eastAsia="Arial" w:hAnsi="Arial"/>
                <w:sz w:val="12"/>
                <w:szCs w:val="12"/>
                <w:b w:val="1"/>
                <w:bCs w:val="1"/>
                <w:color w:val="auto"/>
                <w:w w:val="91"/>
              </w:rPr>
              <w:t>June 30,</w:t>
            </w:r>
          </w:p>
        </w:tc>
        <w:tc>
          <w:tcPr>
            <w:tcW w:w="500" w:type="dxa"/>
            <w:vAlign w:val="bottom"/>
            <w:gridSpan w:val="2"/>
          </w:tcPr>
          <w:p>
            <w:pPr>
              <w:jc w:val="center"/>
              <w:spacing w:after="0" w:line="120" w:lineRule="exact"/>
              <w:rPr>
                <w:sz w:val="20"/>
                <w:szCs w:val="20"/>
                <w:color w:val="auto"/>
              </w:rPr>
            </w:pPr>
            <w:r>
              <w:rPr>
                <w:rFonts w:ascii="Arial" w:cs="Arial" w:eastAsia="Arial" w:hAnsi="Arial"/>
                <w:sz w:val="12"/>
                <w:szCs w:val="12"/>
                <w:b w:val="1"/>
                <w:bCs w:val="1"/>
                <w:color w:val="auto"/>
                <w:w w:val="87"/>
              </w:rPr>
              <w:t>June 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0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06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Cash</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w w:val="96"/>
              </w:rPr>
              <w:t>110,746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73,639</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Accounts receivable, net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2,076</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BARDA receivables</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3,936</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356</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Prepaids and other current assets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1,333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990</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Restricted cash</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201</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Inventory</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1,125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121,330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78,387</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Plant and equipment, net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1,458</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1,363</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1,480</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2,347</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472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Other long-term assets</w:t>
            </w: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761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125,501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82,462</w:t>
            </w:r>
          </w:p>
        </w:tc>
        <w:tc>
          <w:tcPr>
            <w:tcW w:w="0" w:type="dxa"/>
            <w:vAlign w:val="bottom"/>
          </w:tcPr>
          <w:p>
            <w:pPr>
              <w:spacing w:after="0"/>
              <w:rPr>
                <w:sz w:val="1"/>
                <w:szCs w:val="1"/>
                <w:color w:val="auto"/>
              </w:rPr>
            </w:pPr>
          </w:p>
        </w:tc>
      </w:tr>
      <w:tr>
        <w:trPr>
          <w:trHeight w:val="153"/>
        </w:trPr>
        <w:tc>
          <w:tcPr>
            <w:tcW w:w="6060" w:type="dxa"/>
            <w:vAlign w:val="bottom"/>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 and accrued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4,333</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Accrued wages and fringe benefits</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3,321</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2,816</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7,390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7,709</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Contract liabilities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435</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Operating lease liabilities, long term</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878</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1,917</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503</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20"/>
                <w:szCs w:val="20"/>
                <w:color w:val="auto"/>
              </w:rPr>
            </w:pPr>
            <w:r>
              <w:rPr>
                <w:rFonts w:ascii="Arial" w:cs="Arial" w:eastAsia="Arial" w:hAnsi="Arial"/>
                <w:sz w:val="12"/>
                <w:szCs w:val="12"/>
                <w:color w:val="auto"/>
              </w:rPr>
              <w:t>Total liabilities</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9,846</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10,061</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Contingencies (Note 10)</w:t>
            </w: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Shareholders’ Equity:</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1"/>
              </w:rPr>
              <w:t>Common stock, $0.0001 par value per share, 200,000,000 shares authorized, 24,895,864 and 21,467,912 shares issued and</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outstanding at June 30, 2021, and June 30, 2020, respectively</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2"/>
                <w:szCs w:val="12"/>
                <w:color w:val="auto"/>
                <w:w w:val="93"/>
              </w:rPr>
              <w:t>Preferred stock, $0.0001 par value per share, 10,000,000 shares authorized, no shares issued or outstanding at June 30,</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60" w:type="dxa"/>
            <w:vAlign w:val="bottom"/>
          </w:tcPr>
          <w:p>
            <w:pPr>
              <w:ind w:left="120"/>
              <w:spacing w:after="0"/>
              <w:rPr>
                <w:sz w:val="20"/>
                <w:szCs w:val="20"/>
                <w:color w:val="auto"/>
              </w:rPr>
            </w:pPr>
            <w:r>
              <w:rPr>
                <w:rFonts w:ascii="Arial" w:cs="Arial" w:eastAsia="Arial" w:hAnsi="Arial"/>
                <w:sz w:val="12"/>
                <w:szCs w:val="12"/>
                <w:color w:val="auto"/>
              </w:rPr>
              <w:t>2021, and June 30, 2020</w:t>
            </w:r>
          </w:p>
        </w:tc>
        <w:tc>
          <w:tcPr>
            <w:tcW w:w="6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6"/>
              </w:rPr>
              <w:t>328,889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259,165</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Accumulated other comprehensive income</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8,259</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8,146</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(221,496)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5"/>
              </w:rPr>
              <w:t>(194,913)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2"/>
                <w:szCs w:val="12"/>
                <w:color w:val="auto"/>
              </w:rPr>
              <w:t>Total shareholders’ equity</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115,655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72,401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and shareholders’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125,501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82,462</w:t>
            </w:r>
          </w:p>
        </w:tc>
        <w:tc>
          <w:tcPr>
            <w:tcW w:w="0" w:type="dxa"/>
            <w:vAlign w:val="bottom"/>
          </w:tcPr>
          <w:p>
            <w:pPr>
              <w:spacing w:after="0"/>
              <w:rPr>
                <w:sz w:val="1"/>
                <w:szCs w:val="1"/>
                <w:color w:val="auto"/>
              </w:rPr>
            </w:pPr>
          </w:p>
        </w:tc>
      </w:tr>
      <w:tr>
        <w:trPr>
          <w:trHeight w:val="297"/>
        </w:trPr>
        <w:tc>
          <w:tcPr>
            <w:tcW w:w="6060" w:type="dxa"/>
            <w:vAlign w:val="bottom"/>
          </w:tcPr>
          <w:p>
            <w:pPr>
              <w:ind w:left="1860"/>
              <w:spacing w:after="0"/>
              <w:rPr>
                <w:sz w:val="20"/>
                <w:szCs w:val="20"/>
                <w:color w:val="auto"/>
              </w:rPr>
            </w:pPr>
            <w:r>
              <w:rPr>
                <w:rFonts w:ascii="Arial" w:cs="Arial" w:eastAsia="Arial" w:hAnsi="Arial"/>
                <w:sz w:val="12"/>
                <w:szCs w:val="12"/>
                <w:color w:val="auto"/>
              </w:rPr>
              <w:t>The accompanying notes form part of the consolidated financial statements</w:t>
            </w: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12"/>
                <w:szCs w:val="12"/>
                <w:color w:val="auto"/>
              </w:rPr>
              <w:t>AVITA Medical, Inc. | 28159 Avenue Stanford, Suite 220 Valencia, CA 91355</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Page 5</w:t>
            </w:r>
          </w:p>
        </w:tc>
        <w:tc>
          <w:tcPr>
            <w:tcW w:w="0" w:type="dxa"/>
            <w:vAlign w:val="bottom"/>
          </w:tcPr>
          <w:p>
            <w:pPr>
              <w:spacing w:after="0"/>
              <w:rPr>
                <w:sz w:val="1"/>
                <w:szCs w:val="1"/>
                <w:color w:val="auto"/>
              </w:rPr>
            </w:pPr>
          </w:p>
        </w:tc>
      </w:tr>
    </w:tbl>
    <w:p>
      <w:pPr>
        <w:sectPr>
          <w:pgSz w:w="11900" w:h="16838" w:orient="portrait"/>
          <w:cols w:equalWidth="0" w:num="1">
            <w:col w:w="9019"/>
          </w:cols>
          <w:pgMar w:left="1440" w:top="226"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AVITA MEDICAL,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w w:val="92"/>
              </w:rPr>
              <w:t>Three months ended June 30,</w:t>
            </w:r>
          </w:p>
        </w:tc>
        <w:tc>
          <w:tcPr>
            <w:tcW w:w="60" w:type="dxa"/>
            <w:vAlign w:val="bottom"/>
          </w:tcPr>
          <w:p>
            <w:pPr>
              <w:spacing w:after="0"/>
              <w:rPr>
                <w:sz w:val="10"/>
                <w:szCs w:val="10"/>
                <w:color w:val="auto"/>
              </w:rPr>
            </w:pPr>
          </w:p>
        </w:tc>
        <w:tc>
          <w:tcPr>
            <w:tcW w:w="154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rPr>
              <w:t>Year ended June 30,</w:t>
            </w:r>
          </w:p>
        </w:tc>
        <w:tc>
          <w:tcPr>
            <w:tcW w:w="0" w:type="dxa"/>
            <w:vAlign w:val="bottom"/>
          </w:tcPr>
          <w:p>
            <w:pPr>
              <w:spacing w:after="0"/>
              <w:rPr>
                <w:sz w:val="1"/>
                <w:szCs w:val="1"/>
                <w:color w:val="auto"/>
              </w:rPr>
            </w:pPr>
          </w:p>
        </w:tc>
      </w:tr>
      <w:tr>
        <w:trPr>
          <w:trHeight w:val="88"/>
        </w:trPr>
        <w:tc>
          <w:tcPr>
            <w:tcW w:w="39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141"/>
              <w:spacing w:after="0" w:line="88" w:lineRule="exact"/>
              <w:rPr>
                <w:sz w:val="20"/>
                <w:szCs w:val="20"/>
                <w:color w:val="auto"/>
              </w:rPr>
            </w:pPr>
            <w:r>
              <w:rPr>
                <w:rFonts w:ascii="Arial" w:cs="Arial" w:eastAsia="Arial" w:hAnsi="Arial"/>
                <w:sz w:val="10"/>
                <w:szCs w:val="10"/>
                <w:b w:val="1"/>
                <w:bCs w:val="1"/>
                <w:color w:val="auto"/>
              </w:rPr>
              <w:t>2021</w:t>
            </w:r>
          </w:p>
        </w:tc>
        <w:tc>
          <w:tcPr>
            <w:tcW w:w="3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141"/>
              <w:spacing w:after="0" w:line="88" w:lineRule="exact"/>
              <w:rPr>
                <w:sz w:val="20"/>
                <w:szCs w:val="20"/>
                <w:color w:val="auto"/>
              </w:rPr>
            </w:pPr>
            <w:r>
              <w:rPr>
                <w:rFonts w:ascii="Arial" w:cs="Arial" w:eastAsia="Arial" w:hAnsi="Arial"/>
                <w:sz w:val="10"/>
                <w:szCs w:val="10"/>
                <w:b w:val="1"/>
                <w:bCs w:val="1"/>
                <w:color w:val="auto"/>
              </w:rPr>
              <w:t>2020</w:t>
            </w:r>
          </w:p>
        </w:tc>
        <w:tc>
          <w:tcPr>
            <w:tcW w:w="3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141"/>
              <w:spacing w:after="0" w:line="88" w:lineRule="exact"/>
              <w:rPr>
                <w:sz w:val="20"/>
                <w:szCs w:val="20"/>
                <w:color w:val="auto"/>
              </w:rPr>
            </w:pPr>
            <w:r>
              <w:rPr>
                <w:rFonts w:ascii="Arial" w:cs="Arial" w:eastAsia="Arial" w:hAnsi="Arial"/>
                <w:sz w:val="10"/>
                <w:szCs w:val="10"/>
                <w:b w:val="1"/>
                <w:bCs w:val="1"/>
                <w:color w:val="auto"/>
              </w:rPr>
              <w:t>2021</w:t>
            </w:r>
          </w:p>
        </w:tc>
        <w:tc>
          <w:tcPr>
            <w:tcW w:w="3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14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10,304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3,877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29,232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14,263</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Cost of sales</w:t>
            </w:r>
          </w:p>
        </w:tc>
        <w:tc>
          <w:tcPr>
            <w:tcW w:w="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(2,053)</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(874)</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(5,949)</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(2,973)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8,251</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3,003</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23,283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11,290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2"/>
                <w:szCs w:val="12"/>
                <w:color w:val="auto"/>
              </w:rPr>
              <w:t>BARDA income</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440</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481</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2,055</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3,926</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Sales and marketing expenses</w:t>
            </w:r>
            <w:r>
              <w:rPr>
                <w:rFonts w:ascii="Arial" w:cs="Arial" w:eastAsia="Arial" w:hAnsi="Arial"/>
                <w:sz w:val="10"/>
                <w:szCs w:val="10"/>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(4,146)</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(4,260)</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(14,660)</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(15,706)</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r>
              <w:rPr>
                <w:rFonts w:ascii="Arial" w:cs="Arial" w:eastAsia="Arial" w:hAnsi="Arial"/>
                <w:sz w:val="10"/>
                <w:szCs w:val="10"/>
                <w:color w:val="auto"/>
              </w:rPr>
              <w:t>(1)</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(5,275)</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(9,709)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(22,400)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(33,025)</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Research and development expenses</w:t>
            </w:r>
            <w:r>
              <w:rPr>
                <w:rFonts w:ascii="Arial" w:cs="Arial" w:eastAsia="Arial" w:hAnsi="Arial"/>
                <w:sz w:val="10"/>
                <w:szCs w:val="10"/>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(3,974)</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(2,538)</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(14,818)</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(9,164)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(13,395)</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(16,507)</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(51,878)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(57,895)</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2"/>
                <w:szCs w:val="12"/>
                <w:color w:val="auto"/>
              </w:rPr>
              <w:t>Operating loss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(4,704)</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(13,023)</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(26,540)</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(42,679)</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Other income/(expense)</w:t>
            </w:r>
          </w:p>
        </w:tc>
        <w:tc>
          <w:tcPr>
            <w:tcW w:w="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121</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rPr>
              <w:t>17</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686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(4,711)</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(12,910)</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(26,545)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(42,026)</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Income tax expense</w:t>
            </w:r>
          </w:p>
        </w:tc>
        <w:tc>
          <w:tcPr>
            <w:tcW w:w="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(7)</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(4,718)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(12,914)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(26,583)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(42,030)</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20"/>
                <w:szCs w:val="20"/>
                <w:color w:val="auto"/>
              </w:rPr>
            </w:pPr>
            <w:r>
              <w:rPr>
                <w:rFonts w:ascii="Arial" w:cs="Arial" w:eastAsia="Arial" w:hAnsi="Arial"/>
                <w:sz w:val="12"/>
                <w:szCs w:val="12"/>
                <w:color w:val="auto"/>
              </w:rPr>
              <w:t>Net loss per common share:</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(0.19)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(0.60)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(1.17)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Diluted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(0.19)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(0.60)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(1.17)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common shares: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Basic</w:t>
            </w:r>
          </w:p>
        </w:tc>
        <w:tc>
          <w:tcPr>
            <w:tcW w:w="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w w:val="89"/>
              </w:rPr>
              <w:t>24,860,738</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w w:val="86"/>
              </w:rPr>
              <w:t>21,372,892</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2"/>
                <w:szCs w:val="12"/>
                <w:color w:val="auto"/>
                <w:w w:val="86"/>
              </w:rPr>
              <w:t>22,674,313</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20,290,966</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9"/>
              </w:rPr>
              <w:t>24,860,738</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6"/>
              </w:rPr>
              <w:t>21,372,892</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6"/>
              </w:rPr>
              <w:t>22,674,313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20,290,966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480" w:hanging="360"/>
        <w:spacing w:after="0"/>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Total operating expenses include impact of share-based compensation as follows:</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1060" w:type="dxa"/>
            <w:vAlign w:val="bottom"/>
            <w:gridSpan w:val="6"/>
          </w:tcPr>
          <w:p>
            <w:pPr>
              <w:jc w:val="right"/>
              <w:ind w:right="160"/>
              <w:spacing w:after="0"/>
              <w:rPr>
                <w:sz w:val="20"/>
                <w:szCs w:val="20"/>
                <w:color w:val="auto"/>
              </w:rPr>
            </w:pPr>
            <w:r>
              <w:rPr>
                <w:rFonts w:ascii="Arial" w:cs="Arial" w:eastAsia="Arial" w:hAnsi="Arial"/>
                <w:sz w:val="10"/>
                <w:szCs w:val="10"/>
                <w:b w:val="1"/>
                <w:bCs w:val="1"/>
                <w:color w:val="auto"/>
                <w:w w:val="88"/>
              </w:rPr>
              <w:t>Three Months Ended</w:t>
            </w:r>
          </w:p>
        </w:tc>
        <w:tc>
          <w:tcPr>
            <w:tcW w:w="60" w:type="dxa"/>
            <w:vAlign w:val="bottom"/>
          </w:tcPr>
          <w:p>
            <w:pPr>
              <w:spacing w:after="0"/>
              <w:rPr>
                <w:sz w:val="10"/>
                <w:szCs w:val="10"/>
                <w:color w:val="auto"/>
              </w:rPr>
            </w:pPr>
          </w:p>
        </w:tc>
        <w:tc>
          <w:tcPr>
            <w:tcW w:w="98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Year Ended</w:t>
            </w:r>
          </w:p>
        </w:tc>
        <w:tc>
          <w:tcPr>
            <w:tcW w:w="0" w:type="dxa"/>
            <w:vAlign w:val="bottom"/>
          </w:tcPr>
          <w:p>
            <w:pPr>
              <w:spacing w:after="0"/>
              <w:rPr>
                <w:sz w:val="1"/>
                <w:szCs w:val="1"/>
                <w:color w:val="auto"/>
              </w:rPr>
            </w:pPr>
          </w:p>
        </w:tc>
      </w:tr>
      <w:tr>
        <w:trPr>
          <w:trHeight w:val="113"/>
        </w:trPr>
        <w:tc>
          <w:tcPr>
            <w:tcW w:w="5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5"/>
          </w:tcPr>
          <w:p>
            <w:pPr>
              <w:jc w:val="right"/>
              <w:ind w:right="420"/>
              <w:spacing w:after="0" w:line="114" w:lineRule="exact"/>
              <w:rPr>
                <w:sz w:val="20"/>
                <w:szCs w:val="20"/>
                <w:color w:val="auto"/>
              </w:rPr>
            </w:pPr>
            <w:r>
              <w:rPr>
                <w:rFonts w:ascii="Arial" w:cs="Arial" w:eastAsia="Arial" w:hAnsi="Arial"/>
                <w:sz w:val="10"/>
                <w:szCs w:val="10"/>
                <w:b w:val="1"/>
                <w:bCs w:val="1"/>
                <w:color w:val="auto"/>
              </w:rPr>
              <w:t>June 30,</w:t>
            </w:r>
          </w:p>
        </w:tc>
        <w:tc>
          <w:tcPr>
            <w:tcW w:w="60" w:type="dxa"/>
            <w:vAlign w:val="bottom"/>
          </w:tcPr>
          <w:p>
            <w:pPr>
              <w:spacing w:after="0"/>
              <w:rPr>
                <w:sz w:val="9"/>
                <w:szCs w:val="9"/>
                <w:color w:val="auto"/>
              </w:rPr>
            </w:pPr>
          </w:p>
        </w:tc>
        <w:tc>
          <w:tcPr>
            <w:tcW w:w="980" w:type="dxa"/>
            <w:vAlign w:val="bottom"/>
            <w:gridSpan w:val="5"/>
          </w:tcPr>
          <w:p>
            <w:pPr>
              <w:jc w:val="right"/>
              <w:ind w:right="380"/>
              <w:spacing w:after="0" w:line="114" w:lineRule="exact"/>
              <w:rPr>
                <w:sz w:val="20"/>
                <w:szCs w:val="20"/>
                <w:color w:val="auto"/>
              </w:rPr>
            </w:pPr>
            <w:r>
              <w:rPr>
                <w:rFonts w:ascii="Arial" w:cs="Arial" w:eastAsia="Arial" w:hAnsi="Arial"/>
                <w:sz w:val="10"/>
                <w:szCs w:val="10"/>
                <w:b w:val="1"/>
                <w:bCs w:val="1"/>
                <w:color w:val="auto"/>
              </w:rPr>
              <w:t>June 30,</w:t>
            </w:r>
          </w:p>
        </w:tc>
        <w:tc>
          <w:tcPr>
            <w:tcW w:w="0" w:type="dxa"/>
            <w:vAlign w:val="bottom"/>
          </w:tcPr>
          <w:p>
            <w:pPr>
              <w:spacing w:after="0"/>
              <w:rPr>
                <w:sz w:val="1"/>
                <w:szCs w:val="1"/>
                <w:color w:val="auto"/>
              </w:rPr>
            </w:pPr>
          </w:p>
        </w:tc>
      </w:tr>
      <w:tr>
        <w:trPr>
          <w:trHeight w:val="88"/>
        </w:trPr>
        <w:tc>
          <w:tcPr>
            <w:tcW w:w="524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jc w:val="right"/>
              <w:ind w:right="24"/>
              <w:spacing w:after="0" w:line="88" w:lineRule="exact"/>
              <w:rPr>
                <w:sz w:val="20"/>
                <w:szCs w:val="20"/>
                <w:color w:val="auto"/>
              </w:rPr>
            </w:pPr>
            <w:r>
              <w:rPr>
                <w:rFonts w:ascii="Arial" w:cs="Arial" w:eastAsia="Arial" w:hAnsi="Arial"/>
                <w:sz w:val="10"/>
                <w:szCs w:val="10"/>
                <w:b w:val="1"/>
                <w:bCs w:val="1"/>
                <w:color w:val="auto"/>
                <w:w w:val="89"/>
              </w:rPr>
              <w:t>2021</w:t>
            </w:r>
          </w:p>
        </w:tc>
        <w:tc>
          <w:tcPr>
            <w:tcW w:w="14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w w:val="89"/>
              </w:rPr>
              <w:t>2020</w:t>
            </w:r>
          </w:p>
        </w:tc>
        <w:tc>
          <w:tcPr>
            <w:tcW w:w="14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5"/>
              <w:spacing w:after="0" w:line="88" w:lineRule="exact"/>
              <w:rPr>
                <w:sz w:val="20"/>
                <w:szCs w:val="20"/>
                <w:color w:val="auto"/>
              </w:rPr>
            </w:pPr>
            <w:r>
              <w:rPr>
                <w:rFonts w:ascii="Arial" w:cs="Arial" w:eastAsia="Arial" w:hAnsi="Arial"/>
                <w:sz w:val="10"/>
                <w:szCs w:val="10"/>
                <w:b w:val="1"/>
                <w:bCs w:val="1"/>
                <w:color w:val="auto"/>
                <w:w w:val="89"/>
              </w:rPr>
              <w:t>2021</w:t>
            </w:r>
          </w:p>
        </w:tc>
        <w:tc>
          <w:tcPr>
            <w:tcW w:w="1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62"/>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2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Sales and marketing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(925)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(893)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20"/>
                <w:szCs w:val="20"/>
                <w:color w:val="auto"/>
              </w:rPr>
            </w:pPr>
            <w:r>
              <w:rPr>
                <w:rFonts w:ascii="Arial" w:cs="Arial" w:eastAsia="Arial" w:hAnsi="Arial"/>
                <w:sz w:val="12"/>
                <w:szCs w:val="12"/>
                <w:color w:val="auto"/>
              </w:rPr>
              <w:t>General and administrative expenses</w:t>
            </w:r>
          </w:p>
        </w:tc>
        <w:tc>
          <w:tcPr>
            <w:tcW w:w="8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4"/>
              </w:rPr>
              <w:t>(1,173)</w:t>
            </w: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(3,348)</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(4,095)</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(14,890)</w:t>
            </w:r>
          </w:p>
        </w:tc>
        <w:tc>
          <w:tcPr>
            <w:tcW w:w="0" w:type="dxa"/>
            <w:vAlign w:val="bottom"/>
          </w:tcPr>
          <w:p>
            <w:pPr>
              <w:spacing w:after="0"/>
              <w:rPr>
                <w:sz w:val="1"/>
                <w:szCs w:val="1"/>
                <w:color w:val="auto"/>
              </w:rPr>
            </w:pPr>
          </w:p>
        </w:tc>
      </w:tr>
      <w:tr>
        <w:trPr>
          <w:trHeight w:val="144"/>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(175)</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(644)</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(703)</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4"/>
              </w:rPr>
              <w:t>(1,411)</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(3,863)</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(5,664)</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(16,486)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240" w:type="dxa"/>
            <w:vAlign w:val="bottom"/>
          </w:tcPr>
          <w:p>
            <w:pPr>
              <w:spacing w:after="0"/>
              <w:rPr>
                <w:sz w:val="20"/>
                <w:szCs w:val="20"/>
                <w:color w:val="auto"/>
              </w:rPr>
            </w:pPr>
            <w:r>
              <w:rPr>
                <w:rFonts w:ascii="Arial" w:cs="Arial" w:eastAsia="Arial" w:hAnsi="Arial"/>
                <w:sz w:val="12"/>
                <w:szCs w:val="12"/>
                <w:color w:val="auto"/>
              </w:rPr>
              <w:t>AVITA Medical, Inc. | 28159 Avenue Stanford, Suite 220 Valencia, CA 91355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Page 6</w:t>
            </w:r>
          </w:p>
        </w:tc>
        <w:tc>
          <w:tcPr>
            <w:tcW w:w="0" w:type="dxa"/>
            <w:vAlign w:val="bottom"/>
          </w:tcPr>
          <w:p>
            <w:pPr>
              <w:spacing w:after="0"/>
              <w:rPr>
                <w:sz w:val="1"/>
                <w:szCs w:val="1"/>
                <w:color w:val="auto"/>
              </w:rPr>
            </w:pPr>
          </w:p>
        </w:tc>
      </w:tr>
    </w:tbl>
    <w:p>
      <w:pPr>
        <w:sectPr>
          <w:pgSz w:w="11900" w:h="16838" w:orient="portrait"/>
          <w:cols w:equalWidth="0" w:num="1">
            <w:col w:w="9019"/>
          </w:cols>
          <w:pgMar w:left="1440" w:top="226" w:right="1440" w:bottom="144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2021-08-27T05:28:44Z</dcterms:created>
  <dcterms:modified xsi:type="dcterms:W3CDTF">2021-08-27T05:28:44Z</dcterms:modified>
</cp:coreProperties>
</file>